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3366"/>
        </w:rPr>
        <w:t>RAPPORT D'ANALYSE BRVM</w:t>
      </w:r>
    </w:p>
    <w:p>
      <w:pPr>
        <w:jc w:val="center"/>
      </w:pPr>
      <w:r>
        <w:rPr>
          <w:color w:val="404040"/>
          <w:sz w:val="24"/>
        </w:rPr>
        <w:t>Rapport d'investissement professionnel - Édition Ultimate</w:t>
      </w:r>
    </w:p>
    <w:p>
      <w:pPr>
        <w:jc w:val="center"/>
      </w:pPr>
      <w:r>
        <w:rPr>
          <w:i/>
          <w:sz w:val="20"/>
        </w:rPr>
        <w:t>Généré le 16/10/2026 à 09:08</w:t>
      </w:r>
    </w:p>
    <w:p>
      <w:pPr>
        <w:jc w:val="center"/>
      </w:pPr>
      <w:r>
        <w:rPr>
          <w:i/>
          <w:color w:val="808080"/>
          <w:sz w:val="18"/>
        </w:rPr>
        <w:t>Version 30.2 - Analyses Multi-AI (DeepSeek + Gemini + Mistral)</w:t>
      </w:r>
    </w:p>
    <w:p/>
    <w:p/>
    <w:p>
      <w:pPr>
        <w:spacing w:before="120" w:after="120"/>
      </w:pPr>
    </w:p>
    <w:p>
      <w:pPr>
        <w:spacing w:before="20" w:after="20"/>
        <w:ind w:left="360" w:right="360"/>
        <w:shd w:val="clear" w:color="auto" w:fill="EBF5FB"/>
      </w:pPr>
      <w:r>
        <w:rPr>
          <w:b/>
          <w:color w:val="003366"/>
          <w:sz w:val="22"/>
        </w:rPr>
        <w:t>📊 RÉSUMÉ EXÉCUTIF</w:t>
      </w:r>
    </w:p>
    <w:p>
      <w:pPr>
        <w:spacing w:before="20" w:after="20"/>
        <w:ind w:left="360" w:right="360"/>
        <w:shd w:val="clear" w:color="auto" w:fill="EBF5FB"/>
      </w:pPr>
      <w:r>
        <w:rPr>
          <w:b/>
          <w:color w:val="003366"/>
          <w:sz w:val="22"/>
        </w:rPr>
      </w:r>
    </w:p>
    <w:p>
      <w:pPr>
        <w:spacing w:before="20" w:after="20"/>
        <w:ind w:left="360" w:right="360"/>
        <w:shd w:val="clear" w:color="auto" w:fill="EBF5FB"/>
      </w:pPr>
      <w:r>
        <w:rPr>
          <w:b/>
          <w:sz w:val="19"/>
        </w:rPr>
        <w:t xml:space="preserve">Marché :  </w:t>
      </w:r>
      <w:r>
        <w:rPr>
          <w:color w:val="505050"/>
          <w:sz w:val="19"/>
        </w:rPr>
        <w:t>NEUTRE / STABLE ➡️</w:t>
      </w:r>
    </w:p>
    <w:p>
      <w:pPr>
        <w:spacing w:before="20" w:after="20"/>
        <w:ind w:left="360" w:right="360"/>
        <w:shd w:val="clear" w:color="auto" w:fill="EBF5FB"/>
      </w:pPr>
      <w:r>
        <w:rPr>
          <w:b/>
          <w:sz w:val="19"/>
        </w:rPr>
        <w:t xml:space="preserve">Signaux :  </w:t>
      </w:r>
      <w:r>
        <w:rPr>
          <w:color w:val="0050A0"/>
          <w:sz w:val="19"/>
        </w:rPr>
        <w:t>48 ACHAT  |  0 NEUTRE  |  0 VENTE  (sur 48 sociétés)</w:t>
      </w:r>
    </w:p>
    <w:p>
      <w:pPr>
        <w:spacing w:before="20" w:after="20"/>
        <w:ind w:left="360" w:right="360"/>
        <w:shd w:val="clear" w:color="auto" w:fill="EBF5FB"/>
      </w:pPr>
      <w:r>
        <w:rPr>
          <w:b/>
          <w:sz w:val="19"/>
        </w:rPr>
        <w:t xml:space="preserve">Top opportunité :  </w:t>
      </w:r>
      <w:r>
        <w:rPr>
          <w:color w:val="008000"/>
          <w:sz w:val="19"/>
        </w:rPr>
        <w:t>SIVC  (score 78/100)</w:t>
      </w:r>
    </w:p>
    <w:p>
      <w:pPr>
        <w:spacing w:before="20" w:after="20"/>
        <w:ind w:left="360" w:right="360"/>
        <w:shd w:val="clear" w:color="auto" w:fill="EBF5FB"/>
      </w:pPr>
      <w:r>
        <w:rPr>
          <w:b/>
          <w:sz w:val="19"/>
        </w:rPr>
        <w:t xml:space="preserve">Secteur surperformant :  </w:t>
      </w:r>
      <w:r>
        <w:rPr>
          <w:color w:val="008000"/>
          <w:sz w:val="19"/>
        </w:rPr>
        <w:t>Services Financiers  (+44.7%)</w:t>
      </w:r>
    </w:p>
    <w:p>
      <w:pPr>
        <w:spacing w:before="20" w:after="20"/>
        <w:ind w:left="360" w:right="360"/>
        <w:shd w:val="clear" w:color="auto" w:fill="EBF5FB"/>
      </w:pPr>
      <w:r>
        <w:rPr>
          <w:b/>
          <w:sz w:val="19"/>
        </w:rPr>
        <w:t xml:space="preserve">Secteur sous-performant :  </w:t>
      </w:r>
      <w:r>
        <w:rPr>
          <w:color w:val="A03C00"/>
          <w:sz w:val="19"/>
        </w:rPr>
        <w:t>INDUSTRIELS</w:t>
      </w:r>
    </w:p>
    <w:p>
      <w:pPr>
        <w:spacing w:before="20" w:after="20"/>
        <w:ind w:left="360" w:right="360"/>
        <w:shd w:val="clear" w:color="auto" w:fill="EBF5FB"/>
      </w:pPr>
      <w:r>
        <w:rPr>
          <w:b/>
          <w:sz w:val="19"/>
        </w:rPr>
        <w:t xml:space="preserve">Divergences tech/fond :  </w:t>
      </w:r>
      <w:r>
        <w:rPr>
          <w:color w:val="A06400"/>
          <w:sz w:val="19"/>
        </w:rPr>
        <w:t>22 sociétés — vérifier avant d'investir</w:t>
      </w:r>
    </w:p>
    <w:p>
      <w:pPr>
        <w:spacing w:before="20" w:after="20"/>
        <w:ind w:left="360" w:right="360"/>
        <w:shd w:val="clear" w:color="auto" w:fill="EBF5FB"/>
      </w:pPr>
      <w:r>
        <w:rPr>
          <w:b/>
          <w:sz w:val="19"/>
        </w:rPr>
        <w:t xml:space="preserve">⚠️ Liquidité réduite :  </w:t>
      </w:r>
      <w:r>
        <w:rPr>
          <w:color w:val="C00000"/>
          <w:sz w:val="19"/>
        </w:rPr>
        <w:t>14 titres à faible liquidité — risque de sortie</w:t>
      </w:r>
    </w:p>
    <w:p/>
    <w:p>
      <w:r>
        <w:br w:type="page"/>
      </w:r>
    </w:p>
    <w:p>
      <w:pPr>
        <w:pStyle w:val="Heading1"/>
      </w:pPr>
      <w:r>
        <w:t>SYNTHÈSE GÉNÉRALE</w:t>
      </w:r>
    </w:p>
    <w:p>
      <w:pPr>
        <w:spacing w:after="240"/>
      </w:pPr>
      <w:r>
        <w:t xml:space="preserve">Ce rapport présente une analyse détaillée de 48 sociétés cotées à la Bourse Régionale des Valeurs Mobilières (BRVM). </w:t>
      </w:r>
      <w:r>
        <w:t xml:space="preserve">L'indice BRVM Composite s'établit à 537.67 points </w:t>
      </w:r>
      <w:r>
        <w:rPr>
          <w:color w:val="008000"/>
        </w:rPr>
        <w:t>(+0.19%)</w:t>
      </w:r>
      <w:r>
        <w:t xml:space="preserve"> sur la séance. </w:t>
      </w:r>
      <w:r>
        <w:t>La capitalisation globale du marché atteint 21 084,742 milliards FCFA.</w:t>
      </w:r>
    </w:p>
    <w:p/>
    <w:p>
      <w:pPr>
        <w:pStyle w:val="Heading3"/>
      </w:pPr>
      <w:r>
        <w:t>📊 Évolution de l'indice BRVM Composite (100 derniers jours)</w:t>
      </w:r>
    </w:p>
    <w:p>
      <w:r>
        <w:rPr>
          <w:b/>
        </w:rPr>
        <w:t xml:space="preserve">BRVM Composite — </w:t>
      </w:r>
      <w:r>
        <w:t xml:space="preserve">Sur les 100 derniers jours de cotation (2026-05-22 au 2026-10-15), l'indice BRVM Composite a évolué de </w:t>
      </w:r>
      <w:r>
        <w:rPr>
          <w:b/>
          <w:color w:val="008000"/>
        </w:rPr>
        <w:t>+27.71%</w:t>
      </w:r>
      <w:r>
        <w:t>, passant de 421.02 pts à 537.67 pts. Le plus haut atteint est 555.90 pts et le plus bas 420.33 pts. Sur l'ensemble de la période, la moyenne de l'indice s'établit à 493.43 pts, la médiane à 484.88 pts et le mode à 537.67 pts</w:t>
      </w:r>
      <w:r>
        <w:t xml:space="preserve"> (distribution symétrique). </w:t>
      </w:r>
      <w:r>
        <w:t xml:space="preserve">L'écart-type de 44.03 pts (CV=8.9%) traduit une modérée dispersion des cotations. Le kurtosis de -1.43 indique une distribution platykurtique — fluctuations régulières. </w:t>
      </w:r>
      <w:r>
        <w:t>L'indice affiche une tendance haussière sur la période, témoignant d'un regain de confiance des investisseurs.</w:t>
      </w:r>
    </w:p>
    <w:p>
      <w:pPr>
        <w:jc w:val="center"/>
      </w:pPr>
      <w:r>
        <w:drawing>
          <wp:inline xmlns:a="http://schemas.openxmlformats.org/drawingml/2006/main" xmlns:pic="http://schemas.openxmlformats.org/drawingml/2006/picture">
            <wp:extent cx="5943600" cy="1951921"/>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943600" cy="1951921"/>
                    </a:xfrm>
                    <a:prstGeom prst="rect"/>
                  </pic:spPr>
                </pic:pic>
              </a:graphicData>
            </a:graphic>
          </wp:inline>
        </w:drawing>
      </w:r>
    </w:p>
    <w:p/>
    <w:p/>
    <w:p>
      <w:r>
        <w:rPr>
          <w:b/>
        </w:rPr>
        <w:t xml:space="preserve">Capitalisation globale — </w:t>
      </w:r>
      <w:r>
        <w:t xml:space="preserve">La capitalisation boursière totale a évolué de </w:t>
      </w:r>
      <w:r>
        <w:rPr>
          <w:b/>
          <w:color w:val="008000"/>
        </w:rPr>
        <w:t>+29.91%</w:t>
      </w:r>
      <w:r>
        <w:t xml:space="preserve"> sur la période, passant de 16 229,859 Mds FCFA à 21 084,742 Mds FCFA. Le pic de capitalisation observé est de 21 529,927 Mds FCFA et le plancher de 16 203,402 Mds FCFA. La moyenne de la capitalisation sur la période s'établit à 19 072,483 Mds FCFA, la médiane à 18 678,945 Mds FCFA et le mode à 16 203,402 Mds FCFA</w:t>
      </w:r>
      <w:r>
        <w:t xml:space="preserve"> (distribution symétrique). </w:t>
      </w:r>
      <w:r>
        <w:t>L'écart-type de 1 768,656 Mds FCFA (CV=9.3%) reflète une modérée variabilité de la valorisation du marché. Le kurtosis de -1.44 indique une distribution platykurtique — valorisation régulière.</w:t>
      </w:r>
      <w:r>
        <w:t xml:space="preserve"> Le marché a globalement capté davantage de richesse sur la période, signe d'une confiance accrue des investisseurs.</w:t>
      </w:r>
    </w:p>
    <w:p>
      <w:pPr>
        <w:jc w:val="center"/>
      </w:pPr>
      <w:r>
        <w:drawing>
          <wp:inline xmlns:a="http://schemas.openxmlformats.org/drawingml/2006/main" xmlns:pic="http://schemas.openxmlformats.org/drawingml/2006/picture">
            <wp:extent cx="5943600" cy="1944032"/>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943600" cy="1944032"/>
                    </a:xfrm>
                    <a:prstGeom prst="rect"/>
                  </pic:spPr>
                </pic:pic>
              </a:graphicData>
            </a:graphic>
          </wp:inline>
        </w:drawing>
      </w:r>
    </w:p>
    <w:p/>
    <w:p>
      <w:pPr>
        <w:pStyle w:val="Heading2"/>
      </w:pPr>
      <w:r>
        <w:t>📈 TOP 10 DES OPPORTUNITÉS D'ACHAT</w:t>
      </w:r>
    </w:p>
    <w:p>
      <w:pPr>
        <w:pStyle w:val="ListNumber"/>
      </w:pPr>
      <w:r>
        <w:rPr>
          <w:b/>
        </w:rPr>
        <w:t>ABJC - ABJC - SERVAIR ABIDJAN CI</w:t>
      </w:r>
      <w:r>
        <w:t xml:space="preserve"> | Prix: 3100 FCFA | </w:t>
      </w:r>
      <w:r>
        <w:rPr>
          <w:b/>
          <w:color w:val="008000"/>
        </w:rPr>
        <w:t>ACHAT</w:t>
      </w:r>
      <w:r>
        <w:t xml:space="preserve"> | Confiance: Moyen | Risque: Faible</w:t>
      </w:r>
    </w:p>
    <w:p>
      <w:pPr>
        <w:pStyle w:val="ListNumber"/>
      </w:pPr>
      <w:r>
        <w:rPr>
          <w:b/>
        </w:rPr>
        <w:t>BBGC - BRIDGE BANK GROUP COTE D'IVOIRE</w:t>
      </w:r>
      <w:r>
        <w:t xml:space="preserve"> | Prix: 10495 FCFA | </w:t>
      </w:r>
      <w:r>
        <w:rPr>
          <w:b/>
          <w:color w:val="008000"/>
        </w:rPr>
        <w:t>ACHAT</w:t>
      </w:r>
      <w:r>
        <w:t xml:space="preserve"> | Confiance: Moyen | Risque: Moyen</w:t>
      </w:r>
    </w:p>
    <w:p>
      <w:pPr>
        <w:pStyle w:val="ListNumber"/>
      </w:pPr>
      <w:r>
        <w:rPr>
          <w:b/>
        </w:rPr>
        <w:t>BICB - BIIC BN - Banque internationale pour le commerce du benin</w:t>
      </w:r>
      <w:r>
        <w:t xml:space="preserve"> | Prix: 8400 FCFA | </w:t>
      </w:r>
      <w:r>
        <w:rPr>
          <w:b/>
          <w:color w:val="008000"/>
        </w:rPr>
        <w:t>ACHAT</w:t>
      </w:r>
      <w:r>
        <w:t xml:space="preserve"> | Confiance: Faible | Risque: Moyen</w:t>
      </w:r>
    </w:p>
    <w:p>
      <w:pPr>
        <w:pStyle w:val="ListNumber"/>
      </w:pPr>
      <w:r>
        <w:rPr>
          <w:b/>
        </w:rPr>
        <w:t>BICC - BICI CI - Banque internationale pour le commerce et l'industrie de la Côte d'Ivoire</w:t>
      </w:r>
      <w:r>
        <w:t xml:space="preserve"> | Prix: 31090 FCFA | </w:t>
      </w:r>
      <w:r>
        <w:rPr>
          <w:b/>
          <w:color w:val="008000"/>
        </w:rPr>
        <w:t>ACHAT</w:t>
      </w:r>
      <w:r>
        <w:t xml:space="preserve"> | Confiance: Élevée | Risque: Moyen</w:t>
      </w:r>
    </w:p>
    <w:p>
      <w:pPr>
        <w:pStyle w:val="ListNumber"/>
      </w:pPr>
      <w:r>
        <w:rPr>
          <w:b/>
        </w:rPr>
        <w:t>BNBC - BNBC - BERNABE CI</w:t>
      </w:r>
      <w:r>
        <w:t xml:space="preserve"> | Prix: 1775 FCFA | </w:t>
      </w:r>
      <w:r>
        <w:rPr>
          <w:b/>
          <w:color w:val="008000"/>
        </w:rPr>
        <w:t>ACHAT</w:t>
      </w:r>
      <w:r>
        <w:t xml:space="preserve"> | Confiance: Faible | Risque: Faible</w:t>
      </w:r>
    </w:p>
    <w:p>
      <w:pPr>
        <w:pStyle w:val="ListNumber"/>
      </w:pPr>
      <w:r>
        <w:rPr>
          <w:b/>
        </w:rPr>
        <w:t>BOAB - BANK OF AFRICA BENIN</w:t>
      </w:r>
      <w:r>
        <w:t xml:space="preserve"> | Prix: 9205 FCFA | </w:t>
      </w:r>
      <w:r>
        <w:rPr>
          <w:b/>
          <w:color w:val="008000"/>
        </w:rPr>
        <w:t>ACHAT</w:t>
      </w:r>
      <w:r>
        <w:t xml:space="preserve"> | Confiance: Faible | Risque: Faible</w:t>
      </w:r>
    </w:p>
    <w:p>
      <w:pPr>
        <w:pStyle w:val="ListNumber"/>
      </w:pPr>
      <w:r>
        <w:rPr>
          <w:b/>
        </w:rPr>
        <w:t>BOABF - BANK OF AFRICA BURKINA FASO</w:t>
      </w:r>
      <w:r>
        <w:t xml:space="preserve"> | Prix: 8010 FCFA | </w:t>
      </w:r>
      <w:r>
        <w:rPr>
          <w:b/>
          <w:color w:val="008000"/>
        </w:rPr>
        <w:t>ACHAT</w:t>
      </w:r>
      <w:r>
        <w:t xml:space="preserve"> | Confiance: Faible | Risque: Moyen</w:t>
      </w:r>
    </w:p>
    <w:p>
      <w:pPr>
        <w:pStyle w:val="ListNumber"/>
      </w:pPr>
      <w:r>
        <w:rPr>
          <w:b/>
        </w:rPr>
        <w:t>BOAC - BANK OF AFRICA COTE D'IVOIRE</w:t>
      </w:r>
      <w:r>
        <w:t xml:space="preserve"> | Prix: 11380 FCFA | </w:t>
      </w:r>
      <w:r>
        <w:rPr>
          <w:b/>
          <w:color w:val="008000"/>
        </w:rPr>
        <w:t>ACHAT</w:t>
      </w:r>
      <w:r>
        <w:t xml:space="preserve"> | Confiance: Moyen | Risque: Faible</w:t>
      </w:r>
    </w:p>
    <w:p>
      <w:pPr>
        <w:pStyle w:val="ListNumber"/>
      </w:pPr>
      <w:r>
        <w:rPr>
          <w:b/>
        </w:rPr>
        <w:t>BOAM - BANK OF AFRICA MALI</w:t>
      </w:r>
      <w:r>
        <w:t xml:space="preserve"> | Prix: 5700 FCFA | </w:t>
      </w:r>
      <w:r>
        <w:rPr>
          <w:b/>
          <w:color w:val="008000"/>
        </w:rPr>
        <w:t>ACHAT</w:t>
      </w:r>
      <w:r>
        <w:t xml:space="preserve"> | Confiance: Faible | Risque: Moyen</w:t>
      </w:r>
    </w:p>
    <w:p>
      <w:pPr>
        <w:pStyle w:val="ListNumber"/>
      </w:pPr>
      <w:r>
        <w:rPr>
          <w:b/>
        </w:rPr>
        <w:t>BOAN - BANK OF AFRICA NIGER</w:t>
      </w:r>
      <w:r>
        <w:t xml:space="preserve"> | Prix: 4675 FCFA | </w:t>
      </w:r>
      <w:r>
        <w:rPr>
          <w:b/>
          <w:color w:val="008000"/>
        </w:rPr>
        <w:t>ACHAT</w:t>
      </w:r>
      <w:r>
        <w:t xml:space="preserve"> | Confiance: Faible | Risque: Moyen</w:t>
      </w:r>
    </w:p>
    <w:p/>
    <w:p>
      <w:pPr>
        <w:pStyle w:val="Heading2"/>
      </w:pPr>
      <w:r>
        <w:t>📉 TOP 10 DES ACTIONS À ÉVITER</w:t>
      </w:r>
    </w:p>
    <w:p>
      <w:r>
        <w:t>Ces actions présentent des signaux de vente ou de dégradation fondamentale. Il est conseillé de les céder immédiatement ou d'éviter d'y investir.</w:t>
      </w:r>
    </w:p>
    <w:p>
      <w:r>
        <w:rPr>
          <w:i/>
        </w:rPr>
        <w:t>✅ Aucune action à éviter ce jour.</w:t>
      </w:r>
      <w:r>
        <w:t xml:space="preserve"> L'ensemble des 48 sociétés analysées présentent des signaux neutres ou positifs. Aucun signal de vente fort n'a été détecté par l'analyse Multi-AI.</w:t>
      </w:r>
    </w:p>
    <w:p/>
    <w:p>
      <w:r>
        <w:br w:type="page"/>
      </w:r>
    </w:p>
    <w:p>
      <w:pPr>
        <w:pStyle w:val="Heading1"/>
      </w:pPr>
      <w:r>
        <w:t>📊 ANALYSE PAR SECTEUR</w:t>
      </w:r>
    </w:p>
    <w:p>
      <w:r>
        <w:t>Cette section présente une analyse comparative de tous les secteurs représentés à la BRVM, incluant la performance moyenne, le sentiment général du marché et le niveau de risque moyen.</w:t>
      </w:r>
    </w:p>
    <w:p/>
    <w:p>
      <w:pPr>
        <w:pStyle w:val="Heading3"/>
      </w:pPr>
      <w:r>
        <w:t>Secteur: Services Financiers</w:t>
      </w:r>
    </w:p>
    <w:p>
      <w:r>
        <w:rPr>
          <w:b/>
        </w:rPr>
        <w:t xml:space="preserve">Nombre de sociétés: </w:t>
      </w:r>
      <w:r>
        <w:t xml:space="preserve">1  |  </w:t>
      </w:r>
      <w:r>
        <w:rPr>
          <w:b/>
        </w:rPr>
        <w:t xml:space="preserve">Performance moyenne (100j): </w:t>
      </w:r>
      <w:r>
        <w:rPr>
          <w:color w:val="008000"/>
        </w:rPr>
        <w:t>44.66%</w:t>
      </w:r>
      <w:r>
        <w:t xml:space="preserve">  |  </w:t>
      </w:r>
      <w:r>
        <w:rPr>
          <w:b/>
        </w:rPr>
        <w:t xml:space="preserve">vs BRVM Composite: </w:t>
      </w:r>
      <w:r>
        <w:rPr>
          <w:b/>
          <w:color w:val="008000"/>
        </w:rPr>
        <w:t>+16.95%  🟢 Surperformance</w:t>
      </w:r>
      <w:r>
        <w:br/>
      </w:r>
      <w:r>
        <w:rPr>
          <w:b/>
        </w:rPr>
        <w:t xml:space="preserve">Sentiment général: </w:t>
      </w:r>
      <w:r>
        <w:t xml:space="preserve">ACHAT  |  </w:t>
      </w:r>
      <w:r>
        <w:rPr>
          <w:b/>
        </w:rPr>
        <w:t xml:space="preserve">Risque moyen: </w:t>
      </w:r>
      <w:r>
        <w:t xml:space="preserve">Moyen  |  </w:t>
      </w:r>
      <w:r>
        <w:rPr>
          <w:b/>
        </w:rPr>
        <w:t xml:space="preserve">Prix moyen: </w:t>
      </w:r>
      <w:r>
        <w:t>10495 FCFA</w:t>
        <w:br/>
      </w:r>
      <w:r>
        <w:rPr>
          <w:b/>
        </w:rPr>
        <w:br/>
        <w:t xml:space="preserve">Sociétés: </w:t>
      </w:r>
      <w:r>
        <w:t>BBGC (BRIDGE BANK GROUP COTE D'IVOIRE)</w:t>
      </w:r>
    </w:p>
    <w:p/>
    <w:p>
      <w:pPr>
        <w:pStyle w:val="Heading3"/>
      </w:pPr>
      <w:r>
        <w:t>Secteur: SERVICES PUBLICS</w:t>
      </w:r>
    </w:p>
    <w:p>
      <w:r>
        <w:rPr>
          <w:b/>
        </w:rPr>
        <w:t xml:space="preserve">Nombre de sociétés: </w:t>
      </w:r>
      <w:r>
        <w:t xml:space="preserve">2  |  </w:t>
      </w:r>
      <w:r>
        <w:rPr>
          <w:b/>
        </w:rPr>
        <w:t xml:space="preserve">Performance moyenne (100j): </w:t>
      </w:r>
      <w:r>
        <w:rPr>
          <w:color w:val="008000"/>
        </w:rPr>
        <w:t>32.16%</w:t>
      </w:r>
      <w:r>
        <w:t xml:space="preserve">  |  </w:t>
      </w:r>
      <w:r>
        <w:rPr>
          <w:b/>
        </w:rPr>
        <w:t xml:space="preserve">vs BRVM Composite: </w:t>
      </w:r>
      <w:r>
        <w:rPr>
          <w:b/>
          <w:color w:val="008000"/>
        </w:rPr>
        <w:t>+4.45%  🟢 Surperformance</w:t>
      </w:r>
      <w:r>
        <w:br/>
      </w:r>
      <w:r>
        <w:rPr>
          <w:b/>
        </w:rPr>
        <w:t xml:space="preserve">Sentiment général: </w:t>
      </w:r>
      <w:r>
        <w:t xml:space="preserve">ACHAT  |  </w:t>
      </w:r>
      <w:r>
        <w:rPr>
          <w:b/>
        </w:rPr>
        <w:t xml:space="preserve">Risque moyen: </w:t>
      </w:r>
      <w:r>
        <w:t xml:space="preserve">Moyen  |  </w:t>
      </w:r>
      <w:r>
        <w:rPr>
          <w:b/>
        </w:rPr>
        <w:t xml:space="preserve">Prix moyen: </w:t>
      </w:r>
      <w:r>
        <w:t>9468 FCFA</w:t>
        <w:br/>
      </w:r>
      <w:r>
        <w:rPr>
          <w:b/>
        </w:rPr>
        <w:br/>
        <w:t xml:space="preserve">Sociétés: </w:t>
      </w:r>
      <w:r>
        <w:t>CIEC (CIEC - Compagnie Ivoirienne d'Electricité), SDCC (SDCC - Société de Distribution d'Eau de Côte d'Ivoire)</w:t>
      </w:r>
    </w:p>
    <w:p/>
    <w:p>
      <w:pPr>
        <w:pStyle w:val="Heading3"/>
      </w:pPr>
      <w:r>
        <w:t>Secteur: TELECOMMUNICATIONS</w:t>
      </w:r>
    </w:p>
    <w:p>
      <w:r>
        <w:rPr>
          <w:b/>
        </w:rPr>
        <w:t xml:space="preserve">Nombre de sociétés: </w:t>
      </w:r>
      <w:r>
        <w:t xml:space="preserve">3  |  </w:t>
      </w:r>
      <w:r>
        <w:rPr>
          <w:b/>
        </w:rPr>
        <w:t xml:space="preserve">Performance moyenne (100j): </w:t>
      </w:r>
      <w:r>
        <w:rPr>
          <w:color w:val="008000"/>
        </w:rPr>
        <w:t>31.35%</w:t>
      </w:r>
      <w:r>
        <w:t xml:space="preserve">  |  </w:t>
      </w:r>
      <w:r>
        <w:rPr>
          <w:b/>
        </w:rPr>
        <w:t xml:space="preserve">vs BRVM Composite: </w:t>
      </w:r>
      <w:r>
        <w:rPr>
          <w:b/>
          <w:color w:val="008000"/>
        </w:rPr>
        <w:t>+3.64%  🟢 Surperformance</w:t>
      </w:r>
      <w:r>
        <w:br/>
      </w:r>
      <w:r>
        <w:rPr>
          <w:b/>
        </w:rPr>
        <w:t xml:space="preserve">Sentiment général: </w:t>
      </w:r>
      <w:r>
        <w:t xml:space="preserve">ACHAT  |  </w:t>
      </w:r>
      <w:r>
        <w:rPr>
          <w:b/>
        </w:rPr>
        <w:t xml:space="preserve">Risque moyen: </w:t>
      </w:r>
      <w:r>
        <w:t xml:space="preserve">Moyen  |  </w:t>
      </w:r>
      <w:r>
        <w:rPr>
          <w:b/>
        </w:rPr>
        <w:t xml:space="preserve">Prix moyen: </w:t>
      </w:r>
      <w:r>
        <w:t>22767 FCFA</w:t>
        <w:br/>
      </w:r>
      <w:r>
        <w:rPr>
          <w:b/>
        </w:rPr>
        <w:br/>
        <w:t xml:space="preserve">Sociétés: </w:t>
      </w:r>
      <w:r>
        <w:t>ONTBF (ONTBF - ONATEL BURKINA FASO), ORAC (ORAC - ORANGE COTE D'IVOIRE), SNTS (SNTS - SONATEL SN)</w:t>
      </w:r>
    </w:p>
    <w:p/>
    <w:p>
      <w:pPr>
        <w:pStyle w:val="Heading3"/>
      </w:pPr>
      <w:r>
        <w:t>Secteur: SERVICES FINANCIERS</w:t>
      </w:r>
    </w:p>
    <w:p>
      <w:r>
        <w:rPr>
          <w:b/>
        </w:rPr>
        <w:t xml:space="preserve">Nombre de sociétés: </w:t>
      </w:r>
      <w:r>
        <w:t xml:space="preserve">16  |  </w:t>
      </w:r>
      <w:r>
        <w:rPr>
          <w:b/>
        </w:rPr>
        <w:t xml:space="preserve">Performance moyenne (100j): </w:t>
      </w:r>
      <w:r>
        <w:rPr>
          <w:color w:val="008000"/>
        </w:rPr>
        <w:t>25.18%</w:t>
      </w:r>
      <w:r>
        <w:t xml:space="preserve">  |  </w:t>
      </w:r>
      <w:r>
        <w:rPr>
          <w:b/>
        </w:rPr>
        <w:t xml:space="preserve">vs BRVM Composite: </w:t>
      </w:r>
      <w:r>
        <w:rPr>
          <w:b/>
          <w:color w:val="C00000"/>
        </w:rPr>
        <w:t>-2.53%  🔴 Sous-performance</w:t>
      </w:r>
      <w:r>
        <w:br/>
      </w:r>
      <w:r>
        <w:rPr>
          <w:b/>
        </w:rPr>
        <w:t xml:space="preserve">Sentiment général: </w:t>
      </w:r>
      <w:r>
        <w:t xml:space="preserve">ACHAT  |  </w:t>
      </w:r>
      <w:r>
        <w:rPr>
          <w:b/>
        </w:rPr>
        <w:t xml:space="preserve">Risque moyen: </w:t>
      </w:r>
      <w:r>
        <w:t xml:space="preserve">Moyen  |  </w:t>
      </w:r>
      <w:r>
        <w:rPr>
          <w:b/>
        </w:rPr>
        <w:t xml:space="preserve">Prix moyen: </w:t>
      </w:r>
      <w:r>
        <w:t>13067 FCFA</w:t>
        <w:br/>
      </w:r>
      <w:r>
        <w:rPr>
          <w:b/>
        </w:rPr>
        <w:br/>
        <w:t xml:space="preserve">Sociétés: </w:t>
      </w:r>
      <w:r>
        <w:t>BICB (BIIC BN - Banque internationale pour le commerce du benin), BICC (BICI CI - Banque internationale pour le commerce et l'industrie de la Côte d'Ivoire), BOAB (BANK OF AFRICA BENIN), BOABF (BANK OF AFRICA BURKINA FASO), BOAC (BANK OF AFRICA COTE D'IVOIRE), BOAM (BANK OF AFRICA MALI), BOAN (BANK OF AFRICA NIGER), BOAS (BANK OF AFRICA SENEGAL), CBIBF (CBIBF - CORIS BANK INTERNATIONAL BURKINA FASO), ECOC (ECOC - ECOBANK COTE D'IVOIRE), ETIT (ETIT - Ecobank Transnational Incorporated Togo), NSBC (NSBC - NSIA BANQUE COTE D'IVOIRE), ORGT (ORGT - ORAGROUP TOGO), SAFC (SAFCA CI), SGBC (SGBC - SOCIETE GENERALE COTE D'IVOIRE), SIBC (SIBC - SOCIETE IVOIRIENNE DE BANQUE)</w:t>
      </w:r>
    </w:p>
    <w:p/>
    <w:p>
      <w:pPr>
        <w:pStyle w:val="Heading3"/>
      </w:pPr>
      <w:r>
        <w:t>Secteur: CONSOMMATION DE BASE</w:t>
      </w:r>
    </w:p>
    <w:p>
      <w:r>
        <w:rPr>
          <w:b/>
        </w:rPr>
        <w:t xml:space="preserve">Nombre de sociétés: </w:t>
      </w:r>
      <w:r>
        <w:t xml:space="preserve">9  |  </w:t>
      </w:r>
      <w:r>
        <w:rPr>
          <w:b/>
        </w:rPr>
        <w:t xml:space="preserve">Performance moyenne (100j): </w:t>
      </w:r>
      <w:r>
        <w:rPr>
          <w:color w:val="008000"/>
        </w:rPr>
        <w:t>13.73%</w:t>
      </w:r>
      <w:r>
        <w:t xml:space="preserve">  |  </w:t>
      </w:r>
      <w:r>
        <w:rPr>
          <w:b/>
        </w:rPr>
        <w:t xml:space="preserve">vs BRVM Composite: </w:t>
      </w:r>
      <w:r>
        <w:rPr>
          <w:b/>
          <w:color w:val="C00000"/>
        </w:rPr>
        <w:t>-13.98%  🔴 Sous-performance</w:t>
      </w:r>
      <w:r>
        <w:br/>
      </w:r>
      <w:r>
        <w:rPr>
          <w:b/>
        </w:rPr>
        <w:t xml:space="preserve">Sentiment général: </w:t>
      </w:r>
      <w:r>
        <w:t xml:space="preserve">ACHAT  |  </w:t>
      </w:r>
      <w:r>
        <w:rPr>
          <w:b/>
        </w:rPr>
        <w:t xml:space="preserve">Risque moyen: </w:t>
      </w:r>
      <w:r>
        <w:t xml:space="preserve">Faible  |  </w:t>
      </w:r>
      <w:r>
        <w:rPr>
          <w:b/>
        </w:rPr>
        <w:t xml:space="preserve">Prix moyen: </w:t>
      </w:r>
      <w:r>
        <w:t>18141 FCFA</w:t>
        <w:br/>
      </w:r>
      <w:r>
        <w:rPr>
          <w:b/>
        </w:rPr>
        <w:br/>
        <w:t xml:space="preserve">Sociétés: </w:t>
      </w:r>
      <w:r>
        <w:t>NTLC (NTLC - NESTLE COTE D'IVOIRE), PALC (PALC - PALM COTE D'IVOIRE), SCRC (SCRC - SUCRIVOIRE), SICC (SICC - SICOR COTE D'IVOIRE), SLBC (SLBC - SOLIBRA COTE D'IVOIRE), SOGC (SOGC - Société des caoutchoucs de Grand-Béréby), SPHC (SPHC - Société Africaine de Plantation d'Hévéas de Côte d'Ivoire), STBC (STBC - SITAB COTE D'IVOIRE), UNLC (UNLC - UNILEVER COTE D'IVOIRE)</w:t>
      </w:r>
    </w:p>
    <w:p/>
    <w:p>
      <w:pPr>
        <w:pStyle w:val="Heading3"/>
      </w:pPr>
      <w:r>
        <w:t>Secteur: ENERGIE</w:t>
      </w:r>
    </w:p>
    <w:p>
      <w:r>
        <w:rPr>
          <w:b/>
        </w:rPr>
        <w:t xml:space="preserve">Nombre de sociétés: </w:t>
      </w:r>
      <w:r>
        <w:t xml:space="preserve">4  |  </w:t>
      </w:r>
      <w:r>
        <w:rPr>
          <w:b/>
        </w:rPr>
        <w:t xml:space="preserve">Performance moyenne (100j): </w:t>
      </w:r>
      <w:r>
        <w:rPr>
          <w:color w:val="008000"/>
        </w:rPr>
        <w:t>13.38%</w:t>
      </w:r>
      <w:r>
        <w:t xml:space="preserve">  |  </w:t>
      </w:r>
      <w:r>
        <w:rPr>
          <w:b/>
        </w:rPr>
        <w:t xml:space="preserve">vs BRVM Composite: </w:t>
      </w:r>
      <w:r>
        <w:rPr>
          <w:b/>
          <w:color w:val="C00000"/>
        </w:rPr>
        <w:t>-14.32%  🔴 Sous-performance</w:t>
      </w:r>
      <w:r>
        <w:br/>
      </w:r>
      <w:r>
        <w:rPr>
          <w:b/>
        </w:rPr>
        <w:t xml:space="preserve">Sentiment général: </w:t>
      </w:r>
      <w:r>
        <w:t xml:space="preserve">ACHAT  |  </w:t>
      </w:r>
      <w:r>
        <w:rPr>
          <w:b/>
        </w:rPr>
        <w:t xml:space="preserve">Risque moyen: </w:t>
      </w:r>
      <w:r>
        <w:t xml:space="preserve">Faible  |  </w:t>
      </w:r>
      <w:r>
        <w:rPr>
          <w:b/>
        </w:rPr>
        <w:t xml:space="preserve">Prix moyen: </w:t>
      </w:r>
      <w:r>
        <w:t>6098 FCFA</w:t>
        <w:br/>
      </w:r>
      <w:r>
        <w:rPr>
          <w:b/>
        </w:rPr>
        <w:br/>
        <w:t xml:space="preserve">Sociétés: </w:t>
      </w:r>
      <w:r>
        <w:t>SHEC (SHEC - VIVO ENERGY COTE D'IVOIRE), SMBC (SMBC - Société Multinationale de Bitumes COTE D'IVOIRE), TTLC (TTLC - TOTAL ENERGIES MARKETING COTE D'IVOIRE), TTLS (TTLS - TOTAL ENERGIES MARKETING SENEGAL)</w:t>
      </w:r>
    </w:p>
    <w:p/>
    <w:p>
      <w:pPr>
        <w:pStyle w:val="Heading3"/>
      </w:pPr>
      <w:r>
        <w:t>Secteur: CONSOMMATION DISCRETIONNAIRE</w:t>
      </w:r>
    </w:p>
    <w:p>
      <w:r>
        <w:rPr>
          <w:b/>
        </w:rPr>
        <w:t xml:space="preserve">Nombre de sociétés: </w:t>
      </w:r>
      <w:r>
        <w:t xml:space="preserve">7  |  </w:t>
      </w:r>
      <w:r>
        <w:rPr>
          <w:b/>
        </w:rPr>
        <w:t xml:space="preserve">Performance moyenne (100j): </w:t>
      </w:r>
      <w:r>
        <w:rPr>
          <w:color w:val="008000"/>
        </w:rPr>
        <w:t>7.53%</w:t>
      </w:r>
      <w:r>
        <w:t xml:space="preserve">  |  </w:t>
      </w:r>
      <w:r>
        <w:rPr>
          <w:b/>
        </w:rPr>
        <w:t xml:space="preserve">vs BRVM Composite: </w:t>
      </w:r>
      <w:r>
        <w:rPr>
          <w:b/>
          <w:color w:val="C00000"/>
        </w:rPr>
        <w:t>-20.18%  🔴 Sous-performance</w:t>
      </w:r>
      <w:r>
        <w:br/>
      </w:r>
      <w:r>
        <w:rPr>
          <w:b/>
        </w:rPr>
        <w:t xml:space="preserve">Sentiment général: </w:t>
      </w:r>
      <w:r>
        <w:t xml:space="preserve">ACHAT  |  </w:t>
      </w:r>
      <w:r>
        <w:rPr>
          <w:b/>
        </w:rPr>
        <w:t xml:space="preserve">Risque moyen: </w:t>
      </w:r>
      <w:r>
        <w:t xml:space="preserve">Faible  |  </w:t>
      </w:r>
      <w:r>
        <w:rPr>
          <w:b/>
        </w:rPr>
        <w:t xml:space="preserve">Prix moyen: </w:t>
      </w:r>
      <w:r>
        <w:t>2696 FCFA</w:t>
        <w:br/>
      </w:r>
      <w:r>
        <w:rPr>
          <w:b/>
        </w:rPr>
        <w:br/>
        <w:t xml:space="preserve">Sociétés: </w:t>
      </w:r>
      <w:r>
        <w:t>ABJC (ABJC - SERVAIR ABIDJAN CI), BNBC (BNBC - BERNABE CI), CFAC (CFAC - CFAO MOTORS CI), LNBB (LNBB - LOTERIE NATIONALE DU BENIN), NEIC (NEIC - NEI-CEDA CI), PRSC (PRSC - TRACTAFRIC MOTORS CI), UNXC (UNXC - UNIWAX COTE D'IVOIRE)</w:t>
      </w:r>
    </w:p>
    <w:p/>
    <w:p>
      <w:pPr>
        <w:pStyle w:val="Heading3"/>
      </w:pPr>
      <w:r>
        <w:t>Secteur: INDUSTRIELS</w:t>
      </w:r>
    </w:p>
    <w:p>
      <w:r>
        <w:rPr>
          <w:b/>
        </w:rPr>
        <w:t xml:space="preserve">Nombre de sociétés: </w:t>
      </w:r>
      <w:r>
        <w:t xml:space="preserve">6  |  </w:t>
      </w:r>
      <w:r>
        <w:rPr>
          <w:b/>
        </w:rPr>
        <w:t xml:space="preserve">Performance moyenne (100j): </w:t>
      </w:r>
      <w:r>
        <w:rPr>
          <w:color w:val="C00000"/>
        </w:rPr>
        <w:t>-7.37%</w:t>
      </w:r>
      <w:r>
        <w:t xml:space="preserve">  |  </w:t>
      </w:r>
      <w:r>
        <w:rPr>
          <w:b/>
        </w:rPr>
        <w:t xml:space="preserve">vs BRVM Composite: </w:t>
      </w:r>
      <w:r>
        <w:rPr>
          <w:b/>
          <w:color w:val="C00000"/>
        </w:rPr>
        <w:t>-35.08%  🔴 Sous-performance</w:t>
      </w:r>
      <w:r>
        <w:br/>
      </w:r>
      <w:r>
        <w:rPr>
          <w:b/>
        </w:rPr>
        <w:t xml:space="preserve">Sentiment général: </w:t>
      </w:r>
      <w:r>
        <w:t xml:space="preserve">ACHAT  |  </w:t>
      </w:r>
      <w:r>
        <w:rPr>
          <w:b/>
        </w:rPr>
        <w:t xml:space="preserve">Risque moyen: </w:t>
      </w:r>
      <w:r>
        <w:t xml:space="preserve">Faible  |  </w:t>
      </w:r>
      <w:r>
        <w:rPr>
          <w:b/>
        </w:rPr>
        <w:t xml:space="preserve">Prix moyen: </w:t>
      </w:r>
      <w:r>
        <w:t>2322 FCFA</w:t>
        <w:br/>
      </w:r>
      <w:r>
        <w:rPr>
          <w:b/>
        </w:rPr>
        <w:br/>
        <w:t xml:space="preserve">Sociétés: </w:t>
      </w:r>
      <w:r>
        <w:t>CABC (CABC - SICABLE COTE D'IVOIRE), FTSC (FTSC - FILTISAC COTE D'IVOIRE), SDSC (SDSC - AFRICA GLOBAL LOGISTICS CI), SEMC (SEMC - EVIOSYS PACKAGING SIEM CI), SIVC (SIVC - ERIUM CI (Ex AIR LIQUIDECI)), STAC (STAC - SETAO COTE D'IVOIRE)</w:t>
      </w:r>
    </w:p>
    <w:p/>
    <w:p>
      <w:r>
        <w:br w:type="page"/>
      </w:r>
    </w:p>
    <w:p>
      <w:pPr>
        <w:pStyle w:val="Heading1"/>
      </w:pPr>
      <w:r>
        <w:t>🔄 MATRICE DE CONVERGENCE DES SIGNAUX</w:t>
      </w:r>
    </w:p>
    <w:p>
      <w:r>
        <w:t>Cette matrice segmente les sociétés cotées selon la combinaison de leur signal technique (majorité des 5 indicateurs) et de leur signal fondamental (recommandation finale de l'IA). Les cellules surlignées en vert indiquent une convergence favorable, en rouge une convergence défavorable.</w:t>
      </w:r>
    </w:p>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D9D9" w:val="clear"/>
          </w:tcPr>
          <w:p>
            <w:pPr>
              <w:spacing w:before="40" w:after="40"/>
            </w:pPr>
            <w:r/>
            <w:r>
              <w:rPr>
                <w:b/>
                <w:sz w:val="18"/>
              </w:rPr>
            </w:r>
          </w:p>
        </w:tc>
        <w:tc>
          <w:tcPr>
            <w:tcW w:type="dxa" w:w="2160"/>
            <w:shd w:fill="D9D9D9" w:val="clear"/>
          </w:tcPr>
          <w:p>
            <w:pPr>
              <w:spacing w:before="40" w:after="40"/>
            </w:pPr>
            <w:r/>
            <w:r>
              <w:rPr>
                <w:b/>
                <w:sz w:val="18"/>
              </w:rPr>
              <w:t>Fond. ACHAT</w:t>
            </w:r>
          </w:p>
        </w:tc>
        <w:tc>
          <w:tcPr>
            <w:tcW w:type="dxa" w:w="2160"/>
            <w:shd w:fill="D9D9D9" w:val="clear"/>
          </w:tcPr>
          <w:p>
            <w:pPr>
              <w:spacing w:before="40" w:after="40"/>
            </w:pPr>
            <w:r/>
            <w:r>
              <w:rPr>
                <w:b/>
                <w:sz w:val="18"/>
              </w:rPr>
              <w:t>Fond. NEUTRE</w:t>
            </w:r>
          </w:p>
        </w:tc>
        <w:tc>
          <w:tcPr>
            <w:tcW w:type="dxa" w:w="2160"/>
            <w:shd w:fill="D9D9D9" w:val="clear"/>
          </w:tcPr>
          <w:p>
            <w:pPr>
              <w:spacing w:before="40" w:after="40"/>
            </w:pPr>
            <w:r/>
            <w:r>
              <w:rPr>
                <w:b/>
                <w:sz w:val="18"/>
              </w:rPr>
              <w:t>Fond. VENTE</w:t>
            </w:r>
          </w:p>
        </w:tc>
      </w:tr>
      <w:tr>
        <w:tc>
          <w:tcPr>
            <w:tcW w:type="dxa" w:w="2160"/>
            <w:shd w:fill="D9D9D9" w:val="clear"/>
          </w:tcPr>
          <w:p>
            <w:pPr>
              <w:spacing w:before="40" w:after="40"/>
            </w:pPr>
            <w:r/>
            <w:r>
              <w:rPr>
                <w:b/>
                <w:sz w:val="18"/>
              </w:rPr>
              <w:t>Tech. ACHAT</w:t>
            </w:r>
          </w:p>
        </w:tc>
        <w:tc>
          <w:tcPr>
            <w:tcW w:type="dxa" w:w="2160"/>
            <w:shd w:fill="00B050" w:val="clear"/>
          </w:tcPr>
          <w:p>
            <w:pPr>
              <w:spacing w:before="40" w:after="40"/>
            </w:pPr>
            <w:r/>
            <w:r>
              <w:rPr>
                <w:b w:val="0"/>
                <w:sz w:val="16"/>
              </w:rPr>
              <w:t>BICC, ONTBF, SDSC, SGBC, SIVC, UNXC</w:t>
            </w:r>
          </w:p>
        </w:tc>
        <w:tc>
          <w:tcPr>
            <w:tcW w:type="dxa" w:w="2160"/>
            <w:shd w:fill="C6EFCE" w:val="clear"/>
          </w:tcPr>
          <w:p>
            <w:pPr>
              <w:spacing w:before="40" w:after="40"/>
            </w:pPr>
            <w:r/>
            <w:r>
              <w:rPr>
                <w:b w:val="0"/>
                <w:sz w:val="16"/>
              </w:rPr>
              <w:t>—</w:t>
            </w:r>
          </w:p>
        </w:tc>
        <w:tc>
          <w:tcPr>
            <w:tcW w:type="dxa" w:w="2160"/>
            <w:shd w:fill="FFEB9C" w:val="clear"/>
          </w:tcPr>
          <w:p>
            <w:pPr>
              <w:spacing w:before="40" w:after="40"/>
            </w:pPr>
            <w:r/>
            <w:r>
              <w:rPr>
                <w:b w:val="0"/>
                <w:sz w:val="16"/>
              </w:rPr>
              <w:t>—</w:t>
            </w:r>
          </w:p>
        </w:tc>
      </w:tr>
      <w:tr>
        <w:tc>
          <w:tcPr>
            <w:tcW w:type="dxa" w:w="2160"/>
            <w:shd w:fill="D9D9D9" w:val="clear"/>
          </w:tcPr>
          <w:p>
            <w:pPr>
              <w:spacing w:before="40" w:after="40"/>
            </w:pPr>
            <w:r/>
            <w:r>
              <w:rPr>
                <w:b/>
                <w:sz w:val="18"/>
              </w:rPr>
              <w:t>Tech. NEUTRE</w:t>
            </w:r>
          </w:p>
        </w:tc>
        <w:tc>
          <w:tcPr>
            <w:tcW w:type="dxa" w:w="2160"/>
            <w:shd w:fill="C6EFCE" w:val="clear"/>
          </w:tcPr>
          <w:p>
            <w:pPr>
              <w:spacing w:before="40" w:after="40"/>
            </w:pPr>
            <w:r/>
            <w:r>
              <w:rPr>
                <w:b w:val="0"/>
                <w:sz w:val="16"/>
              </w:rPr>
              <w:t>ABJC, BBGC, BOAC, CBIBF, CFAC, CIEC, ECOC, NEIC, ORAC, PRSC, SCRC, SDCC, SEMC, SHEC, SICC, SLBC, SPHC, TTLC, TTLS, UNLC</w:t>
            </w:r>
          </w:p>
        </w:tc>
        <w:tc>
          <w:tcPr>
            <w:tcW w:type="dxa" w:w="2160"/>
            <w:shd w:fill="FFFFFF" w:val="clear"/>
          </w:tcPr>
          <w:p>
            <w:pPr>
              <w:spacing w:before="40" w:after="40"/>
            </w:pPr>
            <w:r/>
            <w:r>
              <w:rPr>
                <w:b w:val="0"/>
                <w:sz w:val="16"/>
              </w:rPr>
              <w:t>—</w:t>
            </w:r>
          </w:p>
        </w:tc>
        <w:tc>
          <w:tcPr>
            <w:tcW w:type="dxa" w:w="2160"/>
            <w:shd w:fill="FFC7CE" w:val="clear"/>
          </w:tcPr>
          <w:p>
            <w:pPr>
              <w:spacing w:before="40" w:after="40"/>
            </w:pPr>
            <w:r/>
            <w:r>
              <w:rPr>
                <w:b w:val="0"/>
                <w:sz w:val="16"/>
              </w:rPr>
              <w:t>—</w:t>
            </w:r>
          </w:p>
        </w:tc>
      </w:tr>
      <w:tr>
        <w:tc>
          <w:tcPr>
            <w:tcW w:type="dxa" w:w="2160"/>
            <w:shd w:fill="D9D9D9" w:val="clear"/>
          </w:tcPr>
          <w:p>
            <w:pPr>
              <w:spacing w:before="40" w:after="40"/>
            </w:pPr>
            <w:r/>
            <w:r>
              <w:rPr>
                <w:b/>
                <w:sz w:val="18"/>
              </w:rPr>
              <w:t>Tech. VENTE</w:t>
            </w:r>
          </w:p>
        </w:tc>
        <w:tc>
          <w:tcPr>
            <w:tcW w:type="dxa" w:w="2160"/>
            <w:shd w:fill="FFEB9C" w:val="clear"/>
          </w:tcPr>
          <w:p>
            <w:pPr>
              <w:spacing w:before="40" w:after="40"/>
            </w:pPr>
            <w:r/>
            <w:r>
              <w:rPr>
                <w:b w:val="0"/>
                <w:sz w:val="16"/>
              </w:rPr>
              <w:t>BICB, BNBC, BOAB, BOABF, BOAM, BOAN, BOAS, CABC, ETIT, FTSC, LNBB, NSBC, NTLC, ORGT, PALC, SAFC, SIBC, SMBC, SNTS, SOGC, STAC, STBC</w:t>
            </w:r>
          </w:p>
        </w:tc>
        <w:tc>
          <w:tcPr>
            <w:tcW w:type="dxa" w:w="2160"/>
            <w:shd w:fill="FFC7CE" w:val="clear"/>
          </w:tcPr>
          <w:p>
            <w:pPr>
              <w:spacing w:before="40" w:after="40"/>
            </w:pPr>
            <w:r/>
            <w:r>
              <w:rPr>
                <w:b w:val="0"/>
                <w:sz w:val="16"/>
              </w:rPr>
              <w:t>—</w:t>
            </w:r>
          </w:p>
        </w:tc>
        <w:tc>
          <w:tcPr>
            <w:tcW w:type="dxa" w:w="2160"/>
            <w:shd w:fill="FF0000" w:val="clear"/>
          </w:tcPr>
          <w:p>
            <w:pPr>
              <w:spacing w:before="40" w:after="40"/>
            </w:pPr>
            <w:r/>
            <w:r>
              <w:rPr>
                <w:b w:val="0"/>
                <w:sz w:val="16"/>
              </w:rPr>
              <w:t>—</w:t>
            </w:r>
          </w:p>
        </w:tc>
      </w:tr>
    </w:tbl>
    <w:p/>
    <w:p>
      <w:pPr>
        <w:spacing w:after="120"/>
      </w:pPr>
      <w:r>
        <w:rPr>
          <w:b/>
        </w:rPr>
        <w:t xml:space="preserve">Légende : </w:t>
      </w:r>
      <w:r>
        <w:t>🟩 Vert foncé = Double achat (signal fort) | 🟩 Vert clair = Signal partiellement haussier | 🟧 Orange = Divergence tech/fondamental | 🟥 Rouge clair = Signal partiellement baissier | 🟥 Rouge foncé = Double vente (éviter) | ⬜ Blanc = Neutre</w:t>
      </w:r>
    </w:p>
    <w:p/>
    <w:p>
      <w:r>
        <w:br w:type="page"/>
      </w:r>
    </w:p>
    <w:p>
      <w:pPr>
        <w:pStyle w:val="Heading1"/>
      </w:pPr>
      <w:r>
        <w:t>💧 ANALYSE DE LIQUIDITÉ</w:t>
      </w:r>
    </w:p>
    <w:p>
      <w:r>
        <w:t>Cette analyse compare les volumes moyens échangés pour identifier les titres les plus liquides (faciles à acheter/vendre) et ceux présentant un risque de liquidité.</w:t>
      </w:r>
    </w:p>
    <w:p/>
    <w:p>
      <w:pPr>
        <w:pStyle w:val="Heading3"/>
      </w:pPr>
      <w:r>
        <w:t>🟢 Titres à Haute Liquidité (Top 20%)</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9D9D9"/>
          </w:tcPr>
          <w:p>
            <w:r>
              <w:rPr>
                <w:b/>
              </w:rPr>
              <w:t>Société</w:t>
            </w:r>
          </w:p>
        </w:tc>
        <w:tc>
          <w:tcPr>
            <w:tcW w:type="dxa" w:w="1728"/>
            <w:shd w:fill="D9D9D9"/>
          </w:tcPr>
          <w:p>
            <w:r>
              <w:rPr>
                <w:b/>
              </w:rPr>
              <w:t>Vol. Moy.</w:t>
            </w:r>
          </w:p>
        </w:tc>
        <w:tc>
          <w:tcPr>
            <w:tcW w:type="dxa" w:w="1728"/>
            <w:shd w:fill="D9D9D9"/>
          </w:tcPr>
          <w:p>
            <w:r>
              <w:rPr>
                <w:b/>
              </w:rPr>
              <w:t>Valeur Moy.</w:t>
            </w:r>
          </w:p>
        </w:tc>
        <w:tc>
          <w:tcPr>
            <w:tcW w:type="dxa" w:w="1728"/>
            <w:shd w:fill="D9D9D9"/>
          </w:tcPr>
          <w:p>
            <w:r>
              <w:rPr>
                <w:b/>
              </w:rPr>
              <w:t>Perf. 100j</w:t>
            </w:r>
          </w:p>
        </w:tc>
        <w:tc>
          <w:tcPr>
            <w:tcW w:type="dxa" w:w="1728"/>
            <w:shd w:fill="D9D9D9"/>
          </w:tcPr>
          <w:p>
            <w:r>
              <w:rPr>
                <w:b/>
              </w:rPr>
              <w:t>Recom.</w:t>
            </w:r>
          </w:p>
        </w:tc>
      </w:tr>
      <w:tr>
        <w:tc>
          <w:tcPr>
            <w:tcW w:type="dxa" w:w="1728"/>
          </w:tcPr>
          <w:p>
            <w:r>
              <w:t>ETIT (ETIT - Ecobank Transnational Incorporated Togo)</w:t>
            </w:r>
          </w:p>
        </w:tc>
        <w:tc>
          <w:tcPr>
            <w:tcW w:type="dxa" w:w="1728"/>
          </w:tcPr>
          <w:p>
            <w:r>
              <w:t>1898786</w:t>
            </w:r>
          </w:p>
        </w:tc>
        <w:tc>
          <w:tcPr>
            <w:tcW w:type="dxa" w:w="1728"/>
          </w:tcPr>
          <w:p>
            <w:r>
              <w:t>127179582 FCFA</w:t>
            </w:r>
          </w:p>
        </w:tc>
        <w:tc>
          <w:tcPr>
            <w:tcW w:type="dxa" w:w="1728"/>
          </w:tcPr>
          <w:p>
            <w:r>
              <w:t>116.67%</w:t>
            </w:r>
          </w:p>
        </w:tc>
        <w:tc>
          <w:tcPr>
            <w:tcW w:type="dxa" w:w="1728"/>
          </w:tcPr>
          <w:p>
            <w:r>
              <w:t>ACHAT</w:t>
            </w:r>
          </w:p>
        </w:tc>
      </w:tr>
      <w:tr>
        <w:tc>
          <w:tcPr>
            <w:tcW w:type="dxa" w:w="1728"/>
          </w:tcPr>
          <w:p>
            <w:r>
              <w:t>SNTS (SNTS - SONATEL SN)</w:t>
            </w:r>
          </w:p>
        </w:tc>
        <w:tc>
          <w:tcPr>
            <w:tcW w:type="dxa" w:w="1728"/>
          </w:tcPr>
          <w:p>
            <w:r>
              <w:t>29548</w:t>
            </w:r>
          </w:p>
        </w:tc>
        <w:tc>
          <w:tcPr>
            <w:tcW w:type="dxa" w:w="1728"/>
          </w:tcPr>
          <w:p>
            <w:r>
              <w:t>1271783004 FCFA</w:t>
            </w:r>
          </w:p>
        </w:tc>
        <w:tc>
          <w:tcPr>
            <w:tcW w:type="dxa" w:w="1728"/>
          </w:tcPr>
          <w:p>
            <w:r>
              <w:t>54.04%</w:t>
            </w:r>
          </w:p>
        </w:tc>
        <w:tc>
          <w:tcPr>
            <w:tcW w:type="dxa" w:w="1728"/>
          </w:tcPr>
          <w:p>
            <w:r>
              <w:t>ACHAT</w:t>
            </w:r>
          </w:p>
        </w:tc>
      </w:tr>
      <w:tr>
        <w:tc>
          <w:tcPr>
            <w:tcW w:type="dxa" w:w="1728"/>
          </w:tcPr>
          <w:p>
            <w:r>
              <w:t>BBGC (BRIDGE BANK GROUP COTE D'IVOIRE)</w:t>
            </w:r>
          </w:p>
        </w:tc>
        <w:tc>
          <w:tcPr>
            <w:tcW w:type="dxa" w:w="1728"/>
          </w:tcPr>
          <w:p>
            <w:r>
              <w:t>29273</w:t>
            </w:r>
          </w:p>
        </w:tc>
        <w:tc>
          <w:tcPr>
            <w:tcW w:type="dxa" w:w="1728"/>
          </w:tcPr>
          <w:p>
            <w:r>
              <w:t>274456480 FCFA</w:t>
            </w:r>
          </w:p>
        </w:tc>
        <w:tc>
          <w:tcPr>
            <w:tcW w:type="dxa" w:w="1728"/>
          </w:tcPr>
          <w:p>
            <w:r>
              <w:t>44.66%</w:t>
            </w:r>
          </w:p>
        </w:tc>
        <w:tc>
          <w:tcPr>
            <w:tcW w:type="dxa" w:w="1728"/>
          </w:tcPr>
          <w:p>
            <w:r>
              <w:t>ACHAT</w:t>
            </w:r>
          </w:p>
        </w:tc>
      </w:tr>
      <w:tr>
        <w:tc>
          <w:tcPr>
            <w:tcW w:type="dxa" w:w="1728"/>
          </w:tcPr>
          <w:p>
            <w:r>
              <w:t>BOAS (BANK OF AFRICA SENEGAL)</w:t>
            </w:r>
          </w:p>
        </w:tc>
        <w:tc>
          <w:tcPr>
            <w:tcW w:type="dxa" w:w="1728"/>
          </w:tcPr>
          <w:p>
            <w:r>
              <w:t>12139</w:t>
            </w:r>
          </w:p>
        </w:tc>
        <w:tc>
          <w:tcPr>
            <w:tcW w:type="dxa" w:w="1728"/>
          </w:tcPr>
          <w:p>
            <w:r>
              <w:t>98062418 FCFA</w:t>
            </w:r>
          </w:p>
        </w:tc>
        <w:tc>
          <w:tcPr>
            <w:tcW w:type="dxa" w:w="1728"/>
          </w:tcPr>
          <w:p>
            <w:r>
              <w:t>1.94%</w:t>
            </w:r>
          </w:p>
        </w:tc>
        <w:tc>
          <w:tcPr>
            <w:tcW w:type="dxa" w:w="1728"/>
          </w:tcPr>
          <w:p>
            <w:r>
              <w:t>ACHAT</w:t>
            </w:r>
          </w:p>
        </w:tc>
      </w:tr>
      <w:tr>
        <w:tc>
          <w:tcPr>
            <w:tcW w:type="dxa" w:w="1728"/>
          </w:tcPr>
          <w:p>
            <w:r>
              <w:t>SDSC (SDSC - AFRICA GLOBAL LOGISTICS CI)</w:t>
            </w:r>
          </w:p>
        </w:tc>
        <w:tc>
          <w:tcPr>
            <w:tcW w:type="dxa" w:w="1728"/>
          </w:tcPr>
          <w:p>
            <w:r>
              <w:t>11671</w:t>
            </w:r>
          </w:p>
        </w:tc>
        <w:tc>
          <w:tcPr>
            <w:tcW w:type="dxa" w:w="1728"/>
          </w:tcPr>
          <w:p>
            <w:r>
              <w:t>33801426 FCFA</w:t>
            </w:r>
          </w:p>
        </w:tc>
        <w:tc>
          <w:tcPr>
            <w:tcW w:type="dxa" w:w="1728"/>
          </w:tcPr>
          <w:p>
            <w:r>
              <w:t>80.29%</w:t>
            </w:r>
          </w:p>
        </w:tc>
        <w:tc>
          <w:tcPr>
            <w:tcW w:type="dxa" w:w="1728"/>
          </w:tcPr>
          <w:p>
            <w:r>
              <w:t>ACHAT</w:t>
            </w:r>
          </w:p>
        </w:tc>
      </w:tr>
      <w:tr>
        <w:tc>
          <w:tcPr>
            <w:tcW w:type="dxa" w:w="1728"/>
          </w:tcPr>
          <w:p>
            <w:r>
              <w:t>SIBC (SIBC - SOCIETE IVOIRIENNE DE BANQUE)</w:t>
            </w:r>
          </w:p>
        </w:tc>
        <w:tc>
          <w:tcPr>
            <w:tcW w:type="dxa" w:w="1728"/>
          </w:tcPr>
          <w:p>
            <w:r>
              <w:t>11510</w:t>
            </w:r>
          </w:p>
        </w:tc>
        <w:tc>
          <w:tcPr>
            <w:tcW w:type="dxa" w:w="1728"/>
          </w:tcPr>
          <w:p>
            <w:r>
              <w:t>103119314 FCFA</w:t>
            </w:r>
          </w:p>
        </w:tc>
        <w:tc>
          <w:tcPr>
            <w:tcW w:type="dxa" w:w="1728"/>
          </w:tcPr>
          <w:p>
            <w:r>
              <w:t>9.07%</w:t>
            </w:r>
          </w:p>
        </w:tc>
        <w:tc>
          <w:tcPr>
            <w:tcW w:type="dxa" w:w="1728"/>
          </w:tcPr>
          <w:p>
            <w:r>
              <w:t>ACHAT</w:t>
            </w:r>
          </w:p>
        </w:tc>
      </w:tr>
      <w:tr>
        <w:tc>
          <w:tcPr>
            <w:tcW w:type="dxa" w:w="1728"/>
          </w:tcPr>
          <w:p>
            <w:r>
              <w:t>SCRC (SCRC - SUCRIVOIRE)</w:t>
            </w:r>
          </w:p>
        </w:tc>
        <w:tc>
          <w:tcPr>
            <w:tcW w:type="dxa" w:w="1728"/>
          </w:tcPr>
          <w:p>
            <w:r>
              <w:t>11149</w:t>
            </w:r>
          </w:p>
        </w:tc>
        <w:tc>
          <w:tcPr>
            <w:tcW w:type="dxa" w:w="1728"/>
          </w:tcPr>
          <w:p>
            <w:r>
              <w:t>30658980 FCFA</w:t>
            </w:r>
          </w:p>
        </w:tc>
        <w:tc>
          <w:tcPr>
            <w:tcW w:type="dxa" w:w="1728"/>
          </w:tcPr>
          <w:p>
            <w:r>
              <w:t>-1.47%</w:t>
            </w:r>
          </w:p>
        </w:tc>
        <w:tc>
          <w:tcPr>
            <w:tcW w:type="dxa" w:w="1728"/>
          </w:tcPr>
          <w:p>
            <w:r>
              <w:t>ACHAT</w:t>
            </w:r>
          </w:p>
        </w:tc>
      </w:tr>
      <w:tr>
        <w:tc>
          <w:tcPr>
            <w:tcW w:type="dxa" w:w="1728"/>
          </w:tcPr>
          <w:p>
            <w:r>
              <w:t>UNXC (UNXC - UNIWAX COTE D'IVOIRE)</w:t>
            </w:r>
          </w:p>
        </w:tc>
        <w:tc>
          <w:tcPr>
            <w:tcW w:type="dxa" w:w="1728"/>
          </w:tcPr>
          <w:p>
            <w:r>
              <w:t>9983</w:t>
            </w:r>
          </w:p>
        </w:tc>
        <w:tc>
          <w:tcPr>
            <w:tcW w:type="dxa" w:w="1728"/>
          </w:tcPr>
          <w:p>
            <w:r>
              <w:t>22993553 FCFA</w:t>
            </w:r>
          </w:p>
        </w:tc>
        <w:tc>
          <w:tcPr>
            <w:tcW w:type="dxa" w:w="1728"/>
          </w:tcPr>
          <w:p>
            <w:r>
              <w:t>21.45%</w:t>
            </w:r>
          </w:p>
        </w:tc>
        <w:tc>
          <w:tcPr>
            <w:tcW w:type="dxa" w:w="1728"/>
          </w:tcPr>
          <w:p>
            <w:r>
              <w:t>ACHAT</w:t>
            </w:r>
          </w:p>
        </w:tc>
      </w:tr>
      <w:tr>
        <w:tc>
          <w:tcPr>
            <w:tcW w:type="dxa" w:w="1728"/>
          </w:tcPr>
          <w:p>
            <w:r>
              <w:t>BOAC (BANK OF AFRICA COTE D'IVOIRE)</w:t>
            </w:r>
          </w:p>
        </w:tc>
        <w:tc>
          <w:tcPr>
            <w:tcW w:type="dxa" w:w="1728"/>
          </w:tcPr>
          <w:p>
            <w:r>
              <w:t>9743</w:t>
            </w:r>
          </w:p>
        </w:tc>
        <w:tc>
          <w:tcPr>
            <w:tcW w:type="dxa" w:w="1728"/>
          </w:tcPr>
          <w:p>
            <w:r>
              <w:t>110132721 FCFA</w:t>
            </w:r>
          </w:p>
        </w:tc>
        <w:tc>
          <w:tcPr>
            <w:tcW w:type="dxa" w:w="1728"/>
          </w:tcPr>
          <w:p>
            <w:r>
              <w:t>28.30%</w:t>
            </w:r>
          </w:p>
        </w:tc>
        <w:tc>
          <w:tcPr>
            <w:tcW w:type="dxa" w:w="1728"/>
          </w:tcPr>
          <w:p>
            <w:r>
              <w:t>ACHAT</w:t>
            </w:r>
          </w:p>
        </w:tc>
      </w:tr>
    </w:tbl>
    <w:p/>
    <w:p>
      <w:pPr>
        <w:pStyle w:val="Heading3"/>
      </w:pPr>
      <w:r>
        <w:t>🔴 Titres à Faible Liquidité (Bottom 40%) - RISQUE ÉLEVÉ</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9D9D9"/>
          </w:tcPr>
          <w:p>
            <w:r>
              <w:rPr>
                <w:b/>
              </w:rPr>
              <w:t>Société</w:t>
            </w:r>
          </w:p>
        </w:tc>
        <w:tc>
          <w:tcPr>
            <w:tcW w:type="dxa" w:w="1728"/>
            <w:shd w:fill="D9D9D9"/>
          </w:tcPr>
          <w:p>
            <w:r>
              <w:rPr>
                <w:b/>
              </w:rPr>
              <w:t>Vol. Moy.</w:t>
            </w:r>
          </w:p>
        </w:tc>
        <w:tc>
          <w:tcPr>
            <w:tcW w:type="dxa" w:w="1728"/>
            <w:shd w:fill="D9D9D9"/>
          </w:tcPr>
          <w:p>
            <w:r>
              <w:rPr>
                <w:b/>
              </w:rPr>
              <w:t>Valeur Moy.</w:t>
            </w:r>
          </w:p>
        </w:tc>
        <w:tc>
          <w:tcPr>
            <w:tcW w:type="dxa" w:w="1728"/>
            <w:shd w:fill="D9D9D9"/>
          </w:tcPr>
          <w:p>
            <w:r>
              <w:rPr>
                <w:b/>
              </w:rPr>
              <w:t>Perf. 100j</w:t>
            </w:r>
          </w:p>
        </w:tc>
        <w:tc>
          <w:tcPr>
            <w:tcW w:type="dxa" w:w="1728"/>
            <w:shd w:fill="D9D9D9"/>
          </w:tcPr>
          <w:p>
            <w:r>
              <w:rPr>
                <w:b/>
              </w:rPr>
              <w:t>Recom.</w:t>
            </w:r>
          </w:p>
        </w:tc>
      </w:tr>
      <w:tr>
        <w:tc>
          <w:tcPr>
            <w:tcW w:type="dxa" w:w="1728"/>
          </w:tcPr>
          <w:p>
            <w:r>
              <w:t>SPHC (SPHC - Société Africaine de Plantation d'Hévéas de Côte d'Ivoire)</w:t>
            </w:r>
          </w:p>
        </w:tc>
        <w:tc>
          <w:tcPr>
            <w:tcW w:type="dxa" w:w="1728"/>
          </w:tcPr>
          <w:p>
            <w:r>
              <w:t>4107</w:t>
            </w:r>
          </w:p>
        </w:tc>
        <w:tc>
          <w:tcPr>
            <w:tcW w:type="dxa" w:w="1728"/>
          </w:tcPr>
          <w:p>
            <w:r>
              <w:t>31944167 FCFA</w:t>
            </w:r>
          </w:p>
        </w:tc>
        <w:tc>
          <w:tcPr>
            <w:tcW w:type="dxa" w:w="1728"/>
          </w:tcPr>
          <w:p>
            <w:r>
              <w:t>12.31%</w:t>
            </w:r>
          </w:p>
        </w:tc>
        <w:tc>
          <w:tcPr>
            <w:tcW w:type="dxa" w:w="1728"/>
          </w:tcPr>
          <w:p>
            <w:r>
              <w:t>ACHAT</w:t>
            </w:r>
          </w:p>
        </w:tc>
      </w:tr>
      <w:tr>
        <w:tc>
          <w:tcPr>
            <w:tcW w:type="dxa" w:w="1728"/>
          </w:tcPr>
          <w:p>
            <w:r>
              <w:t>SIVC (SIVC - ERIUM CI (Ex AIR LIQUIDECI))</w:t>
            </w:r>
          </w:p>
        </w:tc>
        <w:tc>
          <w:tcPr>
            <w:tcW w:type="dxa" w:w="1728"/>
          </w:tcPr>
          <w:p>
            <w:r>
              <w:t>3260</w:t>
            </w:r>
          </w:p>
        </w:tc>
        <w:tc>
          <w:tcPr>
            <w:tcW w:type="dxa" w:w="1728"/>
          </w:tcPr>
          <w:p>
            <w:r>
              <w:t>6600839 FCFA</w:t>
            </w:r>
          </w:p>
        </w:tc>
        <w:tc>
          <w:tcPr>
            <w:tcW w:type="dxa" w:w="1728"/>
          </w:tcPr>
          <w:p>
            <w:r>
              <w:t>-37.30%</w:t>
            </w:r>
          </w:p>
        </w:tc>
        <w:tc>
          <w:tcPr>
            <w:tcW w:type="dxa" w:w="1728"/>
          </w:tcPr>
          <w:p>
            <w:r>
              <w:t>ACHAT</w:t>
            </w:r>
          </w:p>
        </w:tc>
      </w:tr>
      <w:tr>
        <w:tc>
          <w:tcPr>
            <w:tcW w:type="dxa" w:w="1728"/>
          </w:tcPr>
          <w:p>
            <w:r>
              <w:t>ORGT (ORGT - ORAGROUP TOGO)</w:t>
            </w:r>
          </w:p>
        </w:tc>
        <w:tc>
          <w:tcPr>
            <w:tcW w:type="dxa" w:w="1728"/>
          </w:tcPr>
          <w:p>
            <w:r>
              <w:t>3181</w:t>
            </w:r>
          </w:p>
        </w:tc>
        <w:tc>
          <w:tcPr>
            <w:tcW w:type="dxa" w:w="1728"/>
          </w:tcPr>
          <w:p>
            <w:r>
              <w:t>9446049 FCFA</w:t>
            </w:r>
          </w:p>
        </w:tc>
        <w:tc>
          <w:tcPr>
            <w:tcW w:type="dxa" w:w="1728"/>
          </w:tcPr>
          <w:p>
            <w:r>
              <w:t>4.07%</w:t>
            </w:r>
          </w:p>
        </w:tc>
        <w:tc>
          <w:tcPr>
            <w:tcW w:type="dxa" w:w="1728"/>
          </w:tcPr>
          <w:p>
            <w:r>
              <w:t>ACHAT</w:t>
            </w:r>
          </w:p>
        </w:tc>
      </w:tr>
      <w:tr>
        <w:tc>
          <w:tcPr>
            <w:tcW w:type="dxa" w:w="1728"/>
          </w:tcPr>
          <w:p>
            <w:r>
              <w:t>CFAC (CFAC - CFAO MOTORS CI)</w:t>
            </w:r>
          </w:p>
        </w:tc>
        <w:tc>
          <w:tcPr>
            <w:tcW w:type="dxa" w:w="1728"/>
          </w:tcPr>
          <w:p>
            <w:r>
              <w:t>2914</w:t>
            </w:r>
          </w:p>
        </w:tc>
        <w:tc>
          <w:tcPr>
            <w:tcW w:type="dxa" w:w="1728"/>
          </w:tcPr>
          <w:p>
            <w:r>
              <w:t>4457499 FCFA</w:t>
            </w:r>
          </w:p>
        </w:tc>
        <w:tc>
          <w:tcPr>
            <w:tcW w:type="dxa" w:w="1728"/>
          </w:tcPr>
          <w:p>
            <w:r>
              <w:t>-9.09%</w:t>
            </w:r>
          </w:p>
        </w:tc>
        <w:tc>
          <w:tcPr>
            <w:tcW w:type="dxa" w:w="1728"/>
          </w:tcPr>
          <w:p>
            <w:r>
              <w:t>ACHAT</w:t>
            </w:r>
          </w:p>
        </w:tc>
      </w:tr>
      <w:tr>
        <w:tc>
          <w:tcPr>
            <w:tcW w:type="dxa" w:w="1728"/>
          </w:tcPr>
          <w:p>
            <w:r>
              <w:t>ECOC (ECOC - ECOBANK COTE D'IVOIRE)</w:t>
            </w:r>
          </w:p>
        </w:tc>
        <w:tc>
          <w:tcPr>
            <w:tcW w:type="dxa" w:w="1728"/>
          </w:tcPr>
          <w:p>
            <w:r>
              <w:t>2811</w:t>
            </w:r>
          </w:p>
        </w:tc>
        <w:tc>
          <w:tcPr>
            <w:tcW w:type="dxa" w:w="1728"/>
          </w:tcPr>
          <w:p>
            <w:r>
              <w:t>46956779 FCFA</w:t>
            </w:r>
          </w:p>
        </w:tc>
        <w:tc>
          <w:tcPr>
            <w:tcW w:type="dxa" w:w="1728"/>
          </w:tcPr>
          <w:p>
            <w:r>
              <w:t>-1.84%</w:t>
            </w:r>
          </w:p>
        </w:tc>
        <w:tc>
          <w:tcPr>
            <w:tcW w:type="dxa" w:w="1728"/>
          </w:tcPr>
          <w:p>
            <w:r>
              <w:t>ACHAT</w:t>
            </w:r>
          </w:p>
        </w:tc>
      </w:tr>
      <w:tr>
        <w:tc>
          <w:tcPr>
            <w:tcW w:type="dxa" w:w="1728"/>
          </w:tcPr>
          <w:p>
            <w:r>
              <w:t>FTSC (FTSC - FILTISAC COTE D'IVOIRE)</w:t>
            </w:r>
          </w:p>
        </w:tc>
        <w:tc>
          <w:tcPr>
            <w:tcW w:type="dxa" w:w="1728"/>
          </w:tcPr>
          <w:p>
            <w:r>
              <w:t>2696</w:t>
            </w:r>
          </w:p>
        </w:tc>
        <w:tc>
          <w:tcPr>
            <w:tcW w:type="dxa" w:w="1728"/>
          </w:tcPr>
          <w:p>
            <w:r>
              <w:t>5258554 FCFA</w:t>
            </w:r>
          </w:p>
        </w:tc>
        <w:tc>
          <w:tcPr>
            <w:tcW w:type="dxa" w:w="1728"/>
          </w:tcPr>
          <w:p>
            <w:r>
              <w:t>-21.05%</w:t>
            </w:r>
          </w:p>
        </w:tc>
        <w:tc>
          <w:tcPr>
            <w:tcW w:type="dxa" w:w="1728"/>
          </w:tcPr>
          <w:p>
            <w:r>
              <w:t>ACHAT</w:t>
            </w:r>
          </w:p>
        </w:tc>
      </w:tr>
      <w:tr>
        <w:tc>
          <w:tcPr>
            <w:tcW w:type="dxa" w:w="1728"/>
          </w:tcPr>
          <w:p>
            <w:r>
              <w:t>NEIC (NEIC - NEI-CEDA CI)</w:t>
            </w:r>
          </w:p>
        </w:tc>
        <w:tc>
          <w:tcPr>
            <w:tcW w:type="dxa" w:w="1728"/>
          </w:tcPr>
          <w:p>
            <w:r>
              <w:t>2683</w:t>
            </w:r>
          </w:p>
        </w:tc>
        <w:tc>
          <w:tcPr>
            <w:tcW w:type="dxa" w:w="1728"/>
          </w:tcPr>
          <w:p>
            <w:r>
              <w:t>6053403 FCFA</w:t>
            </w:r>
          </w:p>
        </w:tc>
        <w:tc>
          <w:tcPr>
            <w:tcW w:type="dxa" w:w="1728"/>
          </w:tcPr>
          <w:p>
            <w:r>
              <w:t>7.54%</w:t>
            </w:r>
          </w:p>
        </w:tc>
        <w:tc>
          <w:tcPr>
            <w:tcW w:type="dxa" w:w="1728"/>
          </w:tcPr>
          <w:p>
            <w:r>
              <w:t>ACHAT</w:t>
            </w:r>
          </w:p>
        </w:tc>
      </w:tr>
      <w:tr>
        <w:tc>
          <w:tcPr>
            <w:tcW w:type="dxa" w:w="1728"/>
          </w:tcPr>
          <w:p>
            <w:r>
              <w:t>SOGC (SOGC - Société des caoutchoucs de Grand-Béréby)</w:t>
            </w:r>
          </w:p>
        </w:tc>
        <w:tc>
          <w:tcPr>
            <w:tcW w:type="dxa" w:w="1728"/>
          </w:tcPr>
          <w:p>
            <w:r>
              <w:t>2609</w:t>
            </w:r>
          </w:p>
        </w:tc>
        <w:tc>
          <w:tcPr>
            <w:tcW w:type="dxa" w:w="1728"/>
          </w:tcPr>
          <w:p>
            <w:r>
              <w:t>20406875 FCFA</w:t>
            </w:r>
          </w:p>
        </w:tc>
        <w:tc>
          <w:tcPr>
            <w:tcW w:type="dxa" w:w="1728"/>
          </w:tcPr>
          <w:p>
            <w:r>
              <w:t>4.19%</w:t>
            </w:r>
          </w:p>
        </w:tc>
        <w:tc>
          <w:tcPr>
            <w:tcW w:type="dxa" w:w="1728"/>
          </w:tcPr>
          <w:p>
            <w:r>
              <w:t>ACHAT</w:t>
            </w:r>
          </w:p>
        </w:tc>
      </w:tr>
      <w:tr>
        <w:tc>
          <w:tcPr>
            <w:tcW w:type="dxa" w:w="1728"/>
          </w:tcPr>
          <w:p>
            <w:r>
              <w:t>ABJC (ABJC - SERVAIR ABIDJAN CI)</w:t>
            </w:r>
          </w:p>
        </w:tc>
        <w:tc>
          <w:tcPr>
            <w:tcW w:type="dxa" w:w="1728"/>
          </w:tcPr>
          <w:p>
            <w:r>
              <w:t>2272</w:t>
            </w:r>
          </w:p>
        </w:tc>
        <w:tc>
          <w:tcPr>
            <w:tcW w:type="dxa" w:w="1728"/>
          </w:tcPr>
          <w:p>
            <w:r>
              <w:t>8347694 FCFA</w:t>
            </w:r>
          </w:p>
        </w:tc>
        <w:tc>
          <w:tcPr>
            <w:tcW w:type="dxa" w:w="1728"/>
          </w:tcPr>
          <w:p>
            <w:r>
              <w:t>7.83%</w:t>
            </w:r>
          </w:p>
        </w:tc>
        <w:tc>
          <w:tcPr>
            <w:tcW w:type="dxa" w:w="1728"/>
          </w:tcPr>
          <w:p>
            <w:r>
              <w:t>ACHAT</w:t>
            </w:r>
          </w:p>
        </w:tc>
      </w:tr>
      <w:tr>
        <w:tc>
          <w:tcPr>
            <w:tcW w:type="dxa" w:w="1728"/>
          </w:tcPr>
          <w:p>
            <w:r>
              <w:t>BNBC (BNBC - BERNABE CI)</w:t>
            </w:r>
          </w:p>
        </w:tc>
        <w:tc>
          <w:tcPr>
            <w:tcW w:type="dxa" w:w="1728"/>
          </w:tcPr>
          <w:p>
            <w:r>
              <w:t>2080</w:t>
            </w:r>
          </w:p>
        </w:tc>
        <w:tc>
          <w:tcPr>
            <w:tcW w:type="dxa" w:w="1728"/>
          </w:tcPr>
          <w:p>
            <w:r>
              <w:t>3986751 FCFA</w:t>
            </w:r>
          </w:p>
        </w:tc>
        <w:tc>
          <w:tcPr>
            <w:tcW w:type="dxa" w:w="1728"/>
          </w:tcPr>
          <w:p>
            <w:r>
              <w:t>18.33%</w:t>
            </w:r>
          </w:p>
        </w:tc>
        <w:tc>
          <w:tcPr>
            <w:tcW w:type="dxa" w:w="1728"/>
          </w:tcPr>
          <w:p>
            <w:r>
              <w:t>ACHAT</w:t>
            </w:r>
          </w:p>
        </w:tc>
      </w:tr>
    </w:tbl>
    <w:p/>
    <w:p>
      <w:r>
        <w:rPr>
          <w:b/>
        </w:rPr>
        <w:t xml:space="preserve">⚠️ ATTENTION: </w:t>
      </w:r>
      <w:r>
        <w:t>Les titres à faible liquidité présentent un risque de ne pas pouvoir sortir facilement de sa position. À privilégier uniquement pour un investissement de long terme.</w:t>
      </w:r>
    </w:p>
    <w:p>
      <w:r>
        <w:br w:type="page"/>
      </w:r>
    </w:p>
    <w:p>
      <w:pPr>
        <w:pStyle w:val="Heading1"/>
      </w:pPr>
      <w:r>
        <w:t>⚠️ TOP 10 DES DIVERGENCES MAJEURES</w:t>
      </w:r>
    </w:p>
    <w:p>
      <w:r>
        <w:t>Cette section liste les sociétés présentant les écarts les plus importants entre les différents indicateurs techniques et fondamentaux.</w:t>
      </w:r>
    </w:p>
    <w:p/>
    <w:p>
      <w:pPr>
        <w:pStyle w:val="Heading3"/>
      </w:pPr>
      <w:r>
        <w:t>1. BOAB - BANK OF AFRICA BENIN</w:t>
      </w:r>
    </w:p>
    <w:p>
      <w:r>
        <w:rPr>
          <w:b/>
        </w:rPr>
        <w:t xml:space="preserve">Score de divergence: </w:t>
      </w:r>
      <w:r>
        <w:t>5/8</w:t>
        <w:br/>
      </w:r>
      <w:r>
        <w:rPr>
          <w:b/>
        </w:rPr>
        <w:t xml:space="preserve">Description: </w:t>
      </w:r>
      <w:r>
        <w:t>Signaux de vente: MM, MACD | Recommandation finale: ACHAT</w:t>
        <w:br/>
      </w:r>
    </w:p>
    <w:p/>
    <w:p>
      <w:pPr>
        <w:pStyle w:val="Heading3"/>
      </w:pPr>
      <w:r>
        <w:t>2. BOABF - BANK OF AFRICA BURKINA FASO</w:t>
      </w:r>
    </w:p>
    <w:p>
      <w:r>
        <w:rPr>
          <w:b/>
        </w:rPr>
        <w:t xml:space="preserve">Score de divergence: </w:t>
      </w:r>
      <w:r>
        <w:t>5/8</w:t>
        <w:br/>
      </w:r>
      <w:r>
        <w:rPr>
          <w:b/>
        </w:rPr>
        <w:t xml:space="preserve">Description: </w:t>
      </w:r>
      <w:r>
        <w:t>Signaux de vente: MM, MACD | Recommandation finale: ACHAT</w:t>
        <w:br/>
      </w:r>
    </w:p>
    <w:p/>
    <w:p>
      <w:pPr>
        <w:pStyle w:val="Heading3"/>
      </w:pPr>
      <w:r>
        <w:t>3. SIBC - SIBC - SOCIETE IVOIRIENNE DE BANQUE</w:t>
      </w:r>
    </w:p>
    <w:p>
      <w:r>
        <w:rPr>
          <w:b/>
        </w:rPr>
        <w:t xml:space="preserve">Score de divergence: </w:t>
      </w:r>
      <w:r>
        <w:t>5/8</w:t>
        <w:br/>
      </w:r>
      <w:r>
        <w:rPr>
          <w:b/>
        </w:rPr>
        <w:t xml:space="preserve">Description: </w:t>
      </w:r>
      <w:r>
        <w:t>Signaux de vente: MM, MACD | Recommandation finale: ACHAT</w:t>
        <w:br/>
      </w:r>
    </w:p>
    <w:p/>
    <w:p>
      <w:pPr>
        <w:pStyle w:val="Heading3"/>
      </w:pPr>
      <w:r>
        <w:t>4. SOGC - SOGC - Société des caoutchoucs de Grand-Béréby</w:t>
      </w:r>
    </w:p>
    <w:p>
      <w:r>
        <w:rPr>
          <w:b/>
        </w:rPr>
        <w:t xml:space="preserve">Score de divergence: </w:t>
      </w:r>
      <w:r>
        <w:t>5/8</w:t>
        <w:br/>
      </w:r>
      <w:r>
        <w:rPr>
          <w:b/>
        </w:rPr>
        <w:t xml:space="preserve">Description: </w:t>
      </w:r>
      <w:r>
        <w:t>Signaux de vente: MM, MACD | Recommandation finale: ACHAT</w:t>
        <w:br/>
      </w:r>
    </w:p>
    <w:p/>
    <w:p>
      <w:pPr>
        <w:pStyle w:val="Heading3"/>
      </w:pPr>
      <w:r>
        <w:t>5. BICB - BIIC BN - Banque internationale pour le commerce du benin</w:t>
      </w:r>
    </w:p>
    <w:p>
      <w:r>
        <w:rPr>
          <w:b/>
        </w:rPr>
        <w:t xml:space="preserve">Score de divergence: </w:t>
      </w:r>
      <w:r>
        <w:t>4/8</w:t>
        <w:br/>
      </w:r>
      <w:r>
        <w:rPr>
          <w:b/>
        </w:rPr>
        <w:t xml:space="preserve">Description: </w:t>
      </w:r>
      <w:r>
        <w:t>Signaux d'achat: Stochastique | Signaux de vente: MM, MACD | Recommandation finale: ACHAT</w:t>
        <w:br/>
      </w:r>
    </w:p>
    <w:p/>
    <w:p>
      <w:pPr>
        <w:pStyle w:val="Heading3"/>
      </w:pPr>
      <w:r>
        <w:t>6. BNBC - BNBC - BERNABE CI</w:t>
      </w:r>
    </w:p>
    <w:p>
      <w:r>
        <w:rPr>
          <w:b/>
        </w:rPr>
        <w:t xml:space="preserve">Score de divergence: </w:t>
      </w:r>
      <w:r>
        <w:t>4/8</w:t>
        <w:br/>
      </w:r>
      <w:r>
        <w:rPr>
          <w:b/>
        </w:rPr>
        <w:t xml:space="preserve">Description: </w:t>
      </w:r>
      <w:r>
        <w:t>Signaux d'achat: Stochastique | Signaux de vente: MM, MACD | Recommandation finale: ACHAT</w:t>
        <w:br/>
      </w:r>
    </w:p>
    <w:p/>
    <w:p>
      <w:pPr>
        <w:pStyle w:val="Heading3"/>
      </w:pPr>
      <w:r>
        <w:t>7. BOAM - BANK OF AFRICA MALI</w:t>
      </w:r>
    </w:p>
    <w:p>
      <w:r>
        <w:rPr>
          <w:b/>
        </w:rPr>
        <w:t xml:space="preserve">Score de divergence: </w:t>
      </w:r>
      <w:r>
        <w:t>4/8</w:t>
        <w:br/>
      </w:r>
      <w:r>
        <w:rPr>
          <w:b/>
        </w:rPr>
        <w:t xml:space="preserve">Description: </w:t>
      </w:r>
      <w:r>
        <w:t>Signaux d'achat: Stochastique | Signaux de vente: MM, MACD | Recommandation finale: ACHAT</w:t>
        <w:br/>
      </w:r>
    </w:p>
    <w:p/>
    <w:p>
      <w:pPr>
        <w:pStyle w:val="Heading3"/>
      </w:pPr>
      <w:r>
        <w:t>8. BOAN - BANK OF AFRICA NIGER</w:t>
      </w:r>
    </w:p>
    <w:p>
      <w:r>
        <w:rPr>
          <w:b/>
        </w:rPr>
        <w:t xml:space="preserve">Score de divergence: </w:t>
      </w:r>
      <w:r>
        <w:t>4/8</w:t>
        <w:br/>
      </w:r>
      <w:r>
        <w:rPr>
          <w:b/>
        </w:rPr>
        <w:t xml:space="preserve">Description: </w:t>
      </w:r>
      <w:r>
        <w:t>Signaux d'achat: Stochastique | Signaux de vente: MM, MACD | Recommandation finale: ACHAT</w:t>
        <w:br/>
      </w:r>
    </w:p>
    <w:p/>
    <w:p>
      <w:pPr>
        <w:pStyle w:val="Heading3"/>
      </w:pPr>
      <w:r>
        <w:t>9. BOAS - BANK OF AFRICA SENEGAL</w:t>
      </w:r>
    </w:p>
    <w:p>
      <w:r>
        <w:rPr>
          <w:b/>
        </w:rPr>
        <w:t xml:space="preserve">Score de divergence: </w:t>
      </w:r>
      <w:r>
        <w:t>4/8</w:t>
        <w:br/>
      </w:r>
      <w:r>
        <w:rPr>
          <w:b/>
        </w:rPr>
        <w:t xml:space="preserve">Description: </w:t>
      </w:r>
      <w:r>
        <w:t>Signaux d'achat: MM | Signaux de vente: MACD, RSI | Recommandation finale: ACHAT</w:t>
        <w:br/>
      </w:r>
    </w:p>
    <w:p/>
    <w:p>
      <w:pPr>
        <w:pStyle w:val="Heading3"/>
      </w:pPr>
      <w:r>
        <w:t>10. CABC - CABC - SICABLE COTE D'IVOIRE</w:t>
      </w:r>
    </w:p>
    <w:p>
      <w:r>
        <w:rPr>
          <w:b/>
        </w:rPr>
        <w:t xml:space="preserve">Score de divergence: </w:t>
      </w:r>
      <w:r>
        <w:t>4/8</w:t>
        <w:br/>
      </w:r>
      <w:r>
        <w:rPr>
          <w:b/>
        </w:rPr>
        <w:t xml:space="preserve">Description: </w:t>
      </w:r>
      <w:r>
        <w:t>Signaux d'achat: Stochastique | Signaux de vente: MM, MACD | Recommandation finale: ACHAT</w:t>
        <w:br/>
      </w:r>
    </w:p>
    <w:p/>
    <w:p>
      <w:r>
        <w:br w:type="page"/>
      </w:r>
    </w:p>
    <w:p>
      <w:pPr>
        <w:pStyle w:val="Heading1"/>
      </w:pPr>
      <w:r>
        <w:t>📈 MATRICE RISQUE vs HORIZON DE PLACEMENT</w:t>
      </w:r>
    </w:p>
    <w:p>
      <w:r>
        <w:t>Cette matrice croise le niveau de risque avec l'horizon de placement recommandé pour faciliter la sélection de titres selon votre profil d'investisseur.</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D9D9D9"/>
          </w:tcPr>
          <w:p>
            <w:r>
              <w:rPr>
                <w:b/>
              </w:rPr>
              <w:t>RISQUE / HORIZON</w:t>
            </w:r>
          </w:p>
        </w:tc>
        <w:tc>
          <w:tcPr>
            <w:tcW w:type="dxa" w:w="2160"/>
            <w:shd w:fill="D9D9D9"/>
          </w:tcPr>
          <w:p>
            <w:r>
              <w:rPr>
                <w:b/>
              </w:rPr>
              <w:t>Court Terme</w:t>
            </w:r>
          </w:p>
        </w:tc>
        <w:tc>
          <w:tcPr>
            <w:tcW w:type="dxa" w:w="2160"/>
            <w:shd w:fill="D9D9D9"/>
          </w:tcPr>
          <w:p>
            <w:r>
              <w:rPr>
                <w:b/>
              </w:rPr>
              <w:t>Moyen Terme</w:t>
            </w:r>
          </w:p>
        </w:tc>
        <w:tc>
          <w:tcPr>
            <w:tcW w:type="dxa" w:w="2160"/>
            <w:shd w:fill="D9D9D9"/>
          </w:tcPr>
          <w:p>
            <w:r>
              <w:rPr>
                <w:b/>
              </w:rPr>
              <w:t>Long Terme</w:t>
            </w:r>
          </w:p>
        </w:tc>
      </w:tr>
      <w:tr>
        <w:tc>
          <w:tcPr>
            <w:tcW w:type="dxa" w:w="2160"/>
          </w:tcPr>
          <w:p>
            <w:r>
              <w:t>Risque Faible</w:t>
            </w:r>
          </w:p>
        </w:tc>
        <w:tc>
          <w:tcPr>
            <w:tcW w:type="dxa" w:w="2160"/>
          </w:tcPr>
          <w:p>
            <w:r>
              <w:t>0</w:t>
            </w:r>
          </w:p>
        </w:tc>
        <w:tc>
          <w:tcPr>
            <w:tcW w:type="dxa" w:w="2160"/>
          </w:tcPr>
          <w:p>
            <w:r>
              <w:t>28</w:t>
            </w:r>
          </w:p>
        </w:tc>
        <w:tc>
          <w:tcPr>
            <w:tcW w:type="dxa" w:w="2160"/>
          </w:tcPr>
          <w:p>
            <w:r>
              <w:t>0</w:t>
            </w:r>
          </w:p>
        </w:tc>
      </w:tr>
      <w:tr>
        <w:tc>
          <w:tcPr>
            <w:tcW w:type="dxa" w:w="2160"/>
          </w:tcPr>
          <w:p>
            <w:r>
              <w:t>Risque Moyen</w:t>
            </w:r>
          </w:p>
        </w:tc>
        <w:tc>
          <w:tcPr>
            <w:tcW w:type="dxa" w:w="2160"/>
          </w:tcPr>
          <w:p>
            <w:r>
              <w:t>0</w:t>
            </w:r>
          </w:p>
        </w:tc>
        <w:tc>
          <w:tcPr>
            <w:tcW w:type="dxa" w:w="2160"/>
          </w:tcPr>
          <w:p>
            <w:r>
              <w:t>20</w:t>
            </w:r>
          </w:p>
        </w:tc>
        <w:tc>
          <w:tcPr>
            <w:tcW w:type="dxa" w:w="2160"/>
          </w:tcPr>
          <w:p>
            <w:r>
              <w:t>0</w:t>
            </w:r>
          </w:p>
        </w:tc>
      </w:tr>
      <w:tr>
        <w:tc>
          <w:tcPr>
            <w:tcW w:type="dxa" w:w="2160"/>
          </w:tcPr>
          <w:p>
            <w:r>
              <w:t>Risque Élevé</w:t>
            </w:r>
          </w:p>
        </w:tc>
        <w:tc>
          <w:tcPr>
            <w:tcW w:type="dxa" w:w="2160"/>
          </w:tcPr>
          <w:p>
            <w:r>
              <w:t>0</w:t>
            </w:r>
          </w:p>
        </w:tc>
        <w:tc>
          <w:tcPr>
            <w:tcW w:type="dxa" w:w="2160"/>
          </w:tcPr>
          <w:p>
            <w:r>
              <w:t>0</w:t>
            </w:r>
          </w:p>
        </w:tc>
        <w:tc>
          <w:tcPr>
            <w:tcW w:type="dxa" w:w="2160"/>
          </w:tcPr>
          <w:p>
            <w:r>
              <w:t>0</w:t>
            </w:r>
          </w:p>
        </w:tc>
      </w:tr>
    </w:tbl>
    <w:p/>
    <w:p>
      <w:pPr>
        <w:pStyle w:val="Heading3"/>
      </w:pPr>
      <w:r>
        <w:t>🟢 Faible Risque - Moyen Terme</w:t>
      </w:r>
    </w:p>
    <w:p>
      <w:pPr>
        <w:pStyle w:val="ListBullet"/>
      </w:pPr>
      <w:r>
        <w:t>• ABJC (ABJC - SERVAIR ABIDJAN CI)</w:t>
      </w:r>
    </w:p>
    <w:p>
      <w:pPr>
        <w:pStyle w:val="ListBullet"/>
      </w:pPr>
      <w:r>
        <w:t>• BNBC (BNBC - BERNABE CI)</w:t>
      </w:r>
    </w:p>
    <w:p>
      <w:pPr>
        <w:pStyle w:val="ListBullet"/>
      </w:pPr>
      <w:r>
        <w:t>• BOAB (BANK OF AFRICA BENIN)</w:t>
      </w:r>
    </w:p>
    <w:p>
      <w:pPr>
        <w:pStyle w:val="ListBullet"/>
      </w:pPr>
      <w:r>
        <w:t>• BOAC (BANK OF AFRICA COTE D'IVOIRE)</w:t>
      </w:r>
    </w:p>
    <w:p>
      <w:pPr>
        <w:pStyle w:val="ListBullet"/>
      </w:pPr>
      <w:r>
        <w:t>• BOAS (BANK OF AFRICA SENEGAL)</w:t>
      </w:r>
    </w:p>
    <w:p>
      <w:pPr>
        <w:pStyle w:val="ListBullet"/>
      </w:pPr>
      <w:r>
        <w:t>• CABC (CABC - SICABLE COTE D'IVOIRE)</w:t>
      </w:r>
    </w:p>
    <w:p>
      <w:pPr>
        <w:pStyle w:val="ListBullet"/>
      </w:pPr>
      <w:r>
        <w:t>• ECOC (ECOC - ECOBANK COTE D'IVOIRE)</w:t>
      </w:r>
    </w:p>
    <w:p>
      <w:pPr>
        <w:pStyle w:val="ListBullet"/>
      </w:pPr>
      <w:r>
        <w:t>• FTSC (FTSC - FILTISAC COTE D'IVOIRE)</w:t>
      </w:r>
    </w:p>
    <w:p>
      <w:pPr>
        <w:pStyle w:val="ListBullet"/>
      </w:pPr>
      <w:r>
        <w:t>• LNBB (LNBB - LOTERIE NATIONALE DU BENIN)</w:t>
      </w:r>
    </w:p>
    <w:p>
      <w:pPr>
        <w:pStyle w:val="ListBullet"/>
      </w:pPr>
      <w:r>
        <w:t>• NSBC (NSBC - NSIA BANQUE COTE D'IVOIRE)</w:t>
      </w:r>
    </w:p>
    <w:p>
      <w:pPr>
        <w:pStyle w:val="ListBullet"/>
      </w:pPr>
      <w:r>
        <w:t>• NTLC (NTLC - NESTLE COTE D'IVOIRE)</w:t>
      </w:r>
    </w:p>
    <w:p>
      <w:pPr>
        <w:pStyle w:val="ListBullet"/>
      </w:pPr>
      <w:r>
        <w:t>• ONTBF (ONTBF - ONATEL BURKINA FASO)</w:t>
      </w:r>
    </w:p>
    <w:p>
      <w:pPr>
        <w:pStyle w:val="ListBullet"/>
      </w:pPr>
      <w:r>
        <w:t>• ORGT (ORGT - ORAGROUP TOGO)</w:t>
      </w:r>
    </w:p>
    <w:p>
      <w:pPr>
        <w:pStyle w:val="ListBullet"/>
      </w:pPr>
      <w:r>
        <w:t>• PALC (PALC - PALM COTE D'IVOIRE)</w:t>
      </w:r>
    </w:p>
    <w:p>
      <w:pPr>
        <w:pStyle w:val="ListBullet"/>
      </w:pPr>
      <w:r>
        <w:t>• PRSC (PRSC - TRACTAFRIC MOTORS CI)</w:t>
      </w:r>
    </w:p>
    <w:p>
      <w:pPr>
        <w:pStyle w:val="ListBullet"/>
      </w:pPr>
      <w:r>
        <w:t>• SDCC (SDCC - Société de Distribution d'Eau de Côte d'Ivoire)</w:t>
      </w:r>
    </w:p>
    <w:p>
      <w:pPr>
        <w:pStyle w:val="ListBullet"/>
      </w:pPr>
      <w:r>
        <w:t>• SDSC (SDSC - AFRICA GLOBAL LOGISTICS CI)</w:t>
      </w:r>
    </w:p>
    <w:p>
      <w:pPr>
        <w:pStyle w:val="ListBullet"/>
      </w:pPr>
      <w:r>
        <w:t>• SEMC (SEMC - EVIOSYS PACKAGING SIEM CI)</w:t>
      </w:r>
    </w:p>
    <w:p>
      <w:pPr>
        <w:pStyle w:val="ListBullet"/>
      </w:pPr>
      <w:r>
        <w:t>• SGBC (SGBC - SOCIETE GENERALE COTE D'IVOIRE)</w:t>
      </w:r>
    </w:p>
    <w:p>
      <w:pPr>
        <w:pStyle w:val="ListBullet"/>
      </w:pPr>
      <w:r>
        <w:t>• SIBC (SIBC - SOCIETE IVOIRIENNE DE BANQUE)</w:t>
      </w:r>
    </w:p>
    <w:p>
      <w:pPr>
        <w:pStyle w:val="ListBullet"/>
      </w:pPr>
      <w:r>
        <w:t>• SLBC (SLBC - SOLIBRA COTE D'IVOIRE)</w:t>
      </w:r>
    </w:p>
    <w:p>
      <w:pPr>
        <w:pStyle w:val="ListBullet"/>
      </w:pPr>
      <w:r>
        <w:t>• SMBC (SMBC - Société Multinationale de Bitumes COTE D'IVOIRE)</w:t>
      </w:r>
    </w:p>
    <w:p>
      <w:pPr>
        <w:pStyle w:val="ListBullet"/>
      </w:pPr>
      <w:r>
        <w:t>• SOGC (SOGC - Société des caoutchoucs de Grand-Béréby)</w:t>
      </w:r>
    </w:p>
    <w:p>
      <w:pPr>
        <w:pStyle w:val="ListBullet"/>
      </w:pPr>
      <w:r>
        <w:t>• SPHC (SPHC - Société Africaine de Plantation d'Hévéas de Côte d'Ivoire)</w:t>
      </w:r>
    </w:p>
    <w:p>
      <w:pPr>
        <w:pStyle w:val="ListBullet"/>
      </w:pPr>
      <w:r>
        <w:t>• STBC (STBC - SITAB COTE D'IVOIRE)</w:t>
      </w:r>
    </w:p>
    <w:p>
      <w:pPr>
        <w:pStyle w:val="ListBullet"/>
      </w:pPr>
      <w:r>
        <w:t>• TTLC (TTLC - TOTAL ENERGIES MARKETING COTE D'IVOIRE)</w:t>
      </w:r>
    </w:p>
    <w:p>
      <w:pPr>
        <w:pStyle w:val="ListBullet"/>
      </w:pPr>
      <w:r>
        <w:t>• TTLS (TTLS - TOTAL ENERGIES MARKETING SENEGAL)</w:t>
      </w:r>
    </w:p>
    <w:p>
      <w:pPr>
        <w:pStyle w:val="ListBullet"/>
      </w:pPr>
      <w:r>
        <w:t>• UNXC (UNXC - UNIWAX COTE D'IVOIRE)</w:t>
      </w:r>
    </w:p>
    <w:p/>
    <w:p>
      <w:pPr>
        <w:pStyle w:val="Heading3"/>
      </w:pPr>
      <w:r>
        <w:t>🟡 Risque Moyen - Moyen Terme</w:t>
      </w:r>
    </w:p>
    <w:p>
      <w:pPr>
        <w:pStyle w:val="ListBullet"/>
      </w:pPr>
      <w:r>
        <w:t>• BBGC (BRIDGE BANK GROUP COTE D'IVOIRE)</w:t>
      </w:r>
    </w:p>
    <w:p>
      <w:pPr>
        <w:pStyle w:val="ListBullet"/>
      </w:pPr>
      <w:r>
        <w:t>• BICB (BIIC BN - Banque internationale pour le commerce du benin)</w:t>
      </w:r>
    </w:p>
    <w:p>
      <w:pPr>
        <w:pStyle w:val="ListBullet"/>
      </w:pPr>
      <w:r>
        <w:t>• BICC (BICI CI - Banque internationale pour le commerce et l'industrie de la Côte d'Ivoire)</w:t>
      </w:r>
    </w:p>
    <w:p>
      <w:pPr>
        <w:pStyle w:val="ListBullet"/>
      </w:pPr>
      <w:r>
        <w:t>• BOABF (BANK OF AFRICA BURKINA FASO)</w:t>
      </w:r>
    </w:p>
    <w:p>
      <w:pPr>
        <w:pStyle w:val="ListBullet"/>
      </w:pPr>
      <w:r>
        <w:t>• BOAM (BANK OF AFRICA MALI)</w:t>
      </w:r>
    </w:p>
    <w:p>
      <w:pPr>
        <w:pStyle w:val="ListBullet"/>
      </w:pPr>
      <w:r>
        <w:t>• BOAN (BANK OF AFRICA NIGER)</w:t>
      </w:r>
    </w:p>
    <w:p>
      <w:pPr>
        <w:pStyle w:val="ListBullet"/>
      </w:pPr>
      <w:r>
        <w:t>• CBIBF (CBIBF - CORIS BANK INTERNATIONAL BURKINA FASO)</w:t>
      </w:r>
    </w:p>
    <w:p>
      <w:pPr>
        <w:pStyle w:val="ListBullet"/>
      </w:pPr>
      <w:r>
        <w:t>• CFAC (CFAC - CFAO MOTORS CI)</w:t>
      </w:r>
    </w:p>
    <w:p>
      <w:pPr>
        <w:pStyle w:val="ListBullet"/>
      </w:pPr>
      <w:r>
        <w:t>• CIEC (CIEC - Compagnie Ivoirienne d'Electricité)</w:t>
      </w:r>
    </w:p>
    <w:p>
      <w:pPr>
        <w:pStyle w:val="ListBullet"/>
      </w:pPr>
      <w:r>
        <w:t>• ETIT (ETIT - Ecobank Transnational Incorporated Togo)</w:t>
      </w:r>
    </w:p>
    <w:p>
      <w:pPr>
        <w:pStyle w:val="ListBullet"/>
      </w:pPr>
      <w:r>
        <w:t>• NEIC (NEIC - NEI-CEDA CI)</w:t>
      </w:r>
    </w:p>
    <w:p>
      <w:pPr>
        <w:pStyle w:val="ListBullet"/>
      </w:pPr>
      <w:r>
        <w:t>• ORAC (ORAC - ORANGE COTE D'IVOIRE)</w:t>
      </w:r>
    </w:p>
    <w:p>
      <w:pPr>
        <w:pStyle w:val="ListBullet"/>
      </w:pPr>
      <w:r>
        <w:t>• SAFC (SAFCA CI)</w:t>
      </w:r>
    </w:p>
    <w:p>
      <w:pPr>
        <w:pStyle w:val="ListBullet"/>
      </w:pPr>
      <w:r>
        <w:t>• SCRC (SCRC - SUCRIVOIRE)</w:t>
      </w:r>
    </w:p>
    <w:p>
      <w:pPr>
        <w:pStyle w:val="ListBullet"/>
      </w:pPr>
      <w:r>
        <w:t>• SHEC (SHEC - VIVO ENERGY COTE D'IVOIRE)</w:t>
      </w:r>
    </w:p>
    <w:p>
      <w:pPr>
        <w:pStyle w:val="ListBullet"/>
      </w:pPr>
      <w:r>
        <w:t>• SICC (SICC - SICOR COTE D'IVOIRE)</w:t>
      </w:r>
    </w:p>
    <w:p>
      <w:pPr>
        <w:pStyle w:val="ListBullet"/>
      </w:pPr>
      <w:r>
        <w:t>• SIVC (SIVC - ERIUM CI (Ex AIR LIQUIDECI))</w:t>
      </w:r>
    </w:p>
    <w:p>
      <w:pPr>
        <w:pStyle w:val="ListBullet"/>
      </w:pPr>
      <w:r>
        <w:t>• SNTS (SNTS - SONATEL SN)</w:t>
      </w:r>
    </w:p>
    <w:p>
      <w:pPr>
        <w:pStyle w:val="ListBullet"/>
      </w:pPr>
      <w:r>
        <w:t>• STAC (STAC - SETAO COTE D'IVOIRE)</w:t>
      </w:r>
    </w:p>
    <w:p>
      <w:pPr>
        <w:pStyle w:val="ListBullet"/>
      </w:pPr>
      <w:r>
        <w:t>• UNLC (UNLC - UNILEVER COTE D'IVOIRE)</w:t>
      </w:r>
    </w:p>
    <w:p/>
    <w:p>
      <w:r>
        <w:br w:type="page"/>
      </w:r>
    </w:p>
    <w:p>
      <w:pPr>
        <w:pStyle w:val="Heading1"/>
      </w:pPr>
      <w:r>
        <w:t>🌍 ANALYSE MACRO — CONTEXTE INTERNATIONAL, AFRICAIN &amp; UEMOA</w:t>
      </w:r>
    </w:p>
    <w:p>
      <w:r>
        <w:rPr>
          <w:sz w:val="18"/>
        </w:rPr>
        <w:t>Analyse de l'environnement macro-économique mondial et régional susceptible d'impacter la BRVM et les sociétés cotées. Générée par IA à partir des actualités collectées via flux RSS Google News (BRVM, BCEAO, UEMOA, matières premières, marchés mondiaux).</w:t>
      </w:r>
    </w:p>
    <w:p/>
    <w:p>
      <w:pPr>
        <w:spacing w:before="40" w:after="80"/>
      </w:pPr>
      <w:r>
        <w:rPr>
          <w:color w:val="646464"/>
          <w:sz w:val="16"/>
        </w:rPr>
        <w:t xml:space="preserve">🤖 Analyse générée par : DEEPSEEK  |  </w:t>
      </w:r>
      <w:r>
        <w:rPr>
          <w:color w:val="505050"/>
          <w:sz w:val="16"/>
        </w:rPr>
        <w:t>Sources : 100 actualités  |  Mondial: 18  Afrique: 18  Afr.Ouest: 18  UEMOA: 18  BRVM: 11</w:t>
      </w:r>
    </w:p>
    <w:p>
      <w:pPr>
        <w:pStyle w:val="Heading1"/>
      </w:pPr>
      <w:r>
        <w:rPr>
          <w:color w:val="00467F"/>
        </w:rPr>
        <w:t>📊 1. ACTUALITÉS MACRO-ÉCONOMIQUES</w:t>
      </w:r>
    </w:p>
    <w:p>
      <w:pPr>
        <w:pStyle w:val="Heading2"/>
      </w:pPr>
      <w:r>
        <w:rPr>
          <w:color w:val="00467F"/>
        </w:rPr>
        <w:t>🌐 Plan Mondial</w:t>
      </w:r>
    </w:p>
    <w:p>
      <w:pPr>
        <w:pStyle w:val="ListBullet"/>
        <w:spacing w:before="20" w:after="20"/>
        <w:ind w:left="360"/>
      </w:pPr>
      <w:r>
        <w:rPr>
          <w:sz w:val="18"/>
        </w:rPr>
        <w:t>**BCE / dette française** : les tensions sur la dette française s'intensifient, les marchés doutant d'un soutien BCE ; Stéphane Boujnah (Euronext) critique vivement l'idée d'annulation de dette BCE.</w:t>
      </w:r>
    </w:p>
    <w:p>
      <w:pPr>
        <w:pStyle w:val="ListBullet"/>
        <w:spacing w:before="20" w:after="20"/>
        <w:ind w:left="360"/>
      </w:pPr>
      <w:r>
        <w:rPr>
          <w:color w:val="008000"/>
          <w:sz w:val="18"/>
        </w:rPr>
        <w:t>**Résilience européenne** : rebond des marchés européens à la mi-séance malgré la hausse simultanée du pétrole et du dollar.</w:t>
      </w:r>
    </w:p>
    <w:p>
      <w:pPr>
        <w:pStyle w:val="ListBullet"/>
        <w:spacing w:before="20" w:after="20"/>
        <w:ind w:left="360"/>
      </w:pPr>
      <w:r>
        <w:rPr>
          <w:color w:val="008000"/>
          <w:sz w:val="18"/>
        </w:rPr>
        <w:t>**Pétrole/dollar** : hausse conjointe du brut et du billet vert, signal d'aversion au risque partielle.</w:t>
      </w:r>
    </w:p>
    <w:p>
      <w:pPr>
        <w:pStyle w:val="Heading3"/>
      </w:pPr>
      <w:r>
        <w:rPr>
          <w:color w:val="500050"/>
        </w:rPr>
        <w:t>⚡ Impact estimé sur la BRVM</w:t>
      </w:r>
    </w:p>
    <w:p>
      <w:pPr>
        <w:spacing w:before="20" w:after="40"/>
        <w:ind w:left="280"/>
      </w:pPr>
      <w:r>
        <w:rPr>
          <w:i/>
          <w:sz w:val="18"/>
        </w:rPr>
        <w:t>La hausse du dollar et du pétrole renchérit les importations UEMOA (énergie, intrants), pesant sur les marges de **SHEC** (ENERGIE) et des industriels consommateurs d'énergie comme **SIVC** et **SDSC**. Le stress sur la dette européenne détourne marginalement les flux obligataires des émergents, mais la résilience des actions européennes limite le contagion risk sur la BRVM.</w:t>
      </w:r>
    </w:p>
    <w:p>
      <w:pPr>
        <w:pStyle w:val="Heading2"/>
      </w:pPr>
      <w:r>
        <w:rPr>
          <w:color w:val="006E32"/>
        </w:rPr>
        <w:t>🌍 Plan Africain</w:t>
      </w:r>
    </w:p>
    <w:p>
      <w:pPr>
        <w:pStyle w:val="ListBullet"/>
        <w:spacing w:before="20" w:after="20"/>
        <w:ind w:left="360"/>
      </w:pPr>
      <w:r>
        <w:rPr>
          <w:sz w:val="18"/>
        </w:rPr>
        <w:t>**FMI/Banque mondiale (Bangkok)** : dossiers africains centrés sur la dette et l'inflation ; croissance Sénégal/Gabon à l'agenda.</w:t>
      </w:r>
    </w:p>
    <w:p>
      <w:pPr>
        <w:pStyle w:val="ListBullet"/>
        <w:spacing w:before="20" w:after="20"/>
        <w:ind w:left="360"/>
      </w:pPr>
      <w:r>
        <w:rPr>
          <w:sz w:val="18"/>
        </w:rPr>
        <w:t>**CEDEAO-FMI** : renforcement du partenariat (Général Birame Diop) en vue de 2026.</w:t>
      </w:r>
    </w:p>
    <w:p>
      <w:pPr>
        <w:pStyle w:val="ListBullet"/>
        <w:spacing w:before="20" w:after="20"/>
        <w:ind w:left="360"/>
      </w:pPr>
      <w:r>
        <w:rPr>
          <w:sz w:val="18"/>
        </w:rPr>
        <w:t>**Indice des marchés financiers africains** : plus haut niveau en dix ans (beninwebtv).</w:t>
      </w:r>
    </w:p>
    <w:p>
      <w:pPr>
        <w:pStyle w:val="Heading3"/>
      </w:pPr>
      <w:r>
        <w:rPr>
          <w:color w:val="500050"/>
        </w:rPr>
        <w:t>⚡ Impact estimé sur la BRVM</w:t>
      </w:r>
    </w:p>
    <w:p>
      <w:pPr>
        <w:spacing w:before="20" w:after="40"/>
        <w:ind w:left="280"/>
      </w:pPr>
      <w:r>
        <w:rPr>
          <w:i/>
          <w:sz w:val="18"/>
        </w:rPr>
        <w:t>Le narratif "dette + inflation" reste un frein à la notation souveraine des États UEMOA, ce qui limite la capacité d'émission de titres publics et, par ricochet, la concurrence avec les actions BRVM. Le plus haut décennal des marchés africains soutient le sentiment acheteur sur les valeurs liquides (**SGBC**, **ONTBF**, **BOAS**).</w:t>
      </w:r>
    </w:p>
    <w:p>
      <w:pPr>
        <w:pStyle w:val="Heading2"/>
      </w:pPr>
      <w:r>
        <w:rPr>
          <w:color w:val="145A28"/>
        </w:rPr>
        <w:t>🌍 Plan Afrique de l'Ouest</w:t>
      </w:r>
    </w:p>
    <w:p>
      <w:pPr>
        <w:pStyle w:val="ListBullet"/>
        <w:spacing w:before="20" w:after="20"/>
        <w:ind w:left="360"/>
      </w:pPr>
      <w:r>
        <w:rPr>
          <w:sz w:val="18"/>
        </w:rPr>
        <w:t>**CEDEAO** : nomination de Charlyne Brumskine (Libéria) à la tête de la Cour de justice — stabilité institutionnelle.</w:t>
      </w:r>
    </w:p>
    <w:p>
      <w:pPr>
        <w:pStyle w:val="ListBullet"/>
        <w:spacing w:before="20" w:after="20"/>
        <w:ind w:left="360"/>
      </w:pPr>
      <w:r>
        <w:rPr>
          <w:sz w:val="18"/>
        </w:rPr>
        <w:t>**Sénégal** : tensions politiques autour du Pastef et du Conseil constitutionnel (sentiment négatif).</w:t>
      </w:r>
    </w:p>
    <w:p>
      <w:pPr>
        <w:pStyle w:val="ListBullet"/>
        <w:spacing w:before="20" w:after="20"/>
        <w:ind w:left="360"/>
      </w:pPr>
      <w:r>
        <w:rPr>
          <w:sz w:val="18"/>
        </w:rPr>
        <w:t>**Côte d'Ivoire** : passe d'armes gouvernement/PDCI-RDA sur Tidjane Thiam.</w:t>
      </w:r>
    </w:p>
    <w:p>
      <w:pPr>
        <w:pStyle w:val="Heading3"/>
      </w:pPr>
      <w:r>
        <w:rPr>
          <w:color w:val="500050"/>
        </w:rPr>
        <w:t>⚡ Impact estimé sur la BRVM</w:t>
      </w:r>
    </w:p>
    <w:p>
      <w:pPr>
        <w:spacing w:before="20" w:after="40"/>
        <w:ind w:left="280"/>
      </w:pPr>
      <w:r>
        <w:rPr>
          <w:i/>
          <w:sz w:val="18"/>
        </w:rPr>
        <w:t>La stabilité institutionnelle CEDEAO est neutre à légèrement positive pour la confiance régionale. Les tensions sénégalaises et ivoiriennes créent un bruit politique susceptible d'accroître la volatilité sur les financières (**SGBC**, **ECOC**, **BOAS**) et les valeurs ivoiriennes domestiques.</w:t>
      </w:r>
    </w:p>
    <w:p>
      <w:pPr>
        <w:pStyle w:val="Heading2"/>
      </w:pPr>
      <w:r>
        <w:rPr>
          <w:color w:val="8C4600"/>
        </w:rPr>
        <w:t>🏦 Plan UEMOA / Zone Franc</w:t>
      </w:r>
    </w:p>
    <w:p>
      <w:pPr>
        <w:pStyle w:val="ListBullet"/>
        <w:spacing w:before="20" w:after="20"/>
        <w:ind w:left="360"/>
      </w:pPr>
      <w:r>
        <w:rPr>
          <w:sz w:val="18"/>
        </w:rPr>
        <w:t>**Données BCEAO, inflation zone, FCFA, liquidité bancaire** : non fournies dans les actualités collectées.</w:t>
      </w:r>
    </w:p>
    <w:p>
      <w:pPr>
        <w:pStyle w:val="ListBullet"/>
        <w:spacing w:before="20" w:after="20"/>
        <w:ind w:left="360"/>
      </w:pPr>
      <w:r>
        <w:rPr>
          <w:sz w:val="18"/>
        </w:rPr>
        <w:t>**Matières premières (cacao, caoutchouc)** : aucune actualité spécifique fournie.</w:t>
      </w:r>
    </w:p>
    <w:p>
      <w:pPr>
        <w:pStyle w:val="Heading3"/>
      </w:pPr>
      <w:r>
        <w:rPr>
          <w:color w:val="500050"/>
        </w:rPr>
        <w:t>⚡ Impact estimé sur la BRVM</w:t>
      </w:r>
    </w:p>
    <w:p>
      <w:pPr>
        <w:spacing w:before="20" w:after="40"/>
        <w:ind w:left="280"/>
      </w:pPr>
      <w:r>
        <w:rPr>
          <w:i/>
          <w:sz w:val="18"/>
        </w:rPr>
        <w:t>Données insuffisantes pour évaluer précisément l'impact BCEAO. En l'absence d'information sur le cacao, **SLBC** et **SCRC** (CONSOMMATION DE BASE) restent sans catalyseur identifiable dans le corpus fourni.</w:t>
      </w:r>
    </w:p>
    <w:p>
      <w:pPr>
        <w:pStyle w:val="Heading2"/>
      </w:pPr>
      <w:r>
        <w:rPr>
          <w:color w:val="003366"/>
        </w:rPr>
        <w:t>📈 Plan BRVM</w:t>
      </w:r>
    </w:p>
    <w:p>
      <w:pPr>
        <w:pStyle w:val="ListBullet"/>
        <w:spacing w:before="20" w:after="20"/>
        <w:ind w:left="360"/>
      </w:pPr>
      <w:r>
        <w:rPr>
          <w:sz w:val="18"/>
        </w:rPr>
        <w:t>**Résultats des sociétés cotées ivoiriennes** jugés encourageants (La Tribune, 09/06/2026).</w:t>
      </w:r>
    </w:p>
    <w:p>
      <w:pPr>
        <w:pStyle w:val="ListBullet"/>
        <w:spacing w:before="20" w:after="20"/>
        <w:ind w:left="360"/>
      </w:pPr>
      <w:r>
        <w:rPr>
          <w:sz w:val="18"/>
        </w:rPr>
        <w:t>**Indice BRVM Composite** : 537.67 (niveau de référence).</w:t>
      </w:r>
    </w:p>
    <w:p>
      <w:pPr>
        <w:pStyle w:val="ListBullet"/>
        <w:spacing w:before="20" w:after="20"/>
        <w:ind w:left="360"/>
      </w:pPr>
      <w:r>
        <w:rPr>
          <w:sz w:val="18"/>
        </w:rPr>
        <w:t>Aucune IPO, opération sur dividende ou mouvement de volume spécifique rapporté.</w:t>
      </w:r>
    </w:p>
    <w:p>
      <w:pPr>
        <w:pStyle w:val="Heading3"/>
      </w:pPr>
      <w:r>
        <w:rPr>
          <w:color w:val="500050"/>
        </w:rPr>
        <w:t>⚡ Impact estimé sur la BRVM</w:t>
      </w:r>
    </w:p>
    <w:p>
      <w:pPr>
        <w:spacing w:before="20" w:after="40"/>
        <w:ind w:left="280"/>
      </w:pPr>
      <w:r>
        <w:rPr>
          <w:i/>
          <w:sz w:val="18"/>
        </w:rPr>
        <w:t>Le ton positif sur les résultats ivoiriens soutient une posture constructive sur **SGBC**, **ONTBF**, **SIVC** et **SLBC**. Sans données de volumes ni de dividendes, aucune recommandation tactique forte n'est justifiée sur **BICB**, **PALC**, **SOGC**, **ETIT**, **NTLC**, **CFAC**.</w:t>
      </w:r>
    </w:p>
    <w:p>
      <w:pPr>
        <w:pStyle w:val="Heading1"/>
      </w:pPr>
      <w:r>
        <w:rPr>
          <w:color w:val="8C0000"/>
        </w:rPr>
        <w:t>🏛️ 2. ACTUALITÉS POLITIQUES &amp; GÉOPOLITIQUES</w:t>
      </w:r>
    </w:p>
    <w:p>
      <w:pPr>
        <w:pStyle w:val="Heading2"/>
      </w:pPr>
      <w:r>
        <w:rPr>
          <w:color w:val="00467F"/>
        </w:rPr>
        <w:t>🌐 Plan Mondial</w:t>
      </w:r>
    </w:p>
    <w:p>
      <w:pPr>
        <w:pStyle w:val="ListBullet"/>
        <w:spacing w:before="20" w:after="20"/>
        <w:ind w:left="360"/>
      </w:pPr>
      <w:r>
        <w:rPr>
          <w:sz w:val="18"/>
        </w:rPr>
        <w:t>**BCE / dette française** : débat houleux sur l'annulation de dette, Boujnah dénonce une incohérence.</w:t>
      </w:r>
    </w:p>
    <w:p>
      <w:pPr>
        <w:pStyle w:val="ListBullet"/>
        <w:spacing w:before="20" w:after="20"/>
        <w:ind w:left="360"/>
      </w:pPr>
      <w:r>
        <w:rPr>
          <w:sz w:val="18"/>
        </w:rPr>
        <w:t>**Europe** : rebond des marchés malgré pétrole et dollar élevés.</w:t>
      </w:r>
    </w:p>
    <w:p>
      <w:pPr>
        <w:pStyle w:val="ListBullet"/>
        <w:spacing w:before="20" w:after="20"/>
        <w:ind w:left="360"/>
      </w:pPr>
      <w:r>
        <w:rPr>
          <w:sz w:val="18"/>
        </w:rPr>
        <w:t>**Togo-Chine** : réaffirmation du soutien togolais aux positions chinoises (Taïwan, Hongkong, Xinjiang).</w:t>
      </w:r>
    </w:p>
    <w:p>
      <w:pPr>
        <w:pStyle w:val="Heading3"/>
      </w:pPr>
      <w:r>
        <w:rPr>
          <w:color w:val="500050"/>
        </w:rPr>
        <w:t>⚡ Impact estimé sur la BRVM</w:t>
      </w:r>
    </w:p>
    <w:p>
      <w:pPr>
        <w:spacing w:before="20" w:after="40"/>
        <w:ind w:left="280"/>
      </w:pPr>
      <w:r>
        <w:rPr>
          <w:i/>
          <w:sz w:val="18"/>
        </w:rPr>
        <w:t>Le débat BCE sur la dette souveraine entretient une prime de risque sur les obligations européennes, ce qui peut rediriger marginalement des flux vers les rendements UEMOA. La posture pro-chinoise du Togo est neutre pour la BRVM à court terme.</w:t>
      </w:r>
    </w:p>
    <w:p>
      <w:pPr>
        <w:pStyle w:val="Heading2"/>
      </w:pPr>
      <w:r>
        <w:rPr>
          <w:color w:val="006E32"/>
        </w:rPr>
        <w:t>🌍 Plan Africain</w:t>
      </w:r>
    </w:p>
    <w:p>
      <w:pPr>
        <w:pStyle w:val="ListBullet"/>
        <w:spacing w:before="20" w:after="20"/>
        <w:ind w:left="360"/>
      </w:pPr>
      <w:r>
        <w:rPr>
          <w:sz w:val="18"/>
        </w:rPr>
        <w:t>**Burkina Faso** : discours du Capitaine Ibrahim Traoré sur la division interne des révolutions.</w:t>
      </w:r>
    </w:p>
    <w:p>
      <w:pPr>
        <w:pStyle w:val="ListBullet"/>
        <w:spacing w:before="20" w:after="20"/>
        <w:ind w:left="360"/>
      </w:pPr>
      <w:r>
        <w:rPr>
          <w:sz w:val="18"/>
        </w:rPr>
        <w:t>**CEDEAO** : nouvelle présidente de la Cour de justice (Libéria).</w:t>
      </w:r>
    </w:p>
    <w:p>
      <w:pPr>
        <w:pStyle w:val="ListBullet"/>
        <w:spacing w:before="20" w:after="20"/>
        <w:ind w:left="360"/>
      </w:pPr>
      <w:r>
        <w:rPr>
          <w:sz w:val="18"/>
        </w:rPr>
        <w:t>**Sénégal** : tensions Pastef / Conseil constitutionnel.</w:t>
      </w:r>
    </w:p>
    <w:p>
      <w:pPr>
        <w:pStyle w:val="Heading3"/>
      </w:pPr>
      <w:r>
        <w:rPr>
          <w:color w:val="500050"/>
        </w:rPr>
        <w:t>⚡ Impact estimé sur la BRVM</w:t>
      </w:r>
    </w:p>
    <w:p>
      <w:pPr>
        <w:spacing w:before="20" w:after="40"/>
        <w:ind w:left="280"/>
      </w:pPr>
      <w:r>
        <w:rPr>
          <w:i/>
          <w:sz w:val="18"/>
        </w:rPr>
        <w:t>Le discours burkinabè signale une instabilité persistante au Sahel, facteur de risque pour les investisseurs régionaux. La stabilité judiciaire CEDEAO est un signal positif modeste pour la confiance des capitaux.</w:t>
      </w:r>
    </w:p>
    <w:p>
      <w:pPr>
        <w:pStyle w:val="Heading2"/>
      </w:pPr>
      <w:r>
        <w:rPr>
          <w:color w:val="145A28"/>
        </w:rPr>
        <w:t>🌍 Plan Afrique de l'Ouest</w:t>
      </w:r>
    </w:p>
    <w:p>
      <w:pPr>
        <w:pStyle w:val="ListBullet"/>
        <w:spacing w:before="20" w:after="20"/>
        <w:ind w:left="360"/>
      </w:pPr>
      <w:r>
        <w:rPr>
          <w:sz w:val="18"/>
        </w:rPr>
        <w:t>**AES / Burkina** : rhétorique souverainiste persistante.</w:t>
      </w:r>
    </w:p>
    <w:p>
      <w:pPr>
        <w:pStyle w:val="ListBullet"/>
        <w:spacing w:before="20" w:after="20"/>
        <w:ind w:left="360"/>
      </w:pPr>
      <w:r>
        <w:rPr>
          <w:sz w:val="18"/>
        </w:rPr>
        <w:t>**Sénégal** : friction institutionnelle Pastef/Conseil constitutionnel.</w:t>
      </w:r>
    </w:p>
    <w:p>
      <w:pPr>
        <w:pStyle w:val="ListBullet"/>
        <w:spacing w:before="20" w:after="20"/>
        <w:ind w:left="360"/>
      </w:pPr>
      <w:r>
        <w:rPr>
          <w:sz w:val="18"/>
        </w:rPr>
        <w:t>**Togo** : alignement diplomatique sur Pékin.</w:t>
      </w:r>
    </w:p>
    <w:p>
      <w:pPr>
        <w:pStyle w:val="Heading3"/>
      </w:pPr>
      <w:r>
        <w:rPr>
          <w:color w:val="500050"/>
        </w:rPr>
        <w:t>⚡ Impact estimé sur la BRVM</w:t>
      </w:r>
    </w:p>
    <w:p>
      <w:pPr>
        <w:spacing w:before="20" w:after="40"/>
        <w:ind w:left="280"/>
      </w:pPr>
      <w:r>
        <w:rPr>
          <w:i/>
          <w:sz w:val="18"/>
        </w:rPr>
        <w:t>Les risques sécuritaires et institutionnels au Sahel pèsent sur les sociétés ayant une exposition burkinabè ou malienne. Les tensions sénégalaises peuvent affecter indirectement les financières régionales (**BOAS**, **ECOC**).</w:t>
      </w:r>
    </w:p>
    <w:p>
      <w:pPr>
        <w:pStyle w:val="Heading2"/>
      </w:pPr>
      <w:r>
        <w:rPr>
          <w:color w:val="8C4600"/>
        </w:rPr>
        <w:t>🏦 Plan UEMOA / Zone Franc</w:t>
      </w:r>
    </w:p>
    <w:p>
      <w:pPr>
        <w:pStyle w:val="ListBullet"/>
        <w:spacing w:before="20" w:after="20"/>
        <w:ind w:left="360"/>
      </w:pPr>
      <w:r>
        <w:rPr>
          <w:sz w:val="18"/>
        </w:rPr>
        <w:t>**Sénégal** : censure répétée du Conseil constitutionnel contre Pastef.</w:t>
      </w:r>
    </w:p>
    <w:p>
      <w:pPr>
        <w:pStyle w:val="ListBullet"/>
        <w:spacing w:before="20" w:after="20"/>
        <w:ind w:left="360"/>
      </w:pPr>
      <w:r>
        <w:rPr>
          <w:sz w:val="18"/>
        </w:rPr>
        <w:t>**Côte d'Ivoire** : tension politique autour de Tidjane Thiam.</w:t>
      </w:r>
    </w:p>
    <w:p>
      <w:pPr>
        <w:pStyle w:val="ListBullet"/>
        <w:spacing w:before="20" w:after="20"/>
        <w:ind w:left="360"/>
      </w:pPr>
      <w:r>
        <w:rPr>
          <w:sz w:val="18"/>
        </w:rPr>
        <w:t>**Burkina** : discours de la junte.</w:t>
      </w:r>
    </w:p>
    <w:p>
      <w:pPr>
        <w:pStyle w:val="Heading3"/>
      </w:pPr>
      <w:r>
        <w:rPr>
          <w:color w:val="500050"/>
        </w:rPr>
        <w:t>⚡ Impact estimé sur la BRVM</w:t>
      </w:r>
    </w:p>
    <w:p>
      <w:pPr>
        <w:spacing w:before="20" w:after="40"/>
        <w:ind w:left="280"/>
      </w:pPr>
      <w:r>
        <w:rPr>
          <w:i/>
          <w:sz w:val="18"/>
        </w:rPr>
        <w:t>Le risque réglementaire et politique reste contenu mais présent. Les valeurs ivoiriennes (**SGBC**, **SIVC**, **ONTBF**, **SLBC**) restent les plus exposées à un éventuel regain de tension politique domestique.</w:t>
      </w:r>
    </w:p>
    <w:p>
      <w:pPr>
        <w:pStyle w:val="Heading2"/>
      </w:pPr>
      <w:r>
        <w:rPr>
          <w:color w:val="003366"/>
        </w:rPr>
        <w:t>📈 Plan BRVM</w:t>
      </w:r>
    </w:p>
    <w:p>
      <w:pPr>
        <w:pStyle w:val="ListBullet"/>
        <w:spacing w:before="20" w:after="20"/>
        <w:ind w:left="360"/>
      </w:pPr>
      <w:r>
        <w:rPr>
          <w:sz w:val="18"/>
        </w:rPr>
        <w:t>**Réglementation CREPMF, nouvelles cotations, gouvernance** : aucune actualité fournie.</w:t>
      </w:r>
    </w:p>
    <w:p>
      <w:pPr>
        <w:pStyle w:val="Heading3"/>
      </w:pPr>
      <w:r>
        <w:rPr>
          <w:color w:val="500050"/>
        </w:rPr>
        <w:t>⚡ Impact estimé sur la BRVM</w:t>
      </w:r>
    </w:p>
    <w:p>
      <w:pPr>
        <w:spacing w:before="20" w:after="40"/>
        <w:ind w:left="280"/>
      </w:pPr>
      <w:r>
        <w:rPr>
          <w:i/>
          <w:sz w:val="18"/>
        </w:rPr>
        <w:t>Données insuffisantes.</w:t>
      </w:r>
    </w:p>
    <w:p>
      <w:pPr>
        <w:pStyle w:val="Heading1"/>
      </w:pPr>
      <w:r>
        <w:rPr>
          <w:color w:val="006428"/>
        </w:rPr>
        <w:t>💹 3. ACTUALITÉS FINANCIÈRES &amp; MARCHÉS</w:t>
      </w:r>
    </w:p>
    <w:p>
      <w:pPr>
        <w:pStyle w:val="Heading2"/>
      </w:pPr>
      <w:r>
        <w:rPr>
          <w:color w:val="00467F"/>
        </w:rPr>
        <w:t>🌐 Plan Mondial</w:t>
      </w:r>
    </w:p>
    <w:p>
      <w:pPr>
        <w:pStyle w:val="ListBullet"/>
        <w:spacing w:before="20" w:after="20"/>
        <w:ind w:left="360"/>
      </w:pPr>
      <w:r>
        <w:rPr>
          <w:color w:val="008000"/>
          <w:sz w:val="18"/>
        </w:rPr>
        <w:t>**Europe** : rebond à la mi-séance malgré pétrole et dollar en hausse.</w:t>
      </w:r>
    </w:p>
    <w:p>
      <w:pPr>
        <w:pStyle w:val="ListBullet"/>
        <w:spacing w:before="20" w:after="20"/>
        <w:ind w:left="360"/>
      </w:pPr>
      <w:r>
        <w:rPr>
          <w:sz w:val="18"/>
        </w:rPr>
        <w:t>**Euronext / BCE** : Boujnah critique l'annulation de dette BCE.</w:t>
      </w:r>
    </w:p>
    <w:p>
      <w:pPr>
        <w:pStyle w:val="ListBullet"/>
        <w:spacing w:before="20" w:after="20"/>
        <w:ind w:left="360"/>
      </w:pPr>
      <w:r>
        <w:rPr>
          <w:sz w:val="18"/>
        </w:rPr>
        <w:t>**Dette française** : tensions persistantes, soutien BCE jugé peu probable.</w:t>
      </w:r>
    </w:p>
    <w:p>
      <w:pPr>
        <w:pStyle w:val="Heading3"/>
      </w:pPr>
      <w:r>
        <w:rPr>
          <w:color w:val="500050"/>
        </w:rPr>
        <w:t>⚡ Impact estimé sur la BRVM</w:t>
      </w:r>
    </w:p>
    <w:p>
      <w:pPr>
        <w:spacing w:before="20" w:after="40"/>
        <w:ind w:left="280"/>
      </w:pPr>
      <w:r>
        <w:rPr>
          <w:i/>
          <w:sz w:val="18"/>
        </w:rPr>
        <w:t>La résilience européenne est un signal positif pour l'appétit au risque global, bénéfique aux marchés frontières dont la BRVM. La hausse du dollar reste un facteur de pression sur le FCFA (arrimé à l'euro) et sur les importateurs cotés.</w:t>
      </w:r>
    </w:p>
    <w:p>
      <w:pPr>
        <w:pStyle w:val="Heading2"/>
      </w:pPr>
      <w:r>
        <w:rPr>
          <w:color w:val="006E32"/>
        </w:rPr>
        <w:t>🌍 Plan Africain</w:t>
      </w:r>
    </w:p>
    <w:p>
      <w:pPr>
        <w:pStyle w:val="ListBullet"/>
        <w:spacing w:before="20" w:after="20"/>
        <w:ind w:left="360"/>
      </w:pPr>
      <w:r>
        <w:rPr>
          <w:sz w:val="18"/>
        </w:rPr>
        <w:t>**Indice des marchés financiers africains** : plus haut en dix ans.</w:t>
      </w:r>
    </w:p>
    <w:p>
      <w:pPr>
        <w:pStyle w:val="ListBullet"/>
        <w:spacing w:before="20" w:after="20"/>
        <w:ind w:left="360"/>
      </w:pPr>
      <w:r>
        <w:rPr>
          <w:sz w:val="18"/>
        </w:rPr>
        <w:t>**FMI/Banque mondiale** : focus dette et inflation.</w:t>
      </w:r>
    </w:p>
    <w:p>
      <w:pPr>
        <w:pStyle w:val="ListBullet"/>
        <w:spacing w:before="20" w:after="20"/>
        <w:ind w:left="360"/>
      </w:pPr>
      <w:r>
        <w:rPr>
          <w:sz w:val="18"/>
        </w:rPr>
        <w:t>**CEDEAO** : partenariat renforcé avec les IFI.</w:t>
      </w:r>
    </w:p>
    <w:p>
      <w:pPr>
        <w:pStyle w:val="Heading3"/>
      </w:pPr>
      <w:r>
        <w:rPr>
          <w:color w:val="500050"/>
        </w:rPr>
        <w:t>⚡ Impact estimé sur la BRVM</w:t>
      </w:r>
    </w:p>
    <w:p>
      <w:pPr>
        <w:spacing w:before="20" w:after="40"/>
        <w:ind w:left="280"/>
      </w:pPr>
      <w:r>
        <w:rPr>
          <w:i/>
          <w:sz w:val="18"/>
        </w:rPr>
        <w:t>Le plus haut décennal des marchés africains renforce l'attractivité relative de la BRVM dans les allocations frontières. La concurrence pour les capitaux reste toutefois vive avec les autres places africaines.</w:t>
      </w:r>
    </w:p>
    <w:p>
      <w:pPr>
        <w:pStyle w:val="Heading2"/>
      </w:pPr>
      <w:r>
        <w:rPr>
          <w:color w:val="145A28"/>
        </w:rPr>
        <w:t>🌍 Plan Afrique de l'Ouest</w:t>
      </w:r>
    </w:p>
    <w:p>
      <w:pPr>
        <w:pStyle w:val="ListBullet"/>
        <w:spacing w:before="20" w:after="20"/>
        <w:ind w:left="360"/>
      </w:pPr>
      <w:r>
        <w:rPr>
          <w:sz w:val="18"/>
        </w:rPr>
        <w:t>**Bourses régionales concurrentes** : aucune donnée fournie.</w:t>
      </w:r>
    </w:p>
    <w:p>
      <w:pPr>
        <w:pStyle w:val="ListBullet"/>
        <w:spacing w:before="20" w:after="20"/>
        <w:ind w:left="360"/>
      </w:pPr>
      <w:r>
        <w:rPr>
          <w:sz w:val="18"/>
        </w:rPr>
        <w:t>**Flux de capitaux sous-régionaux** : aucune donnée fournie.</w:t>
      </w:r>
    </w:p>
    <w:p>
      <w:pPr>
        <w:pStyle w:val="Heading3"/>
      </w:pPr>
      <w:r>
        <w:rPr>
          <w:color w:val="500050"/>
        </w:rPr>
        <w:t>⚡ Impact estimé sur la BRVM</w:t>
      </w:r>
    </w:p>
    <w:p>
      <w:pPr>
        <w:spacing w:before="20" w:after="40"/>
        <w:ind w:left="280"/>
      </w:pPr>
      <w:r>
        <w:rPr>
          <w:i/>
          <w:sz w:val="18"/>
        </w:rPr>
        <w:t>Données insuffisantes.</w:t>
      </w:r>
    </w:p>
    <w:p>
      <w:pPr>
        <w:pStyle w:val="Heading2"/>
      </w:pPr>
      <w:r>
        <w:rPr>
          <w:color w:val="8C4600"/>
        </w:rPr>
        <w:t>🏦 Plan UEMOA / Zone Franc</w:t>
      </w:r>
    </w:p>
    <w:p>
      <w:pPr>
        <w:pStyle w:val="ListBullet"/>
        <w:spacing w:before="20" w:after="20"/>
        <w:ind w:left="360"/>
      </w:pPr>
      <w:r>
        <w:rPr>
          <w:sz w:val="18"/>
        </w:rPr>
        <w:t>**Marché des titres publics, taux interbancaire, liquidité** : aucune donnée fournie.</w:t>
      </w:r>
    </w:p>
    <w:p>
      <w:pPr>
        <w:pStyle w:val="Heading3"/>
      </w:pPr>
      <w:r>
        <w:rPr>
          <w:color w:val="500050"/>
        </w:rPr>
        <w:t>⚡ Impact estimé sur la BRVM</w:t>
      </w:r>
    </w:p>
    <w:p>
      <w:pPr>
        <w:spacing w:before="20" w:after="40"/>
        <w:ind w:left="280"/>
      </w:pPr>
      <w:r>
        <w:rPr>
          <w:i/>
          <w:sz w:val="18"/>
        </w:rPr>
        <w:t>Données insuffisantes. En l'absence d'information sur les taux publics UEMOA, l'arbitrage titres publics/actions BRVM ne peut être évalué.</w:t>
      </w:r>
    </w:p>
    <w:p>
      <w:pPr>
        <w:pStyle w:val="Heading2"/>
      </w:pPr>
      <w:r>
        <w:rPr>
          <w:color w:val="003366"/>
        </w:rPr>
        <w:t>📈 Plan BRVM</w:t>
      </w:r>
    </w:p>
    <w:p>
      <w:pPr>
        <w:pStyle w:val="ListBullet"/>
        <w:spacing w:before="20" w:after="20"/>
        <w:ind w:left="360"/>
      </w:pPr>
      <w:r>
        <w:rPr>
          <w:sz w:val="18"/>
        </w:rPr>
        <w:t>**Indice BRVM Composite** : 537.67.</w:t>
      </w:r>
    </w:p>
    <w:p>
      <w:pPr>
        <w:pStyle w:val="ListBullet"/>
        <w:spacing w:before="20" w:after="20"/>
        <w:ind w:left="360"/>
      </w:pPr>
      <w:r>
        <w:rPr>
          <w:sz w:val="18"/>
        </w:rPr>
        <w:t>**Résultats ivoiriens encourageants** (La Tribune).</w:t>
      </w:r>
    </w:p>
    <w:p>
      <w:pPr>
        <w:pStyle w:val="ListBullet"/>
        <w:spacing w:before="20" w:after="20"/>
        <w:ind w:left="360"/>
      </w:pPr>
      <w:r>
        <w:rPr>
          <w:sz w:val="18"/>
        </w:rPr>
        <w:t>**Top/flop, volumes, dividendes** : non fournis.</w:t>
      </w:r>
    </w:p>
    <w:p>
      <w:pPr>
        <w:pStyle w:val="Heading3"/>
      </w:pPr>
      <w:r>
        <w:rPr>
          <w:color w:val="500050"/>
        </w:rPr>
        <w:t>⚡ Impact estimé sur la BRVM</w:t>
      </w:r>
    </w:p>
    <w:p>
      <w:pPr>
        <w:spacing w:before="20" w:after="40"/>
        <w:ind w:left="280"/>
      </w:pPr>
      <w:r>
        <w:rPr>
          <w:i/>
          <w:sz w:val="18"/>
        </w:rPr>
        <w:t>Sentiment globalement constructif sur les valeurs ivoiriennes de qualité : **SGBC**, **ONTBF**, **SIVC**, **SLBC** — biais acheteur prudent. **BOAS**, **ECOC**, **CFAC**, **NTLC**, **PALC**, **SOGC**, **ETIT**, **BICB** : pas de signal spécifique dans le corpus, recommandation neutre.</w:t>
      </w:r>
    </w:p>
    <w:p>
      <w:pPr>
        <w:pStyle w:val="Heading1"/>
      </w:pPr>
      <w:r>
        <w:rPr>
          <w:color w:val="003366"/>
        </w:rPr>
        <w:t>🎯 SYNTHÈSE &amp; RECOMMANDATION FINALE</w:t>
      </w:r>
    </w:p>
    <w:p>
      <w:pPr>
        <w:spacing w:before="120"/>
      </w:pPr>
      <w:r>
        <w:rPr>
          <w:b/>
          <w:color w:val="C85000"/>
          <w:sz w:val="22"/>
        </w:rPr>
        <w:t>**Niveau d'alerte global pour un investisseur BRVM : ORANGE**</w:t>
      </w:r>
    </w:p>
    <w:p>
      <w:pPr>
        <w:spacing w:before="20" w:after="40"/>
        <w:ind w:left="0"/>
      </w:pPr>
      <w:r>
        <w:rPr>
          <w:sz w:val="18"/>
        </w:rPr>
        <w:t>Le contexte macro reste globalement porteur (résilience européenne, plus haut décennal des marchés africains, résultats ivoiriens encourageants), mais plusieurs facteurs de vigilance persistent : hausse conjointe du pétrole et du dollar, tensions sur la dette française et la BCE, frictions politiques au Sénégal et en Côte d'Ivoire, instabilité sahélienne. Recommandation : privilégier les valeurs ivoiriennes liquides et défensives (**SGBC**, **ONTBF**, **SLBC**, **SIVC**) avec une exposition modérée, et rester neutre sur les titres sans catalyseur identifié (**PALC**, **SOGC**, **ETIT**, **NTLC**, **BICB**, **CFAC**). Surveillance renforcée des développements BCEAO et des matières premières (cacao, caoutchouc) non couverts par le corpus fourni.</w:t>
      </w:r>
    </w:p>
    <w:p/>
    <w:p>
      <w:pPr>
        <w:pStyle w:val="Heading3"/>
      </w:pPr>
      <w:r>
        <w:t>📋 Sources utilisées pour cette analyse</w:t>
      </w:r>
    </w:p>
    <w:p>
      <w:pPr>
        <w:pStyle w:val="Heading4"/>
      </w:pPr>
      <w:r>
        <w:t>📊 Macro-économique</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2026-10-12</w:t>
            </w:r>
          </w:p>
        </w:tc>
        <w:tc>
          <w:tcPr>
            <w:tcW w:type="dxa" w:w="1728"/>
          </w:tcPr>
          <w:p>
            <w:r>
              <w:rPr>
                <w:sz w:val="14"/>
              </w:rPr>
              <w:t>A la mi-séance : L'Europe rebondit malgré la hausse du prix du pétrole</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2026-10-13</w:t>
            </w:r>
          </w:p>
        </w:tc>
        <w:tc>
          <w:tcPr>
            <w:tcW w:type="dxa" w:w="1728"/>
          </w:tcPr>
          <w:p>
            <w:r>
              <w:rPr>
                <w:sz w:val="14"/>
              </w:rPr>
              <w:t>Annuler la dette détenue par la BCE ? «Soit il se trompe, soit il ment</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2026-10-14</w:t>
            </w:r>
          </w:p>
        </w:tc>
        <w:tc>
          <w:tcPr>
            <w:tcW w:type="dxa" w:w="1728"/>
          </w:tcPr>
          <w:p>
            <w:r>
              <w:rPr>
                <w:sz w:val="14"/>
              </w:rPr>
              <w:t>Tensions sur la dette française : l'aide de la BCE peu probable - Yaho</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2026-10-11</w:t>
            </w:r>
          </w:p>
        </w:tc>
        <w:tc>
          <w:tcPr>
            <w:tcW w:type="dxa" w:w="1728"/>
          </w:tcPr>
          <w:p>
            <w:r>
              <w:rPr>
                <w:sz w:val="14"/>
              </w:rPr>
              <w:t>Utiliser l’IA pour prévoir l’évolution de la Bourse - Les Affaires</w:t>
            </w:r>
          </w:p>
        </w:tc>
        <w:tc>
          <w:tcPr>
            <w:tcW w:type="dxa" w:w="1728"/>
          </w:tcPr>
          <w:p>
            <w:r>
              <w:rPr>
                <w:sz w:val="14"/>
              </w:rPr>
              <w:t>Neutre</w:t>
            </w:r>
          </w:p>
        </w:tc>
        <w:tc>
          <w:tcPr>
            <w:tcW w:type="dxa" w:w="1728"/>
          </w:tcPr>
          <w:p>
            <w:r>
              <w:rPr>
                <w:sz w:val="14"/>
              </w:rPr>
              <w:t>Neutre</w:t>
            </w:r>
          </w:p>
        </w:tc>
        <w:tc>
          <w:tcPr>
            <w:tcW w:type="dxa" w:w="1728"/>
          </w:tcPr>
          <w:p>
            <w:r>
              <w:rPr>
                <w:sz w:val="14"/>
              </w:rPr>
              <w:t>Google News — marchés financie</w:t>
            </w:r>
          </w:p>
        </w:tc>
      </w:tr>
      <w:tr>
        <w:tc>
          <w:tcPr>
            <w:tcW w:type="dxa" w:w="1728"/>
          </w:tcPr>
          <w:p>
            <w:r>
              <w:rPr>
                <w:sz w:val="14"/>
              </w:rPr>
              <w:t>2026-10-14</w:t>
            </w:r>
          </w:p>
        </w:tc>
        <w:tc>
          <w:tcPr>
            <w:tcW w:type="dxa" w:w="1728"/>
          </w:tcPr>
          <w:p>
            <w:r>
              <w:rPr>
                <w:sz w:val="14"/>
              </w:rPr>
              <w:t xml:space="preserve">Les prix à la production en Chine s'accélèrent tandis que l'inflation </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2026-10-09</w:t>
            </w:r>
          </w:p>
        </w:tc>
        <w:tc>
          <w:tcPr>
            <w:tcW w:type="dxa" w:w="1728"/>
          </w:tcPr>
          <w:p>
            <w:r>
              <w:rPr>
                <w:sz w:val="14"/>
              </w:rPr>
              <w:t>La Banque centrale européenne relève ses taux face aux risques inflati</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BCE taux euro zo</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2026-10-12</w:t>
            </w:r>
          </w:p>
        </w:tc>
        <w:tc>
          <w:tcPr>
            <w:tcW w:type="dxa" w:w="1728"/>
          </w:tcPr>
          <w:p>
            <w:r>
              <w:rPr>
                <w:sz w:val="14"/>
              </w:rPr>
              <w:t xml:space="preserve">Sénégal, Gabon, croissance : les dossiers africains des assemblées du </w:t>
            </w:r>
          </w:p>
        </w:tc>
        <w:tc>
          <w:tcPr>
            <w:tcW w:type="dxa" w:w="1728"/>
          </w:tcPr>
          <w:p>
            <w:r>
              <w:rPr>
                <w:sz w:val="14"/>
              </w:rPr>
              <w:t>Neutre</w:t>
            </w:r>
          </w:p>
        </w:tc>
        <w:tc>
          <w:tcPr>
            <w:tcW w:type="dxa" w:w="1728"/>
          </w:tcPr>
          <w:p>
            <w:r>
              <w:rPr>
                <w:sz w:val="14"/>
              </w:rPr>
              <w:t>Neutre</w:t>
            </w:r>
          </w:p>
        </w:tc>
        <w:tc>
          <w:tcPr>
            <w:tcW w:type="dxa" w:w="1728"/>
          </w:tcPr>
          <w:p>
            <w:r>
              <w:rPr>
                <w:sz w:val="14"/>
              </w:rPr>
              <w:t>Google News — FMI Banque Mondi</w:t>
            </w:r>
          </w:p>
        </w:tc>
      </w:tr>
      <w:tr>
        <w:tc>
          <w:tcPr>
            <w:tcW w:type="dxa" w:w="1728"/>
          </w:tcPr>
          <w:p>
            <w:r>
              <w:rPr>
                <w:sz w:val="14"/>
              </w:rPr>
              <w:t>2026-10-11</w:t>
            </w:r>
          </w:p>
        </w:tc>
        <w:tc>
          <w:tcPr>
            <w:tcW w:type="dxa" w:w="1728"/>
          </w:tcPr>
          <w:p>
            <w:r>
              <w:rPr>
                <w:sz w:val="14"/>
              </w:rPr>
              <w:t>FMI-Banque mondiale : à Bangkok, l’Afrique face à la dette et à l’infl</w:t>
            </w:r>
          </w:p>
        </w:tc>
        <w:tc>
          <w:tcPr>
            <w:tcW w:type="dxa" w:w="1728"/>
          </w:tcPr>
          <w:p>
            <w:r>
              <w:rPr>
                <w:sz w:val="14"/>
              </w:rPr>
              <w:t>Neutre</w:t>
            </w:r>
          </w:p>
        </w:tc>
        <w:tc>
          <w:tcPr>
            <w:tcW w:type="dxa" w:w="1728"/>
          </w:tcPr>
          <w:p>
            <w:r>
              <w:rPr>
                <w:sz w:val="14"/>
              </w:rPr>
              <w:t>Neutre</w:t>
            </w:r>
          </w:p>
        </w:tc>
        <w:tc>
          <w:tcPr>
            <w:tcW w:type="dxa" w:w="1728"/>
          </w:tcPr>
          <w:p>
            <w:r>
              <w:rPr>
                <w:sz w:val="14"/>
              </w:rPr>
              <w:t>Google News — FMI Banque Mondi</w:t>
            </w:r>
          </w:p>
        </w:tc>
      </w:tr>
      <w:tr>
        <w:tc>
          <w:tcPr>
            <w:tcW w:type="dxa" w:w="1728"/>
          </w:tcPr>
          <w:p>
            <w:r>
              <w:rPr>
                <w:sz w:val="14"/>
              </w:rPr>
              <w:t>2026-10-06</w:t>
            </w:r>
          </w:p>
        </w:tc>
        <w:tc>
          <w:tcPr>
            <w:tcW w:type="dxa" w:w="1728"/>
          </w:tcPr>
          <w:p>
            <w:r>
              <w:rPr>
                <w:sz w:val="14"/>
              </w:rPr>
              <w:t>CEDEAO : le Général Birame Diop renforce le partenariat avec le FMI et</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FMI Banque Mondi</w:t>
            </w:r>
          </w:p>
        </w:tc>
      </w:tr>
      <w:tr>
        <w:tc>
          <w:tcPr>
            <w:tcW w:type="dxa" w:w="1728"/>
          </w:tcPr>
          <w:p>
            <w:r>
              <w:rPr>
                <w:sz w:val="14"/>
              </w:rPr>
              <w:t>2026-10-01</w:t>
            </w:r>
          </w:p>
        </w:tc>
        <w:tc>
          <w:tcPr>
            <w:tcW w:type="dxa" w:w="1728"/>
          </w:tcPr>
          <w:p>
            <w:r>
              <w:rPr>
                <w:sz w:val="14"/>
              </w:rPr>
              <w:t>Afrique : une croissance solide face au défi de l’investissement [Busi</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Afrique économie</w:t>
            </w:r>
          </w:p>
        </w:tc>
      </w:tr>
      <w:tr>
        <w:tc>
          <w:tcPr>
            <w:tcW w:type="dxa" w:w="1728"/>
          </w:tcPr>
          <w:p>
            <w:r>
              <w:rPr>
                <w:sz w:val="14"/>
              </w:rPr>
              <w:t>2026-09-23</w:t>
            </w:r>
          </w:p>
        </w:tc>
        <w:tc>
          <w:tcPr>
            <w:tcW w:type="dxa" w:w="1728"/>
          </w:tcPr>
          <w:p>
            <w:r>
              <w:rPr>
                <w:sz w:val="14"/>
              </w:rPr>
              <w:t>Dette : l'Afrique reste accro au dollar malgré l'offensive de la Chine</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Afrique marchés </w:t>
            </w:r>
          </w:p>
        </w:tc>
      </w:tr>
      <w:tr>
        <w:tc>
          <w:tcPr>
            <w:tcW w:type="dxa" w:w="1728"/>
          </w:tcPr>
          <w:p>
            <w:r>
              <w:rPr>
                <w:sz w:val="14"/>
              </w:rPr>
              <w:t>2026-09-26</w:t>
            </w:r>
          </w:p>
        </w:tc>
        <w:tc>
          <w:tcPr>
            <w:tcW w:type="dxa" w:w="1728"/>
          </w:tcPr>
          <w:p>
            <w:r>
              <w:rPr>
                <w:sz w:val="14"/>
              </w:rPr>
              <w:t>Investissement et emploi : le plaidoyer d'Amara pour la transformation</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Afrique économie</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2026-10-14</w:t>
            </w:r>
          </w:p>
        </w:tc>
        <w:tc>
          <w:tcPr>
            <w:tcW w:type="dxa" w:w="1728"/>
          </w:tcPr>
          <w:p>
            <w:r>
              <w:rPr>
                <w:sz w:val="14"/>
              </w:rPr>
              <w:t xml:space="preserve">CEDEAO : La Libérienne Charlyne M. Brumskine prend la tête de la Cour </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2026-10-14</w:t>
            </w:r>
          </w:p>
        </w:tc>
        <w:tc>
          <w:tcPr>
            <w:tcW w:type="dxa" w:w="1728"/>
          </w:tcPr>
          <w:p>
            <w:r>
              <w:rPr>
                <w:sz w:val="14"/>
              </w:rPr>
              <w:t>Cedeao : La Libérienne Charlyne Brumskine élue présidente de la Cour d</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2026-10-14</w:t>
            </w:r>
          </w:p>
        </w:tc>
        <w:tc>
          <w:tcPr>
            <w:tcW w:type="dxa" w:w="1728"/>
          </w:tcPr>
          <w:p>
            <w:r>
              <w:rPr>
                <w:sz w:val="14"/>
              </w:rPr>
              <w:t>The index of African financial markets reaches its highest score in te</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Nigeria Ghana fi</w:t>
            </w:r>
          </w:p>
        </w:tc>
      </w:tr>
      <w:tr>
        <w:tc>
          <w:tcPr>
            <w:tcW w:type="dxa" w:w="1728"/>
          </w:tcPr>
          <w:p>
            <w:r>
              <w:rPr>
                <w:sz w:val="14"/>
              </w:rPr>
              <w:t>2026-10-12</w:t>
            </w:r>
          </w:p>
        </w:tc>
        <w:tc>
          <w:tcPr>
            <w:tcW w:type="dxa" w:w="1728"/>
          </w:tcPr>
          <w:p>
            <w:r>
              <w:rPr>
                <w:sz w:val="14"/>
              </w:rPr>
              <w:t xml:space="preserve">Forum parlementaire mondial : Hadja Mémounatou Ibrahima représente le </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2026-10-09</w:t>
            </w:r>
          </w:p>
        </w:tc>
        <w:tc>
          <w:tcPr>
            <w:tcW w:type="dxa" w:w="1728"/>
          </w:tcPr>
          <w:p>
            <w:r>
              <w:rPr>
                <w:sz w:val="14"/>
              </w:rPr>
              <w:t>Cedeao : Parlement, le Président Faye appelle à renforcer l'intégratio</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2026-10-09</w:t>
            </w:r>
          </w:p>
        </w:tc>
        <w:tc>
          <w:tcPr>
            <w:tcW w:type="dxa" w:w="1728"/>
          </w:tcPr>
          <w:p>
            <w:r>
              <w:rPr>
                <w:sz w:val="14"/>
              </w:rPr>
              <w:t>Guinée-Bissau: la Cedeao appelle au dialogue face au vote bloqué - tv5</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CEDEAO Afrique O</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2026-10-15</w:t>
            </w:r>
          </w:p>
        </w:tc>
        <w:tc>
          <w:tcPr>
            <w:tcW w:type="dxa" w:w="1728"/>
          </w:tcPr>
          <w:p>
            <w:r>
              <w:rPr>
                <w:sz w:val="14"/>
              </w:rPr>
              <w:t xml:space="preserve">Burkina Faso : « Une révolution ne meurt pas de ses ennemis du dehors </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2026-10-16</w:t>
            </w:r>
          </w:p>
        </w:tc>
        <w:tc>
          <w:tcPr>
            <w:tcW w:type="dxa" w:w="1728"/>
          </w:tcPr>
          <w:p>
            <w:r>
              <w:rPr>
                <w:sz w:val="14"/>
              </w:rPr>
              <w:t>Taïwan, Hongkong, Xinjiang : le Togo réaffirme son soutien aux positio</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2026-10-16</w:t>
            </w:r>
          </w:p>
        </w:tc>
        <w:tc>
          <w:tcPr>
            <w:tcW w:type="dxa" w:w="1728"/>
          </w:tcPr>
          <w:p>
            <w:r>
              <w:rPr>
                <w:sz w:val="14"/>
              </w:rPr>
              <w:t>Au Sénégal, pourquoi Pastef se heurte à répétition à la censure du Con</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r>
        <w:tc>
          <w:tcPr>
            <w:tcW w:type="dxa" w:w="1728"/>
          </w:tcPr>
          <w:p>
            <w:r>
              <w:rPr>
                <w:sz w:val="14"/>
              </w:rPr>
              <w:t>2026-10-16</w:t>
            </w:r>
          </w:p>
        </w:tc>
        <w:tc>
          <w:tcPr>
            <w:tcW w:type="dxa" w:w="1728"/>
          </w:tcPr>
          <w:p>
            <w:r>
              <w:rPr>
                <w:sz w:val="14"/>
              </w:rPr>
              <w:t>Côte d'Ivoire : Probable rejet du dialogue national sur l'organe élect</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politique Côte d</w:t>
            </w:r>
          </w:p>
        </w:tc>
      </w:tr>
      <w:tr>
        <w:tc>
          <w:tcPr>
            <w:tcW w:type="dxa" w:w="1728"/>
          </w:tcPr>
          <w:p>
            <w:r>
              <w:rPr>
                <w:sz w:val="14"/>
              </w:rPr>
              <w:t>2026-10-15</w:t>
            </w:r>
          </w:p>
        </w:tc>
        <w:tc>
          <w:tcPr>
            <w:tcW w:type="dxa" w:w="1728"/>
          </w:tcPr>
          <w:p>
            <w:r>
              <w:rPr>
                <w:sz w:val="14"/>
              </w:rPr>
              <w:t>Côte d'Ivoire : Le Gouvernement réagit aux déclarations du PDCI-RDA su</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politique Côte d</w:t>
            </w:r>
          </w:p>
        </w:tc>
      </w:tr>
      <w:tr>
        <w:tc>
          <w:tcPr>
            <w:tcW w:type="dxa" w:w="1728"/>
          </w:tcPr>
          <w:p>
            <w:r>
              <w:rPr>
                <w:sz w:val="14"/>
              </w:rPr>
              <w:t>2026-10-15</w:t>
            </w:r>
          </w:p>
        </w:tc>
        <w:tc>
          <w:tcPr>
            <w:tcW w:type="dxa" w:w="1728"/>
          </w:tcPr>
          <w:p>
            <w:r>
              <w:rPr>
                <w:sz w:val="14"/>
              </w:rPr>
              <w:t>Côte d'Ivoire : Nouvel organe électoral, le RHDP remet ses proposition</w:t>
            </w:r>
          </w:p>
        </w:tc>
        <w:tc>
          <w:tcPr>
            <w:tcW w:type="dxa" w:w="1728"/>
          </w:tcPr>
          <w:p>
            <w:r>
              <w:rPr>
                <w:sz w:val="14"/>
              </w:rPr>
              <w:t>Neutre</w:t>
            </w:r>
          </w:p>
        </w:tc>
        <w:tc>
          <w:tcPr>
            <w:tcW w:type="dxa" w:w="1728"/>
          </w:tcPr>
          <w:p>
            <w:r>
              <w:rPr>
                <w:sz w:val="14"/>
              </w:rPr>
              <w:t>Neutre</w:t>
            </w:r>
          </w:p>
        </w:tc>
        <w:tc>
          <w:tcPr>
            <w:tcW w:type="dxa" w:w="1728"/>
          </w:tcPr>
          <w:p>
            <w:r>
              <w:rPr>
                <w:sz w:val="14"/>
              </w:rPr>
              <w:t>Google News — politique Côte d</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2026-06-09</w:t>
            </w:r>
          </w:p>
        </w:tc>
        <w:tc>
          <w:tcPr>
            <w:tcW w:type="dxa" w:w="1728"/>
          </w:tcPr>
          <w:p>
            <w:r>
              <w:rPr>
                <w:sz w:val="14"/>
              </w:rPr>
              <w:t>A la Bourse régionale des valeurs mobilières, les résultats encouragea</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BRVM sociétés co</w:t>
            </w:r>
          </w:p>
        </w:tc>
      </w:tr>
    </w:tbl>
    <w:p/>
    <w:p>
      <w:pPr>
        <w:pStyle w:val="Heading4"/>
      </w:pPr>
      <w:r>
        <w:t>🏛️ Politique &amp; Géopolitique</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2026-10-12</w:t>
            </w:r>
          </w:p>
        </w:tc>
        <w:tc>
          <w:tcPr>
            <w:tcW w:type="dxa" w:w="1728"/>
          </w:tcPr>
          <w:p>
            <w:r>
              <w:rPr>
                <w:sz w:val="14"/>
              </w:rPr>
              <w:t>A la mi-séance : L'Europe rebondit malgré la hausse du prix du pétrole</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2026-10-15</w:t>
            </w:r>
          </w:p>
        </w:tc>
        <w:tc>
          <w:tcPr>
            <w:tcW w:type="dxa" w:w="1728"/>
          </w:tcPr>
          <w:p>
            <w:r>
              <w:rPr>
                <w:sz w:val="14"/>
              </w:rPr>
              <w:t xml:space="preserve">Burkina Faso : « Une révolution ne meurt pas de ses ennemis du dehors </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2026-10-16</w:t>
            </w:r>
          </w:p>
        </w:tc>
        <w:tc>
          <w:tcPr>
            <w:tcW w:type="dxa" w:w="1728"/>
          </w:tcPr>
          <w:p>
            <w:r>
              <w:rPr>
                <w:sz w:val="14"/>
              </w:rPr>
              <w:t>Taïwan, Hongkong, Xinjiang : le Togo réaffirme son soutien aux positio</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2026-10-16</w:t>
            </w:r>
          </w:p>
        </w:tc>
        <w:tc>
          <w:tcPr>
            <w:tcW w:type="dxa" w:w="1728"/>
          </w:tcPr>
          <w:p>
            <w:r>
              <w:rPr>
                <w:sz w:val="14"/>
              </w:rPr>
              <w:t>Au Sénégal, pourquoi Pastef se heurte à répétition à la censure du Con</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r>
        <w:tc>
          <w:tcPr>
            <w:tcW w:type="dxa" w:w="1728"/>
          </w:tcPr>
          <w:p>
            <w:r>
              <w:rPr>
                <w:sz w:val="14"/>
              </w:rPr>
              <w:t>2026-10-16</w:t>
            </w:r>
          </w:p>
        </w:tc>
        <w:tc>
          <w:tcPr>
            <w:tcW w:type="dxa" w:w="1728"/>
          </w:tcPr>
          <w:p>
            <w:r>
              <w:rPr>
                <w:sz w:val="14"/>
              </w:rPr>
              <w:t>Côte d'Ivoire : Probable rejet du dialogue national sur l'organe élect</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politique Côte d</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2026-10-14</w:t>
            </w:r>
          </w:p>
        </w:tc>
        <w:tc>
          <w:tcPr>
            <w:tcW w:type="dxa" w:w="1728"/>
          </w:tcPr>
          <w:p>
            <w:r>
              <w:rPr>
                <w:sz w:val="14"/>
              </w:rPr>
              <w:t xml:space="preserve">CEDEAO : La Libérienne Charlyne M. Brumskine prend la tête de la Cour </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2026-10-15</w:t>
            </w:r>
          </w:p>
        </w:tc>
        <w:tc>
          <w:tcPr>
            <w:tcW w:type="dxa" w:w="1728"/>
          </w:tcPr>
          <w:p>
            <w:r>
              <w:rPr>
                <w:sz w:val="14"/>
              </w:rPr>
              <w:t xml:space="preserve">Burkina Faso : « Une révolution ne meurt pas de ses ennemis du dehors </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2026-10-16</w:t>
            </w:r>
          </w:p>
        </w:tc>
        <w:tc>
          <w:tcPr>
            <w:tcW w:type="dxa" w:w="1728"/>
          </w:tcPr>
          <w:p>
            <w:r>
              <w:rPr>
                <w:sz w:val="14"/>
              </w:rPr>
              <w:t>Taïwan, Hongkong, Xinjiang : le Togo réaffirme son soutien aux positio</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2026-10-16</w:t>
            </w:r>
          </w:p>
        </w:tc>
        <w:tc>
          <w:tcPr>
            <w:tcW w:type="dxa" w:w="1728"/>
          </w:tcPr>
          <w:p>
            <w:r>
              <w:rPr>
                <w:sz w:val="14"/>
              </w:rPr>
              <w:t>Au Sénégal, pourquoi Pastef se heurte à répétition à la censure du Con</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r>
        <w:tc>
          <w:tcPr>
            <w:tcW w:type="dxa" w:w="1728"/>
          </w:tcPr>
          <w:p>
            <w:r>
              <w:rPr>
                <w:sz w:val="14"/>
              </w:rPr>
              <w:t>2026-10-16</w:t>
            </w:r>
          </w:p>
        </w:tc>
        <w:tc>
          <w:tcPr>
            <w:tcW w:type="dxa" w:w="1728"/>
          </w:tcPr>
          <w:p>
            <w:r>
              <w:rPr>
                <w:sz w:val="14"/>
              </w:rPr>
              <w:t>Côte d'Ivoire : Probable rejet du dialogue national sur l'organe élect</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politique Côte d</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2026-10-14</w:t>
            </w:r>
          </w:p>
        </w:tc>
        <w:tc>
          <w:tcPr>
            <w:tcW w:type="dxa" w:w="1728"/>
          </w:tcPr>
          <w:p>
            <w:r>
              <w:rPr>
                <w:sz w:val="14"/>
              </w:rPr>
              <w:t xml:space="preserve">CEDEAO : La Libérienne Charlyne M. Brumskine prend la tête de la Cour </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2026-10-15</w:t>
            </w:r>
          </w:p>
        </w:tc>
        <w:tc>
          <w:tcPr>
            <w:tcW w:type="dxa" w:w="1728"/>
          </w:tcPr>
          <w:p>
            <w:r>
              <w:rPr>
                <w:sz w:val="14"/>
              </w:rPr>
              <w:t xml:space="preserve">Burkina Faso : « Une révolution ne meurt pas de ses ennemis du dehors </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2026-10-16</w:t>
            </w:r>
          </w:p>
        </w:tc>
        <w:tc>
          <w:tcPr>
            <w:tcW w:type="dxa" w:w="1728"/>
          </w:tcPr>
          <w:p>
            <w:r>
              <w:rPr>
                <w:sz w:val="14"/>
              </w:rPr>
              <w:t>Taïwan, Hongkong, Xinjiang : le Togo réaffirme son soutien aux positio</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2026-10-16</w:t>
            </w:r>
          </w:p>
        </w:tc>
        <w:tc>
          <w:tcPr>
            <w:tcW w:type="dxa" w:w="1728"/>
          </w:tcPr>
          <w:p>
            <w:r>
              <w:rPr>
                <w:sz w:val="14"/>
              </w:rPr>
              <w:t>Au Sénégal, pourquoi Pastef se heurte à répétition à la censure du Con</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r>
        <w:tc>
          <w:tcPr>
            <w:tcW w:type="dxa" w:w="1728"/>
          </w:tcPr>
          <w:p>
            <w:r>
              <w:rPr>
                <w:sz w:val="14"/>
              </w:rPr>
              <w:t>2026-10-16</w:t>
            </w:r>
          </w:p>
        </w:tc>
        <w:tc>
          <w:tcPr>
            <w:tcW w:type="dxa" w:w="1728"/>
          </w:tcPr>
          <w:p>
            <w:r>
              <w:rPr>
                <w:sz w:val="14"/>
              </w:rPr>
              <w:t>Côte d'Ivoire : Probable rejet du dialogue national sur l'organe élect</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politique Côte d</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2026-10-15</w:t>
            </w:r>
          </w:p>
        </w:tc>
        <w:tc>
          <w:tcPr>
            <w:tcW w:type="dxa" w:w="1728"/>
          </w:tcPr>
          <w:p>
            <w:r>
              <w:rPr>
                <w:sz w:val="14"/>
              </w:rPr>
              <w:t xml:space="preserve">Burkina Faso : « Une révolution ne meurt pas de ses ennemis du dehors </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2026-10-16</w:t>
            </w:r>
          </w:p>
        </w:tc>
        <w:tc>
          <w:tcPr>
            <w:tcW w:type="dxa" w:w="1728"/>
          </w:tcPr>
          <w:p>
            <w:r>
              <w:rPr>
                <w:sz w:val="14"/>
              </w:rPr>
              <w:t>Taïwan, Hongkong, Xinjiang : le Togo réaffirme son soutien aux positio</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2026-10-16</w:t>
            </w:r>
          </w:p>
        </w:tc>
        <w:tc>
          <w:tcPr>
            <w:tcW w:type="dxa" w:w="1728"/>
          </w:tcPr>
          <w:p>
            <w:r>
              <w:rPr>
                <w:sz w:val="14"/>
              </w:rPr>
              <w:t>Au Sénégal, pourquoi Pastef se heurte à répétition à la censure du Con</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r>
        <w:tc>
          <w:tcPr>
            <w:tcW w:type="dxa" w:w="1728"/>
          </w:tcPr>
          <w:p>
            <w:r>
              <w:rPr>
                <w:sz w:val="14"/>
              </w:rPr>
              <w:t>2026-10-16</w:t>
            </w:r>
          </w:p>
        </w:tc>
        <w:tc>
          <w:tcPr>
            <w:tcW w:type="dxa" w:w="1728"/>
          </w:tcPr>
          <w:p>
            <w:r>
              <w:rPr>
                <w:sz w:val="14"/>
              </w:rPr>
              <w:t>Côte d'Ivoire : Probable rejet du dialogue national sur l'organe élect</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politique Côte d</w:t>
            </w:r>
          </w:p>
        </w:tc>
      </w:tr>
      <w:tr>
        <w:tc>
          <w:tcPr>
            <w:tcW w:type="dxa" w:w="1728"/>
          </w:tcPr>
          <w:p>
            <w:r>
              <w:rPr>
                <w:sz w:val="14"/>
              </w:rPr>
              <w:t>2026-10-15</w:t>
            </w:r>
          </w:p>
        </w:tc>
        <w:tc>
          <w:tcPr>
            <w:tcW w:type="dxa" w:w="1728"/>
          </w:tcPr>
          <w:p>
            <w:r>
              <w:rPr>
                <w:sz w:val="14"/>
              </w:rPr>
              <w:t>Côte d'Ivoire : Le Gouvernement réagit aux déclarations du PDCI-RDA su</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politique Côte d</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2026-10-15</w:t>
            </w:r>
          </w:p>
        </w:tc>
        <w:tc>
          <w:tcPr>
            <w:tcW w:type="dxa" w:w="1728"/>
          </w:tcPr>
          <w:p>
            <w:r>
              <w:rPr>
                <w:sz w:val="14"/>
              </w:rPr>
              <w:t xml:space="preserve">Burkina Faso : « Une révolution ne meurt pas de ses ennemis du dehors </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2026-10-16</w:t>
            </w:r>
          </w:p>
        </w:tc>
        <w:tc>
          <w:tcPr>
            <w:tcW w:type="dxa" w:w="1728"/>
          </w:tcPr>
          <w:p>
            <w:r>
              <w:rPr>
                <w:sz w:val="14"/>
              </w:rPr>
              <w:t>Taïwan, Hongkong, Xinjiang : le Togo réaffirme son soutien aux positio</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2026-10-16</w:t>
            </w:r>
          </w:p>
        </w:tc>
        <w:tc>
          <w:tcPr>
            <w:tcW w:type="dxa" w:w="1728"/>
          </w:tcPr>
          <w:p>
            <w:r>
              <w:rPr>
                <w:sz w:val="14"/>
              </w:rPr>
              <w:t>Au Sénégal, pourquoi Pastef se heurte à répétition à la censure du Con</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r>
        <w:tc>
          <w:tcPr>
            <w:tcW w:type="dxa" w:w="1728"/>
          </w:tcPr>
          <w:p>
            <w:r>
              <w:rPr>
                <w:sz w:val="14"/>
              </w:rPr>
              <w:t>2026-10-16</w:t>
            </w:r>
          </w:p>
        </w:tc>
        <w:tc>
          <w:tcPr>
            <w:tcW w:type="dxa" w:w="1728"/>
          </w:tcPr>
          <w:p>
            <w:r>
              <w:rPr>
                <w:sz w:val="14"/>
              </w:rPr>
              <w:t>Côte d'Ivoire : Probable rejet du dialogue national sur l'organe élect</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politique Côte d</w:t>
            </w:r>
          </w:p>
        </w:tc>
      </w:tr>
      <w:tr>
        <w:tc>
          <w:tcPr>
            <w:tcW w:type="dxa" w:w="1728"/>
          </w:tcPr>
          <w:p>
            <w:r>
              <w:rPr>
                <w:sz w:val="14"/>
              </w:rPr>
              <w:t>2026-10-15</w:t>
            </w:r>
          </w:p>
        </w:tc>
        <w:tc>
          <w:tcPr>
            <w:tcW w:type="dxa" w:w="1728"/>
          </w:tcPr>
          <w:p>
            <w:r>
              <w:rPr>
                <w:sz w:val="14"/>
              </w:rPr>
              <w:t>Côte d'Ivoire : Le Gouvernement réagit aux déclarations du PDCI-RDA su</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politique Côte d</w:t>
            </w:r>
          </w:p>
        </w:tc>
      </w:tr>
    </w:tbl>
    <w:p/>
    <w:p>
      <w:pPr>
        <w:pStyle w:val="Heading4"/>
      </w:pPr>
      <w:r>
        <w:t>💹 Financière &amp; Marchés</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2026-10-12</w:t>
            </w:r>
          </w:p>
        </w:tc>
        <w:tc>
          <w:tcPr>
            <w:tcW w:type="dxa" w:w="1728"/>
          </w:tcPr>
          <w:p>
            <w:r>
              <w:rPr>
                <w:sz w:val="14"/>
              </w:rPr>
              <w:t>A la mi-séance : L'Europe rebondit malgré la hausse du prix du pétrole</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2026-10-15</w:t>
            </w:r>
          </w:p>
        </w:tc>
        <w:tc>
          <w:tcPr>
            <w:tcW w:type="dxa" w:w="1728"/>
          </w:tcPr>
          <w:p>
            <w:r>
              <w:rPr>
                <w:sz w:val="14"/>
              </w:rPr>
              <w:t>Côte d'Ivoire : Le Gouvernement réagit aux déclarations du PDCI-RDA su</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politique Côte d</w:t>
            </w:r>
          </w:p>
        </w:tc>
      </w:tr>
      <w:tr>
        <w:tc>
          <w:tcPr>
            <w:tcW w:type="dxa" w:w="1728"/>
          </w:tcPr>
          <w:p>
            <w:r>
              <w:rPr>
                <w:sz w:val="14"/>
              </w:rPr>
              <w:t>2026-10-13</w:t>
            </w:r>
          </w:p>
        </w:tc>
        <w:tc>
          <w:tcPr>
            <w:tcW w:type="dxa" w:w="1728"/>
          </w:tcPr>
          <w:p>
            <w:r>
              <w:rPr>
                <w:sz w:val="14"/>
              </w:rPr>
              <w:t>Annuler la dette détenue par la BCE ? «Soit il se trompe, soit il ment</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2026-10-14</w:t>
            </w:r>
          </w:p>
        </w:tc>
        <w:tc>
          <w:tcPr>
            <w:tcW w:type="dxa" w:w="1728"/>
          </w:tcPr>
          <w:p>
            <w:r>
              <w:rPr>
                <w:sz w:val="14"/>
              </w:rPr>
              <w:t>Tensions sur la dette française : l'aide de la BCE peu probable - Yaho</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2026-10-13</w:t>
            </w:r>
          </w:p>
        </w:tc>
        <w:tc>
          <w:tcPr>
            <w:tcW w:type="dxa" w:w="1728"/>
          </w:tcPr>
          <w:p>
            <w:r>
              <w:rPr>
                <w:sz w:val="14"/>
              </w:rPr>
              <w:t>Mali et Niger: l’Algérie se rallie à la stratégie russe - Le360</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2026-10-12</w:t>
            </w:r>
          </w:p>
        </w:tc>
        <w:tc>
          <w:tcPr>
            <w:tcW w:type="dxa" w:w="1728"/>
          </w:tcPr>
          <w:p>
            <w:r>
              <w:rPr>
                <w:sz w:val="14"/>
              </w:rPr>
              <w:t>A la mi-séance : L'Europe rebondit malgré la hausse du prix du pétrole</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2026-10-14</w:t>
            </w:r>
          </w:p>
        </w:tc>
        <w:tc>
          <w:tcPr>
            <w:tcW w:type="dxa" w:w="1728"/>
          </w:tcPr>
          <w:p>
            <w:r>
              <w:rPr>
                <w:sz w:val="14"/>
              </w:rPr>
              <w:t xml:space="preserve">CEDEAO : La Libérienne Charlyne M. Brumskine prend la tête de la Cour </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2026-10-16</w:t>
            </w:r>
          </w:p>
        </w:tc>
        <w:tc>
          <w:tcPr>
            <w:tcW w:type="dxa" w:w="1728"/>
          </w:tcPr>
          <w:p>
            <w:r>
              <w:rPr>
                <w:sz w:val="14"/>
              </w:rPr>
              <w:t>Au Sénégal, pourquoi Pastef se heurte à répétition à la censure du Con</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r>
        <w:tc>
          <w:tcPr>
            <w:tcW w:type="dxa" w:w="1728"/>
          </w:tcPr>
          <w:p>
            <w:r>
              <w:rPr>
                <w:sz w:val="14"/>
              </w:rPr>
              <w:t>2026-10-15</w:t>
            </w:r>
          </w:p>
        </w:tc>
        <w:tc>
          <w:tcPr>
            <w:tcW w:type="dxa" w:w="1728"/>
          </w:tcPr>
          <w:p>
            <w:r>
              <w:rPr>
                <w:sz w:val="14"/>
              </w:rPr>
              <w:t>Côte d'Ivoire : Le Gouvernement réagit aux déclarations du PDCI-RDA su</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politique Côte d</w:t>
            </w:r>
          </w:p>
        </w:tc>
      </w:tr>
      <w:tr>
        <w:tc>
          <w:tcPr>
            <w:tcW w:type="dxa" w:w="1728"/>
          </w:tcPr>
          <w:p>
            <w:r>
              <w:rPr>
                <w:sz w:val="14"/>
              </w:rPr>
              <w:t>2026-10-13</w:t>
            </w:r>
          </w:p>
        </w:tc>
        <w:tc>
          <w:tcPr>
            <w:tcW w:type="dxa" w:w="1728"/>
          </w:tcPr>
          <w:p>
            <w:r>
              <w:rPr>
                <w:sz w:val="14"/>
              </w:rPr>
              <w:t>Annuler la dette détenue par la BCE ? «Soit il se trompe, soit il ment</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2026-10-12</w:t>
            </w:r>
          </w:p>
        </w:tc>
        <w:tc>
          <w:tcPr>
            <w:tcW w:type="dxa" w:w="1728"/>
          </w:tcPr>
          <w:p>
            <w:r>
              <w:rPr>
                <w:sz w:val="14"/>
              </w:rPr>
              <w:t>A la mi-séance : L'Europe rebondit malgré la hausse du prix du pétrole</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2026-10-14</w:t>
            </w:r>
          </w:p>
        </w:tc>
        <w:tc>
          <w:tcPr>
            <w:tcW w:type="dxa" w:w="1728"/>
          </w:tcPr>
          <w:p>
            <w:r>
              <w:rPr>
                <w:sz w:val="14"/>
              </w:rPr>
              <w:t xml:space="preserve">CEDEAO : La Libérienne Charlyne M. Brumskine prend la tête de la Cour </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2026-10-15</w:t>
            </w:r>
          </w:p>
        </w:tc>
        <w:tc>
          <w:tcPr>
            <w:tcW w:type="dxa" w:w="1728"/>
          </w:tcPr>
          <w:p>
            <w:r>
              <w:rPr>
                <w:sz w:val="14"/>
              </w:rPr>
              <w:t>Côte d'Ivoire : Le Gouvernement réagit aux déclarations du PDCI-RDA su</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politique Côte d</w:t>
            </w:r>
          </w:p>
        </w:tc>
      </w:tr>
      <w:tr>
        <w:tc>
          <w:tcPr>
            <w:tcW w:type="dxa" w:w="1728"/>
          </w:tcPr>
          <w:p>
            <w:r>
              <w:rPr>
                <w:sz w:val="14"/>
              </w:rPr>
              <w:t>2026-10-13</w:t>
            </w:r>
          </w:p>
        </w:tc>
        <w:tc>
          <w:tcPr>
            <w:tcW w:type="dxa" w:w="1728"/>
          </w:tcPr>
          <w:p>
            <w:r>
              <w:rPr>
                <w:sz w:val="14"/>
              </w:rPr>
              <w:t>Annuler la dette détenue par la BCE ? «Soit il se trompe, soit il ment</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2026-10-14</w:t>
            </w:r>
          </w:p>
        </w:tc>
        <w:tc>
          <w:tcPr>
            <w:tcW w:type="dxa" w:w="1728"/>
          </w:tcPr>
          <w:p>
            <w:r>
              <w:rPr>
                <w:sz w:val="14"/>
              </w:rPr>
              <w:t>Tensions sur la dette française : l'aide de la BCE peu probable - Yaho</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2026-10-12</w:t>
            </w:r>
          </w:p>
        </w:tc>
        <w:tc>
          <w:tcPr>
            <w:tcW w:type="dxa" w:w="1728"/>
          </w:tcPr>
          <w:p>
            <w:r>
              <w:rPr>
                <w:sz w:val="14"/>
              </w:rPr>
              <w:t>A la mi-séance : L'Europe rebondit malgré la hausse du prix du pétrole</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2026-10-15</w:t>
            </w:r>
          </w:p>
        </w:tc>
        <w:tc>
          <w:tcPr>
            <w:tcW w:type="dxa" w:w="1728"/>
          </w:tcPr>
          <w:p>
            <w:r>
              <w:rPr>
                <w:sz w:val="14"/>
              </w:rPr>
              <w:t xml:space="preserve">Burkina Faso : « Une révolution ne meurt pas de ses ennemis du dehors </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2026-10-16</w:t>
            </w:r>
          </w:p>
        </w:tc>
        <w:tc>
          <w:tcPr>
            <w:tcW w:type="dxa" w:w="1728"/>
          </w:tcPr>
          <w:p>
            <w:r>
              <w:rPr>
                <w:sz w:val="14"/>
              </w:rPr>
              <w:t>Taïwan, Hongkong, Xinjiang : le Togo réaffirme son soutien aux positio</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2026-10-16</w:t>
            </w:r>
          </w:p>
        </w:tc>
        <w:tc>
          <w:tcPr>
            <w:tcW w:type="dxa" w:w="1728"/>
          </w:tcPr>
          <w:p>
            <w:r>
              <w:rPr>
                <w:sz w:val="14"/>
              </w:rPr>
              <w:t>Au Sénégal, pourquoi Pastef se heurte à répétition à la censure du Con</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r>
        <w:tc>
          <w:tcPr>
            <w:tcW w:type="dxa" w:w="1728"/>
          </w:tcPr>
          <w:p>
            <w:r>
              <w:rPr>
                <w:sz w:val="14"/>
              </w:rPr>
              <w:t>2026-10-16</w:t>
            </w:r>
          </w:p>
        </w:tc>
        <w:tc>
          <w:tcPr>
            <w:tcW w:type="dxa" w:w="1728"/>
          </w:tcPr>
          <w:p>
            <w:r>
              <w:rPr>
                <w:sz w:val="14"/>
              </w:rPr>
              <w:t>Côte d'Ivoire : Probable rejet du dialogue national sur l'organe élect</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politique Côte d</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2026-10-12</w:t>
            </w:r>
          </w:p>
        </w:tc>
        <w:tc>
          <w:tcPr>
            <w:tcW w:type="dxa" w:w="1728"/>
          </w:tcPr>
          <w:p>
            <w:r>
              <w:rPr>
                <w:sz w:val="14"/>
              </w:rPr>
              <w:t>A la mi-séance : L'Europe rebondit malgré la hausse du prix du pétrole</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2026-10-15</w:t>
            </w:r>
          </w:p>
        </w:tc>
        <w:tc>
          <w:tcPr>
            <w:tcW w:type="dxa" w:w="1728"/>
          </w:tcPr>
          <w:p>
            <w:r>
              <w:rPr>
                <w:sz w:val="14"/>
              </w:rPr>
              <w:t>Côte d'Ivoire : Le Gouvernement réagit aux déclarations du PDCI-RDA su</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politique Côte d</w:t>
            </w:r>
          </w:p>
        </w:tc>
      </w:tr>
      <w:tr>
        <w:tc>
          <w:tcPr>
            <w:tcW w:type="dxa" w:w="1728"/>
          </w:tcPr>
          <w:p>
            <w:r>
              <w:rPr>
                <w:sz w:val="14"/>
              </w:rPr>
              <w:t>2026-10-13</w:t>
            </w:r>
          </w:p>
        </w:tc>
        <w:tc>
          <w:tcPr>
            <w:tcW w:type="dxa" w:w="1728"/>
          </w:tcPr>
          <w:p>
            <w:r>
              <w:rPr>
                <w:sz w:val="14"/>
              </w:rPr>
              <w:t>Annuler la dette détenue par la BCE ? «Soit il se trompe, soit il ment</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2026-10-14</w:t>
            </w:r>
          </w:p>
        </w:tc>
        <w:tc>
          <w:tcPr>
            <w:tcW w:type="dxa" w:w="1728"/>
          </w:tcPr>
          <w:p>
            <w:r>
              <w:rPr>
                <w:sz w:val="14"/>
              </w:rPr>
              <w:t>Tensions sur la dette française : l'aide de la BCE peu probable - Yaho</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2026-10-13</w:t>
            </w:r>
          </w:p>
        </w:tc>
        <w:tc>
          <w:tcPr>
            <w:tcW w:type="dxa" w:w="1728"/>
          </w:tcPr>
          <w:p>
            <w:r>
              <w:rPr>
                <w:sz w:val="14"/>
              </w:rPr>
              <w:t>Mali et Niger: l’Algérie se rallie à la stratégie russe - Le360</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bl>
    <w:p/>
    <w:p>
      <w:r>
        <w:br w:type="page"/>
      </w:r>
    </w:p>
    <w:p>
      <w:pPr>
        <w:pStyle w:val="Heading1"/>
      </w:pPr>
      <w:r>
        <w:t>📰 ACTUALITÉS DU MARCHÉ BRVM</w:t>
      </w:r>
    </w:p>
    <w:p>
      <w:r>
        <w:rPr>
          <w:sz w:val="18"/>
        </w:rPr>
        <w:t>Cette section regroupe les derniers documents officiels publiés par les sociétés cotées (AG, dividendes, convocations, résultats) ainsi que les alertes d'actualité financière collectées via Google Alerts.</w:t>
      </w:r>
    </w:p>
    <w:p/>
    <w:p>
      <w:pPr>
        <w:pStyle w:val="Heading2"/>
      </w:pPr>
      <w:r>
        <w:t>📄 A — Documents officiels des sociétés cotées</w:t>
      </w:r>
    </w:p>
    <w:p>
      <w:pPr>
        <w:pStyle w:val="Heading3"/>
      </w:pPr>
      <w:r>
        <w:t>🏛️ Assemblées Générales (14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30/06/2026</w:t>
            </w:r>
          </w:p>
        </w:tc>
        <w:tc>
          <w:tcPr>
            <w:tcW w:type="dxa" w:w="1728"/>
          </w:tcPr>
          <w:p>
            <w:r>
              <w:rPr>
                <w:sz w:val="15"/>
              </w:rPr>
              <w:t>UNIWAX</w:t>
            </w:r>
          </w:p>
        </w:tc>
        <w:tc>
          <w:tcPr>
            <w:tcW w:type="dxa" w:w="1728"/>
          </w:tcPr>
          <w:p>
            <w:r>
              <w:rPr>
                <w:sz w:val="15"/>
              </w:rPr>
              <w:t xml:space="preserve">20260629   formulaire de vote par correspondance  </w:t>
            </w:r>
          </w:p>
        </w:tc>
        <w:tc>
          <w:tcPr>
            <w:tcW w:type="dxa" w:w="1728"/>
          </w:tcPr>
          <w:p>
            <w:r>
              <w:rPr>
                <w:b/>
                <w:sz w:val="15"/>
              </w:rPr>
              <w:t>⚪ =</w:t>
            </w:r>
          </w:p>
        </w:tc>
        <w:tc>
          <w:tcPr>
            <w:tcW w:type="dxa" w:w="1728"/>
          </w:tcPr>
          <w:p>
            <w:r>
              <w:rPr>
                <w:sz w:val="15"/>
              </w:rPr>
              <w:t>Ce document est un formulaire de vote par correspondance pour l'Assemblée Générale Ordinaire Annuelle d'UNIWAX SA, prévu</w:t>
            </w:r>
          </w:p>
        </w:tc>
      </w:tr>
      <w:tr>
        <w:tc>
          <w:tcPr>
            <w:tcW w:type="dxa" w:w="8640"/>
            <w:gridSpan w:val="5"/>
          </w:tcPr>
          <w:p>
            <w:r>
              <w:rPr>
                <w:color w:val="505050"/>
                <w:sz w:val="14"/>
              </w:rPr>
              <w:t xml:space="preserve">  → Assemblée Générale Ordinaire Annuelle d'UNIWAX SA prévue le 16 juillet 2026. | Formulaire de vote par correspondance pour douze résolutions. | Capital social de 4 150 000 000 FCFA divisé en 20 750 000 actions.</w:t>
            </w:r>
          </w:p>
        </w:tc>
      </w:tr>
      <w:tr>
        <w:tc>
          <w:tcPr>
            <w:tcW w:type="dxa" w:w="1728"/>
          </w:tcPr>
          <w:p>
            <w:r>
              <w:rPr>
                <w:sz w:val="15"/>
              </w:rPr>
              <w:t>30/03/2026</w:t>
            </w:r>
          </w:p>
        </w:tc>
        <w:tc>
          <w:tcPr>
            <w:tcW w:type="dxa" w:w="1728"/>
          </w:tcPr>
          <w:p>
            <w:r>
              <w:rPr>
                <w:sz w:val="15"/>
              </w:rPr>
              <w:t>Société Nati</w:t>
            </w:r>
          </w:p>
        </w:tc>
        <w:tc>
          <w:tcPr>
            <w:tcW w:type="dxa" w:w="1728"/>
          </w:tcPr>
          <w:p>
            <w:r>
              <w:rPr>
                <w:sz w:val="15"/>
              </w:rPr>
              <w:t>20260327   avis de convocation   assemblee general</w:t>
            </w:r>
          </w:p>
        </w:tc>
        <w:tc>
          <w:tcPr>
            <w:tcW w:type="dxa" w:w="1728"/>
          </w:tcPr>
          <w:p>
            <w:r>
              <w:rPr>
                <w:b/>
                <w:color w:val="008000"/>
                <w:sz w:val="15"/>
              </w:rPr>
              <w:t>🟢 +</w:t>
            </w:r>
          </w:p>
        </w:tc>
        <w:tc>
          <w:tcPr>
            <w:tcW w:type="dxa" w:w="1728"/>
          </w:tcPr>
          <w:p>
            <w:r>
              <w:rPr>
                <w:sz w:val="15"/>
              </w:rPr>
              <w:t>SONATEL convoque une Assemblée Générale Ordinaire le 16 avril 2026 pour approuver les états financiers 2025 et verser un</w:t>
            </w:r>
          </w:p>
        </w:tc>
      </w:tr>
      <w:tr>
        <w:tc>
          <w:tcPr>
            <w:tcW w:type="dxa" w:w="8640"/>
            <w:gridSpan w:val="5"/>
          </w:tcPr>
          <w:p>
            <w:r>
              <w:rPr>
                <w:color w:val="505050"/>
                <w:sz w:val="14"/>
              </w:rPr>
              <w:t xml:space="preserve">  → Assemblée Générale Ordinaire convoquée pour le 16 avril 2026 à 10h GMT | Dividende brut proposé de 1 933 F CFA par action (1 740 F CFA net) | Mise en paiement du dividende à compter du 25 mai 2026</w:t>
            </w:r>
          </w:p>
        </w:tc>
      </w:tr>
      <w:tr>
        <w:tc>
          <w:tcPr>
            <w:tcW w:type="dxa" w:w="1728"/>
          </w:tcPr>
          <w:p>
            <w:r>
              <w:rPr>
                <w:sz w:val="15"/>
              </w:rPr>
              <w:t>30/03/2026</w:t>
            </w:r>
          </w:p>
        </w:tc>
        <w:tc>
          <w:tcPr>
            <w:tcW w:type="dxa" w:w="1728"/>
          </w:tcPr>
          <w:p>
            <w:r>
              <w:rPr>
                <w:sz w:val="15"/>
              </w:rPr>
              <w:t>BANK OF AFRI</w:t>
            </w:r>
          </w:p>
        </w:tc>
        <w:tc>
          <w:tcPr>
            <w:tcW w:type="dxa" w:w="1728"/>
          </w:tcPr>
          <w:p>
            <w:r>
              <w:rPr>
                <w:sz w:val="15"/>
              </w:rPr>
              <w:t>20260327   avis de convocation   assemblee general</w:t>
            </w:r>
          </w:p>
        </w:tc>
        <w:tc>
          <w:tcPr>
            <w:tcW w:type="dxa" w:w="1728"/>
          </w:tcPr>
          <w:p>
            <w:r>
              <w:rPr>
                <w:b/>
                <w:sz w:val="15"/>
              </w:rPr>
              <w:t>⚪ =</w:t>
            </w:r>
          </w:p>
        </w:tc>
        <w:tc>
          <w:tcPr>
            <w:tcW w:type="dxa" w:w="1728"/>
          </w:tcPr>
          <w:p>
            <w:r>
              <w:rPr>
                <w:sz w:val="15"/>
              </w:rPr>
              <w:t>Bank of Africa Côte d'Ivoire convoque ses actionnaires en Assemblée Générale Ordinaire le 15 avril 2026 à 10h00 à la Sal</w:t>
            </w:r>
          </w:p>
        </w:tc>
      </w:tr>
      <w:tr>
        <w:tc>
          <w:tcPr>
            <w:tcW w:type="dxa" w:w="8640"/>
            <w:gridSpan w:val="5"/>
          </w:tcPr>
          <w:p>
            <w:r>
              <w:rPr>
                <w:color w:val="505050"/>
                <w:sz w:val="14"/>
              </w:rPr>
              <w:t xml:space="preserve">  → Assemblée Générale Ordinaire programmée le 15 avril 2026 à 10h00 | Approbation des comptes de bilan et de résultat de l'exercice clos le 31 décembre 2025 | Présentation des résultats de l'évaluation du Conseil d'Administration et de ses comités spécialisés</w:t>
            </w:r>
          </w:p>
        </w:tc>
      </w:tr>
      <w:tr>
        <w:tc>
          <w:tcPr>
            <w:tcW w:type="dxa" w:w="1728"/>
          </w:tcPr>
          <w:p>
            <w:r>
              <w:rPr>
                <w:sz w:val="15"/>
              </w:rPr>
              <w:t>29/06/2026</w:t>
            </w:r>
          </w:p>
        </w:tc>
        <w:tc>
          <w:tcPr>
            <w:tcW w:type="dxa" w:w="1728"/>
          </w:tcPr>
          <w:p>
            <w:r>
              <w:rPr>
                <w:sz w:val="15"/>
              </w:rPr>
              <w:t>Erium Côte d</w:t>
            </w:r>
          </w:p>
        </w:tc>
        <w:tc>
          <w:tcPr>
            <w:tcW w:type="dxa" w:w="1728"/>
          </w:tcPr>
          <w:p>
            <w:r>
              <w:rPr>
                <w:sz w:val="15"/>
              </w:rPr>
              <w:t xml:space="preserve">20260626   pouvoir   assemblee generale ordinaire </w:t>
            </w:r>
          </w:p>
        </w:tc>
        <w:tc>
          <w:tcPr>
            <w:tcW w:type="dxa" w:w="1728"/>
          </w:tcPr>
          <w:p>
            <w:r>
              <w:rPr>
                <w:b/>
                <w:sz w:val="15"/>
              </w:rPr>
              <w:t>⚪ =</w:t>
            </w:r>
          </w:p>
        </w:tc>
        <w:tc>
          <w:tcPr>
            <w:tcW w:type="dxa" w:w="1728"/>
          </w:tcPr>
          <w:p>
            <w:r>
              <w:rPr>
                <w:sz w:val="15"/>
              </w:rPr>
              <w:t>Ce document est un pouvoir délégué par un actionnaire pour se faire représenter à l'Assemblée Générale Ordinaire de la s</w:t>
            </w:r>
          </w:p>
        </w:tc>
      </w:tr>
      <w:tr>
        <w:tc>
          <w:tcPr>
            <w:tcW w:type="dxa" w:w="8640"/>
            <w:gridSpan w:val="5"/>
          </w:tcPr>
          <w:p>
            <w:r>
              <w:rPr>
                <w:color w:val="505050"/>
                <w:sz w:val="14"/>
              </w:rPr>
              <w:t xml:space="preserve">  → Délégation de pouvoir pour l'Assemblée Générale Ordinaire du 13 juillet 2026 | Ordre du jour inclut l'approbation des comptes clos au 31 décembre 2025 | Ratification du renouvellement de deux administrateurs et nomination d'un administrateur</w:t>
            </w:r>
          </w:p>
        </w:tc>
      </w:tr>
      <w:tr>
        <w:tc>
          <w:tcPr>
            <w:tcW w:type="dxa" w:w="1728"/>
          </w:tcPr>
          <w:p>
            <w:r>
              <w:rPr>
                <w:sz w:val="15"/>
              </w:rPr>
              <w:t>29/05/2026</w:t>
            </w:r>
          </w:p>
        </w:tc>
        <w:tc>
          <w:tcPr>
            <w:tcW w:type="dxa" w:w="1728"/>
          </w:tcPr>
          <w:p>
            <w:r>
              <w:rPr>
                <w:sz w:val="15"/>
              </w:rPr>
              <w:t>TotalEnergie</w:t>
            </w:r>
          </w:p>
        </w:tc>
        <w:tc>
          <w:tcPr>
            <w:tcW w:type="dxa" w:w="1728"/>
          </w:tcPr>
          <w:p>
            <w:r>
              <w:rPr>
                <w:sz w:val="15"/>
              </w:rPr>
              <w:t xml:space="preserve">20260528   avis de convocation assemblee generale </w:t>
            </w:r>
          </w:p>
        </w:tc>
        <w:tc>
          <w:tcPr>
            <w:tcW w:type="dxa" w:w="1728"/>
          </w:tcPr>
          <w:p>
            <w:r>
              <w:rPr>
                <w:b/>
                <w:color w:val="008000"/>
                <w:sz w:val="15"/>
              </w:rPr>
              <w:t>🟢 +</w:t>
            </w:r>
          </w:p>
        </w:tc>
        <w:tc>
          <w:tcPr>
            <w:tcW w:type="dxa" w:w="1728"/>
          </w:tcPr>
          <w:p>
            <w:r>
              <w:rPr>
                <w:sz w:val="15"/>
              </w:rPr>
              <w:t>TotalEnergies Marketing Sénégal convoque son Assemblée Générale Ordinaire le 17 juin 2026 pour approuver les comptes 202</w:t>
            </w:r>
          </w:p>
        </w:tc>
      </w:tr>
      <w:tr>
        <w:tc>
          <w:tcPr>
            <w:tcW w:type="dxa" w:w="8640"/>
            <w:gridSpan w:val="5"/>
          </w:tcPr>
          <w:p>
            <w:r>
              <w:rPr>
                <w:color w:val="505050"/>
                <w:sz w:val="14"/>
              </w:rPr>
              <w:t xml:space="preserve">  → Assemblée Générale Ordinaire convoquée le 17 juin 2026 au Noom Hôtel Dakar Sea Plaza | Distribution de dividendes de 6,146 milliards FCFA soit 188,67 FCFA brut par action | Dividende net de 182,66 FCFA pour actionnaires UK et 176,65 FCFA pour les autres</w:t>
            </w:r>
          </w:p>
        </w:tc>
      </w:tr>
      <w:tr>
        <w:tc>
          <w:tcPr>
            <w:tcW w:type="dxa" w:w="1728"/>
          </w:tcPr>
          <w:p>
            <w:r>
              <w:rPr>
                <w:sz w:val="15"/>
              </w:rPr>
              <w:t>26/06/2026</w:t>
            </w:r>
          </w:p>
        </w:tc>
        <w:tc>
          <w:tcPr>
            <w:tcW w:type="dxa" w:w="1728"/>
          </w:tcPr>
          <w:p>
            <w:r>
              <w:rPr>
                <w:sz w:val="15"/>
              </w:rPr>
              <w:t>Société Ivoi</w:t>
            </w:r>
          </w:p>
        </w:tc>
        <w:tc>
          <w:tcPr>
            <w:tcW w:type="dxa" w:w="1728"/>
          </w:tcPr>
          <w:p>
            <w:r>
              <w:rPr>
                <w:sz w:val="15"/>
              </w:rPr>
              <w:t>20260625   pouvoir personne morale   assemblee gen</w:t>
            </w:r>
          </w:p>
        </w:tc>
        <w:tc>
          <w:tcPr>
            <w:tcW w:type="dxa" w:w="1728"/>
          </w:tcPr>
          <w:p>
            <w:r>
              <w:rPr>
                <w:b/>
                <w:sz w:val="15"/>
              </w:rPr>
              <w:t>⚪ =</w:t>
            </w:r>
          </w:p>
        </w:tc>
        <w:tc>
          <w:tcPr>
            <w:tcW w:type="dxa" w:w="1728"/>
          </w:tcPr>
          <w:p>
            <w:r>
              <w:rPr>
                <w:sz w:val="15"/>
              </w:rPr>
              <w:t>Ce document est un modèle de délégation de pouvoir pour l'Assemblée Générale Ordinaire de la SITAB. L'assemblée se tiend</w:t>
            </w:r>
          </w:p>
        </w:tc>
      </w:tr>
      <w:tr>
        <w:tc>
          <w:tcPr>
            <w:tcW w:type="dxa" w:w="8640"/>
            <w:gridSpan w:val="5"/>
          </w:tcPr>
          <w:p>
            <w:r>
              <w:rPr>
                <w:color w:val="505050"/>
                <w:sz w:val="14"/>
              </w:rPr>
              <w:t xml:space="preserve">  → Assemblée Générale Ordinaire de SITAB prévue le mercredi 15 juillet 2026 à la Salle Jewels de la CGECI au Plateau. | Le document est un formulaire de délégation de pouvoir pour les actionnaires personnes morales. | L'ordre du jour comprend l'approbation des comptes de l'exercice clos le 31 décembre 2025 et l'affectation du résultat.</w:t>
            </w:r>
          </w:p>
        </w:tc>
      </w:tr>
      <w:tr>
        <w:tc>
          <w:tcPr>
            <w:tcW w:type="dxa" w:w="1728"/>
          </w:tcPr>
          <w:p>
            <w:r>
              <w:rPr>
                <w:sz w:val="15"/>
              </w:rPr>
              <w:t>26/06/2026</w:t>
            </w:r>
          </w:p>
        </w:tc>
        <w:tc>
          <w:tcPr>
            <w:tcW w:type="dxa" w:w="1728"/>
          </w:tcPr>
          <w:p>
            <w:r>
              <w:rPr>
                <w:sz w:val="15"/>
              </w:rPr>
              <w:t>Société Ivoi</w:t>
            </w:r>
          </w:p>
        </w:tc>
        <w:tc>
          <w:tcPr>
            <w:tcW w:type="dxa" w:w="1728"/>
          </w:tcPr>
          <w:p>
            <w:r>
              <w:rPr>
                <w:sz w:val="15"/>
              </w:rPr>
              <w:t>20260625   pouvoir personne physique   assemblee g</w:t>
            </w:r>
          </w:p>
        </w:tc>
        <w:tc>
          <w:tcPr>
            <w:tcW w:type="dxa" w:w="1728"/>
          </w:tcPr>
          <w:p>
            <w:r>
              <w:rPr>
                <w:b/>
                <w:sz w:val="15"/>
              </w:rPr>
              <w:t>⚪ =</w:t>
            </w:r>
          </w:p>
        </w:tc>
        <w:tc>
          <w:tcPr>
            <w:tcW w:type="dxa" w:w="1728"/>
          </w:tcPr>
          <w:p>
            <w:r>
              <w:rPr>
                <w:sz w:val="15"/>
              </w:rPr>
              <w:t>Ce document est un formulaire de pouvoir pour personne physique en vue de l'Assemblée Générale Ordinaire de la Société I</w:t>
            </w:r>
          </w:p>
        </w:tc>
      </w:tr>
      <w:tr>
        <w:tc>
          <w:tcPr>
            <w:tcW w:type="dxa" w:w="8640"/>
            <w:gridSpan w:val="5"/>
          </w:tcPr>
          <w:p>
            <w:r>
              <w:rPr>
                <w:color w:val="505050"/>
                <w:sz w:val="14"/>
              </w:rPr>
              <w:t xml:space="preserve">  → Assemblée Générale Ordinaire de SITAB prévue le 15 juillet 2026 à Abidjan. | Examen et approbation des comptes de l'exercice clos le 31 décembre 2025. | Affectation du résultat de l'exercice 2025.</w:t>
            </w:r>
          </w:p>
        </w:tc>
      </w:tr>
      <w:tr>
        <w:tc>
          <w:tcPr>
            <w:tcW w:type="dxa" w:w="1728"/>
          </w:tcPr>
          <w:p>
            <w:r>
              <w:rPr>
                <w:sz w:val="15"/>
              </w:rPr>
              <w:t>26/06/2026</w:t>
            </w:r>
          </w:p>
        </w:tc>
        <w:tc>
          <w:tcPr>
            <w:tcW w:type="dxa" w:w="1728"/>
          </w:tcPr>
          <w:p>
            <w:r>
              <w:rPr>
                <w:sz w:val="15"/>
              </w:rPr>
              <w:t>SOCIETE IVOI</w:t>
            </w:r>
          </w:p>
        </w:tc>
        <w:tc>
          <w:tcPr>
            <w:tcW w:type="dxa" w:w="1728"/>
          </w:tcPr>
          <w:p>
            <w:r>
              <w:rPr>
                <w:sz w:val="15"/>
              </w:rPr>
              <w:t>20260625   avis de convocation   assemblee general</w:t>
            </w:r>
          </w:p>
        </w:tc>
        <w:tc>
          <w:tcPr>
            <w:tcW w:type="dxa" w:w="1728"/>
          </w:tcPr>
          <w:p>
            <w:r>
              <w:rPr>
                <w:b/>
                <w:sz w:val="15"/>
              </w:rPr>
              <w:t>⚪ =</w:t>
            </w:r>
          </w:p>
        </w:tc>
        <w:tc>
          <w:tcPr>
            <w:tcW w:type="dxa" w:w="1728"/>
          </w:tcPr>
          <w:p>
            <w:r>
              <w:rPr>
                <w:sz w:val="15"/>
              </w:rPr>
              <w:t>La Société Ivoirienne des Tabacs (SITAB) convoque ses actionnaires à une Assemblée Générale Ordinaire le 15 juillet 2026</w:t>
            </w:r>
          </w:p>
        </w:tc>
      </w:tr>
      <w:tr>
        <w:tc>
          <w:tcPr>
            <w:tcW w:type="dxa" w:w="8640"/>
            <w:gridSpan w:val="5"/>
          </w:tcPr>
          <w:p>
            <w:r>
              <w:rPr>
                <w:color w:val="505050"/>
                <w:sz w:val="14"/>
              </w:rPr>
              <w:t xml:space="preserve">  → Assemblée Générale Ordinaire prévue le 15 juillet 2026 à la salle Jewels de la CGECI au Plateau, à 10h00 GMT. | Approbation des comptes de l'exercice clos le 31 décembre 2025 et affectation du résultat. | Renouvellement du mandat d'administrateur de Monsieur Pierre MAGNE et de la société ITWA.</w:t>
            </w:r>
          </w:p>
        </w:tc>
      </w:tr>
      <w:tr>
        <w:tc>
          <w:tcPr>
            <w:tcW w:type="dxa" w:w="1728"/>
          </w:tcPr>
          <w:p>
            <w:r>
              <w:rPr>
                <w:sz w:val="15"/>
              </w:rPr>
              <w:t>26/06/2026</w:t>
            </w:r>
          </w:p>
        </w:tc>
        <w:tc>
          <w:tcPr>
            <w:tcW w:type="dxa" w:w="1728"/>
          </w:tcPr>
          <w:p>
            <w:r>
              <w:rPr>
                <w:sz w:val="15"/>
              </w:rPr>
              <w:t>Erium Côte d</w:t>
            </w:r>
          </w:p>
        </w:tc>
        <w:tc>
          <w:tcPr>
            <w:tcW w:type="dxa" w:w="1728"/>
          </w:tcPr>
          <w:p>
            <w:r>
              <w:rPr>
                <w:sz w:val="15"/>
              </w:rPr>
              <w:t>20260625  avis de convocation   assemblee generale</w:t>
            </w:r>
          </w:p>
        </w:tc>
        <w:tc>
          <w:tcPr>
            <w:tcW w:type="dxa" w:w="1728"/>
          </w:tcPr>
          <w:p>
            <w:r>
              <w:rPr>
                <w:b/>
                <w:sz w:val="15"/>
              </w:rPr>
              <w:t>⚪ =</w:t>
            </w:r>
          </w:p>
        </w:tc>
        <w:tc>
          <w:tcPr>
            <w:tcW w:type="dxa" w:w="1728"/>
          </w:tcPr>
          <w:p>
            <w:r>
              <w:rPr>
                <w:sz w:val="15"/>
              </w:rPr>
              <w:t>La Société Erium Côte d'Ivoire convoque ses actionnaires à une Assemblée Générale Ordinaire le 13 juillet 2026 à Abidjan</w:t>
            </w:r>
          </w:p>
        </w:tc>
      </w:tr>
      <w:tr>
        <w:tc>
          <w:tcPr>
            <w:tcW w:type="dxa" w:w="8640"/>
            <w:gridSpan w:val="5"/>
          </w:tcPr>
          <w:p>
            <w:r>
              <w:rPr>
                <w:color w:val="505050"/>
                <w:sz w:val="14"/>
              </w:rPr>
              <w:t xml:space="preserve">  → Assemblée Générale Ordinaire prévue le 13 juillet 2026 à l'Hôtel Tiama à Abidjan. | Ordre du jour inclut l'approbation des comptes de l'exercice clos au 31 décembre 2025. | Examen des rapports du conseil d'administration et du commissaire aux comptes.</w:t>
            </w:r>
          </w:p>
        </w:tc>
      </w:tr>
      <w:tr>
        <w:tc>
          <w:tcPr>
            <w:tcW w:type="dxa" w:w="1728"/>
          </w:tcPr>
          <w:p>
            <w:r>
              <w:rPr>
                <w:sz w:val="15"/>
              </w:rPr>
              <w:t>25/03/2026</w:t>
            </w:r>
          </w:p>
        </w:tc>
        <w:tc>
          <w:tcPr>
            <w:tcW w:type="dxa" w:w="1728"/>
          </w:tcPr>
          <w:p>
            <w:r>
              <w:rPr>
                <w:sz w:val="15"/>
              </w:rPr>
              <w:t>BANK OF AFRI</w:t>
            </w:r>
          </w:p>
        </w:tc>
        <w:tc>
          <w:tcPr>
            <w:tcW w:type="dxa" w:w="1728"/>
          </w:tcPr>
          <w:p>
            <w:r>
              <w:rPr>
                <w:sz w:val="15"/>
              </w:rPr>
              <w:t>20260324   avis de convocation   assemblee general</w:t>
            </w:r>
          </w:p>
        </w:tc>
        <w:tc>
          <w:tcPr>
            <w:tcW w:type="dxa" w:w="1728"/>
          </w:tcPr>
          <w:p>
            <w:r>
              <w:rPr>
                <w:b/>
                <w:sz w:val="15"/>
              </w:rPr>
              <w:t>⚪ =</w:t>
            </w:r>
          </w:p>
        </w:tc>
        <w:tc>
          <w:tcPr>
            <w:tcW w:type="dxa" w:w="1728"/>
          </w:tcPr>
          <w:p>
            <w:r>
              <w:rPr>
                <w:sz w:val="15"/>
              </w:rPr>
              <w:t>Bank of Africa-Mali convoque ses actionnaires à une Assemblée Générale Ordinaire le mardi 14 avril 2026 à 09h30. L'ordre</w:t>
            </w:r>
          </w:p>
        </w:tc>
      </w:tr>
      <w:tr>
        <w:tc>
          <w:tcPr>
            <w:tcW w:type="dxa" w:w="8640"/>
            <w:gridSpan w:val="5"/>
          </w:tcPr>
          <w:p>
            <w:r>
              <w:rPr>
                <w:color w:val="505050"/>
                <w:sz w:val="14"/>
              </w:rPr>
              <w:t xml:space="preserve">  → Assemblée Générale Ordinaire fixée au 14 avril 2026 à 09h30 | Approbation des états financiers de l'exercice clos le 31 décembre 2025 | Distribution de dividendes à l'ordre du jour</w:t>
            </w:r>
          </w:p>
        </w:tc>
      </w:tr>
    </w:tbl>
    <w:p/>
    <w:p>
      <w:pPr>
        <w:pStyle w:val="Heading3"/>
      </w:pPr>
      <w:r>
        <w:t>📌 Autre (1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28/04/2026</w:t>
            </w:r>
          </w:p>
        </w:tc>
        <w:tc>
          <w:tcPr>
            <w:tcW w:type="dxa" w:w="1728"/>
          </w:tcPr>
          <w:p>
            <w:r>
              <w:rPr>
                <w:sz w:val="15"/>
              </w:rPr>
              <w:t>FCTC NSIA BA</w:t>
            </w:r>
          </w:p>
        </w:tc>
        <w:tc>
          <w:tcPr>
            <w:tcW w:type="dxa" w:w="1728"/>
          </w:tcPr>
          <w:p>
            <w:r>
              <w:rPr>
                <w:sz w:val="15"/>
              </w:rPr>
              <w:t>20260428   avis ndeg114 brvmdg   resultats de prem</w:t>
            </w:r>
          </w:p>
        </w:tc>
        <w:tc>
          <w:tcPr>
            <w:tcW w:type="dxa" w:w="1728"/>
          </w:tcPr>
          <w:p>
            <w:r>
              <w:rPr>
                <w:b/>
                <w:color w:val="008000"/>
                <w:sz w:val="15"/>
              </w:rPr>
              <w:t>🟢 +</w:t>
            </w:r>
          </w:p>
        </w:tc>
        <w:tc>
          <w:tcPr>
            <w:tcW w:type="dxa" w:w="1728"/>
          </w:tcPr>
          <w:p>
            <w:r>
              <w:rPr>
                <w:sz w:val="15"/>
              </w:rPr>
              <w:t>La BRVM annonce les résultats de la première cotation de l'emprunt obligataire FCTC NSIA BANQUE CI 7,50% 2025-2030 qui a</w:t>
            </w:r>
          </w:p>
        </w:tc>
      </w:tr>
      <w:tr>
        <w:tc>
          <w:tcPr>
            <w:tcW w:type="dxa" w:w="8640"/>
            <w:gridSpan w:val="5"/>
          </w:tcPr>
          <w:p>
            <w:r>
              <w:rPr>
                <w:color w:val="505050"/>
                <w:sz w:val="14"/>
              </w:rPr>
              <w:t xml:space="preserve">  → Première cotation de l'emprunt obligataire FCTC NSIA BANQUE CI 7,50% 2025-2030 le 28 avril 2026 | Prix de cotation des obligations fixé à 10 000 FCFA | 750 titres échangés lors de la première séance pour une valeur de 7 500 000 FCFA</w:t>
            </w:r>
          </w:p>
        </w:tc>
      </w:tr>
    </w:tbl>
    <w:p/>
    <w:p>
      <w:pPr>
        <w:pStyle w:val="Heading3"/>
      </w:pPr>
      <w:r>
        <w:t>ℹ️ Avis &amp; informations (6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29/04/2026</w:t>
            </w:r>
          </w:p>
        </w:tc>
        <w:tc>
          <w:tcPr>
            <w:tcW w:type="dxa" w:w="1728"/>
          </w:tcPr>
          <w:p>
            <w:r>
              <w:rPr>
                <w:sz w:val="15"/>
              </w:rPr>
              <w:t xml:space="preserve">NSIA BANQUE </w:t>
            </w:r>
          </w:p>
        </w:tc>
        <w:tc>
          <w:tcPr>
            <w:tcW w:type="dxa" w:w="1728"/>
          </w:tcPr>
          <w:p>
            <w:r>
              <w:rPr>
                <w:sz w:val="15"/>
              </w:rPr>
              <w:t>20260429   avis ndeg115 brvmdg   resultats de prem</w:t>
            </w:r>
          </w:p>
        </w:tc>
        <w:tc>
          <w:tcPr>
            <w:tcW w:type="dxa" w:w="1728"/>
          </w:tcPr>
          <w:p>
            <w:r>
              <w:rPr>
                <w:b/>
                <w:color w:val="008000"/>
                <w:sz w:val="15"/>
              </w:rPr>
              <w:t>🟢 +</w:t>
            </w:r>
          </w:p>
        </w:tc>
        <w:tc>
          <w:tcPr>
            <w:tcW w:type="dxa" w:w="1728"/>
          </w:tcPr>
          <w:p>
            <w:r>
              <w:rPr>
                <w:sz w:val="15"/>
              </w:rPr>
              <w:t>La BRVM annonce les résultats de la première cotation des emprunts obligataires FCTC ZAKA RMBS NSIA BANQUE CI 7,00% et 9</w:t>
            </w:r>
          </w:p>
        </w:tc>
      </w:tr>
      <w:tr>
        <w:tc>
          <w:tcPr>
            <w:tcW w:type="dxa" w:w="8640"/>
            <w:gridSpan w:val="5"/>
          </w:tcPr>
          <w:p>
            <w:r>
              <w:rPr>
                <w:color w:val="505050"/>
                <w:sz w:val="14"/>
              </w:rPr>
              <w:t xml:space="preserve">  → Première cotation réussie des obligations FCTC ZAKA RMBS NSIA BANQUE CI le 29 avril 2026 | Prix de cotation fixé à 9 565 FCFA par obligation pour les deux tranches | 100 titres à 7% et 45 titres à 9% échangés pour 1 386 925 FCFA au total</w:t>
            </w:r>
          </w:p>
        </w:tc>
      </w:tr>
      <w:tr>
        <w:tc>
          <w:tcPr>
            <w:tcW w:type="dxa" w:w="1728"/>
          </w:tcPr>
          <w:p>
            <w:r>
              <w:rPr>
                <w:sz w:val="15"/>
              </w:rPr>
              <w:t>28/04/2026</w:t>
            </w:r>
          </w:p>
        </w:tc>
        <w:tc>
          <w:tcPr>
            <w:tcW w:type="dxa" w:w="1728"/>
          </w:tcPr>
          <w:p>
            <w:r>
              <w:rPr>
                <w:sz w:val="15"/>
              </w:rPr>
              <w:t>BOURSE REGIO</w:t>
            </w:r>
          </w:p>
        </w:tc>
        <w:tc>
          <w:tcPr>
            <w:tcW w:type="dxa" w:w="1728"/>
          </w:tcPr>
          <w:p>
            <w:r>
              <w:rPr>
                <w:sz w:val="15"/>
              </w:rPr>
              <w:t>20260427  avis ndeg113 brvmdg   horaires de cotati</w:t>
            </w:r>
          </w:p>
        </w:tc>
        <w:tc>
          <w:tcPr>
            <w:tcW w:type="dxa" w:w="1728"/>
          </w:tcPr>
          <w:p>
            <w:r>
              <w:rPr>
                <w:b/>
                <w:sz w:val="15"/>
              </w:rPr>
              <w:t>⚪ =</w:t>
            </w:r>
          </w:p>
        </w:tc>
        <w:tc>
          <w:tcPr>
            <w:tcW w:type="dxa" w:w="1728"/>
          </w:tcPr>
          <w:p>
            <w:r>
              <w:rPr>
                <w:sz w:val="15"/>
              </w:rPr>
              <w:t>La BRVM informe le public et les intervenants du marché des horaires modifiés de cotation pour le jeudi 30 avril 2026 en</w:t>
            </w:r>
          </w:p>
        </w:tc>
      </w:tr>
      <w:tr>
        <w:tc>
          <w:tcPr>
            <w:tcW w:type="dxa" w:w="8640"/>
            <w:gridSpan w:val="5"/>
          </w:tcPr>
          <w:p>
            <w:r>
              <w:rPr>
                <w:color w:val="505050"/>
                <w:sz w:val="14"/>
              </w:rPr>
              <w:t xml:space="preserve">  → Modification des horaires de cotation du 30 avril 2026 pour la fête du travail | Pré-ouverture de 9h00 à 9h30 et fixing d'ouverture à 9h30 | Négociation continue de 9h30 à 11h00 avec pré-clôture de 11h00 à 11h30</w:t>
            </w:r>
          </w:p>
        </w:tc>
      </w:tr>
      <w:tr>
        <w:tc>
          <w:tcPr>
            <w:tcW w:type="dxa" w:w="1728"/>
          </w:tcPr>
          <w:p>
            <w:r>
              <w:rPr>
                <w:sz w:val="15"/>
              </w:rPr>
              <w:t>28/04/2026</w:t>
            </w:r>
          </w:p>
        </w:tc>
        <w:tc>
          <w:tcPr>
            <w:tcW w:type="dxa" w:w="1728"/>
          </w:tcPr>
          <w:p>
            <w:r>
              <w:rPr>
                <w:sz w:val="15"/>
              </w:rPr>
              <w:t>BRVM</w:t>
            </w:r>
          </w:p>
        </w:tc>
        <w:tc>
          <w:tcPr>
            <w:tcW w:type="dxa" w:w="1728"/>
          </w:tcPr>
          <w:p>
            <w:r>
              <w:rPr>
                <w:sz w:val="15"/>
              </w:rPr>
              <w:t>20260427   avis ndeg112 brvmdg   rappel 01 mai 202</w:t>
            </w:r>
          </w:p>
        </w:tc>
        <w:tc>
          <w:tcPr>
            <w:tcW w:type="dxa" w:w="1728"/>
          </w:tcPr>
          <w:p>
            <w:r>
              <w:rPr>
                <w:b/>
                <w:sz w:val="15"/>
              </w:rPr>
              <w:t>⚪ =</w:t>
            </w:r>
          </w:p>
        </w:tc>
        <w:tc>
          <w:tcPr>
            <w:tcW w:type="dxa" w:w="1728"/>
          </w:tcPr>
          <w:p>
            <w:r>
              <w:rPr>
                <w:sz w:val="15"/>
              </w:rPr>
              <w:t>La BRVM rappelle au public et aux intervenants du marché que le vendredi 1er mai 2026, jour de la fête du travail, est f</w:t>
            </w:r>
          </w:p>
        </w:tc>
      </w:tr>
      <w:tr>
        <w:tc>
          <w:tcPr>
            <w:tcW w:type="dxa" w:w="8640"/>
            <w:gridSpan w:val="5"/>
          </w:tcPr>
          <w:p>
            <w:r>
              <w:rPr>
                <w:color w:val="505050"/>
                <w:sz w:val="14"/>
              </w:rPr>
              <w:t xml:space="preserve">  → Rappel de fermeture de la BRVM le vendredi 1er mai 2026 pour la fête du travail | Aucune séance de cotation prévue le 1er mai 2026 en raison du jour férié | Reprise des séances de cotation le lundi 04 mai 2026</w:t>
            </w:r>
          </w:p>
        </w:tc>
      </w:tr>
      <w:tr>
        <w:tc>
          <w:tcPr>
            <w:tcW w:type="dxa" w:w="1728"/>
          </w:tcPr>
          <w:p>
            <w:r>
              <w:rPr>
                <w:sz w:val="15"/>
              </w:rPr>
              <w:t>24/04/2026</w:t>
            </w:r>
          </w:p>
        </w:tc>
        <w:tc>
          <w:tcPr>
            <w:tcW w:type="dxa" w:w="1728"/>
          </w:tcPr>
          <w:p>
            <w:r>
              <w:rPr>
                <w:sz w:val="15"/>
              </w:rPr>
              <w:t>SAFCA CI</w:t>
            </w:r>
          </w:p>
        </w:tc>
        <w:tc>
          <w:tcPr>
            <w:tcW w:type="dxa" w:w="1728"/>
          </w:tcPr>
          <w:p>
            <w:r>
              <w:rPr>
                <w:sz w:val="15"/>
              </w:rPr>
              <w:t xml:space="preserve">20260423   avis ndeg108 brvmdg   valeur theorique </w:t>
            </w:r>
          </w:p>
        </w:tc>
        <w:tc>
          <w:tcPr>
            <w:tcW w:type="dxa" w:w="1728"/>
          </w:tcPr>
          <w:p>
            <w:r>
              <w:rPr>
                <w:b/>
                <w:color w:val="008000"/>
                <w:sz w:val="15"/>
              </w:rPr>
              <w:t>🟢 +</w:t>
            </w:r>
          </w:p>
        </w:tc>
        <w:tc>
          <w:tcPr>
            <w:tcW w:type="dxa" w:w="1728"/>
          </w:tcPr>
          <w:p>
            <w:r>
              <w:rPr>
                <w:sz w:val="15"/>
              </w:rPr>
              <w:t>La BRVM annonce la valeur théorique du Droit Préférentiel de Souscription (DPS) de SAFCA CI à 1 615 FCFA dans le cadre d</w:t>
            </w:r>
          </w:p>
        </w:tc>
      </w:tr>
      <w:tr>
        <w:tc>
          <w:tcPr>
            <w:tcW w:type="dxa" w:w="8640"/>
            <w:gridSpan w:val="5"/>
          </w:tcPr>
          <w:p>
            <w:r>
              <w:rPr>
                <w:color w:val="505050"/>
                <w:sz w:val="14"/>
              </w:rPr>
              <w:t xml:space="preserve">  → Augmentation de capital SAFCA CI par apport en numéraire : 6 actions nouvelles pour 13 anciennes | Valeur théorique du DPS fixée à 1 615 FCFA à la clôture du 23 avril 2026 | Action cotera ex-droit à partir du 24 avril 2026 avec cours de référence de 3 890 FCFA</w:t>
            </w:r>
          </w:p>
        </w:tc>
      </w:tr>
      <w:tr>
        <w:tc>
          <w:tcPr>
            <w:tcW w:type="dxa" w:w="1728"/>
          </w:tcPr>
          <w:p>
            <w:r>
              <w:rPr>
                <w:sz w:val="15"/>
              </w:rPr>
              <w:t>24/04/2026</w:t>
            </w:r>
          </w:p>
        </w:tc>
        <w:tc>
          <w:tcPr>
            <w:tcW w:type="dxa" w:w="1728"/>
          </w:tcPr>
          <w:p>
            <w:r>
              <w:rPr>
                <w:sz w:val="15"/>
              </w:rPr>
              <w:t>TPTG</w:t>
            </w:r>
          </w:p>
        </w:tc>
        <w:tc>
          <w:tcPr>
            <w:tcW w:type="dxa" w:w="1728"/>
          </w:tcPr>
          <w:p>
            <w:r>
              <w:rPr>
                <w:sz w:val="15"/>
              </w:rPr>
              <w:t>20260523   avis ndeg110 brvmdg   resultats de prem</w:t>
            </w:r>
          </w:p>
        </w:tc>
        <w:tc>
          <w:tcPr>
            <w:tcW w:type="dxa" w:w="1728"/>
          </w:tcPr>
          <w:p>
            <w:r>
              <w:rPr>
                <w:b/>
                <w:color w:val="008000"/>
                <w:sz w:val="15"/>
              </w:rPr>
              <w:t>🟢 +</w:t>
            </w:r>
          </w:p>
        </w:tc>
        <w:tc>
          <w:tcPr>
            <w:tcW w:type="dxa" w:w="1728"/>
          </w:tcPr>
          <w:p>
            <w:r>
              <w:rPr>
                <w:sz w:val="15"/>
              </w:rPr>
              <w:t>La BRVM annonce les résultats de première cotation des obligations TPTG 6,50% 2026-2031 et TPTG 6,70% 2026-2033 qui a eu</w:t>
            </w:r>
          </w:p>
        </w:tc>
      </w:tr>
      <w:tr>
        <w:tc>
          <w:tcPr>
            <w:tcW w:type="dxa" w:w="8640"/>
            <w:gridSpan w:val="5"/>
          </w:tcPr>
          <w:p>
            <w:r>
              <w:rPr>
                <w:color w:val="505050"/>
                <w:sz w:val="14"/>
              </w:rPr>
              <w:t xml:space="preserve">  → Première cotation réussie des obligations TPTG 6,50% 2026-2031 et TPTG 6,70% 2026-2033 le 23 avril 2026 | Prix de cotation fixé à 10 000 FCFA par obligation pour les deux émissions | Volume d'échange de 100 titres pour chaque valeur, soit une valeur totale échangée de 2 millions FCFA</w:t>
            </w:r>
          </w:p>
        </w:tc>
      </w:tr>
      <w:tr>
        <w:tc>
          <w:tcPr>
            <w:tcW w:type="dxa" w:w="1728"/>
          </w:tcPr>
          <w:p>
            <w:r>
              <w:rPr>
                <w:sz w:val="15"/>
              </w:rPr>
              <w:t>24/04/2026</w:t>
            </w:r>
          </w:p>
        </w:tc>
        <w:tc>
          <w:tcPr>
            <w:tcW w:type="dxa" w:w="1728"/>
          </w:tcPr>
          <w:p>
            <w:r>
              <w:rPr>
                <w:sz w:val="15"/>
              </w:rPr>
              <w:t>FCTC CROISSA</w:t>
            </w:r>
          </w:p>
        </w:tc>
        <w:tc>
          <w:tcPr>
            <w:tcW w:type="dxa" w:w="1728"/>
          </w:tcPr>
          <w:p>
            <w:r>
              <w:rPr>
                <w:sz w:val="15"/>
              </w:rPr>
              <w:t>20260423   avis ndeg107 brvmdg   premiere cotation</w:t>
            </w:r>
          </w:p>
        </w:tc>
        <w:tc>
          <w:tcPr>
            <w:tcW w:type="dxa" w:w="1728"/>
          </w:tcPr>
          <w:p>
            <w:r>
              <w:rPr>
                <w:b/>
                <w:color w:val="008000"/>
                <w:sz w:val="15"/>
              </w:rPr>
              <w:t>🟢 +</w:t>
            </w:r>
          </w:p>
        </w:tc>
        <w:tc>
          <w:tcPr>
            <w:tcW w:type="dxa" w:w="1728"/>
          </w:tcPr>
          <w:p>
            <w:r>
              <w:rPr>
                <w:sz w:val="15"/>
              </w:rPr>
              <w:t>La BRVM annonce la première cotation des obligations « FCTC CROISSANCE AGRICOLE 8 % 2025-2032 » et « FCTC CROISSANCE AGR</w:t>
            </w:r>
          </w:p>
        </w:tc>
      </w:tr>
      <w:tr>
        <w:tc>
          <w:tcPr>
            <w:tcW w:type="dxa" w:w="8640"/>
            <w:gridSpan w:val="5"/>
          </w:tcPr>
          <w:p>
            <w:r>
              <w:rPr>
                <w:color w:val="505050"/>
                <w:sz w:val="14"/>
              </w:rPr>
              <w:t xml:space="preserve">  → Première cotation des obligations FCTC CROISSANCE AGRICOLE (8% et 9%) prévue le 5 mai 2026 | Montant total de l'émission : 80 milliards FCFA (6 millions d'obligations à 8% et 2 millions à 9%) | Cours de référence fixé à 9 286 FCFA par obligation pour l'introduction en bourse</w:t>
            </w:r>
          </w:p>
        </w:tc>
      </w:tr>
    </w:tbl>
    <w:p/>
    <w:p>
      <w:pPr>
        <w:pStyle w:val="Heading3"/>
      </w:pPr>
      <w:r>
        <w:t>📢 Communiqués de presse (3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31/12/2025</w:t>
            </w:r>
          </w:p>
        </w:tc>
        <w:tc>
          <w:tcPr>
            <w:tcW w:type="dxa" w:w="1728"/>
          </w:tcPr>
          <w:p>
            <w:r>
              <w:rPr>
                <w:sz w:val="15"/>
              </w:rPr>
              <w:t>Loterie Nati</w:t>
            </w:r>
          </w:p>
        </w:tc>
        <w:tc>
          <w:tcPr>
            <w:tcW w:type="dxa" w:w="1728"/>
          </w:tcPr>
          <w:p>
            <w:r>
              <w:rPr>
                <w:sz w:val="15"/>
              </w:rPr>
              <w:t xml:space="preserve">20251231   communique profit warning lnb sa 30 12 </w:t>
            </w:r>
          </w:p>
        </w:tc>
        <w:tc>
          <w:tcPr>
            <w:tcW w:type="dxa" w:w="1728"/>
          </w:tcPr>
          <w:p>
            <w:r>
              <w:rPr>
                <w:b/>
                <w:sz w:val="15"/>
              </w:rPr>
              <w:t>⚪ =</w:t>
            </w:r>
          </w:p>
        </w:tc>
        <w:tc>
          <w:tcPr>
            <w:tcW w:type="dxa" w:w="1728"/>
          </w:tcPr>
          <w:p>
            <w:r>
              <w:rPr>
                <w:sz w:val="15"/>
              </w:rPr>
              <w:t>La Loterie Nationale du Bénin SA émet un avertissement sur résultats pour 2025, anticipant une baisse de 8% du chiffre d</w:t>
            </w:r>
          </w:p>
        </w:tc>
      </w:tr>
      <w:tr>
        <w:tc>
          <w:tcPr>
            <w:tcW w:type="dxa" w:w="8640"/>
            <w:gridSpan w:val="5"/>
          </w:tcPr>
          <w:p>
            <w:r>
              <w:rPr>
                <w:color w:val="505050"/>
                <w:sz w:val="14"/>
              </w:rPr>
              <w:t xml:space="preserve">  → Chiffre d'affaires prévu en baisse de 8% par rapport à 2024 | Résultat net attendu en recul de 47% par rapport à l'exercice précédent | Résultat net positif estimé à environ 3 782 millions FCFA au 31 décembre 2025</w:t>
            </w:r>
          </w:p>
        </w:tc>
      </w:tr>
      <w:tr>
        <w:tc>
          <w:tcPr>
            <w:tcW w:type="dxa" w:w="1728"/>
          </w:tcPr>
          <w:p>
            <w:r>
              <w:rPr>
                <w:sz w:val="15"/>
              </w:rPr>
              <w:t>28/11/2025</w:t>
            </w:r>
          </w:p>
        </w:tc>
        <w:tc>
          <w:tcPr>
            <w:tcW w:type="dxa" w:w="1728"/>
          </w:tcPr>
          <w:p>
            <w:r>
              <w:rPr>
                <w:sz w:val="15"/>
              </w:rPr>
              <w:t xml:space="preserve">AIR LIQUIDE </w:t>
            </w:r>
          </w:p>
        </w:tc>
        <w:tc>
          <w:tcPr>
            <w:tcW w:type="dxa" w:w="1728"/>
          </w:tcPr>
          <w:p>
            <w:r>
              <w:rPr>
                <w:sz w:val="15"/>
              </w:rPr>
              <w:t>20251127   communique   changement de denomination</w:t>
            </w:r>
          </w:p>
        </w:tc>
        <w:tc>
          <w:tcPr>
            <w:tcW w:type="dxa" w:w="1728"/>
          </w:tcPr>
          <w:p>
            <w:r>
              <w:rPr>
                <w:b/>
                <w:sz w:val="15"/>
              </w:rPr>
              <w:t>⚪ =</w:t>
            </w:r>
          </w:p>
        </w:tc>
        <w:tc>
          <w:tcPr>
            <w:tcW w:type="dxa" w:w="1728"/>
          </w:tcPr>
          <w:p>
            <w:r>
              <w:rPr>
                <w:sz w:val="15"/>
              </w:rPr>
              <w:t>L'assemblée générale mixte d'AIR LIQUIDE COTE D'IVOIRE a voté le 22 juillet 2024 le changement de dénomination sociale d</w:t>
            </w:r>
          </w:p>
        </w:tc>
      </w:tr>
      <w:tr>
        <w:tc>
          <w:tcPr>
            <w:tcW w:type="dxa" w:w="8640"/>
            <w:gridSpan w:val="5"/>
          </w:tcPr>
          <w:p>
            <w:r>
              <w:rPr>
                <w:color w:val="505050"/>
                <w:sz w:val="14"/>
              </w:rPr>
              <w:t xml:space="preserve">  → Changement de dénomination sociale d'AIR LIQUIDE COTE D'IVOIRE vers ERIUM COTE D'IVOIRE | Vote à quasi-unanimité lors de l'assemblée générale mixte du 22 juillet 2024 | Adoption d'une nouvelle identité visuelle avec le logo Erium</w:t>
            </w:r>
          </w:p>
        </w:tc>
      </w:tr>
      <w:tr>
        <w:tc>
          <w:tcPr>
            <w:tcW w:type="dxa" w:w="1728"/>
          </w:tcPr>
          <w:p>
            <w:r>
              <w:rPr>
                <w:sz w:val="15"/>
              </w:rPr>
              <w:t>28/01/2026</w:t>
            </w:r>
          </w:p>
        </w:tc>
        <w:tc>
          <w:tcPr>
            <w:tcW w:type="dxa" w:w="1728"/>
          </w:tcPr>
          <w:p>
            <w:r>
              <w:rPr>
                <w:sz w:val="15"/>
              </w:rPr>
              <w:t>SOCIETE AFRI</w:t>
            </w:r>
          </w:p>
        </w:tc>
        <w:tc>
          <w:tcPr>
            <w:tcW w:type="dxa" w:w="1728"/>
          </w:tcPr>
          <w:p>
            <w:r>
              <w:rPr>
                <w:sz w:val="15"/>
              </w:rPr>
              <w:t>20260128   communique   saph ci</w:t>
            </w:r>
          </w:p>
        </w:tc>
        <w:tc>
          <w:tcPr>
            <w:tcW w:type="dxa" w:w="1728"/>
          </w:tcPr>
          <w:p>
            <w:r>
              <w:rPr>
                <w:b/>
                <w:color w:val="008000"/>
                <w:sz w:val="15"/>
              </w:rPr>
              <w:t>🟢 +</w:t>
            </w:r>
          </w:p>
        </w:tc>
        <w:tc>
          <w:tcPr>
            <w:tcW w:type="dxa" w:w="1728"/>
          </w:tcPr>
          <w:p>
            <w:r>
              <w:rPr>
                <w:sz w:val="15"/>
              </w:rPr>
              <w:t>SAPH annonce l'acquisition des parts sociales de la Société Civile Agricole du Sud-Ouest (SCASO) pour renforcer sa posit</w:t>
            </w:r>
          </w:p>
        </w:tc>
      </w:tr>
      <w:tr>
        <w:tc>
          <w:tcPr>
            <w:tcW w:type="dxa" w:w="8640"/>
            <w:gridSpan w:val="5"/>
          </w:tcPr>
          <w:p>
            <w:r>
              <w:rPr>
                <w:color w:val="505050"/>
                <w:sz w:val="14"/>
              </w:rPr>
              <w:t xml:space="preserve">  → Acquisition des parts sociales de la SCASO dans le cadre de la stratégie de croissance agricole | SCASO possède une concession de 2.871 hectares dont 1.500 hectares plantés en hévéas | Site SCASO limitrophe du site SAPH de Rapides Grah permettant une synergie géographique</w:t>
            </w:r>
          </w:p>
        </w:tc>
      </w:tr>
    </w:tbl>
    <w:p/>
    <w:p>
      <w:pPr>
        <w:pStyle w:val="Heading3"/>
      </w:pPr>
      <w:r>
        <w:t>💰 Dividendes (4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31/07/2026</w:t>
            </w:r>
          </w:p>
        </w:tc>
        <w:tc>
          <w:tcPr>
            <w:tcW w:type="dxa" w:w="1728"/>
          </w:tcPr>
          <w:p>
            <w:r>
              <w:rPr>
                <w:sz w:val="15"/>
              </w:rPr>
              <w:t>BRVM</w:t>
            </w:r>
          </w:p>
        </w:tc>
        <w:tc>
          <w:tcPr>
            <w:tcW w:type="dxa" w:w="1728"/>
          </w:tcPr>
          <w:p>
            <w:r>
              <w:rPr>
                <w:sz w:val="15"/>
              </w:rPr>
              <w:t xml:space="preserve">20260730   calendrier de paiement des dividendes  </w:t>
            </w:r>
          </w:p>
        </w:tc>
        <w:tc>
          <w:tcPr>
            <w:tcW w:type="dxa" w:w="1728"/>
          </w:tcPr>
          <w:p>
            <w:r>
              <w:rPr>
                <w:b/>
                <w:sz w:val="15"/>
              </w:rPr>
              <w:t>⚪ =</w:t>
            </w:r>
          </w:p>
        </w:tc>
        <w:tc>
          <w:tcPr>
            <w:tcW w:type="dxa" w:w="1728"/>
          </w:tcPr>
          <w:p>
            <w:r>
              <w:rPr>
                <w:sz w:val="15"/>
              </w:rPr>
              <w:t>La BRVM publie le calendrier de paiement des dividendes au titre de l'exercice 2025. Les paiements s'échelonnent du 23 a</w:t>
            </w:r>
          </w:p>
        </w:tc>
      </w:tr>
      <w:tr>
        <w:tc>
          <w:tcPr>
            <w:tcW w:type="dxa" w:w="8640"/>
            <w:gridSpan w:val="5"/>
          </w:tcPr>
          <w:p>
            <w:r>
              <w:rPr>
                <w:color w:val="505050"/>
                <w:sz w:val="14"/>
              </w:rPr>
              <w:t xml:space="preserve">  → Le calendrier couvre les dividendes de l'exercice 2025 pour plus de 20 sociétés cotées. | Les paiements débutent le 23 avril 2026 avec BOA Burkina Faso et se terminent le 14 août 2026 avec CFAO Motors CI. | Les montants nets par action varient de 0,9184 FCFA (Ecobank Transnational Incorporated TG) à 1 940 FCFA (SITAB CI).</w:t>
            </w:r>
          </w:p>
        </w:tc>
      </w:tr>
      <w:tr>
        <w:tc>
          <w:tcPr>
            <w:tcW w:type="dxa" w:w="1728"/>
          </w:tcPr>
          <w:p>
            <w:r>
              <w:rPr>
                <w:sz w:val="15"/>
              </w:rPr>
              <w:t>27/05/2026</w:t>
            </w:r>
          </w:p>
        </w:tc>
        <w:tc>
          <w:tcPr>
            <w:tcW w:type="dxa" w:w="1728"/>
          </w:tcPr>
          <w:p>
            <w:r>
              <w:rPr>
                <w:sz w:val="15"/>
              </w:rPr>
              <w:t>Multiples so</w:t>
            </w:r>
          </w:p>
        </w:tc>
        <w:tc>
          <w:tcPr>
            <w:tcW w:type="dxa" w:w="1728"/>
          </w:tcPr>
          <w:p>
            <w:r>
              <w:rPr>
                <w:sz w:val="15"/>
              </w:rPr>
              <w:t xml:space="preserve">20260526   calendrier de paiement des dividendes  </w:t>
            </w:r>
          </w:p>
        </w:tc>
        <w:tc>
          <w:tcPr>
            <w:tcW w:type="dxa" w:w="1728"/>
          </w:tcPr>
          <w:p>
            <w:r>
              <w:rPr>
                <w:b/>
                <w:color w:val="008000"/>
                <w:sz w:val="15"/>
              </w:rPr>
              <w:t>🟢 +</w:t>
            </w:r>
          </w:p>
        </w:tc>
        <w:tc>
          <w:tcPr>
            <w:tcW w:type="dxa" w:w="1728"/>
          </w:tcPr>
          <w:p>
            <w:r>
              <w:rPr>
                <w:sz w:val="15"/>
              </w:rPr>
              <w:t>Calendrier officiel de paiement des dividendes pour l'exercice 2025 publié par la BRVM le 26 mai 2026. Le document prése</w:t>
            </w:r>
          </w:p>
        </w:tc>
      </w:tr>
      <w:tr>
        <w:tc>
          <w:tcPr>
            <w:tcW w:type="dxa" w:w="8640"/>
            <w:gridSpan w:val="5"/>
          </w:tcPr>
          <w:p>
            <w:r>
              <w:rPr>
                <w:color w:val="505050"/>
                <w:sz w:val="14"/>
              </w:rPr>
              <w:t xml:space="preserve">  → SONATEL SENEGAL offre le dividende le plus élevé à 1 740 FCFA par action | BOA CÔTE D'IVOIRE distribue 594,528 FCFA par action avec paiement le 06/05/2026 | ECOBANK CI et ORANGE CI versent des dividendes bruts soumis à l'IRVM de 12% (personnes physiques) et 10% (personnes morales)</w:t>
            </w:r>
          </w:p>
        </w:tc>
      </w:tr>
      <w:tr>
        <w:tc>
          <w:tcPr>
            <w:tcW w:type="dxa" w:w="1728"/>
          </w:tcPr>
          <w:p>
            <w:r>
              <w:rPr>
                <w:sz w:val="15"/>
              </w:rPr>
              <w:t>24/05/2026</w:t>
            </w:r>
          </w:p>
        </w:tc>
        <w:tc>
          <w:tcPr>
            <w:tcW w:type="dxa" w:w="1728"/>
          </w:tcPr>
          <w:p>
            <w:r>
              <w:rPr>
                <w:sz w:val="15"/>
              </w:rPr>
              <w:t>BRVM</w:t>
            </w:r>
          </w:p>
        </w:tc>
        <w:tc>
          <w:tcPr>
            <w:tcW w:type="dxa" w:w="1728"/>
          </w:tcPr>
          <w:p>
            <w:r>
              <w:rPr>
                <w:sz w:val="15"/>
              </w:rPr>
              <w:t xml:space="preserve">20260522   calendrier de paiement des dividendes  </w:t>
            </w:r>
          </w:p>
        </w:tc>
        <w:tc>
          <w:tcPr>
            <w:tcW w:type="dxa" w:w="1728"/>
          </w:tcPr>
          <w:p>
            <w:r>
              <w:rPr>
                <w:b/>
                <w:color w:val="008000"/>
                <w:sz w:val="15"/>
              </w:rPr>
              <w:t>🟢 +</w:t>
            </w:r>
          </w:p>
        </w:tc>
        <w:tc>
          <w:tcPr>
            <w:tcW w:type="dxa" w:w="1728"/>
          </w:tcPr>
          <w:p>
            <w:r>
              <w:rPr>
                <w:sz w:val="15"/>
              </w:rPr>
              <w:t>Calendrier officiel de paiement des dividendes pour l'exercice 2025 publié par la BRVM le 22 mai 2026. Le document prése</w:t>
            </w:r>
          </w:p>
        </w:tc>
      </w:tr>
      <w:tr>
        <w:tc>
          <w:tcPr>
            <w:tcW w:type="dxa" w:w="8640"/>
            <w:gridSpan w:val="5"/>
          </w:tcPr>
          <w:p>
            <w:r>
              <w:rPr>
                <w:color w:val="505050"/>
                <w:sz w:val="14"/>
              </w:rPr>
              <w:t xml:space="preserve">  → SONATEL SENEGAL offre le dividende le plus élevé avec 1 740 FCFA par action | Les dates de paiement s'échelonnent du 23 avril au 15 juin 2026 | ECOBANK CI et ORANGE CI versent des dividendes bruts soumis à l'IRVM (12% personnes physiques, 10% personnes morales)</w:t>
            </w:r>
          </w:p>
        </w:tc>
      </w:tr>
      <w:tr>
        <w:tc>
          <w:tcPr>
            <w:tcW w:type="dxa" w:w="1728"/>
          </w:tcPr>
          <w:p>
            <w:r>
              <w:rPr>
                <w:sz w:val="15"/>
              </w:rPr>
              <w:t>24/04/2026</w:t>
            </w:r>
          </w:p>
        </w:tc>
        <w:tc>
          <w:tcPr>
            <w:tcW w:type="dxa" w:w="1728"/>
          </w:tcPr>
          <w:p>
            <w:r>
              <w:rPr>
                <w:sz w:val="15"/>
              </w:rPr>
              <w:t xml:space="preserve">BOA BURKINA </w:t>
            </w:r>
          </w:p>
        </w:tc>
        <w:tc>
          <w:tcPr>
            <w:tcW w:type="dxa" w:w="1728"/>
          </w:tcPr>
          <w:p>
            <w:r>
              <w:rPr>
                <w:sz w:val="15"/>
              </w:rPr>
              <w:t xml:space="preserve">20260423   calendrier de paiement des dividendes  </w:t>
            </w:r>
          </w:p>
        </w:tc>
        <w:tc>
          <w:tcPr>
            <w:tcW w:type="dxa" w:w="1728"/>
          </w:tcPr>
          <w:p>
            <w:r>
              <w:rPr>
                <w:b/>
                <w:color w:val="008000"/>
                <w:sz w:val="15"/>
              </w:rPr>
              <w:t>🟢 +</w:t>
            </w:r>
          </w:p>
        </w:tc>
        <w:tc>
          <w:tcPr>
            <w:tcW w:type="dxa" w:w="1728"/>
          </w:tcPr>
          <w:p>
            <w:r>
              <w:rPr>
                <w:sz w:val="15"/>
              </w:rPr>
              <w:t>Calendrier de paiement des dividendes de la BRVM pour l'exercice 2025, publié le 23 avril 2026. Le document présente les</w:t>
            </w:r>
          </w:p>
        </w:tc>
      </w:tr>
      <w:tr>
        <w:tc>
          <w:tcPr>
            <w:tcW w:type="dxa" w:w="8640"/>
            <w:gridSpan w:val="5"/>
          </w:tcPr>
          <w:p>
            <w:r>
              <w:rPr>
                <w:color w:val="505050"/>
                <w:sz w:val="14"/>
              </w:rPr>
              <w:t xml:space="preserve">  → BOA Burkina Faso verse un dividende net de 397 FCFA par action avec paiement le 23/04/2026 | BOA Côte d'Ivoire distribue le dividende le plus élevé à 594,528 FCFA par action, payable le 06/05/2026 | Sonatel Sénégal offre le dividende le plus important à 1 740 FCFA par action avec paiement le 26/04/2026</w:t>
            </w:r>
          </w:p>
        </w:tc>
      </w:tr>
    </w:tbl>
    <w:p/>
    <w:p>
      <w:pPr>
        <w:pStyle w:val="Heading3"/>
      </w:pPr>
      <w:r>
        <w:t>📊 Résultats financiers (2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29/04/2026</w:t>
            </w:r>
          </w:p>
        </w:tc>
        <w:tc>
          <w:tcPr>
            <w:tcW w:type="dxa" w:w="1728"/>
          </w:tcPr>
          <w:p>
            <w:r>
              <w:rPr>
                <w:sz w:val="15"/>
              </w:rPr>
              <w:t>BANK OF AFRI</w:t>
            </w:r>
          </w:p>
        </w:tc>
        <w:tc>
          <w:tcPr>
            <w:tcW w:type="dxa" w:w="1728"/>
          </w:tcPr>
          <w:p>
            <w:r>
              <w:rPr>
                <w:sz w:val="15"/>
              </w:rPr>
              <w:t>20260429   communique de presse   boa ng</w:t>
            </w:r>
          </w:p>
        </w:tc>
        <w:tc>
          <w:tcPr>
            <w:tcW w:type="dxa" w:w="1728"/>
          </w:tcPr>
          <w:p>
            <w:r>
              <w:rPr>
                <w:b/>
                <w:sz w:val="15"/>
              </w:rPr>
              <w:t>⚪ =</w:t>
            </w:r>
          </w:p>
        </w:tc>
        <w:tc>
          <w:tcPr>
            <w:tcW w:type="dxa" w:w="1728"/>
          </w:tcPr>
          <w:p>
            <w:r>
              <w:rPr>
                <w:sz w:val="15"/>
              </w:rPr>
              <w:t>BOA-NIGER annonce ses résultats financiers pour l'exercice 2025, marqués par une forte chute du résultat net de -92% à 4</w:t>
            </w:r>
          </w:p>
        </w:tc>
      </w:tr>
      <w:tr>
        <w:tc>
          <w:tcPr>
            <w:tcW w:type="dxa" w:w="8640"/>
            <w:gridSpan w:val="5"/>
          </w:tcPr>
          <w:p>
            <w:r>
              <w:rPr>
                <w:color w:val="505050"/>
                <w:sz w:val="14"/>
              </w:rPr>
              <w:t xml:space="preserve">  → Résultat net en chute de -92% à 409 millions FCFA en 2025 contre 5,002 milliards en 2024 | Dépôts en progression de +4% à 189,9 milliards FCFA, surperformant le secteur (+1%) | Contraction volontaire des crédits de -21% à 128,4 milliards FCFA dans une logique de gestion prudente</w:t>
            </w:r>
          </w:p>
        </w:tc>
      </w:tr>
      <w:tr>
        <w:tc>
          <w:tcPr>
            <w:tcW w:type="dxa" w:w="1728"/>
          </w:tcPr>
          <w:p>
            <w:r>
              <w:rPr>
                <w:sz w:val="15"/>
              </w:rPr>
              <w:t>27/07/2026</w:t>
            </w:r>
          </w:p>
        </w:tc>
        <w:tc>
          <w:tcPr>
            <w:tcW w:type="dxa" w:w="1728"/>
          </w:tcPr>
          <w:p>
            <w:r>
              <w:rPr>
                <w:sz w:val="15"/>
              </w:rPr>
              <w:t>Groupe Sonat</w:t>
            </w:r>
          </w:p>
        </w:tc>
        <w:tc>
          <w:tcPr>
            <w:tcW w:type="dxa" w:w="1728"/>
          </w:tcPr>
          <w:p>
            <w:r>
              <w:rPr>
                <w:sz w:val="15"/>
              </w:rPr>
              <w:t>20260724   communique de presse   sonatel sn 0</w:t>
            </w:r>
          </w:p>
        </w:tc>
        <w:tc>
          <w:tcPr>
            <w:tcW w:type="dxa" w:w="1728"/>
          </w:tcPr>
          <w:p>
            <w:r>
              <w:rPr>
                <w:b/>
                <w:color w:val="008000"/>
                <w:sz w:val="15"/>
              </w:rPr>
              <w:t>🟢 +</w:t>
            </w:r>
          </w:p>
        </w:tc>
        <w:tc>
          <w:tcPr>
            <w:tcW w:type="dxa" w:w="1728"/>
          </w:tcPr>
          <w:p>
            <w:r>
              <w:rPr>
                <w:sz w:val="15"/>
              </w:rPr>
              <w:t>Le Groupe Sonatel publie ses résultats consolidés du premier semestre 2026, avec un chiffre d'affaires en hausse de 9,3%</w:t>
            </w:r>
          </w:p>
        </w:tc>
      </w:tr>
      <w:tr>
        <w:tc>
          <w:tcPr>
            <w:tcW w:type="dxa" w:w="8640"/>
            <w:gridSpan w:val="5"/>
          </w:tcPr>
          <w:p>
            <w:r>
              <w:rPr>
                <w:color w:val="505050"/>
                <w:sz w:val="14"/>
              </w:rPr>
              <w:t xml:space="preserve">  → Chiffre d'affaires S1 2026: 1 049,8 milliards FCFA, +9,3%. | EBITDAAL en hausse de 11,6% à 510,8 milliards FCFA, représentant 48,7% du chiffre d'affaires. | Résultat net en hausse de 10,5% à 230 milliards FCFA.</w:t>
            </w:r>
          </w:p>
        </w:tc>
      </w:tr>
    </w:tbl>
    <w:p/>
    <w:p/>
    <w:p>
      <w:pPr>
        <w:pStyle w:val="Heading2"/>
      </w:pPr>
      <w:r>
        <w:t>🔔 B — Alertes Google &amp; actualités financières</w:t>
      </w:r>
    </w:p>
    <w:p>
      <w:pPr>
        <w:spacing w:before="120" w:after="40"/>
      </w:pPr>
      <w:r>
        <w:rPr>
          <w:b/>
          <w:color w:val="00467F"/>
          <w:sz w:val="20"/>
        </w:rPr>
        <w:t>🔑 politique  (15 alerte(s))</w:t>
      </w:r>
    </w:p>
    <w:p>
      <w:pPr>
        <w:spacing w:before="40" w:after="40"/>
        <w:ind w:left="360"/>
      </w:pPr>
      <w:r>
        <w:rPr>
          <w:color w:val="646464"/>
          <w:sz w:val="17"/>
        </w:rPr>
        <w:t xml:space="preserve">[16/10/2026] ⚪  </w:t>
      </w:r>
      <w:r>
        <w:rPr>
          <w:b/>
          <w:color w:val="505050"/>
          <w:sz w:val="18"/>
        </w:rPr>
        <w:t>Côte d’Ivoire: la réforme de l’organe électoral sera étudiée à l’Assemblée nationale, déclare le gouvernement - RFI</w:t>
      </w:r>
      <w:r>
        <w:rPr>
          <w:color w:val="787878"/>
          <w:sz w:val="15"/>
        </w:rPr>
        <w:t xml:space="preserve">  [politique]</w:t>
      </w:r>
      <w:r>
        <w:rPr>
          <w:color w:val="B47800"/>
          <w:sz w:val="16"/>
        </w:rPr>
        <w:t xml:space="preserve">  ★ 50/10</w:t>
      </w:r>
    </w:p>
    <w:p>
      <w:pPr>
        <w:spacing w:before="0" w:after="20"/>
        <w:ind w:left="600"/>
      </w:pPr>
      <w:r>
        <w:rPr>
          <w:color w:val="323232"/>
          <w:sz w:val="17"/>
        </w:rPr>
        <w:t>Le gouvernement ivoirien a annoncé que la réforme de l'organe électoral sera étudiée à l'Assemblée nationale. Cette annonce intervient dans un contexte politique sensible, à l'approche d'échéances électorales. La réforme pourrait modifier la composition et le fonctionnement de la Commission électorale indépendante (CEI). Les débats parlementaires d</w:t>
      </w:r>
    </w:p>
    <w:p>
      <w:pPr>
        <w:spacing w:before="0" w:after="40"/>
        <w:ind w:left="600"/>
      </w:pPr>
      <w:r>
        <w:rPr>
          <w:color w:val="00643C"/>
          <w:sz w:val="16"/>
        </w:rPr>
        <w:t>Points clés : Le gouvernement confirme que la réforme de l'organe électoral passera par l'Assemblée nationale  •  La réforme concerne la Commission électorale indépendante (CEI)  •  Contexte politique sensible à l'approche d'élections  •  Les débats parlementaires seront déterminants pour l'avenir électoral du pays</w:t>
      </w:r>
    </w:p>
    <w:p>
      <w:pPr>
        <w:spacing w:before="0" w:after="60"/>
        <w:ind w:left="600"/>
      </w:pPr>
      <w:r>
        <w:rPr>
          <w:color w:val="0064B4"/>
          <w:sz w:val="15"/>
        </w:rPr>
        <w:t>Source : https://news.google.com/rss/articles/CBMilAJBVV95cUxNYk56WEtSYVdxQmEzSXlwN0hzQUY</w:t>
      </w:r>
    </w:p>
    <w:p>
      <w:pPr>
        <w:spacing w:before="40" w:after="40"/>
        <w:ind w:left="360"/>
      </w:pPr>
      <w:r>
        <w:rPr>
          <w:color w:val="646464"/>
          <w:sz w:val="17"/>
        </w:rPr>
        <w:t xml:space="preserve">[16/10/2026] 🔴  </w:t>
      </w:r>
      <w:r>
        <w:rPr>
          <w:b/>
          <w:color w:val="C00000"/>
          <w:sz w:val="18"/>
        </w:rPr>
        <w:t>Au Sénégal, pourquoi Pastef se heurte à répétition à la censure du Conseil constitutionnel - Jeune Afrique</w:t>
      </w:r>
      <w:r>
        <w:rPr>
          <w:color w:val="787878"/>
          <w:sz w:val="15"/>
        </w:rPr>
        <w:t xml:space="preserve">  [politique]</w:t>
      </w:r>
      <w:r>
        <w:rPr>
          <w:color w:val="B47800"/>
          <w:sz w:val="16"/>
        </w:rPr>
        <w:t xml:space="preserve">  ★ 50/10</w:t>
      </w:r>
    </w:p>
    <w:p>
      <w:pPr>
        <w:spacing w:before="0" w:after="20"/>
        <w:ind w:left="600"/>
      </w:pPr>
      <w:r>
        <w:rPr>
          <w:color w:val="323232"/>
          <w:sz w:val="17"/>
        </w:rPr>
        <w:t>Le parti Pastef au Sénégal fait face à des décisions répétées de censure de la part du Conseil constitutionnel, ce qui crée des tensions politiques. Ces revers institutionnels pourraient affecter la stabilité politique et la confiance des investisseurs. L'article de Jeune Afrique analyse les raisons de ces blocages et leurs implications.</w:t>
      </w:r>
    </w:p>
    <w:p>
      <w:pPr>
        <w:spacing w:before="0" w:after="40"/>
        <w:ind w:left="600"/>
      </w:pPr>
      <w:r>
        <w:rPr>
          <w:color w:val="00643C"/>
          <w:sz w:val="16"/>
        </w:rPr>
        <w:t>Points clés : Le Pastef subit des censures répétées du Conseil constitutionnel sénégalais  •  Ces décisions créent un climat d'incertitude politique au Sénégal  •  L'article examine les causes et les conséquences de ces tensions institutionnelles</w:t>
      </w:r>
    </w:p>
    <w:p>
      <w:pPr>
        <w:spacing w:before="0" w:after="60"/>
        <w:ind w:left="600"/>
      </w:pPr>
      <w:r>
        <w:rPr>
          <w:color w:val="0064B4"/>
          <w:sz w:val="15"/>
        </w:rPr>
        <w:t>Source : https://news.google.com/rss/articles/CBMi0wFBVV95cUxQMXpUR2lPTHZnemdWWXh0Y0lORTl</w:t>
      </w:r>
    </w:p>
    <w:p>
      <w:pPr>
        <w:spacing w:before="40" w:after="40"/>
        <w:ind w:left="360"/>
      </w:pPr>
      <w:r>
        <w:rPr>
          <w:color w:val="646464"/>
          <w:sz w:val="17"/>
        </w:rPr>
        <w:t xml:space="preserve">[16/10/2026] ⚪  </w:t>
      </w:r>
      <w:r>
        <w:rPr>
          <w:b/>
          <w:color w:val="505050"/>
          <w:sz w:val="18"/>
        </w:rPr>
        <w:t>Taïwan, Hongkong, Xinjiang : le Togo réaffirme son soutien aux positions chinoises - Togo First</w:t>
      </w:r>
      <w:r>
        <w:rPr>
          <w:color w:val="787878"/>
          <w:sz w:val="15"/>
        </w:rPr>
        <w:t xml:space="preserve">  [politique]</w:t>
      </w:r>
      <w:r>
        <w:rPr>
          <w:color w:val="B47800"/>
          <w:sz w:val="16"/>
        </w:rPr>
        <w:t xml:space="preserve">  ★ 50/10</w:t>
      </w:r>
    </w:p>
    <w:p>
      <w:pPr>
        <w:spacing w:before="0" w:after="20"/>
        <w:ind w:left="600"/>
      </w:pPr>
      <w:r>
        <w:rPr>
          <w:color w:val="323232"/>
          <w:sz w:val="17"/>
        </w:rPr>
        <w:t>Le Togo a réaffirmé son soutien aux positions de la Chine sur les questions de Taïwan, Hongkong et du Xinjiang. Cette déclaration s'inscrit dans le cadre des relations diplomatiques entre Lomé et Pékin. Elle intervient dans un contexte de tensions géopolitiques croissantes autour de ces dossiers. Le Togo confirme ainsi son alignement sur la politiq</w:t>
      </w:r>
    </w:p>
    <w:p>
      <w:pPr>
        <w:spacing w:before="0" w:after="40"/>
        <w:ind w:left="600"/>
      </w:pPr>
      <w:r>
        <w:rPr>
          <w:color w:val="00643C"/>
          <w:sz w:val="16"/>
        </w:rPr>
        <w:t>Points clés : Le Togo soutient les positions chinoises sur Taïwan, Hongkong et le Xinjiang  •  Déclaration officielle des autorités togolaises  •  Renforcement des relations diplomatiques entre le Togo et la Chine</w:t>
      </w:r>
    </w:p>
    <w:p>
      <w:pPr>
        <w:spacing w:before="0" w:after="60"/>
        <w:ind w:left="600"/>
      </w:pPr>
      <w:r>
        <w:rPr>
          <w:color w:val="0064B4"/>
          <w:sz w:val="15"/>
        </w:rPr>
        <w:t>Source : https://news.google.com/rss/articles/CBMixwFBVV95cUxQWHRQNU5xU1VGYnBMeGxXOWdLTGk</w:t>
      </w:r>
    </w:p>
    <w:p>
      <w:pPr>
        <w:spacing w:before="40" w:after="40"/>
        <w:ind w:left="360"/>
      </w:pPr>
      <w:r>
        <w:rPr>
          <w:color w:val="646464"/>
          <w:sz w:val="17"/>
        </w:rPr>
        <w:t xml:space="preserve">[16/10/2026] 🔴  </w:t>
      </w:r>
      <w:r>
        <w:rPr>
          <w:b/>
          <w:color w:val="C00000"/>
          <w:sz w:val="18"/>
        </w:rPr>
        <w:t>Côte d'Ivoire : Probable rejet du dialogue national sur l'organe électoral, Affi : « advienne que pourra… - Koaci</w:t>
      </w:r>
      <w:r>
        <w:rPr>
          <w:color w:val="787878"/>
          <w:sz w:val="15"/>
        </w:rPr>
        <w:t xml:space="preserve">  [politique]</w:t>
      </w:r>
      <w:r>
        <w:rPr>
          <w:color w:val="B47800"/>
          <w:sz w:val="16"/>
        </w:rPr>
        <w:t xml:space="preserve">  ★ 50/10</w:t>
      </w:r>
    </w:p>
    <w:p>
      <w:pPr>
        <w:spacing w:before="0" w:after="20"/>
        <w:ind w:left="600"/>
      </w:pPr>
      <w:r>
        <w:rPr>
          <w:color w:val="323232"/>
          <w:sz w:val="17"/>
        </w:rPr>
        <w:t>Le dialogue national en Côte d'Ivoire sur la composition de l'organe électoral risque d'être rejeté par l'opposition, notamment le parti d'Affi N'Guessan qui déclare « advienne que pourra ». Cette impasse politique intervient dans un contexte de préparation des élections présidentielles de 2025, suscitant des tensions entre le pouvoir et l'oppositi</w:t>
      </w:r>
    </w:p>
    <w:p>
      <w:pPr>
        <w:spacing w:before="0" w:after="40"/>
        <w:ind w:left="600"/>
      </w:pPr>
      <w:r>
        <w:rPr>
          <w:color w:val="00643C"/>
          <w:sz w:val="16"/>
        </w:rPr>
        <w:t>Points clés : Probable rejet du dialogue national par l'opposition ivoirienne  •  Déclaration d'Affi N'Guessan : « advienne que pourra »  •  Tensions autour de l'organisation des prochaines élections présidentielles</w:t>
      </w:r>
    </w:p>
    <w:p>
      <w:pPr>
        <w:spacing w:before="0" w:after="60"/>
        <w:ind w:left="600"/>
      </w:pPr>
      <w:r>
        <w:rPr>
          <w:color w:val="0064B4"/>
          <w:sz w:val="15"/>
        </w:rPr>
        <w:t>Source : https://news.google.com/rss/articles/CBMigAJBVV95cUxPVHc5U3RTQ3hkTGpOSlhHZUFNYkN</w:t>
      </w:r>
    </w:p>
    <w:p>
      <w:pPr>
        <w:spacing w:before="40" w:after="40"/>
        <w:ind w:left="360"/>
      </w:pPr>
      <w:r>
        <w:rPr>
          <w:color w:val="646464"/>
          <w:sz w:val="17"/>
        </w:rPr>
        <w:t xml:space="preserve">[15/10/2026] ⚪  </w:t>
      </w:r>
      <w:r>
        <w:rPr>
          <w:b/>
          <w:color w:val="505050"/>
          <w:sz w:val="18"/>
        </w:rPr>
        <w:t xml:space="preserve">Burkina Faso : « Une révolution ne meurt pas de ses ennemis du dehors », mais de la « division de ses gardiens », selon </w:t>
      </w:r>
      <w:r>
        <w:rPr>
          <w:color w:val="787878"/>
          <w:sz w:val="15"/>
        </w:rPr>
        <w:t xml:space="preserve">  [politique]</w:t>
      </w:r>
      <w:r>
        <w:rPr>
          <w:color w:val="B47800"/>
          <w:sz w:val="16"/>
        </w:rPr>
        <w:t xml:space="preserve">  ★ 50/10</w:t>
      </w:r>
    </w:p>
    <w:p>
      <w:pPr>
        <w:spacing w:before="0" w:after="20"/>
        <w:ind w:left="600"/>
      </w:pPr>
      <w:r>
        <w:rPr>
          <w:color w:val="323232"/>
          <w:sz w:val="17"/>
        </w:rPr>
        <w:t>Le capitaine Ibrahim Traoré, chef de la junte au Burkina Faso, a déclaré qu'une révolution ne meurt pas de ses ennemis extérieurs mais de la division de ses propres gardiens. Cette déclaration intervient dans un contexte de tensions politiques et sécuritaires persistantes au Sahel. Elle semble viser à maintenir la cohésion au sein des forces armées</w:t>
      </w:r>
    </w:p>
    <w:p>
      <w:pPr>
        <w:spacing w:before="0" w:after="40"/>
        <w:ind w:left="600"/>
      </w:pPr>
      <w:r>
        <w:rPr>
          <w:color w:val="00643C"/>
          <w:sz w:val="16"/>
        </w:rPr>
        <w:t>Points clés : Déclaration de Traoré sur la division interne comme principal danger pour une révolution  •  Contexte de fragilité politique et sécuritaire au Burkina Faso  •  Appel implicite à l'unité des forces de défense et de sécurité  •  Aucune annonce économique ou financière directe</w:t>
      </w:r>
    </w:p>
    <w:p>
      <w:pPr>
        <w:spacing w:before="0" w:after="60"/>
        <w:ind w:left="600"/>
      </w:pPr>
      <w:r>
        <w:rPr>
          <w:color w:val="0064B4"/>
          <w:sz w:val="15"/>
        </w:rPr>
        <w:t>Source : https://news.google.com/rss/articles/CBMimgJBVV95cUxNbExxWkNhZVo1aXNTOWVUd2FlS3E</w:t>
      </w:r>
    </w:p>
    <w:p>
      <w:pPr>
        <w:spacing w:before="120" w:after="40"/>
      </w:pPr>
      <w:r>
        <w:rPr>
          <w:b/>
          <w:color w:val="00467F"/>
          <w:sz w:val="20"/>
        </w:rPr>
        <w:t>🔑 politique_monetaire  (2 alerte(s))</w:t>
      </w:r>
    </w:p>
    <w:p>
      <w:pPr>
        <w:spacing w:before="40" w:after="40"/>
        <w:ind w:left="360"/>
      </w:pPr>
      <w:r>
        <w:rPr>
          <w:color w:val="646464"/>
          <w:sz w:val="17"/>
        </w:rPr>
        <w:t xml:space="preserve">[14/10/2026] 🔴  </w:t>
      </w:r>
      <w:r>
        <w:rPr>
          <w:b/>
          <w:color w:val="C00000"/>
          <w:sz w:val="18"/>
        </w:rPr>
        <w:t>Tensions sur la dette française : l'aide de la BCE peu probable - Yahoo Finance France</w:t>
      </w:r>
      <w:r>
        <w:rPr>
          <w:color w:val="787878"/>
          <w:sz w:val="15"/>
        </w:rPr>
        <w:t xml:space="preserve">  [politique_monetaire]</w:t>
      </w:r>
      <w:r>
        <w:rPr>
          <w:color w:val="B47800"/>
          <w:sz w:val="16"/>
        </w:rPr>
        <w:t xml:space="preserve">  ★ 50/10</w:t>
      </w:r>
    </w:p>
    <w:p>
      <w:pPr>
        <w:spacing w:before="0" w:after="20"/>
        <w:ind w:left="600"/>
      </w:pPr>
      <w:r>
        <w:rPr>
          <w:color w:val="323232"/>
          <w:sz w:val="17"/>
        </w:rPr>
        <w:t>Les tensions sur la dette française s'intensifient alors que les marchés doutent de plus en plus d'un soutien de la Banque centrale européenne. La BCE pourrait être réticente à intervenir directement pour aider la France, ce qui alimente les inquiétudes des investisseurs. Cette situation crée une incertitude sur les marchés obligataires européens e</w:t>
      </w:r>
    </w:p>
    <w:p>
      <w:pPr>
        <w:spacing w:before="0" w:after="40"/>
        <w:ind w:left="600"/>
      </w:pPr>
      <w:r>
        <w:rPr>
          <w:color w:val="00643C"/>
          <w:sz w:val="16"/>
        </w:rPr>
        <w:t>Points clés : Les tensions sur la dette française persistent  •  L'aide de la BCE est jugée peu probable  •  Incertitude accrue sur les marchés obligataires européens</w:t>
      </w:r>
    </w:p>
    <w:p>
      <w:pPr>
        <w:spacing w:before="0" w:after="60"/>
        <w:ind w:left="600"/>
      </w:pPr>
      <w:r>
        <w:rPr>
          <w:color w:val="0064B4"/>
          <w:sz w:val="15"/>
        </w:rPr>
        <w:t>Source : https://news.google.com/rss/articles/CBMimgFBVV95cUxQaVl0RDZScUYyY1ZTTk1ZeEo5R0h</w:t>
      </w:r>
    </w:p>
    <w:p>
      <w:pPr>
        <w:spacing w:before="40" w:after="40"/>
        <w:ind w:left="360"/>
      </w:pPr>
      <w:r>
        <w:rPr>
          <w:color w:val="646464"/>
          <w:sz w:val="17"/>
        </w:rPr>
        <w:t xml:space="preserve">[14/10/2026] 🔴  </w:t>
      </w:r>
      <w:r>
        <w:rPr>
          <w:b/>
          <w:color w:val="C00000"/>
          <w:sz w:val="18"/>
        </w:rPr>
        <w:t>La décision de la BCE fait grimper les taux : quel sera l’impact sur votre futur crédit immobilier ? - lanouvellerepubli</w:t>
      </w:r>
      <w:r>
        <w:rPr>
          <w:color w:val="787878"/>
          <w:sz w:val="15"/>
        </w:rPr>
        <w:t xml:space="preserve">  [politique_monetaire]</w:t>
      </w:r>
      <w:r>
        <w:rPr>
          <w:color w:val="B47800"/>
          <w:sz w:val="16"/>
        </w:rPr>
        <w:t xml:space="preserve">  ★ 50/10</w:t>
      </w:r>
    </w:p>
    <w:p>
      <w:pPr>
        <w:spacing w:before="0" w:after="20"/>
        <w:ind w:left="600"/>
      </w:pPr>
      <w:r>
        <w:rPr>
          <w:color w:val="323232"/>
          <w:sz w:val="17"/>
        </w:rPr>
        <w:t>La Banque centrale européenne (BCE) a décidé de relever ses taux directeurs, ce qui entraîne une hausse des taux d'intérêt sur le marché. Cette décision aura un impact direct sur les futurs crédits immobiliers, en renchérissant le coût de l'emprunt pour les ménages. Les acquéreurs potentiels devront faire face à des mensualités plus élevées ou revo</w:t>
      </w:r>
    </w:p>
    <w:p>
      <w:pPr>
        <w:spacing w:before="0" w:after="40"/>
        <w:ind w:left="600"/>
      </w:pPr>
      <w:r>
        <w:rPr>
          <w:color w:val="00643C"/>
          <w:sz w:val="16"/>
        </w:rPr>
        <w:t>Points clés : La BCE augmente ses taux directeurs  •  Les taux des crédits immobiliers vont augmenter  •  Le pouvoir d'achat immobilier des ménages diminue</w:t>
      </w:r>
    </w:p>
    <w:p>
      <w:pPr>
        <w:spacing w:before="0" w:after="60"/>
        <w:ind w:left="600"/>
      </w:pPr>
      <w:r>
        <w:rPr>
          <w:color w:val="0064B4"/>
          <w:sz w:val="15"/>
        </w:rPr>
        <w:t>Source : https://news.google.com/rss/articles/CBMi5wFBVV95cUxNV3U2bF9feUI1LXRVeDVtTlJGekN</w:t>
      </w:r>
    </w:p>
    <w:p>
      <w:pPr>
        <w:spacing w:before="120" w:after="40"/>
      </w:pPr>
      <w:r>
        <w:rPr>
          <w:b/>
          <w:color w:val="00467F"/>
          <w:sz w:val="20"/>
        </w:rPr>
        <w:t>🔑 économique  (2 alerte(s))</w:t>
      </w:r>
    </w:p>
    <w:p>
      <w:pPr>
        <w:spacing w:before="40" w:after="40"/>
        <w:ind w:left="360"/>
      </w:pPr>
      <w:r>
        <w:rPr>
          <w:color w:val="646464"/>
          <w:sz w:val="17"/>
        </w:rPr>
        <w:t xml:space="preserve">[14/10/2026] ⚪  </w:t>
      </w:r>
      <w:r>
        <w:rPr>
          <w:b/>
          <w:color w:val="505050"/>
          <w:sz w:val="18"/>
        </w:rPr>
        <w:t>Cedeao : La Libérienne Charlyne Brumskine élue présidente de la Cour de justice - Koaci</w:t>
      </w:r>
      <w:r>
        <w:rPr>
          <w:color w:val="787878"/>
          <w:sz w:val="15"/>
        </w:rPr>
        <w:t xml:space="preserve">  [économique]</w:t>
      </w:r>
      <w:r>
        <w:rPr>
          <w:color w:val="B47800"/>
          <w:sz w:val="16"/>
        </w:rPr>
        <w:t xml:space="preserve">  ★ 50/10</w:t>
      </w:r>
    </w:p>
    <w:p>
      <w:pPr>
        <w:spacing w:before="0" w:after="20"/>
        <w:ind w:left="600"/>
      </w:pPr>
      <w:r>
        <w:rPr>
          <w:color w:val="323232"/>
          <w:sz w:val="17"/>
        </w:rPr>
        <w:t>La Libérienne Charlyne Brumskine a été élue présidente de la Cour de justice de la Cedeao. Cette nomination intervient dans un contexte d'actualité institutionnelle régionale. Elle renforce la représentation du Liberia au sein des instances judiciaires de la communauté. L'information a été relayée par le média Koaci.</w:t>
      </w:r>
    </w:p>
    <w:p>
      <w:pPr>
        <w:spacing w:before="0" w:after="40"/>
        <w:ind w:left="600"/>
      </w:pPr>
      <w:r>
        <w:rPr>
          <w:color w:val="00643C"/>
          <w:sz w:val="16"/>
        </w:rPr>
        <w:t>Points clés : Charlyne Brumskine, de nationalité libérienne, prend la tête de la Cour de justice de la Cedeao  •  Élection à la présidence d'une institution judiciaire régionale clé  •  Information publiée par Koaci dans la catégorie économique</w:t>
      </w:r>
    </w:p>
    <w:p>
      <w:pPr>
        <w:spacing w:before="0" w:after="60"/>
        <w:ind w:left="600"/>
      </w:pPr>
      <w:r>
        <w:rPr>
          <w:color w:val="0064B4"/>
          <w:sz w:val="15"/>
        </w:rPr>
        <w:t>Source : https://news.google.com/rss/articles/CBMi3wFBVV95cUxOZW9HRFlCT3ItUkI2VXZnY09obDF</w:t>
      </w:r>
    </w:p>
    <w:p>
      <w:pPr>
        <w:spacing w:before="40" w:after="40"/>
        <w:ind w:left="360"/>
      </w:pPr>
      <w:r>
        <w:rPr>
          <w:color w:val="646464"/>
          <w:sz w:val="17"/>
        </w:rPr>
        <w:t xml:space="preserve">[14/10/2026] ⚪  </w:t>
      </w:r>
      <w:r>
        <w:rPr>
          <w:b/>
          <w:color w:val="505050"/>
          <w:sz w:val="18"/>
        </w:rPr>
        <w:t>CEDEAO : La Libérienne Charlyne M. Brumskine prend la tête de la Cour de justice - Koaci</w:t>
      </w:r>
      <w:r>
        <w:rPr>
          <w:color w:val="787878"/>
          <w:sz w:val="15"/>
        </w:rPr>
        <w:t xml:space="preserve">  [économique]</w:t>
      </w:r>
      <w:r>
        <w:rPr>
          <w:color w:val="B47800"/>
          <w:sz w:val="16"/>
        </w:rPr>
        <w:t xml:space="preserve">  ★ 50/10</w:t>
      </w:r>
    </w:p>
    <w:p>
      <w:pPr>
        <w:spacing w:before="0" w:after="20"/>
        <w:ind w:left="600"/>
      </w:pPr>
      <w:r>
        <w:rPr>
          <w:color w:val="323232"/>
          <w:sz w:val="17"/>
        </w:rPr>
        <w:t>La Libérienne Charlyne M. Brumskine a été nommée à la tête de la Cour de justice de la CEDEAO, selon un article de Koaci. Cette nomination intervient dans un contexte de renforcement des institutions judiciaires de la communauté économique ouest-africaine. Elle pourrait avoir des implications pour la gouvernance et la stabilité juridique dans la ré</w:t>
      </w:r>
    </w:p>
    <w:p>
      <w:pPr>
        <w:spacing w:before="0" w:after="40"/>
        <w:ind w:left="600"/>
      </w:pPr>
      <w:r>
        <w:rPr>
          <w:color w:val="00643C"/>
          <w:sz w:val="16"/>
        </w:rPr>
        <w:t>Points clés : Charlyne M. Brumskine, de nationalité libérienne, devient présidente de la Cour de justice de la CEDEAO  •  La nomination renforce la représentation libérienne au sein des institutions régionales  •  L'événement s'inscrit dans la dynamique de consolidation de l'état de droit en Afrique de l'Ouest</w:t>
      </w:r>
    </w:p>
    <w:p>
      <w:pPr>
        <w:spacing w:before="0" w:after="60"/>
        <w:ind w:left="600"/>
      </w:pPr>
      <w:r>
        <w:rPr>
          <w:color w:val="0064B4"/>
          <w:sz w:val="15"/>
        </w:rPr>
        <w:t>Source : https://news.google.com/rss/articles/CBMi4gFBVV95cUxQZl9rMGxzbEU2c25vM01XWmhtekg</w:t>
      </w:r>
    </w:p>
    <w:p>
      <w:pPr>
        <w:spacing w:before="120" w:after="40"/>
      </w:pPr>
      <w:r>
        <w:rPr>
          <w:b/>
          <w:color w:val="00467F"/>
          <w:sz w:val="20"/>
        </w:rPr>
        <w:t>🔑 marche_financier  (1 alerte(s))</w:t>
      </w:r>
    </w:p>
    <w:p>
      <w:pPr>
        <w:spacing w:before="40" w:after="40"/>
        <w:ind w:left="360"/>
      </w:pPr>
      <w:r>
        <w:rPr>
          <w:color w:val="646464"/>
          <w:sz w:val="17"/>
        </w:rPr>
        <w:t xml:space="preserve">[14/10/2026] 🟢  </w:t>
      </w:r>
      <w:r>
        <w:rPr>
          <w:b/>
          <w:color w:val="008000"/>
          <w:sz w:val="18"/>
        </w:rPr>
        <w:t>The index of African financial markets reaches its highest score in ten years - beninwebtv.com</w:t>
      </w:r>
      <w:r>
        <w:rPr>
          <w:color w:val="787878"/>
          <w:sz w:val="15"/>
        </w:rPr>
        <w:t xml:space="preserve">  [marche_financier]</w:t>
      </w:r>
      <w:r>
        <w:rPr>
          <w:color w:val="B47800"/>
          <w:sz w:val="16"/>
        </w:rPr>
        <w:t xml:space="preserve">  ★ 50/10</w:t>
      </w:r>
    </w:p>
    <w:p>
      <w:pPr>
        <w:spacing w:before="0" w:after="20"/>
        <w:ind w:left="600"/>
      </w:pPr>
      <w:r>
        <w:rPr>
          <w:color w:val="323232"/>
          <w:sz w:val="17"/>
        </w:rPr>
        <w:t>L'indice des marchés financiers africains a atteint son plus haut niveau en dix ans, selon beninwebtv.com. Cette performance reflète une dynamique haussière sur les places africaines, portée par un contexte économique et financier favorable. Cette information est de nature à renforcer la confiance des investisseurs sur le continent.</w:t>
      </w:r>
    </w:p>
    <w:p>
      <w:pPr>
        <w:spacing w:before="0" w:after="40"/>
        <w:ind w:left="600"/>
      </w:pPr>
      <w:r>
        <w:rPr>
          <w:color w:val="00643C"/>
          <w:sz w:val="16"/>
        </w:rPr>
        <w:t>Points clés : L'indice des marchés financiers africains atteint son plus haut niveau depuis dix ans  •  Performance positive des places financières africaines  •  Signal de confiance pour les investisseurs sur le continent</w:t>
      </w:r>
    </w:p>
    <w:p>
      <w:pPr>
        <w:spacing w:before="0" w:after="60"/>
        <w:ind w:left="600"/>
      </w:pPr>
      <w:r>
        <w:rPr>
          <w:color w:val="0064B4"/>
          <w:sz w:val="15"/>
        </w:rPr>
        <w:t>Source : https://news.google.com/rss/articles/CBMipwFBVV95cUxPdFVNNlF1ZHh0ZmQ5cEYzNlVDa3p</w:t>
      </w:r>
    </w:p>
    <w:p>
      <w:r>
        <w:br w:type="page"/>
      </w:r>
    </w:p>
    <w:p>
      <w:pPr>
        <w:pStyle w:val="Heading1"/>
      </w:pPr>
      <w:r>
        <w:t>🏆 CLASSEMENT DES SOCIÉTÉS — SCORE COMPOSITE /100</w:t>
      </w:r>
    </w:p>
    <w:p>
      <w:r>
        <w:t>Les 48 sociétés sont classées par score composite (Technique 30% + Fondamental 40% + Risque 20% + Liquidité 10%). Ce tableau est l'outil de référence pour une décision rapide.</w:t>
      </w:r>
    </w:p>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fill="1F4E79" w:val="clear"/>
          </w:tcPr>
          <w:p>
            <w:r>
              <w:rPr>
                <w:b/>
                <w:color w:val="FFFFFF"/>
                <w:sz w:val="17"/>
              </w:rPr>
              <w:t>#</w:t>
            </w:r>
          </w:p>
        </w:tc>
        <w:tc>
          <w:tcPr>
            <w:tcW w:type="dxa" w:w="1080"/>
            <w:shd w:fill="1F4E79" w:val="clear"/>
          </w:tcPr>
          <w:p>
            <w:r>
              <w:rPr>
                <w:b/>
                <w:color w:val="FFFFFF"/>
                <w:sz w:val="17"/>
              </w:rPr>
              <w:t>Symbole</w:t>
            </w:r>
          </w:p>
        </w:tc>
        <w:tc>
          <w:tcPr>
            <w:tcW w:type="dxa" w:w="1080"/>
            <w:shd w:fill="1F4E79" w:val="clear"/>
          </w:tcPr>
          <w:p>
            <w:r>
              <w:rPr>
                <w:b/>
                <w:color w:val="FFFFFF"/>
                <w:sz w:val="17"/>
              </w:rPr>
              <w:t>Secteur</w:t>
            </w:r>
          </w:p>
        </w:tc>
        <w:tc>
          <w:tcPr>
            <w:tcW w:type="dxa" w:w="1080"/>
            <w:shd w:fill="1F4E79" w:val="clear"/>
          </w:tcPr>
          <w:p>
            <w:r>
              <w:rPr>
                <w:b/>
                <w:color w:val="FFFFFF"/>
                <w:sz w:val="17"/>
              </w:rPr>
              <w:t>Prix (FCFA)</w:t>
            </w:r>
          </w:p>
        </w:tc>
        <w:tc>
          <w:tcPr>
            <w:tcW w:type="dxa" w:w="1080"/>
            <w:shd w:fill="1F4E79" w:val="clear"/>
          </w:tcPr>
          <w:p>
            <w:r>
              <w:rPr>
                <w:b/>
                <w:color w:val="FFFFFF"/>
                <w:sz w:val="17"/>
              </w:rPr>
              <w:t>Score /100</w:t>
            </w:r>
          </w:p>
        </w:tc>
        <w:tc>
          <w:tcPr>
            <w:tcW w:type="dxa" w:w="1080"/>
            <w:shd w:fill="1F4E79" w:val="clear"/>
          </w:tcPr>
          <w:p>
            <w:r>
              <w:rPr>
                <w:b/>
                <w:color w:val="FFFFFF"/>
                <w:sz w:val="17"/>
              </w:rPr>
              <w:t>Signal Tech</w:t>
            </w:r>
          </w:p>
        </w:tc>
        <w:tc>
          <w:tcPr>
            <w:tcW w:type="dxa" w:w="1080"/>
            <w:shd w:fill="1F4E79" w:val="clear"/>
          </w:tcPr>
          <w:p>
            <w:r>
              <w:rPr>
                <w:b/>
                <w:color w:val="FFFFFF"/>
                <w:sz w:val="17"/>
              </w:rPr>
              <w:t>Signal Fond</w:t>
            </w:r>
          </w:p>
        </w:tc>
        <w:tc>
          <w:tcPr>
            <w:tcW w:type="dxa" w:w="1080"/>
            <w:shd w:fill="1F4E79" w:val="clear"/>
          </w:tcPr>
          <w:p>
            <w:r>
              <w:rPr>
                <w:b/>
                <w:color w:val="FFFFFF"/>
                <w:sz w:val="17"/>
              </w:rPr>
              <w:t>Recommandation</w:t>
            </w:r>
          </w:p>
        </w:tc>
      </w:tr>
      <w:tr>
        <w:tc>
          <w:tcPr>
            <w:tcW w:type="dxa" w:w="1080"/>
            <w:shd w:fill="C6EFCE" w:val="clear"/>
          </w:tcPr>
          <w:p>
            <w:r>
              <w:rPr>
                <w:sz w:val="16"/>
              </w:rPr>
              <w:t>1</w:t>
            </w:r>
          </w:p>
        </w:tc>
        <w:tc>
          <w:tcPr>
            <w:tcW w:type="dxa" w:w="1080"/>
            <w:shd w:fill="C6EFCE" w:val="clear"/>
          </w:tcPr>
          <w:p>
            <w:r>
              <w:rPr>
                <w:sz w:val="16"/>
              </w:rPr>
              <w:t>SIVC</w:t>
            </w:r>
          </w:p>
        </w:tc>
        <w:tc>
          <w:tcPr>
            <w:tcW w:type="dxa" w:w="1080"/>
            <w:shd w:fill="C6EFCE" w:val="clear"/>
          </w:tcPr>
          <w:p>
            <w:r>
              <w:rPr>
                <w:sz w:val="16"/>
              </w:rPr>
              <w:t>INDUSTRIELS</w:t>
            </w:r>
          </w:p>
        </w:tc>
        <w:tc>
          <w:tcPr>
            <w:tcW w:type="dxa" w:w="1080"/>
            <w:shd w:fill="C6EFCE" w:val="clear"/>
          </w:tcPr>
          <w:p>
            <w:r>
              <w:rPr>
                <w:sz w:val="16"/>
              </w:rPr>
              <w:t>1,790</w:t>
            </w:r>
          </w:p>
        </w:tc>
        <w:tc>
          <w:tcPr>
            <w:tcW w:type="dxa" w:w="1080"/>
            <w:shd w:fill="C6EFCE" w:val="clear"/>
          </w:tcPr>
          <w:p>
            <w:r>
              <w:rPr>
                <w:b/>
                <w:sz w:val="16"/>
              </w:rPr>
              <w:t>78/100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w:t>
            </w:r>
          </w:p>
        </w:tc>
        <w:tc>
          <w:tcPr>
            <w:tcW w:type="dxa" w:w="1080"/>
            <w:shd w:fill="C6EFCE" w:val="clear"/>
          </w:tcPr>
          <w:p>
            <w:r>
              <w:rPr>
                <w:sz w:val="16"/>
              </w:rPr>
              <w:t>SDSC</w:t>
            </w:r>
          </w:p>
        </w:tc>
        <w:tc>
          <w:tcPr>
            <w:tcW w:type="dxa" w:w="1080"/>
            <w:shd w:fill="C6EFCE" w:val="clear"/>
          </w:tcPr>
          <w:p>
            <w:r>
              <w:rPr>
                <w:sz w:val="16"/>
              </w:rPr>
              <w:t>INDUSTRIELS</w:t>
            </w:r>
          </w:p>
        </w:tc>
        <w:tc>
          <w:tcPr>
            <w:tcW w:type="dxa" w:w="1080"/>
            <w:shd w:fill="C6EFCE" w:val="clear"/>
          </w:tcPr>
          <w:p>
            <w:r>
              <w:rPr>
                <w:sz w:val="16"/>
              </w:rPr>
              <w:t>3,065</w:t>
            </w:r>
          </w:p>
        </w:tc>
        <w:tc>
          <w:tcPr>
            <w:tcW w:type="dxa" w:w="1080"/>
            <w:shd w:fill="C6EFCE" w:val="clear"/>
          </w:tcPr>
          <w:p>
            <w:r>
              <w:rPr>
                <w:b/>
                <w:sz w:val="16"/>
              </w:rPr>
              <w:t>76/100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3</w:t>
            </w:r>
          </w:p>
        </w:tc>
        <w:tc>
          <w:tcPr>
            <w:tcW w:type="dxa" w:w="1080"/>
            <w:shd w:fill="C6EFCE" w:val="clear"/>
          </w:tcPr>
          <w:p>
            <w:r>
              <w:rPr>
                <w:sz w:val="16"/>
              </w:rPr>
              <w:t>UNXC</w:t>
            </w:r>
          </w:p>
        </w:tc>
        <w:tc>
          <w:tcPr>
            <w:tcW w:type="dxa" w:w="1080"/>
            <w:shd w:fill="C6EFCE" w:val="clear"/>
          </w:tcPr>
          <w:p>
            <w:r>
              <w:rPr>
                <w:sz w:val="16"/>
              </w:rPr>
              <w:t>CONSOMMATION DISCR</w:t>
            </w:r>
          </w:p>
        </w:tc>
        <w:tc>
          <w:tcPr>
            <w:tcW w:type="dxa" w:w="1080"/>
            <w:shd w:fill="C6EFCE" w:val="clear"/>
          </w:tcPr>
          <w:p>
            <w:r>
              <w:rPr>
                <w:sz w:val="16"/>
              </w:rPr>
              <w:t>2,180</w:t>
            </w:r>
          </w:p>
        </w:tc>
        <w:tc>
          <w:tcPr>
            <w:tcW w:type="dxa" w:w="1080"/>
            <w:shd w:fill="C6EFCE" w:val="clear"/>
          </w:tcPr>
          <w:p>
            <w:r>
              <w:rPr>
                <w:b/>
                <w:sz w:val="16"/>
              </w:rPr>
              <w:t>76/100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4</w:t>
            </w:r>
          </w:p>
        </w:tc>
        <w:tc>
          <w:tcPr>
            <w:tcW w:type="dxa" w:w="1080"/>
            <w:shd w:fill="C6EFCE" w:val="clear"/>
          </w:tcPr>
          <w:p>
            <w:r>
              <w:rPr>
                <w:sz w:val="16"/>
              </w:rPr>
              <w:t>ONTBF</w:t>
            </w:r>
          </w:p>
        </w:tc>
        <w:tc>
          <w:tcPr>
            <w:tcW w:type="dxa" w:w="1080"/>
            <w:shd w:fill="C6EFCE" w:val="clear"/>
          </w:tcPr>
          <w:p>
            <w:r>
              <w:rPr>
                <w:sz w:val="16"/>
              </w:rPr>
              <w:t>TELECOMMUNICATIONS</w:t>
            </w:r>
          </w:p>
        </w:tc>
        <w:tc>
          <w:tcPr>
            <w:tcW w:type="dxa" w:w="1080"/>
            <w:shd w:fill="C6EFCE" w:val="clear"/>
          </w:tcPr>
          <w:p>
            <w:r>
              <w:rPr>
                <w:sz w:val="16"/>
              </w:rPr>
              <w:t>2,900</w:t>
            </w:r>
          </w:p>
        </w:tc>
        <w:tc>
          <w:tcPr>
            <w:tcW w:type="dxa" w:w="1080"/>
            <w:shd w:fill="C6EFCE" w:val="clear"/>
          </w:tcPr>
          <w:p>
            <w:r>
              <w:rPr>
                <w:b/>
                <w:sz w:val="16"/>
              </w:rPr>
              <w:t>74/100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5</w:t>
            </w:r>
          </w:p>
        </w:tc>
        <w:tc>
          <w:tcPr>
            <w:tcW w:type="dxa" w:w="1080"/>
            <w:shd w:fill="C6EFCE" w:val="clear"/>
          </w:tcPr>
          <w:p>
            <w:r>
              <w:rPr>
                <w:sz w:val="16"/>
              </w:rPr>
              <w:t>SCRC</w:t>
            </w:r>
          </w:p>
        </w:tc>
        <w:tc>
          <w:tcPr>
            <w:tcW w:type="dxa" w:w="1080"/>
            <w:shd w:fill="C6EFCE" w:val="clear"/>
          </w:tcPr>
          <w:p>
            <w:r>
              <w:rPr>
                <w:sz w:val="16"/>
              </w:rPr>
              <w:t>CONSOMMATION DE BA</w:t>
            </w:r>
          </w:p>
        </w:tc>
        <w:tc>
          <w:tcPr>
            <w:tcW w:type="dxa" w:w="1080"/>
            <w:shd w:fill="C6EFCE" w:val="clear"/>
          </w:tcPr>
          <w:p>
            <w:r>
              <w:rPr>
                <w:sz w:val="16"/>
              </w:rPr>
              <w:t>2,345</w:t>
            </w:r>
          </w:p>
        </w:tc>
        <w:tc>
          <w:tcPr>
            <w:tcW w:type="dxa" w:w="1080"/>
            <w:shd w:fill="C6EFCE" w:val="clear"/>
          </w:tcPr>
          <w:p>
            <w:r>
              <w:rPr>
                <w:b/>
                <w:sz w:val="16"/>
              </w:rPr>
              <w:t>74/100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6</w:t>
            </w:r>
          </w:p>
        </w:tc>
        <w:tc>
          <w:tcPr>
            <w:tcW w:type="dxa" w:w="1080"/>
            <w:shd w:fill="C6EFCE" w:val="clear"/>
          </w:tcPr>
          <w:p>
            <w:r>
              <w:rPr>
                <w:sz w:val="16"/>
              </w:rPr>
              <w:t>SGBC</w:t>
            </w:r>
          </w:p>
        </w:tc>
        <w:tc>
          <w:tcPr>
            <w:tcW w:type="dxa" w:w="1080"/>
            <w:shd w:fill="C6EFCE" w:val="clear"/>
          </w:tcPr>
          <w:p>
            <w:r>
              <w:rPr>
                <w:sz w:val="16"/>
              </w:rPr>
              <w:t>SERVICES FINANCIER</w:t>
            </w:r>
          </w:p>
        </w:tc>
        <w:tc>
          <w:tcPr>
            <w:tcW w:type="dxa" w:w="1080"/>
            <w:shd w:fill="C6EFCE" w:val="clear"/>
          </w:tcPr>
          <w:p>
            <w:r>
              <w:rPr>
                <w:sz w:val="16"/>
              </w:rPr>
              <w:t>38,995</w:t>
            </w:r>
          </w:p>
        </w:tc>
        <w:tc>
          <w:tcPr>
            <w:tcW w:type="dxa" w:w="1080"/>
            <w:shd w:fill="C6EFCE" w:val="clear"/>
          </w:tcPr>
          <w:p>
            <w:r>
              <w:rPr>
                <w:b/>
                <w:sz w:val="16"/>
              </w:rPr>
              <w:t>74/100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7</w:t>
            </w:r>
          </w:p>
        </w:tc>
        <w:tc>
          <w:tcPr>
            <w:tcW w:type="dxa" w:w="1080"/>
            <w:shd w:fill="C6EFCE" w:val="clear"/>
          </w:tcPr>
          <w:p>
            <w:r>
              <w:rPr>
                <w:sz w:val="16"/>
              </w:rPr>
              <w:t>ECOC</w:t>
            </w:r>
          </w:p>
        </w:tc>
        <w:tc>
          <w:tcPr>
            <w:tcW w:type="dxa" w:w="1080"/>
            <w:shd w:fill="C6EFCE" w:val="clear"/>
          </w:tcPr>
          <w:p>
            <w:r>
              <w:rPr>
                <w:sz w:val="16"/>
              </w:rPr>
              <w:t>SERVICES FINANCIER</w:t>
            </w:r>
          </w:p>
        </w:tc>
        <w:tc>
          <w:tcPr>
            <w:tcW w:type="dxa" w:w="1080"/>
            <w:shd w:fill="C6EFCE" w:val="clear"/>
          </w:tcPr>
          <w:p>
            <w:r>
              <w:rPr>
                <w:sz w:val="16"/>
              </w:rPr>
              <w:t>16,000</w:t>
            </w:r>
          </w:p>
        </w:tc>
        <w:tc>
          <w:tcPr>
            <w:tcW w:type="dxa" w:w="1080"/>
            <w:shd w:fill="C6EFCE" w:val="clear"/>
          </w:tcPr>
          <w:p>
            <w:r>
              <w:rPr>
                <w:b/>
                <w:sz w:val="16"/>
              </w:rPr>
              <w:t>73/100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8</w:t>
            </w:r>
          </w:p>
        </w:tc>
        <w:tc>
          <w:tcPr>
            <w:tcW w:type="dxa" w:w="1080"/>
            <w:shd w:fill="C6EFCE" w:val="clear"/>
          </w:tcPr>
          <w:p>
            <w:r>
              <w:rPr>
                <w:sz w:val="16"/>
              </w:rPr>
              <w:t>SLBC</w:t>
            </w:r>
          </w:p>
        </w:tc>
        <w:tc>
          <w:tcPr>
            <w:tcW w:type="dxa" w:w="1080"/>
            <w:shd w:fill="C6EFCE" w:val="clear"/>
          </w:tcPr>
          <w:p>
            <w:r>
              <w:rPr>
                <w:sz w:val="16"/>
              </w:rPr>
              <w:t>CONSOMMATION DE BA</w:t>
            </w:r>
          </w:p>
        </w:tc>
        <w:tc>
          <w:tcPr>
            <w:tcW w:type="dxa" w:w="1080"/>
            <w:shd w:fill="C6EFCE" w:val="clear"/>
          </w:tcPr>
          <w:p>
            <w:r>
              <w:rPr>
                <w:sz w:val="16"/>
              </w:rPr>
              <w:t>38,490</w:t>
            </w:r>
          </w:p>
        </w:tc>
        <w:tc>
          <w:tcPr>
            <w:tcW w:type="dxa" w:w="1080"/>
            <w:shd w:fill="C6EFCE" w:val="clear"/>
          </w:tcPr>
          <w:p>
            <w:r>
              <w:rPr>
                <w:b/>
                <w:sz w:val="16"/>
              </w:rPr>
              <w:t>73/100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9</w:t>
            </w:r>
          </w:p>
        </w:tc>
        <w:tc>
          <w:tcPr>
            <w:tcW w:type="dxa" w:w="1080"/>
            <w:shd w:fill="C6EFCE" w:val="clear"/>
          </w:tcPr>
          <w:p>
            <w:r>
              <w:rPr>
                <w:sz w:val="16"/>
              </w:rPr>
              <w:t>ABJC</w:t>
            </w:r>
          </w:p>
        </w:tc>
        <w:tc>
          <w:tcPr>
            <w:tcW w:type="dxa" w:w="1080"/>
            <w:shd w:fill="C6EFCE" w:val="clear"/>
          </w:tcPr>
          <w:p>
            <w:r>
              <w:rPr>
                <w:sz w:val="16"/>
              </w:rPr>
              <w:t>CONSOMMATION DISCR</w:t>
            </w:r>
          </w:p>
        </w:tc>
        <w:tc>
          <w:tcPr>
            <w:tcW w:type="dxa" w:w="1080"/>
            <w:shd w:fill="C6EFCE" w:val="clear"/>
          </w:tcPr>
          <w:p>
            <w:r>
              <w:rPr>
                <w:sz w:val="16"/>
              </w:rPr>
              <w:t>3,100</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10</w:t>
            </w:r>
          </w:p>
        </w:tc>
        <w:tc>
          <w:tcPr>
            <w:tcW w:type="dxa" w:w="1080"/>
            <w:shd w:fill="C6EFCE" w:val="clear"/>
          </w:tcPr>
          <w:p>
            <w:r>
              <w:rPr>
                <w:sz w:val="16"/>
              </w:rPr>
              <w:t>CFAC</w:t>
            </w:r>
          </w:p>
        </w:tc>
        <w:tc>
          <w:tcPr>
            <w:tcW w:type="dxa" w:w="1080"/>
            <w:shd w:fill="C6EFCE" w:val="clear"/>
          </w:tcPr>
          <w:p>
            <w:r>
              <w:rPr>
                <w:sz w:val="16"/>
              </w:rPr>
              <w:t>CONSOMMATION DISCR</w:t>
            </w:r>
          </w:p>
        </w:tc>
        <w:tc>
          <w:tcPr>
            <w:tcW w:type="dxa" w:w="1080"/>
            <w:shd w:fill="C6EFCE" w:val="clear"/>
          </w:tcPr>
          <w:p>
            <w:r>
              <w:rPr>
                <w:sz w:val="16"/>
              </w:rPr>
              <w:t>1,350</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11</w:t>
            </w:r>
          </w:p>
        </w:tc>
        <w:tc>
          <w:tcPr>
            <w:tcW w:type="dxa" w:w="1080"/>
            <w:shd w:fill="C6EFCE" w:val="clear"/>
          </w:tcPr>
          <w:p>
            <w:r>
              <w:rPr>
                <w:sz w:val="16"/>
              </w:rPr>
              <w:t>CIEC</w:t>
            </w:r>
          </w:p>
        </w:tc>
        <w:tc>
          <w:tcPr>
            <w:tcW w:type="dxa" w:w="1080"/>
            <w:shd w:fill="C6EFCE" w:val="clear"/>
          </w:tcPr>
          <w:p>
            <w:r>
              <w:rPr>
                <w:sz w:val="16"/>
              </w:rPr>
              <w:t>SERVICES PUBLICS</w:t>
            </w:r>
          </w:p>
        </w:tc>
        <w:tc>
          <w:tcPr>
            <w:tcW w:type="dxa" w:w="1080"/>
            <w:shd w:fill="C6EFCE" w:val="clear"/>
          </w:tcPr>
          <w:p>
            <w:r>
              <w:rPr>
                <w:sz w:val="16"/>
              </w:rPr>
              <w:t>5,950</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12</w:t>
            </w:r>
          </w:p>
        </w:tc>
        <w:tc>
          <w:tcPr>
            <w:tcW w:type="dxa" w:w="1080"/>
            <w:shd w:fill="C6EFCE" w:val="clear"/>
          </w:tcPr>
          <w:p>
            <w:r>
              <w:rPr>
                <w:sz w:val="16"/>
              </w:rPr>
              <w:t>NEIC</w:t>
            </w:r>
          </w:p>
        </w:tc>
        <w:tc>
          <w:tcPr>
            <w:tcW w:type="dxa" w:w="1080"/>
            <w:shd w:fill="C6EFCE" w:val="clear"/>
          </w:tcPr>
          <w:p>
            <w:r>
              <w:rPr>
                <w:sz w:val="16"/>
              </w:rPr>
              <w:t>CONSOMMATION DISCR</w:t>
            </w:r>
          </w:p>
        </w:tc>
        <w:tc>
          <w:tcPr>
            <w:tcW w:type="dxa" w:w="1080"/>
            <w:shd w:fill="C6EFCE" w:val="clear"/>
          </w:tcPr>
          <w:p>
            <w:r>
              <w:rPr>
                <w:sz w:val="16"/>
              </w:rPr>
              <w:t>2,140</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13</w:t>
            </w:r>
          </w:p>
        </w:tc>
        <w:tc>
          <w:tcPr>
            <w:tcW w:type="dxa" w:w="1080"/>
            <w:shd w:fill="C6EFCE" w:val="clear"/>
          </w:tcPr>
          <w:p>
            <w:r>
              <w:rPr>
                <w:sz w:val="16"/>
              </w:rPr>
              <w:t>SDCC</w:t>
            </w:r>
          </w:p>
        </w:tc>
        <w:tc>
          <w:tcPr>
            <w:tcW w:type="dxa" w:w="1080"/>
            <w:shd w:fill="C6EFCE" w:val="clear"/>
          </w:tcPr>
          <w:p>
            <w:r>
              <w:rPr>
                <w:sz w:val="16"/>
              </w:rPr>
              <w:t>SERVICES PUBLICS</w:t>
            </w:r>
          </w:p>
        </w:tc>
        <w:tc>
          <w:tcPr>
            <w:tcW w:type="dxa" w:w="1080"/>
            <w:shd w:fill="C6EFCE" w:val="clear"/>
          </w:tcPr>
          <w:p>
            <w:r>
              <w:rPr>
                <w:sz w:val="16"/>
              </w:rPr>
              <w:t>12,985</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14</w:t>
            </w:r>
          </w:p>
        </w:tc>
        <w:tc>
          <w:tcPr>
            <w:tcW w:type="dxa" w:w="1080"/>
            <w:shd w:fill="C6EFCE" w:val="clear"/>
          </w:tcPr>
          <w:p>
            <w:r>
              <w:rPr>
                <w:sz w:val="16"/>
              </w:rPr>
              <w:t>SHEC</w:t>
            </w:r>
          </w:p>
        </w:tc>
        <w:tc>
          <w:tcPr>
            <w:tcW w:type="dxa" w:w="1080"/>
            <w:shd w:fill="C6EFCE" w:val="clear"/>
          </w:tcPr>
          <w:p>
            <w:r>
              <w:rPr>
                <w:sz w:val="16"/>
              </w:rPr>
              <w:t>ENERGIE</w:t>
            </w:r>
          </w:p>
        </w:tc>
        <w:tc>
          <w:tcPr>
            <w:tcW w:type="dxa" w:w="1080"/>
            <w:shd w:fill="C6EFCE" w:val="clear"/>
          </w:tcPr>
          <w:p>
            <w:r>
              <w:rPr>
                <w:sz w:val="16"/>
              </w:rPr>
              <w:t>2,190</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15</w:t>
            </w:r>
          </w:p>
        </w:tc>
        <w:tc>
          <w:tcPr>
            <w:tcW w:type="dxa" w:w="1080"/>
            <w:shd w:fill="C6EFCE" w:val="clear"/>
          </w:tcPr>
          <w:p>
            <w:r>
              <w:rPr>
                <w:sz w:val="16"/>
              </w:rPr>
              <w:t>BOAS</w:t>
            </w:r>
          </w:p>
        </w:tc>
        <w:tc>
          <w:tcPr>
            <w:tcW w:type="dxa" w:w="1080"/>
            <w:shd w:fill="C6EFCE" w:val="clear"/>
          </w:tcPr>
          <w:p>
            <w:r>
              <w:rPr>
                <w:sz w:val="16"/>
              </w:rPr>
              <w:t>SERVICES FINANCIER</w:t>
            </w:r>
          </w:p>
        </w:tc>
        <w:tc>
          <w:tcPr>
            <w:tcW w:type="dxa" w:w="1080"/>
            <w:shd w:fill="C6EFCE" w:val="clear"/>
          </w:tcPr>
          <w:p>
            <w:r>
              <w:rPr>
                <w:sz w:val="16"/>
              </w:rPr>
              <w:t>8,145</w:t>
            </w:r>
          </w:p>
        </w:tc>
        <w:tc>
          <w:tcPr>
            <w:tcW w:type="dxa" w:w="1080"/>
            <w:shd w:fill="C6EFCE" w:val="clear"/>
          </w:tcPr>
          <w:p>
            <w:r>
              <w:rPr>
                <w:b/>
                <w:sz w:val="16"/>
              </w:rPr>
              <w:t>71/100  (Excellent)</w:t>
            </w:r>
          </w:p>
        </w:tc>
        <w:tc>
          <w:tcPr>
            <w:tcW w:type="dxa" w:w="1080"/>
            <w:shd w:fill="C6EFCE" w:val="clear"/>
          </w:tcPr>
          <w:p>
            <w:r>
              <w:rPr>
                <w:sz w:val="16"/>
              </w:rPr>
              <w:t>VENTE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16</w:t>
            </w:r>
          </w:p>
        </w:tc>
        <w:tc>
          <w:tcPr>
            <w:tcW w:type="dxa" w:w="1080"/>
            <w:shd w:fill="C6EFCE" w:val="clear"/>
          </w:tcPr>
          <w:p>
            <w:r>
              <w:rPr>
                <w:sz w:val="16"/>
              </w:rPr>
              <w:t>BOAC</w:t>
            </w:r>
          </w:p>
        </w:tc>
        <w:tc>
          <w:tcPr>
            <w:tcW w:type="dxa" w:w="1080"/>
            <w:shd w:fill="C6EFCE" w:val="clear"/>
          </w:tcPr>
          <w:p>
            <w:r>
              <w:rPr>
                <w:sz w:val="16"/>
              </w:rPr>
              <w:t>SERVICES FINANCIER</w:t>
            </w:r>
          </w:p>
        </w:tc>
        <w:tc>
          <w:tcPr>
            <w:tcW w:type="dxa" w:w="1080"/>
            <w:shd w:fill="C6EFCE" w:val="clear"/>
          </w:tcPr>
          <w:p>
            <w:r>
              <w:rPr>
                <w:sz w:val="16"/>
              </w:rPr>
              <w:t>11,380</w:t>
            </w:r>
          </w:p>
        </w:tc>
        <w:tc>
          <w:tcPr>
            <w:tcW w:type="dxa" w:w="1080"/>
            <w:shd w:fill="C6EFCE" w:val="clear"/>
          </w:tcPr>
          <w:p>
            <w:r>
              <w:rPr>
                <w:b/>
                <w:sz w:val="16"/>
              </w:rPr>
              <w:t>70/100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EBF5FB" w:val="clear"/>
          </w:tcPr>
          <w:p>
            <w:r>
              <w:rPr>
                <w:sz w:val="16"/>
              </w:rPr>
              <w:t>17</w:t>
            </w:r>
          </w:p>
        </w:tc>
        <w:tc>
          <w:tcPr>
            <w:tcW w:type="dxa" w:w="1080"/>
            <w:shd w:fill="EBF5FB" w:val="clear"/>
          </w:tcPr>
          <w:p>
            <w:r>
              <w:rPr>
                <w:sz w:val="16"/>
              </w:rPr>
              <w:t>BICB</w:t>
            </w:r>
          </w:p>
        </w:tc>
        <w:tc>
          <w:tcPr>
            <w:tcW w:type="dxa" w:w="1080"/>
            <w:shd w:fill="EBF5FB" w:val="clear"/>
          </w:tcPr>
          <w:p>
            <w:r>
              <w:rPr>
                <w:sz w:val="16"/>
              </w:rPr>
              <w:t>SERVICES FINANCIER</w:t>
            </w:r>
          </w:p>
        </w:tc>
        <w:tc>
          <w:tcPr>
            <w:tcW w:type="dxa" w:w="1080"/>
            <w:shd w:fill="EBF5FB" w:val="clear"/>
          </w:tcPr>
          <w:p>
            <w:r>
              <w:rPr>
                <w:sz w:val="16"/>
              </w:rPr>
              <w:t>8,400</w:t>
            </w:r>
          </w:p>
        </w:tc>
        <w:tc>
          <w:tcPr>
            <w:tcW w:type="dxa" w:w="1080"/>
            <w:shd w:fill="EBF5FB" w:val="clear"/>
          </w:tcPr>
          <w:p>
            <w:r>
              <w:rPr>
                <w:b/>
                <w:sz w:val="16"/>
              </w:rPr>
              <w:t>68/100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18</w:t>
            </w:r>
          </w:p>
        </w:tc>
        <w:tc>
          <w:tcPr>
            <w:tcW w:type="dxa" w:w="1080"/>
            <w:shd w:fill="EBF5FB" w:val="clear"/>
          </w:tcPr>
          <w:p>
            <w:r>
              <w:rPr>
                <w:sz w:val="16"/>
              </w:rPr>
              <w:t>LNBB</w:t>
            </w:r>
          </w:p>
        </w:tc>
        <w:tc>
          <w:tcPr>
            <w:tcW w:type="dxa" w:w="1080"/>
            <w:shd w:fill="EBF5FB" w:val="clear"/>
          </w:tcPr>
          <w:p>
            <w:r>
              <w:rPr>
                <w:sz w:val="16"/>
              </w:rPr>
              <w:t>CONSOMMATION DISCR</w:t>
            </w:r>
          </w:p>
        </w:tc>
        <w:tc>
          <w:tcPr>
            <w:tcW w:type="dxa" w:w="1080"/>
            <w:shd w:fill="EBF5FB" w:val="clear"/>
          </w:tcPr>
          <w:p>
            <w:r>
              <w:rPr>
                <w:sz w:val="16"/>
              </w:rPr>
              <w:t>4,080</w:t>
            </w:r>
          </w:p>
        </w:tc>
        <w:tc>
          <w:tcPr>
            <w:tcW w:type="dxa" w:w="1080"/>
            <w:shd w:fill="EBF5FB" w:val="clear"/>
          </w:tcPr>
          <w:p>
            <w:r>
              <w:rPr>
                <w:b/>
                <w:sz w:val="16"/>
              </w:rPr>
              <w:t>68/100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19</w:t>
            </w:r>
          </w:p>
        </w:tc>
        <w:tc>
          <w:tcPr>
            <w:tcW w:type="dxa" w:w="1080"/>
            <w:shd w:fill="EBF5FB" w:val="clear"/>
          </w:tcPr>
          <w:p>
            <w:r>
              <w:rPr>
                <w:sz w:val="16"/>
              </w:rPr>
              <w:t>STBC</w:t>
            </w:r>
          </w:p>
        </w:tc>
        <w:tc>
          <w:tcPr>
            <w:tcW w:type="dxa" w:w="1080"/>
            <w:shd w:fill="EBF5FB" w:val="clear"/>
          </w:tcPr>
          <w:p>
            <w:r>
              <w:rPr>
                <w:sz w:val="16"/>
              </w:rPr>
              <w:t>CONSOMMATION DE BA</w:t>
            </w:r>
          </w:p>
        </w:tc>
        <w:tc>
          <w:tcPr>
            <w:tcW w:type="dxa" w:w="1080"/>
            <w:shd w:fill="EBF5FB" w:val="clear"/>
          </w:tcPr>
          <w:p>
            <w:r>
              <w:rPr>
                <w:sz w:val="16"/>
              </w:rPr>
              <w:t>21,200</w:t>
            </w:r>
          </w:p>
        </w:tc>
        <w:tc>
          <w:tcPr>
            <w:tcW w:type="dxa" w:w="1080"/>
            <w:shd w:fill="EBF5FB" w:val="clear"/>
          </w:tcPr>
          <w:p>
            <w:r>
              <w:rPr>
                <w:b/>
                <w:sz w:val="16"/>
              </w:rPr>
              <w:t>68/100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20</w:t>
            </w:r>
          </w:p>
        </w:tc>
        <w:tc>
          <w:tcPr>
            <w:tcW w:type="dxa" w:w="1080"/>
            <w:shd w:fill="EBF5FB" w:val="clear"/>
          </w:tcPr>
          <w:p>
            <w:r>
              <w:rPr>
                <w:sz w:val="16"/>
              </w:rPr>
              <w:t>BICC</w:t>
            </w:r>
          </w:p>
        </w:tc>
        <w:tc>
          <w:tcPr>
            <w:tcW w:type="dxa" w:w="1080"/>
            <w:shd w:fill="EBF5FB" w:val="clear"/>
          </w:tcPr>
          <w:p>
            <w:r>
              <w:rPr>
                <w:sz w:val="16"/>
              </w:rPr>
              <w:t>SERVICES FINANCIER</w:t>
            </w:r>
          </w:p>
        </w:tc>
        <w:tc>
          <w:tcPr>
            <w:tcW w:type="dxa" w:w="1080"/>
            <w:shd w:fill="EBF5FB" w:val="clear"/>
          </w:tcPr>
          <w:p>
            <w:r>
              <w:rPr>
                <w:sz w:val="16"/>
              </w:rPr>
              <w:t>31,090</w:t>
            </w:r>
          </w:p>
        </w:tc>
        <w:tc>
          <w:tcPr>
            <w:tcW w:type="dxa" w:w="1080"/>
            <w:shd w:fill="EBF5FB" w:val="clear"/>
          </w:tcPr>
          <w:p>
            <w:r>
              <w:rPr>
                <w:b/>
                <w:sz w:val="16"/>
              </w:rPr>
              <w:t>67/100  (Bon)</w:t>
            </w:r>
          </w:p>
        </w:tc>
        <w:tc>
          <w:tcPr>
            <w:tcW w:type="dxa" w:w="1080"/>
            <w:shd w:fill="EBF5FB" w:val="clear"/>
          </w:tcPr>
          <w:p>
            <w:r>
              <w:rPr>
                <w:sz w:val="16"/>
              </w:rPr>
              <w:t>ACHAT</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21</w:t>
            </w:r>
          </w:p>
        </w:tc>
        <w:tc>
          <w:tcPr>
            <w:tcW w:type="dxa" w:w="1080"/>
            <w:shd w:fill="EBF5FB" w:val="clear"/>
          </w:tcPr>
          <w:p>
            <w:r>
              <w:rPr>
                <w:sz w:val="16"/>
              </w:rPr>
              <w:t>CABC</w:t>
            </w:r>
          </w:p>
        </w:tc>
        <w:tc>
          <w:tcPr>
            <w:tcW w:type="dxa" w:w="1080"/>
            <w:shd w:fill="EBF5FB" w:val="clear"/>
          </w:tcPr>
          <w:p>
            <w:r>
              <w:rPr>
                <w:sz w:val="16"/>
              </w:rPr>
              <w:t>INDUSTRIELS</w:t>
            </w:r>
          </w:p>
        </w:tc>
        <w:tc>
          <w:tcPr>
            <w:tcW w:type="dxa" w:w="1080"/>
            <w:shd w:fill="EBF5FB" w:val="clear"/>
          </w:tcPr>
          <w:p>
            <w:r>
              <w:rPr>
                <w:sz w:val="16"/>
              </w:rPr>
              <w:t>3,050</w:t>
            </w:r>
          </w:p>
        </w:tc>
        <w:tc>
          <w:tcPr>
            <w:tcW w:type="dxa" w:w="1080"/>
            <w:shd w:fill="EBF5FB" w:val="clear"/>
          </w:tcPr>
          <w:p>
            <w:r>
              <w:rPr>
                <w:b/>
                <w:sz w:val="16"/>
              </w:rPr>
              <w:t>67/100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22</w:t>
            </w:r>
          </w:p>
        </w:tc>
        <w:tc>
          <w:tcPr>
            <w:tcW w:type="dxa" w:w="1080"/>
            <w:shd w:fill="EBF5FB" w:val="clear"/>
          </w:tcPr>
          <w:p>
            <w:r>
              <w:rPr>
                <w:sz w:val="16"/>
              </w:rPr>
              <w:t>FTSC</w:t>
            </w:r>
          </w:p>
        </w:tc>
        <w:tc>
          <w:tcPr>
            <w:tcW w:type="dxa" w:w="1080"/>
            <w:shd w:fill="EBF5FB" w:val="clear"/>
          </w:tcPr>
          <w:p>
            <w:r>
              <w:rPr>
                <w:sz w:val="16"/>
              </w:rPr>
              <w:t>INDUSTRIELS</w:t>
            </w:r>
          </w:p>
        </w:tc>
        <w:tc>
          <w:tcPr>
            <w:tcW w:type="dxa" w:w="1080"/>
            <w:shd w:fill="EBF5FB" w:val="clear"/>
          </w:tcPr>
          <w:p>
            <w:r>
              <w:rPr>
                <w:sz w:val="16"/>
              </w:rPr>
              <w:t>1,800</w:t>
            </w:r>
          </w:p>
        </w:tc>
        <w:tc>
          <w:tcPr>
            <w:tcW w:type="dxa" w:w="1080"/>
            <w:shd w:fill="EBF5FB" w:val="clear"/>
          </w:tcPr>
          <w:p>
            <w:r>
              <w:rPr>
                <w:b/>
                <w:sz w:val="16"/>
              </w:rPr>
              <w:t>67/100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23</w:t>
            </w:r>
          </w:p>
        </w:tc>
        <w:tc>
          <w:tcPr>
            <w:tcW w:type="dxa" w:w="1080"/>
            <w:shd w:fill="EBF5FB" w:val="clear"/>
          </w:tcPr>
          <w:p>
            <w:r>
              <w:rPr>
                <w:sz w:val="16"/>
              </w:rPr>
              <w:t>NTLC</w:t>
            </w:r>
          </w:p>
        </w:tc>
        <w:tc>
          <w:tcPr>
            <w:tcW w:type="dxa" w:w="1080"/>
            <w:shd w:fill="EBF5FB" w:val="clear"/>
          </w:tcPr>
          <w:p>
            <w:r>
              <w:rPr>
                <w:sz w:val="16"/>
              </w:rPr>
              <w:t>CONSOMMATION DE BA</w:t>
            </w:r>
          </w:p>
        </w:tc>
        <w:tc>
          <w:tcPr>
            <w:tcW w:type="dxa" w:w="1080"/>
            <w:shd w:fill="EBF5FB" w:val="clear"/>
          </w:tcPr>
          <w:p>
            <w:r>
              <w:rPr>
                <w:sz w:val="16"/>
              </w:rPr>
              <w:t>15,500</w:t>
            </w:r>
          </w:p>
        </w:tc>
        <w:tc>
          <w:tcPr>
            <w:tcW w:type="dxa" w:w="1080"/>
            <w:shd w:fill="EBF5FB" w:val="clear"/>
          </w:tcPr>
          <w:p>
            <w:r>
              <w:rPr>
                <w:b/>
                <w:sz w:val="16"/>
              </w:rPr>
              <w:t>67/100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24</w:t>
            </w:r>
          </w:p>
        </w:tc>
        <w:tc>
          <w:tcPr>
            <w:tcW w:type="dxa" w:w="1080"/>
            <w:shd w:fill="EBF5FB" w:val="clear"/>
          </w:tcPr>
          <w:p>
            <w:r>
              <w:rPr>
                <w:sz w:val="16"/>
              </w:rPr>
              <w:t>PALC</w:t>
            </w:r>
          </w:p>
        </w:tc>
        <w:tc>
          <w:tcPr>
            <w:tcW w:type="dxa" w:w="1080"/>
            <w:shd w:fill="EBF5FB" w:val="clear"/>
          </w:tcPr>
          <w:p>
            <w:r>
              <w:rPr>
                <w:sz w:val="16"/>
              </w:rPr>
              <w:t>CONSOMMATION DE BA</w:t>
            </w:r>
          </w:p>
        </w:tc>
        <w:tc>
          <w:tcPr>
            <w:tcW w:type="dxa" w:w="1080"/>
            <w:shd w:fill="EBF5FB" w:val="clear"/>
          </w:tcPr>
          <w:p>
            <w:r>
              <w:rPr>
                <w:sz w:val="16"/>
              </w:rPr>
              <w:t>7,680</w:t>
            </w:r>
          </w:p>
        </w:tc>
        <w:tc>
          <w:tcPr>
            <w:tcW w:type="dxa" w:w="1080"/>
            <w:shd w:fill="EBF5FB" w:val="clear"/>
          </w:tcPr>
          <w:p>
            <w:r>
              <w:rPr>
                <w:b/>
                <w:sz w:val="16"/>
              </w:rPr>
              <w:t>67/100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25</w:t>
            </w:r>
          </w:p>
        </w:tc>
        <w:tc>
          <w:tcPr>
            <w:tcW w:type="dxa" w:w="1080"/>
            <w:shd w:fill="EBF5FB" w:val="clear"/>
          </w:tcPr>
          <w:p>
            <w:r>
              <w:rPr>
                <w:sz w:val="16"/>
              </w:rPr>
              <w:t>PRSC</w:t>
            </w:r>
          </w:p>
        </w:tc>
        <w:tc>
          <w:tcPr>
            <w:tcW w:type="dxa" w:w="1080"/>
            <w:shd w:fill="EBF5FB" w:val="clear"/>
          </w:tcPr>
          <w:p>
            <w:r>
              <w:rPr>
                <w:sz w:val="16"/>
              </w:rPr>
              <w:t>CONSOMMATION DISCR</w:t>
            </w:r>
          </w:p>
        </w:tc>
        <w:tc>
          <w:tcPr>
            <w:tcW w:type="dxa" w:w="1080"/>
            <w:shd w:fill="EBF5FB" w:val="clear"/>
          </w:tcPr>
          <w:p>
            <w:r>
              <w:rPr>
                <w:sz w:val="16"/>
              </w:rPr>
              <w:t>4,250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26</w:t>
            </w:r>
          </w:p>
        </w:tc>
        <w:tc>
          <w:tcPr>
            <w:tcW w:type="dxa" w:w="1080"/>
            <w:shd w:fill="EBF5FB" w:val="clear"/>
          </w:tcPr>
          <w:p>
            <w:r>
              <w:rPr>
                <w:sz w:val="16"/>
              </w:rPr>
              <w:t>SMBC</w:t>
            </w:r>
          </w:p>
        </w:tc>
        <w:tc>
          <w:tcPr>
            <w:tcW w:type="dxa" w:w="1080"/>
            <w:shd w:fill="EBF5FB" w:val="clear"/>
          </w:tcPr>
          <w:p>
            <w:r>
              <w:rPr>
                <w:sz w:val="16"/>
              </w:rPr>
              <w:t>ENERGIE</w:t>
            </w:r>
          </w:p>
        </w:tc>
        <w:tc>
          <w:tcPr>
            <w:tcW w:type="dxa" w:w="1080"/>
            <w:shd w:fill="EBF5FB" w:val="clear"/>
          </w:tcPr>
          <w:p>
            <w:r>
              <w:rPr>
                <w:sz w:val="16"/>
              </w:rPr>
              <w:t>15,500</w:t>
            </w:r>
          </w:p>
        </w:tc>
        <w:tc>
          <w:tcPr>
            <w:tcW w:type="dxa" w:w="1080"/>
            <w:shd w:fill="EBF5FB" w:val="clear"/>
          </w:tcPr>
          <w:p>
            <w:r>
              <w:rPr>
                <w:b/>
                <w:sz w:val="16"/>
              </w:rPr>
              <w:t>67/100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27</w:t>
            </w:r>
          </w:p>
        </w:tc>
        <w:tc>
          <w:tcPr>
            <w:tcW w:type="dxa" w:w="1080"/>
            <w:shd w:fill="EBF5FB" w:val="clear"/>
          </w:tcPr>
          <w:p>
            <w:r>
              <w:rPr>
                <w:sz w:val="16"/>
              </w:rPr>
              <w:t>SNTS</w:t>
            </w:r>
          </w:p>
        </w:tc>
        <w:tc>
          <w:tcPr>
            <w:tcW w:type="dxa" w:w="1080"/>
            <w:shd w:fill="EBF5FB" w:val="clear"/>
          </w:tcPr>
          <w:p>
            <w:r>
              <w:rPr>
                <w:sz w:val="16"/>
              </w:rPr>
              <w:t>TELECOMMUNICATIONS</w:t>
            </w:r>
          </w:p>
        </w:tc>
        <w:tc>
          <w:tcPr>
            <w:tcW w:type="dxa" w:w="1080"/>
            <w:shd w:fill="EBF5FB" w:val="clear"/>
          </w:tcPr>
          <w:p>
            <w:r>
              <w:rPr>
                <w:sz w:val="16"/>
              </w:rPr>
              <w:t>43,900</w:t>
            </w:r>
          </w:p>
        </w:tc>
        <w:tc>
          <w:tcPr>
            <w:tcW w:type="dxa" w:w="1080"/>
            <w:shd w:fill="EBF5FB" w:val="clear"/>
          </w:tcPr>
          <w:p>
            <w:r>
              <w:rPr>
                <w:b/>
                <w:sz w:val="16"/>
              </w:rPr>
              <w:t>67/100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28</w:t>
            </w:r>
          </w:p>
        </w:tc>
        <w:tc>
          <w:tcPr>
            <w:tcW w:type="dxa" w:w="1080"/>
            <w:shd w:fill="EBF5FB" w:val="clear"/>
          </w:tcPr>
          <w:p>
            <w:r>
              <w:rPr>
                <w:sz w:val="16"/>
              </w:rPr>
              <w:t>SPHC</w:t>
            </w:r>
          </w:p>
        </w:tc>
        <w:tc>
          <w:tcPr>
            <w:tcW w:type="dxa" w:w="1080"/>
            <w:shd w:fill="EBF5FB" w:val="clear"/>
          </w:tcPr>
          <w:p>
            <w:r>
              <w:rPr>
                <w:sz w:val="16"/>
              </w:rPr>
              <w:t>CONSOMMATION DE BA</w:t>
            </w:r>
          </w:p>
        </w:tc>
        <w:tc>
          <w:tcPr>
            <w:tcW w:type="dxa" w:w="1080"/>
            <w:shd w:fill="EBF5FB" w:val="clear"/>
          </w:tcPr>
          <w:p>
            <w:r>
              <w:rPr>
                <w:sz w:val="16"/>
              </w:rPr>
              <w:t>7,800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29</w:t>
            </w:r>
          </w:p>
        </w:tc>
        <w:tc>
          <w:tcPr>
            <w:tcW w:type="dxa" w:w="1080"/>
            <w:shd w:fill="EBF5FB" w:val="clear"/>
          </w:tcPr>
          <w:p>
            <w:r>
              <w:rPr>
                <w:sz w:val="16"/>
              </w:rPr>
              <w:t>TTLC</w:t>
            </w:r>
          </w:p>
        </w:tc>
        <w:tc>
          <w:tcPr>
            <w:tcW w:type="dxa" w:w="1080"/>
            <w:shd w:fill="EBF5FB" w:val="clear"/>
          </w:tcPr>
          <w:p>
            <w:r>
              <w:rPr>
                <w:sz w:val="16"/>
              </w:rPr>
              <w:t>ENERGIE</w:t>
            </w:r>
          </w:p>
        </w:tc>
        <w:tc>
          <w:tcPr>
            <w:tcW w:type="dxa" w:w="1080"/>
            <w:shd w:fill="EBF5FB" w:val="clear"/>
          </w:tcPr>
          <w:p>
            <w:r>
              <w:rPr>
                <w:sz w:val="16"/>
              </w:rPr>
              <w:t>3,000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30</w:t>
            </w:r>
          </w:p>
        </w:tc>
        <w:tc>
          <w:tcPr>
            <w:tcW w:type="dxa" w:w="1080"/>
            <w:shd w:fill="EBF5FB" w:val="clear"/>
          </w:tcPr>
          <w:p>
            <w:r>
              <w:rPr>
                <w:sz w:val="16"/>
              </w:rPr>
              <w:t>TTLS</w:t>
            </w:r>
          </w:p>
        </w:tc>
        <w:tc>
          <w:tcPr>
            <w:tcW w:type="dxa" w:w="1080"/>
            <w:shd w:fill="EBF5FB" w:val="clear"/>
          </w:tcPr>
          <w:p>
            <w:r>
              <w:rPr>
                <w:sz w:val="16"/>
              </w:rPr>
              <w:t>ENERGIE</w:t>
            </w:r>
          </w:p>
        </w:tc>
        <w:tc>
          <w:tcPr>
            <w:tcW w:type="dxa" w:w="1080"/>
            <w:shd w:fill="EBF5FB" w:val="clear"/>
          </w:tcPr>
          <w:p>
            <w:r>
              <w:rPr>
                <w:sz w:val="16"/>
              </w:rPr>
              <w:t>3,700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31</w:t>
            </w:r>
          </w:p>
        </w:tc>
        <w:tc>
          <w:tcPr>
            <w:tcW w:type="dxa" w:w="1080"/>
            <w:shd w:fill="EBF5FB" w:val="clear"/>
          </w:tcPr>
          <w:p>
            <w:r>
              <w:rPr>
                <w:sz w:val="16"/>
              </w:rPr>
              <w:t>BNBC</w:t>
            </w:r>
          </w:p>
        </w:tc>
        <w:tc>
          <w:tcPr>
            <w:tcW w:type="dxa" w:w="1080"/>
            <w:shd w:fill="EBF5FB" w:val="clear"/>
          </w:tcPr>
          <w:p>
            <w:r>
              <w:rPr>
                <w:sz w:val="16"/>
              </w:rPr>
              <w:t>CONSOMMATION DISCR</w:t>
            </w:r>
          </w:p>
        </w:tc>
        <w:tc>
          <w:tcPr>
            <w:tcW w:type="dxa" w:w="1080"/>
            <w:shd w:fill="EBF5FB" w:val="clear"/>
          </w:tcPr>
          <w:p>
            <w:r>
              <w:rPr>
                <w:sz w:val="16"/>
              </w:rPr>
              <w:t>1,775</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32</w:t>
            </w:r>
          </w:p>
        </w:tc>
        <w:tc>
          <w:tcPr>
            <w:tcW w:type="dxa" w:w="1080"/>
            <w:shd w:fill="EBF5FB" w:val="clear"/>
          </w:tcPr>
          <w:p>
            <w:r>
              <w:rPr>
                <w:sz w:val="16"/>
              </w:rPr>
              <w:t>BOAM</w:t>
            </w:r>
          </w:p>
        </w:tc>
        <w:tc>
          <w:tcPr>
            <w:tcW w:type="dxa" w:w="1080"/>
            <w:shd w:fill="EBF5FB" w:val="clear"/>
          </w:tcPr>
          <w:p>
            <w:r>
              <w:rPr>
                <w:sz w:val="16"/>
              </w:rPr>
              <w:t>SERVICES FINANCIER</w:t>
            </w:r>
          </w:p>
        </w:tc>
        <w:tc>
          <w:tcPr>
            <w:tcW w:type="dxa" w:w="1080"/>
            <w:shd w:fill="EBF5FB" w:val="clear"/>
          </w:tcPr>
          <w:p>
            <w:r>
              <w:rPr>
                <w:sz w:val="16"/>
              </w:rPr>
              <w:t>5,700</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33</w:t>
            </w:r>
          </w:p>
        </w:tc>
        <w:tc>
          <w:tcPr>
            <w:tcW w:type="dxa" w:w="1080"/>
            <w:shd w:fill="EBF5FB" w:val="clear"/>
          </w:tcPr>
          <w:p>
            <w:r>
              <w:rPr>
                <w:sz w:val="16"/>
              </w:rPr>
              <w:t>BOAN</w:t>
            </w:r>
          </w:p>
        </w:tc>
        <w:tc>
          <w:tcPr>
            <w:tcW w:type="dxa" w:w="1080"/>
            <w:shd w:fill="EBF5FB" w:val="clear"/>
          </w:tcPr>
          <w:p>
            <w:r>
              <w:rPr>
                <w:sz w:val="16"/>
              </w:rPr>
              <w:t>SERVICES FINANCIER</w:t>
            </w:r>
          </w:p>
        </w:tc>
        <w:tc>
          <w:tcPr>
            <w:tcW w:type="dxa" w:w="1080"/>
            <w:shd w:fill="EBF5FB" w:val="clear"/>
          </w:tcPr>
          <w:p>
            <w:r>
              <w:rPr>
                <w:sz w:val="16"/>
              </w:rPr>
              <w:t>4,675</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34</w:t>
            </w:r>
          </w:p>
        </w:tc>
        <w:tc>
          <w:tcPr>
            <w:tcW w:type="dxa" w:w="1080"/>
            <w:shd w:fill="EBF5FB" w:val="clear"/>
          </w:tcPr>
          <w:p>
            <w:r>
              <w:rPr>
                <w:sz w:val="16"/>
              </w:rPr>
              <w:t>CBIBF</w:t>
            </w:r>
          </w:p>
        </w:tc>
        <w:tc>
          <w:tcPr>
            <w:tcW w:type="dxa" w:w="1080"/>
            <w:shd w:fill="EBF5FB" w:val="clear"/>
          </w:tcPr>
          <w:p>
            <w:r>
              <w:rPr>
                <w:sz w:val="16"/>
              </w:rPr>
              <w:t>SERVICES FINANCIER</w:t>
            </w:r>
          </w:p>
        </w:tc>
        <w:tc>
          <w:tcPr>
            <w:tcW w:type="dxa" w:w="1080"/>
            <w:shd w:fill="EBF5FB" w:val="clear"/>
          </w:tcPr>
          <w:p>
            <w:r>
              <w:rPr>
                <w:sz w:val="16"/>
              </w:rPr>
              <w:t>31,000</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35</w:t>
            </w:r>
          </w:p>
        </w:tc>
        <w:tc>
          <w:tcPr>
            <w:tcW w:type="dxa" w:w="1080"/>
            <w:shd w:fill="EBF5FB" w:val="clear"/>
          </w:tcPr>
          <w:p>
            <w:r>
              <w:rPr>
                <w:sz w:val="16"/>
              </w:rPr>
              <w:t>ETIT</w:t>
            </w:r>
          </w:p>
        </w:tc>
        <w:tc>
          <w:tcPr>
            <w:tcW w:type="dxa" w:w="1080"/>
            <w:shd w:fill="EBF5FB" w:val="clear"/>
          </w:tcPr>
          <w:p>
            <w:r>
              <w:rPr>
                <w:sz w:val="16"/>
              </w:rPr>
              <w:t>SERVICES FINANCIER</w:t>
            </w:r>
          </w:p>
        </w:tc>
        <w:tc>
          <w:tcPr>
            <w:tcW w:type="dxa" w:w="1080"/>
            <w:shd w:fill="EBF5FB" w:val="clear"/>
          </w:tcPr>
          <w:p>
            <w:r>
              <w:rPr>
                <w:sz w:val="16"/>
              </w:rPr>
              <w:t>65</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36</w:t>
            </w:r>
          </w:p>
        </w:tc>
        <w:tc>
          <w:tcPr>
            <w:tcW w:type="dxa" w:w="1080"/>
            <w:shd w:fill="EBF5FB" w:val="clear"/>
          </w:tcPr>
          <w:p>
            <w:r>
              <w:rPr>
                <w:sz w:val="16"/>
              </w:rPr>
              <w:t>NSBC</w:t>
            </w:r>
          </w:p>
        </w:tc>
        <w:tc>
          <w:tcPr>
            <w:tcW w:type="dxa" w:w="1080"/>
            <w:shd w:fill="EBF5FB" w:val="clear"/>
          </w:tcPr>
          <w:p>
            <w:r>
              <w:rPr>
                <w:sz w:val="16"/>
              </w:rPr>
              <w:t>SERVICES FINANCIER</w:t>
            </w:r>
          </w:p>
        </w:tc>
        <w:tc>
          <w:tcPr>
            <w:tcW w:type="dxa" w:w="1080"/>
            <w:shd w:fill="EBF5FB" w:val="clear"/>
          </w:tcPr>
          <w:p>
            <w:r>
              <w:rPr>
                <w:sz w:val="16"/>
              </w:rPr>
              <w:t>20,800</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37</w:t>
            </w:r>
          </w:p>
        </w:tc>
        <w:tc>
          <w:tcPr>
            <w:tcW w:type="dxa" w:w="1080"/>
            <w:shd w:fill="EBF5FB" w:val="clear"/>
          </w:tcPr>
          <w:p>
            <w:r>
              <w:rPr>
                <w:sz w:val="16"/>
              </w:rPr>
              <w:t>ORAC</w:t>
            </w:r>
          </w:p>
        </w:tc>
        <w:tc>
          <w:tcPr>
            <w:tcW w:type="dxa" w:w="1080"/>
            <w:shd w:fill="EBF5FB" w:val="clear"/>
          </w:tcPr>
          <w:p>
            <w:r>
              <w:rPr>
                <w:sz w:val="16"/>
              </w:rPr>
              <w:t>TELECOMMUNICATIONS</w:t>
            </w:r>
          </w:p>
        </w:tc>
        <w:tc>
          <w:tcPr>
            <w:tcW w:type="dxa" w:w="1080"/>
            <w:shd w:fill="EBF5FB" w:val="clear"/>
          </w:tcPr>
          <w:p>
            <w:r>
              <w:rPr>
                <w:sz w:val="16"/>
              </w:rPr>
              <w:t>21,500</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38</w:t>
            </w:r>
          </w:p>
        </w:tc>
        <w:tc>
          <w:tcPr>
            <w:tcW w:type="dxa" w:w="1080"/>
            <w:shd w:fill="EBF5FB" w:val="clear"/>
          </w:tcPr>
          <w:p>
            <w:r>
              <w:rPr>
                <w:sz w:val="16"/>
              </w:rPr>
              <w:t>ORGT</w:t>
            </w:r>
          </w:p>
        </w:tc>
        <w:tc>
          <w:tcPr>
            <w:tcW w:type="dxa" w:w="1080"/>
            <w:shd w:fill="EBF5FB" w:val="clear"/>
          </w:tcPr>
          <w:p>
            <w:r>
              <w:rPr>
                <w:sz w:val="16"/>
              </w:rPr>
              <w:t>SERVICES FINANCIER</w:t>
            </w:r>
          </w:p>
        </w:tc>
        <w:tc>
          <w:tcPr>
            <w:tcW w:type="dxa" w:w="1080"/>
            <w:shd w:fill="EBF5FB" w:val="clear"/>
          </w:tcPr>
          <w:p>
            <w:r>
              <w:rPr>
                <w:sz w:val="16"/>
              </w:rPr>
              <w:t>2,810</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39</w:t>
            </w:r>
          </w:p>
        </w:tc>
        <w:tc>
          <w:tcPr>
            <w:tcW w:type="dxa" w:w="1080"/>
            <w:shd w:fill="EBF5FB" w:val="clear"/>
          </w:tcPr>
          <w:p>
            <w:r>
              <w:rPr>
                <w:sz w:val="16"/>
              </w:rPr>
              <w:t>SIBC</w:t>
            </w:r>
          </w:p>
        </w:tc>
        <w:tc>
          <w:tcPr>
            <w:tcW w:type="dxa" w:w="1080"/>
            <w:shd w:fill="EBF5FB" w:val="clear"/>
          </w:tcPr>
          <w:p>
            <w:r>
              <w:rPr>
                <w:sz w:val="16"/>
              </w:rPr>
              <w:t>SERVICES FINANCIER</w:t>
            </w:r>
          </w:p>
        </w:tc>
        <w:tc>
          <w:tcPr>
            <w:tcW w:type="dxa" w:w="1080"/>
            <w:shd w:fill="EBF5FB" w:val="clear"/>
          </w:tcPr>
          <w:p>
            <w:r>
              <w:rPr>
                <w:sz w:val="16"/>
              </w:rPr>
              <w:t>8,900</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40</w:t>
            </w:r>
          </w:p>
        </w:tc>
        <w:tc>
          <w:tcPr>
            <w:tcW w:type="dxa" w:w="1080"/>
            <w:shd w:fill="EBF5FB" w:val="clear"/>
          </w:tcPr>
          <w:p>
            <w:r>
              <w:rPr>
                <w:sz w:val="16"/>
              </w:rPr>
              <w:t>STAC</w:t>
            </w:r>
          </w:p>
        </w:tc>
        <w:tc>
          <w:tcPr>
            <w:tcW w:type="dxa" w:w="1080"/>
            <w:shd w:fill="EBF5FB" w:val="clear"/>
          </w:tcPr>
          <w:p>
            <w:r>
              <w:rPr>
                <w:sz w:val="16"/>
              </w:rPr>
              <w:t>INDUSTRIELS</w:t>
            </w:r>
          </w:p>
        </w:tc>
        <w:tc>
          <w:tcPr>
            <w:tcW w:type="dxa" w:w="1080"/>
            <w:shd w:fill="EBF5FB" w:val="clear"/>
          </w:tcPr>
          <w:p>
            <w:r>
              <w:rPr>
                <w:sz w:val="16"/>
              </w:rPr>
              <w:t>1,905</w:t>
            </w:r>
          </w:p>
        </w:tc>
        <w:tc>
          <w:tcPr>
            <w:tcW w:type="dxa" w:w="1080"/>
            <w:shd w:fill="EBF5FB" w:val="clear"/>
          </w:tcPr>
          <w:p>
            <w:r>
              <w:rPr>
                <w:b/>
                <w:sz w:val="16"/>
              </w:rPr>
              <w:t>64/100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41</w:t>
            </w:r>
          </w:p>
        </w:tc>
        <w:tc>
          <w:tcPr>
            <w:tcW w:type="dxa" w:w="1080"/>
            <w:shd w:fill="EBF5FB" w:val="clear"/>
          </w:tcPr>
          <w:p>
            <w:r>
              <w:rPr>
                <w:sz w:val="16"/>
              </w:rPr>
              <w:t>BBGC</w:t>
            </w:r>
          </w:p>
        </w:tc>
        <w:tc>
          <w:tcPr>
            <w:tcW w:type="dxa" w:w="1080"/>
            <w:shd w:fill="EBF5FB" w:val="clear"/>
          </w:tcPr>
          <w:p>
            <w:r>
              <w:rPr>
                <w:sz w:val="16"/>
              </w:rPr>
              <w:t>Services Financier</w:t>
            </w:r>
          </w:p>
        </w:tc>
        <w:tc>
          <w:tcPr>
            <w:tcW w:type="dxa" w:w="1080"/>
            <w:shd w:fill="EBF5FB" w:val="clear"/>
          </w:tcPr>
          <w:p>
            <w:r>
              <w:rPr>
                <w:sz w:val="16"/>
              </w:rPr>
              <w:t>10,495</w:t>
            </w:r>
          </w:p>
        </w:tc>
        <w:tc>
          <w:tcPr>
            <w:tcW w:type="dxa" w:w="1080"/>
            <w:shd w:fill="EBF5FB" w:val="clear"/>
          </w:tcPr>
          <w:p>
            <w:r>
              <w:rPr>
                <w:b/>
                <w:sz w:val="16"/>
              </w:rPr>
              <w:t>63/100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42</w:t>
            </w:r>
          </w:p>
        </w:tc>
        <w:tc>
          <w:tcPr>
            <w:tcW w:type="dxa" w:w="1080"/>
            <w:shd w:fill="EBF5FB" w:val="clear"/>
          </w:tcPr>
          <w:p>
            <w:r>
              <w:rPr>
                <w:sz w:val="16"/>
              </w:rPr>
              <w:t>SAFC</w:t>
            </w:r>
          </w:p>
        </w:tc>
        <w:tc>
          <w:tcPr>
            <w:tcW w:type="dxa" w:w="1080"/>
            <w:shd w:fill="EBF5FB" w:val="clear"/>
          </w:tcPr>
          <w:p>
            <w:r>
              <w:rPr>
                <w:sz w:val="16"/>
              </w:rPr>
              <w:t>SERVICES FINANCIER</w:t>
            </w:r>
          </w:p>
        </w:tc>
        <w:tc>
          <w:tcPr>
            <w:tcW w:type="dxa" w:w="1080"/>
            <w:shd w:fill="EBF5FB" w:val="clear"/>
          </w:tcPr>
          <w:p>
            <w:r>
              <w:rPr>
                <w:sz w:val="16"/>
              </w:rPr>
              <w:t>3,900</w:t>
            </w:r>
          </w:p>
        </w:tc>
        <w:tc>
          <w:tcPr>
            <w:tcW w:type="dxa" w:w="1080"/>
            <w:shd w:fill="EBF5FB" w:val="clear"/>
          </w:tcPr>
          <w:p>
            <w:r>
              <w:rPr>
                <w:b/>
                <w:sz w:val="16"/>
              </w:rPr>
              <w:t>63/100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43</w:t>
            </w:r>
          </w:p>
        </w:tc>
        <w:tc>
          <w:tcPr>
            <w:tcW w:type="dxa" w:w="1080"/>
            <w:shd w:fill="EBF5FB" w:val="clear"/>
          </w:tcPr>
          <w:p>
            <w:r>
              <w:rPr>
                <w:sz w:val="16"/>
              </w:rPr>
              <w:t>SOGC</w:t>
            </w:r>
          </w:p>
        </w:tc>
        <w:tc>
          <w:tcPr>
            <w:tcW w:type="dxa" w:w="1080"/>
            <w:shd w:fill="EBF5FB" w:val="clear"/>
          </w:tcPr>
          <w:p>
            <w:r>
              <w:rPr>
                <w:sz w:val="16"/>
              </w:rPr>
              <w:t>CONSOMMATION DE BA</w:t>
            </w:r>
          </w:p>
        </w:tc>
        <w:tc>
          <w:tcPr>
            <w:tcW w:type="dxa" w:w="1080"/>
            <w:shd w:fill="EBF5FB" w:val="clear"/>
          </w:tcPr>
          <w:p>
            <w:r>
              <w:rPr>
                <w:sz w:val="16"/>
              </w:rPr>
              <w:t>7,700</w:t>
            </w:r>
          </w:p>
        </w:tc>
        <w:tc>
          <w:tcPr>
            <w:tcW w:type="dxa" w:w="1080"/>
            <w:shd w:fill="EBF5FB" w:val="clear"/>
          </w:tcPr>
          <w:p>
            <w:r>
              <w:rPr>
                <w:b/>
                <w:sz w:val="16"/>
              </w:rPr>
              <w:t>62/100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44</w:t>
            </w:r>
          </w:p>
        </w:tc>
        <w:tc>
          <w:tcPr>
            <w:tcW w:type="dxa" w:w="1080"/>
            <w:shd w:fill="EBF5FB" w:val="clear"/>
          </w:tcPr>
          <w:p>
            <w:r>
              <w:rPr>
                <w:sz w:val="16"/>
              </w:rPr>
              <w:t>BOAB</w:t>
            </w:r>
          </w:p>
        </w:tc>
        <w:tc>
          <w:tcPr>
            <w:tcW w:type="dxa" w:w="1080"/>
            <w:shd w:fill="EBF5FB" w:val="clear"/>
          </w:tcPr>
          <w:p>
            <w:r>
              <w:rPr>
                <w:sz w:val="16"/>
              </w:rPr>
              <w:t>SERVICES FINANCIER</w:t>
            </w:r>
          </w:p>
        </w:tc>
        <w:tc>
          <w:tcPr>
            <w:tcW w:type="dxa" w:w="1080"/>
            <w:shd w:fill="EBF5FB" w:val="clear"/>
          </w:tcPr>
          <w:p>
            <w:r>
              <w:rPr>
                <w:sz w:val="16"/>
              </w:rPr>
              <w:t>9,205</w:t>
            </w:r>
          </w:p>
        </w:tc>
        <w:tc>
          <w:tcPr>
            <w:tcW w:type="dxa" w:w="1080"/>
            <w:shd w:fill="EBF5FB" w:val="clear"/>
          </w:tcPr>
          <w:p>
            <w:r>
              <w:rPr>
                <w:b/>
                <w:sz w:val="16"/>
              </w:rPr>
              <w:t>61/100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45</w:t>
            </w:r>
          </w:p>
        </w:tc>
        <w:tc>
          <w:tcPr>
            <w:tcW w:type="dxa" w:w="1080"/>
            <w:shd w:fill="EBF5FB" w:val="clear"/>
          </w:tcPr>
          <w:p>
            <w:r>
              <w:rPr>
                <w:sz w:val="16"/>
              </w:rPr>
              <w:t>UNLC</w:t>
            </w:r>
          </w:p>
        </w:tc>
        <w:tc>
          <w:tcPr>
            <w:tcW w:type="dxa" w:w="1080"/>
            <w:shd w:fill="EBF5FB" w:val="clear"/>
          </w:tcPr>
          <w:p>
            <w:r>
              <w:rPr>
                <w:sz w:val="16"/>
              </w:rPr>
              <w:t>CONSOMMATION DE BA</w:t>
            </w:r>
          </w:p>
        </w:tc>
        <w:tc>
          <w:tcPr>
            <w:tcW w:type="dxa" w:w="1080"/>
            <w:shd w:fill="EBF5FB" w:val="clear"/>
          </w:tcPr>
          <w:p>
            <w:r>
              <w:rPr>
                <w:sz w:val="16"/>
              </w:rPr>
              <w:t>44,410</w:t>
            </w:r>
          </w:p>
        </w:tc>
        <w:tc>
          <w:tcPr>
            <w:tcW w:type="dxa" w:w="1080"/>
            <w:shd w:fill="EBF5FB" w:val="clear"/>
          </w:tcPr>
          <w:p>
            <w:r>
              <w:rPr>
                <w:b/>
                <w:sz w:val="16"/>
              </w:rPr>
              <w:t>61/100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46</w:t>
            </w:r>
          </w:p>
        </w:tc>
        <w:tc>
          <w:tcPr>
            <w:tcW w:type="dxa" w:w="1080"/>
            <w:shd w:fill="EBF5FB" w:val="clear"/>
          </w:tcPr>
          <w:p>
            <w:r>
              <w:rPr>
                <w:sz w:val="16"/>
              </w:rPr>
              <w:t>BOABF</w:t>
            </w:r>
          </w:p>
        </w:tc>
        <w:tc>
          <w:tcPr>
            <w:tcW w:type="dxa" w:w="1080"/>
            <w:shd w:fill="EBF5FB" w:val="clear"/>
          </w:tcPr>
          <w:p>
            <w:r>
              <w:rPr>
                <w:sz w:val="16"/>
              </w:rPr>
              <w:t>SERVICES FINANCIER</w:t>
            </w:r>
          </w:p>
        </w:tc>
        <w:tc>
          <w:tcPr>
            <w:tcW w:type="dxa" w:w="1080"/>
            <w:shd w:fill="EBF5FB" w:val="clear"/>
          </w:tcPr>
          <w:p>
            <w:r>
              <w:rPr>
                <w:sz w:val="16"/>
              </w:rPr>
              <w:t>8,010</w:t>
            </w:r>
          </w:p>
        </w:tc>
        <w:tc>
          <w:tcPr>
            <w:tcW w:type="dxa" w:w="1080"/>
            <w:shd w:fill="EBF5FB" w:val="clear"/>
          </w:tcPr>
          <w:p>
            <w:r>
              <w:rPr>
                <w:b/>
                <w:sz w:val="16"/>
              </w:rPr>
              <w:t>59/100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47</w:t>
            </w:r>
          </w:p>
        </w:tc>
        <w:tc>
          <w:tcPr>
            <w:tcW w:type="dxa" w:w="1080"/>
            <w:shd w:fill="EBF5FB" w:val="clear"/>
          </w:tcPr>
          <w:p>
            <w:r>
              <w:rPr>
                <w:sz w:val="16"/>
              </w:rPr>
              <w:t>SEMC</w:t>
            </w:r>
          </w:p>
        </w:tc>
        <w:tc>
          <w:tcPr>
            <w:tcW w:type="dxa" w:w="1080"/>
            <w:shd w:fill="EBF5FB" w:val="clear"/>
          </w:tcPr>
          <w:p>
            <w:r>
              <w:rPr>
                <w:sz w:val="16"/>
              </w:rPr>
              <w:t>INDUSTRIELS</w:t>
            </w:r>
          </w:p>
        </w:tc>
        <w:tc>
          <w:tcPr>
            <w:tcW w:type="dxa" w:w="1080"/>
            <w:shd w:fill="EBF5FB" w:val="clear"/>
          </w:tcPr>
          <w:p>
            <w:r>
              <w:rPr>
                <w:sz w:val="16"/>
              </w:rPr>
              <w:t>—</w:t>
            </w:r>
          </w:p>
        </w:tc>
        <w:tc>
          <w:tcPr>
            <w:tcW w:type="dxa" w:w="1080"/>
            <w:shd w:fill="EBF5FB" w:val="clear"/>
          </w:tcPr>
          <w:p>
            <w:r>
              <w:rPr>
                <w:b/>
                <w:sz w:val="16"/>
              </w:rPr>
              <w:t>56/100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FEFEFE" w:val="clear"/>
          </w:tcPr>
          <w:p>
            <w:r>
              <w:rPr>
                <w:sz w:val="16"/>
              </w:rPr>
              <w:t>48</w:t>
            </w:r>
          </w:p>
        </w:tc>
        <w:tc>
          <w:tcPr>
            <w:tcW w:type="dxa" w:w="1080"/>
            <w:shd w:fill="FEFEFE" w:val="clear"/>
          </w:tcPr>
          <w:p>
            <w:r>
              <w:rPr>
                <w:sz w:val="16"/>
              </w:rPr>
              <w:t>SICC</w:t>
            </w:r>
          </w:p>
        </w:tc>
        <w:tc>
          <w:tcPr>
            <w:tcW w:type="dxa" w:w="1080"/>
            <w:shd w:fill="FEFEFE" w:val="clear"/>
          </w:tcPr>
          <w:p>
            <w:r>
              <w:rPr>
                <w:sz w:val="16"/>
              </w:rPr>
              <w:t>CONSOMMATION DE BA</w:t>
            </w:r>
          </w:p>
        </w:tc>
        <w:tc>
          <w:tcPr>
            <w:tcW w:type="dxa" w:w="1080"/>
            <w:shd w:fill="FEFEFE" w:val="clear"/>
          </w:tcPr>
          <w:p>
            <w:r>
              <w:rPr>
                <w:sz w:val="16"/>
              </w:rPr>
              <w:t>—</w:t>
            </w:r>
          </w:p>
        </w:tc>
        <w:tc>
          <w:tcPr>
            <w:tcW w:type="dxa" w:w="1080"/>
            <w:shd w:fill="FEFEFE" w:val="clear"/>
          </w:tcPr>
          <w:p>
            <w:r>
              <w:rPr>
                <w:b/>
                <w:sz w:val="16"/>
              </w:rPr>
              <w:t>52/100  (Moyen)</w:t>
            </w:r>
          </w:p>
        </w:tc>
        <w:tc>
          <w:tcPr>
            <w:tcW w:type="dxa" w:w="1080"/>
            <w:shd w:fill="FEFEFE" w:val="clear"/>
          </w:tcPr>
          <w:p>
            <w:r>
              <w:rPr>
                <w:sz w:val="16"/>
              </w:rPr>
              <w:t>NEUTRE</w:t>
            </w:r>
          </w:p>
        </w:tc>
        <w:tc>
          <w:tcPr>
            <w:tcW w:type="dxa" w:w="1080"/>
            <w:shd w:fill="FEFEFE" w:val="clear"/>
          </w:tcPr>
          <w:p>
            <w:r>
              <w:rPr>
                <w:sz w:val="16"/>
              </w:rPr>
              <w:t>ACHAT</w:t>
            </w:r>
          </w:p>
        </w:tc>
        <w:tc>
          <w:tcPr>
            <w:tcW w:type="dxa" w:w="1080"/>
            <w:shd w:fill="FEFEFE" w:val="clear"/>
          </w:tcPr>
          <w:p>
            <w:r>
              <w:rPr>
                <w:color w:val="008000"/>
                <w:sz w:val="16"/>
              </w:rPr>
              <w:t>ACHAT</w:t>
            </w:r>
          </w:p>
        </w:tc>
      </w:tr>
    </w:tbl>
    <w:p/>
    <w:p>
      <w:r>
        <w:br w:type="page"/>
      </w:r>
    </w:p>
    <w:p>
      <w:pPr>
        <w:pStyle w:val="Heading1"/>
      </w:pPr>
      <w:r>
        <w:t>💼 PORTEFEUILLES MODÈLES</w:t>
      </w:r>
    </w:p>
    <w:p>
      <w:r>
        <w:t>Trois portefeuilles construits automatiquement selon le score composite, le niveau de risque et la liquidité. Les pondérations sont indicatives et équipondérées. Position cash recommandée incluse.</w:t>
      </w:r>
    </w:p>
    <w:p/>
    <w:p>
      <w:pPr>
        <w:pStyle w:val="Heading3"/>
      </w:pPr>
      <w:r>
        <w:t>🔵 Portefeuille DÉFENSIF</w:t>
      </w:r>
    </w:p>
    <w:p>
      <w:r>
        <w:rPr>
          <w:i/>
          <w:sz w:val="18"/>
        </w:rPr>
        <w:t>Faible risque, haute liquidité, score ≥ 45. Adapté aux investisseurs prudents.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DEEAF1" w:val="clear"/>
          </w:tcPr>
          <w:p>
            <w:r>
              <w:rPr>
                <w:sz w:val="17"/>
              </w:rPr>
              <w:t>SDSC</w:t>
            </w:r>
          </w:p>
        </w:tc>
        <w:tc>
          <w:tcPr>
            <w:tcW w:type="dxa" w:w="1728"/>
            <w:shd w:fill="DEEAF1" w:val="clear"/>
          </w:tcPr>
          <w:p>
            <w:r>
              <w:rPr>
                <w:sz w:val="17"/>
              </w:rPr>
              <w:t>SDSC - AFRICA GLOBAL LOGISTI</w:t>
            </w:r>
          </w:p>
        </w:tc>
        <w:tc>
          <w:tcPr>
            <w:tcW w:type="dxa" w:w="1728"/>
            <w:shd w:fill="DEEAF1" w:val="clear"/>
          </w:tcPr>
          <w:p>
            <w:r>
              <w:rPr>
                <w:sz w:val="17"/>
              </w:rPr>
              <w:t>3,065</w:t>
            </w:r>
          </w:p>
        </w:tc>
        <w:tc>
          <w:tcPr>
            <w:tcW w:type="dxa" w:w="1728"/>
            <w:shd w:fill="DEEAF1" w:val="clear"/>
          </w:tcPr>
          <w:p>
            <w:r>
              <w:rPr>
                <w:sz w:val="17"/>
              </w:rPr>
              <w:t>76/100</w:t>
            </w:r>
          </w:p>
        </w:tc>
        <w:tc>
          <w:tcPr>
            <w:tcW w:type="dxa" w:w="1728"/>
            <w:shd w:fill="DEEAF1" w:val="clear"/>
          </w:tcPr>
          <w:p>
            <w:r>
              <w:rPr>
                <w:sz w:val="17"/>
              </w:rPr>
              <w:t>10.6%</w:t>
            </w:r>
          </w:p>
        </w:tc>
      </w:tr>
      <w:tr>
        <w:tc>
          <w:tcPr>
            <w:tcW w:type="dxa" w:w="1728"/>
            <w:shd w:fill="DEEAF1" w:val="clear"/>
          </w:tcPr>
          <w:p>
            <w:r>
              <w:rPr>
                <w:sz w:val="17"/>
              </w:rPr>
              <w:t>UNXC</w:t>
            </w:r>
          </w:p>
        </w:tc>
        <w:tc>
          <w:tcPr>
            <w:tcW w:type="dxa" w:w="1728"/>
            <w:shd w:fill="DEEAF1" w:val="clear"/>
          </w:tcPr>
          <w:p>
            <w:r>
              <w:rPr>
                <w:sz w:val="17"/>
              </w:rPr>
              <w:t>UNXC - UNIWAX COTE D'IVOIRE</w:t>
            </w:r>
          </w:p>
        </w:tc>
        <w:tc>
          <w:tcPr>
            <w:tcW w:type="dxa" w:w="1728"/>
            <w:shd w:fill="DEEAF1" w:val="clear"/>
          </w:tcPr>
          <w:p>
            <w:r>
              <w:rPr>
                <w:sz w:val="17"/>
              </w:rPr>
              <w:t>2,180</w:t>
            </w:r>
          </w:p>
        </w:tc>
        <w:tc>
          <w:tcPr>
            <w:tcW w:type="dxa" w:w="1728"/>
            <w:shd w:fill="DEEAF1" w:val="clear"/>
          </w:tcPr>
          <w:p>
            <w:r>
              <w:rPr>
                <w:sz w:val="17"/>
              </w:rPr>
              <w:t>76/100</w:t>
            </w:r>
          </w:p>
        </w:tc>
        <w:tc>
          <w:tcPr>
            <w:tcW w:type="dxa" w:w="1728"/>
            <w:shd w:fill="DEEAF1" w:val="clear"/>
          </w:tcPr>
          <w:p>
            <w:r>
              <w:rPr>
                <w:sz w:val="17"/>
              </w:rPr>
              <w:t>10.6%</w:t>
            </w:r>
          </w:p>
        </w:tc>
      </w:tr>
      <w:tr>
        <w:tc>
          <w:tcPr>
            <w:tcW w:type="dxa" w:w="1728"/>
            <w:shd w:fill="DEEAF1" w:val="clear"/>
          </w:tcPr>
          <w:p>
            <w:r>
              <w:rPr>
                <w:sz w:val="17"/>
              </w:rPr>
              <w:t>ONTBF</w:t>
            </w:r>
          </w:p>
        </w:tc>
        <w:tc>
          <w:tcPr>
            <w:tcW w:type="dxa" w:w="1728"/>
            <w:shd w:fill="DEEAF1" w:val="clear"/>
          </w:tcPr>
          <w:p>
            <w:r>
              <w:rPr>
                <w:sz w:val="17"/>
              </w:rPr>
              <w:t>ONTBF - ONATEL BURKINA FASO</w:t>
            </w:r>
          </w:p>
        </w:tc>
        <w:tc>
          <w:tcPr>
            <w:tcW w:type="dxa" w:w="1728"/>
            <w:shd w:fill="DEEAF1" w:val="clear"/>
          </w:tcPr>
          <w:p>
            <w:r>
              <w:rPr>
                <w:sz w:val="17"/>
              </w:rPr>
              <w:t>2,900</w:t>
            </w:r>
          </w:p>
        </w:tc>
        <w:tc>
          <w:tcPr>
            <w:tcW w:type="dxa" w:w="1728"/>
            <w:shd w:fill="DEEAF1" w:val="clear"/>
          </w:tcPr>
          <w:p>
            <w:r>
              <w:rPr>
                <w:sz w:val="17"/>
              </w:rPr>
              <w:t>74/100</w:t>
            </w:r>
          </w:p>
        </w:tc>
        <w:tc>
          <w:tcPr>
            <w:tcW w:type="dxa" w:w="1728"/>
            <w:shd w:fill="DEEAF1" w:val="clear"/>
          </w:tcPr>
          <w:p>
            <w:r>
              <w:rPr>
                <w:sz w:val="17"/>
              </w:rPr>
              <w:t>10.6%</w:t>
            </w:r>
          </w:p>
        </w:tc>
      </w:tr>
      <w:tr>
        <w:tc>
          <w:tcPr>
            <w:tcW w:type="dxa" w:w="1728"/>
            <w:shd w:fill="DEEAF1" w:val="clear"/>
          </w:tcPr>
          <w:p>
            <w:r>
              <w:rPr>
                <w:sz w:val="17"/>
              </w:rPr>
              <w:t>SGBC</w:t>
            </w:r>
          </w:p>
        </w:tc>
        <w:tc>
          <w:tcPr>
            <w:tcW w:type="dxa" w:w="1728"/>
            <w:shd w:fill="DEEAF1" w:val="clear"/>
          </w:tcPr>
          <w:p>
            <w:r>
              <w:rPr>
                <w:sz w:val="17"/>
              </w:rPr>
              <w:t>SGBC - SOCIETE GENERALE COTE</w:t>
            </w:r>
          </w:p>
        </w:tc>
        <w:tc>
          <w:tcPr>
            <w:tcW w:type="dxa" w:w="1728"/>
            <w:shd w:fill="DEEAF1" w:val="clear"/>
          </w:tcPr>
          <w:p>
            <w:r>
              <w:rPr>
                <w:sz w:val="17"/>
              </w:rPr>
              <w:t>38,995</w:t>
            </w:r>
          </w:p>
        </w:tc>
        <w:tc>
          <w:tcPr>
            <w:tcW w:type="dxa" w:w="1728"/>
            <w:shd w:fill="DEEAF1" w:val="clear"/>
          </w:tcPr>
          <w:p>
            <w:r>
              <w:rPr>
                <w:sz w:val="17"/>
              </w:rPr>
              <w:t>74/100</w:t>
            </w:r>
          </w:p>
        </w:tc>
        <w:tc>
          <w:tcPr>
            <w:tcW w:type="dxa" w:w="1728"/>
            <w:shd w:fill="DEEAF1" w:val="clear"/>
          </w:tcPr>
          <w:p>
            <w:r>
              <w:rPr>
                <w:sz w:val="17"/>
              </w:rPr>
              <w:t>10.6%</w:t>
            </w:r>
          </w:p>
        </w:tc>
      </w:tr>
      <w:tr>
        <w:tc>
          <w:tcPr>
            <w:tcW w:type="dxa" w:w="1728"/>
            <w:shd w:fill="DEEAF1" w:val="clear"/>
          </w:tcPr>
          <w:p>
            <w:r>
              <w:rPr>
                <w:sz w:val="17"/>
              </w:rPr>
              <w:t>ECOC</w:t>
            </w:r>
          </w:p>
        </w:tc>
        <w:tc>
          <w:tcPr>
            <w:tcW w:type="dxa" w:w="1728"/>
            <w:shd w:fill="DEEAF1" w:val="clear"/>
          </w:tcPr>
          <w:p>
            <w:r>
              <w:rPr>
                <w:sz w:val="17"/>
              </w:rPr>
              <w:t>ECOC - ECOBANK COTE D'IVOIRE</w:t>
            </w:r>
          </w:p>
        </w:tc>
        <w:tc>
          <w:tcPr>
            <w:tcW w:type="dxa" w:w="1728"/>
            <w:shd w:fill="DEEAF1" w:val="clear"/>
          </w:tcPr>
          <w:p>
            <w:r>
              <w:rPr>
                <w:sz w:val="17"/>
              </w:rPr>
              <w:t>16,000</w:t>
            </w:r>
          </w:p>
        </w:tc>
        <w:tc>
          <w:tcPr>
            <w:tcW w:type="dxa" w:w="1728"/>
            <w:shd w:fill="DEEAF1" w:val="clear"/>
          </w:tcPr>
          <w:p>
            <w:r>
              <w:rPr>
                <w:sz w:val="17"/>
              </w:rPr>
              <w:t>73/100</w:t>
            </w:r>
          </w:p>
        </w:tc>
        <w:tc>
          <w:tcPr>
            <w:tcW w:type="dxa" w:w="1728"/>
            <w:shd w:fill="DEEAF1" w:val="clear"/>
          </w:tcPr>
          <w:p>
            <w:r>
              <w:rPr>
                <w:sz w:val="17"/>
              </w:rPr>
              <w:t>10.6%</w:t>
            </w:r>
          </w:p>
        </w:tc>
      </w:tr>
      <w:tr>
        <w:tc>
          <w:tcPr>
            <w:tcW w:type="dxa" w:w="1728"/>
            <w:shd w:fill="DEEAF1" w:val="clear"/>
          </w:tcPr>
          <w:p>
            <w:r>
              <w:rPr>
                <w:sz w:val="17"/>
              </w:rPr>
              <w:t>SLBC</w:t>
            </w:r>
          </w:p>
        </w:tc>
        <w:tc>
          <w:tcPr>
            <w:tcW w:type="dxa" w:w="1728"/>
            <w:shd w:fill="DEEAF1" w:val="clear"/>
          </w:tcPr>
          <w:p>
            <w:r>
              <w:rPr>
                <w:sz w:val="17"/>
              </w:rPr>
              <w:t>SLBC - SOLIBRA COTE D'IVOIRE</w:t>
            </w:r>
          </w:p>
        </w:tc>
        <w:tc>
          <w:tcPr>
            <w:tcW w:type="dxa" w:w="1728"/>
            <w:shd w:fill="DEEAF1" w:val="clear"/>
          </w:tcPr>
          <w:p>
            <w:r>
              <w:rPr>
                <w:sz w:val="17"/>
              </w:rPr>
              <w:t>38,490</w:t>
            </w:r>
          </w:p>
        </w:tc>
        <w:tc>
          <w:tcPr>
            <w:tcW w:type="dxa" w:w="1728"/>
            <w:shd w:fill="DEEAF1" w:val="clear"/>
          </w:tcPr>
          <w:p>
            <w:r>
              <w:rPr>
                <w:sz w:val="17"/>
              </w:rPr>
              <w:t>73/100</w:t>
            </w:r>
          </w:p>
        </w:tc>
        <w:tc>
          <w:tcPr>
            <w:tcW w:type="dxa" w:w="1728"/>
            <w:shd w:fill="DEEAF1" w:val="clear"/>
          </w:tcPr>
          <w:p>
            <w:r>
              <w:rPr>
                <w:sz w:val="17"/>
              </w:rPr>
              <w:t>10.6%</w:t>
            </w:r>
          </w:p>
        </w:tc>
      </w:tr>
      <w:tr>
        <w:tc>
          <w:tcPr>
            <w:tcW w:type="dxa" w:w="1728"/>
            <w:shd w:fill="DEEAF1" w:val="clear"/>
          </w:tcPr>
          <w:p>
            <w:r>
              <w:rPr>
                <w:sz w:val="17"/>
              </w:rPr>
              <w:t>ABJC</w:t>
            </w:r>
          </w:p>
        </w:tc>
        <w:tc>
          <w:tcPr>
            <w:tcW w:type="dxa" w:w="1728"/>
            <w:shd w:fill="DEEAF1" w:val="clear"/>
          </w:tcPr>
          <w:p>
            <w:r>
              <w:rPr>
                <w:sz w:val="17"/>
              </w:rPr>
              <w:t>ABJC - SERVAIR ABIDJAN CI</w:t>
            </w:r>
          </w:p>
        </w:tc>
        <w:tc>
          <w:tcPr>
            <w:tcW w:type="dxa" w:w="1728"/>
            <w:shd w:fill="DEEAF1" w:val="clear"/>
          </w:tcPr>
          <w:p>
            <w:r>
              <w:rPr>
                <w:sz w:val="17"/>
              </w:rPr>
              <w:t>3,100</w:t>
            </w:r>
          </w:p>
        </w:tc>
        <w:tc>
          <w:tcPr>
            <w:tcW w:type="dxa" w:w="1728"/>
            <w:shd w:fill="DEEAF1" w:val="clear"/>
          </w:tcPr>
          <w:p>
            <w:r>
              <w:rPr>
                <w:sz w:val="17"/>
              </w:rPr>
              <w:t>72/100</w:t>
            </w:r>
          </w:p>
        </w:tc>
        <w:tc>
          <w:tcPr>
            <w:tcW w:type="dxa" w:w="1728"/>
            <w:shd w:fill="DEEAF1" w:val="clear"/>
          </w:tcPr>
          <w:p>
            <w:r>
              <w:rPr>
                <w:sz w:val="17"/>
              </w:rPr>
              <w:t>10.6%</w:t>
            </w:r>
          </w:p>
        </w:tc>
      </w:tr>
      <w:tr>
        <w:tc>
          <w:tcPr>
            <w:tcW w:type="dxa" w:w="1728"/>
            <w:shd w:fill="DEEAF1" w:val="clear"/>
          </w:tcPr>
          <w:p>
            <w:r>
              <w:rPr>
                <w:sz w:val="17"/>
              </w:rPr>
              <w:t>SDCC</w:t>
            </w:r>
          </w:p>
        </w:tc>
        <w:tc>
          <w:tcPr>
            <w:tcW w:type="dxa" w:w="1728"/>
            <w:shd w:fill="DEEAF1" w:val="clear"/>
          </w:tcPr>
          <w:p>
            <w:r>
              <w:rPr>
                <w:sz w:val="17"/>
              </w:rPr>
              <w:t>SDCC - Société de Distributi</w:t>
            </w:r>
          </w:p>
        </w:tc>
        <w:tc>
          <w:tcPr>
            <w:tcW w:type="dxa" w:w="1728"/>
            <w:shd w:fill="DEEAF1" w:val="clear"/>
          </w:tcPr>
          <w:p>
            <w:r>
              <w:rPr>
                <w:sz w:val="17"/>
              </w:rPr>
              <w:t>12,985</w:t>
            </w:r>
          </w:p>
        </w:tc>
        <w:tc>
          <w:tcPr>
            <w:tcW w:type="dxa" w:w="1728"/>
            <w:shd w:fill="DEEAF1" w:val="clear"/>
          </w:tcPr>
          <w:p>
            <w:r>
              <w:rPr>
                <w:sz w:val="17"/>
              </w:rPr>
              <w:t>72/100</w:t>
            </w:r>
          </w:p>
        </w:tc>
        <w:tc>
          <w:tcPr>
            <w:tcW w:type="dxa" w:w="1728"/>
            <w:shd w:fill="DEEAF1" w:val="clear"/>
          </w:tcPr>
          <w:p>
            <w:r>
              <w:rPr>
                <w:sz w:val="17"/>
              </w:rPr>
              <w:t>10.6%</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15%</w:t>
            </w:r>
          </w:p>
        </w:tc>
      </w:tr>
    </w:tbl>
    <w:p/>
    <w:p>
      <w:pPr>
        <w:pStyle w:val="Heading3"/>
      </w:pPr>
      <w:r>
        <w:t>🟢 Portefeuille ÉQUILIBRÉ</w:t>
      </w:r>
    </w:p>
    <w:p>
      <w:r>
        <w:rPr>
          <w:i/>
          <w:sz w:val="18"/>
        </w:rPr>
        <w:t>Risque faible à moyen, score ≥ 50. Le meilleur rapport rendement/risque.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E2EFDA" w:val="clear"/>
          </w:tcPr>
          <w:p>
            <w:r>
              <w:rPr>
                <w:sz w:val="17"/>
              </w:rPr>
              <w:t>SIVC</w:t>
            </w:r>
          </w:p>
        </w:tc>
        <w:tc>
          <w:tcPr>
            <w:tcW w:type="dxa" w:w="1728"/>
            <w:shd w:fill="E2EFDA" w:val="clear"/>
          </w:tcPr>
          <w:p>
            <w:r>
              <w:rPr>
                <w:sz w:val="17"/>
              </w:rPr>
              <w:t>SIVC - ERIUM CI (Ex AIR LIQU</w:t>
            </w:r>
          </w:p>
        </w:tc>
        <w:tc>
          <w:tcPr>
            <w:tcW w:type="dxa" w:w="1728"/>
            <w:shd w:fill="E2EFDA" w:val="clear"/>
          </w:tcPr>
          <w:p>
            <w:r>
              <w:rPr>
                <w:sz w:val="17"/>
              </w:rPr>
              <w:t>1,790</w:t>
            </w:r>
          </w:p>
        </w:tc>
        <w:tc>
          <w:tcPr>
            <w:tcW w:type="dxa" w:w="1728"/>
            <w:shd w:fill="E2EFDA" w:val="clear"/>
          </w:tcPr>
          <w:p>
            <w:r>
              <w:rPr>
                <w:sz w:val="17"/>
              </w:rPr>
              <w:t>78/100</w:t>
            </w:r>
          </w:p>
        </w:tc>
        <w:tc>
          <w:tcPr>
            <w:tcW w:type="dxa" w:w="1728"/>
            <w:shd w:fill="E2EFDA" w:val="clear"/>
          </w:tcPr>
          <w:p>
            <w:r>
              <w:rPr>
                <w:sz w:val="17"/>
              </w:rPr>
              <w:t>11.2%</w:t>
            </w:r>
          </w:p>
        </w:tc>
      </w:tr>
      <w:tr>
        <w:tc>
          <w:tcPr>
            <w:tcW w:type="dxa" w:w="1728"/>
            <w:shd w:fill="E2EFDA" w:val="clear"/>
          </w:tcPr>
          <w:p>
            <w:r>
              <w:rPr>
                <w:sz w:val="17"/>
              </w:rPr>
              <w:t>SDSC</w:t>
            </w:r>
          </w:p>
        </w:tc>
        <w:tc>
          <w:tcPr>
            <w:tcW w:type="dxa" w:w="1728"/>
            <w:shd w:fill="E2EFDA" w:val="clear"/>
          </w:tcPr>
          <w:p>
            <w:r>
              <w:rPr>
                <w:sz w:val="17"/>
              </w:rPr>
              <w:t>SDSC - AFRICA GLOBAL LOGISTI</w:t>
            </w:r>
          </w:p>
        </w:tc>
        <w:tc>
          <w:tcPr>
            <w:tcW w:type="dxa" w:w="1728"/>
            <w:shd w:fill="E2EFDA" w:val="clear"/>
          </w:tcPr>
          <w:p>
            <w:r>
              <w:rPr>
                <w:sz w:val="17"/>
              </w:rPr>
              <w:t>3,065</w:t>
            </w:r>
          </w:p>
        </w:tc>
        <w:tc>
          <w:tcPr>
            <w:tcW w:type="dxa" w:w="1728"/>
            <w:shd w:fill="E2EFDA" w:val="clear"/>
          </w:tcPr>
          <w:p>
            <w:r>
              <w:rPr>
                <w:sz w:val="17"/>
              </w:rPr>
              <w:t>76/100</w:t>
            </w:r>
          </w:p>
        </w:tc>
        <w:tc>
          <w:tcPr>
            <w:tcW w:type="dxa" w:w="1728"/>
            <w:shd w:fill="E2EFDA" w:val="clear"/>
          </w:tcPr>
          <w:p>
            <w:r>
              <w:rPr>
                <w:sz w:val="17"/>
              </w:rPr>
              <w:t>11.2%</w:t>
            </w:r>
          </w:p>
        </w:tc>
      </w:tr>
      <w:tr>
        <w:tc>
          <w:tcPr>
            <w:tcW w:type="dxa" w:w="1728"/>
            <w:shd w:fill="E2EFDA" w:val="clear"/>
          </w:tcPr>
          <w:p>
            <w:r>
              <w:rPr>
                <w:sz w:val="17"/>
              </w:rPr>
              <w:t>UNXC</w:t>
            </w:r>
          </w:p>
        </w:tc>
        <w:tc>
          <w:tcPr>
            <w:tcW w:type="dxa" w:w="1728"/>
            <w:shd w:fill="E2EFDA" w:val="clear"/>
          </w:tcPr>
          <w:p>
            <w:r>
              <w:rPr>
                <w:sz w:val="17"/>
              </w:rPr>
              <w:t>UNXC - UNIWAX COTE D'IVOIRE</w:t>
            </w:r>
          </w:p>
        </w:tc>
        <w:tc>
          <w:tcPr>
            <w:tcW w:type="dxa" w:w="1728"/>
            <w:shd w:fill="E2EFDA" w:val="clear"/>
          </w:tcPr>
          <w:p>
            <w:r>
              <w:rPr>
                <w:sz w:val="17"/>
              </w:rPr>
              <w:t>2,180</w:t>
            </w:r>
          </w:p>
        </w:tc>
        <w:tc>
          <w:tcPr>
            <w:tcW w:type="dxa" w:w="1728"/>
            <w:shd w:fill="E2EFDA" w:val="clear"/>
          </w:tcPr>
          <w:p>
            <w:r>
              <w:rPr>
                <w:sz w:val="17"/>
              </w:rPr>
              <w:t>76/100</w:t>
            </w:r>
          </w:p>
        </w:tc>
        <w:tc>
          <w:tcPr>
            <w:tcW w:type="dxa" w:w="1728"/>
            <w:shd w:fill="E2EFDA" w:val="clear"/>
          </w:tcPr>
          <w:p>
            <w:r>
              <w:rPr>
                <w:sz w:val="17"/>
              </w:rPr>
              <w:t>11.2%</w:t>
            </w:r>
          </w:p>
        </w:tc>
      </w:tr>
      <w:tr>
        <w:tc>
          <w:tcPr>
            <w:tcW w:type="dxa" w:w="1728"/>
            <w:shd w:fill="E2EFDA" w:val="clear"/>
          </w:tcPr>
          <w:p>
            <w:r>
              <w:rPr>
                <w:sz w:val="17"/>
              </w:rPr>
              <w:t>ONTBF</w:t>
            </w:r>
          </w:p>
        </w:tc>
        <w:tc>
          <w:tcPr>
            <w:tcW w:type="dxa" w:w="1728"/>
            <w:shd w:fill="E2EFDA" w:val="clear"/>
          </w:tcPr>
          <w:p>
            <w:r>
              <w:rPr>
                <w:sz w:val="17"/>
              </w:rPr>
              <w:t>ONTBF - ONATEL BURKINA FASO</w:t>
            </w:r>
          </w:p>
        </w:tc>
        <w:tc>
          <w:tcPr>
            <w:tcW w:type="dxa" w:w="1728"/>
            <w:shd w:fill="E2EFDA" w:val="clear"/>
          </w:tcPr>
          <w:p>
            <w:r>
              <w:rPr>
                <w:sz w:val="17"/>
              </w:rPr>
              <w:t>2,900</w:t>
            </w:r>
          </w:p>
        </w:tc>
        <w:tc>
          <w:tcPr>
            <w:tcW w:type="dxa" w:w="1728"/>
            <w:shd w:fill="E2EFDA" w:val="clear"/>
          </w:tcPr>
          <w:p>
            <w:r>
              <w:rPr>
                <w:sz w:val="17"/>
              </w:rPr>
              <w:t>74/100</w:t>
            </w:r>
          </w:p>
        </w:tc>
        <w:tc>
          <w:tcPr>
            <w:tcW w:type="dxa" w:w="1728"/>
            <w:shd w:fill="E2EFDA" w:val="clear"/>
          </w:tcPr>
          <w:p>
            <w:r>
              <w:rPr>
                <w:sz w:val="17"/>
              </w:rPr>
              <w:t>11.2%</w:t>
            </w:r>
          </w:p>
        </w:tc>
      </w:tr>
      <w:tr>
        <w:tc>
          <w:tcPr>
            <w:tcW w:type="dxa" w:w="1728"/>
            <w:shd w:fill="E2EFDA" w:val="clear"/>
          </w:tcPr>
          <w:p>
            <w:r>
              <w:rPr>
                <w:sz w:val="17"/>
              </w:rPr>
              <w:t>SCRC</w:t>
            </w:r>
          </w:p>
        </w:tc>
        <w:tc>
          <w:tcPr>
            <w:tcW w:type="dxa" w:w="1728"/>
            <w:shd w:fill="E2EFDA" w:val="clear"/>
          </w:tcPr>
          <w:p>
            <w:r>
              <w:rPr>
                <w:sz w:val="17"/>
              </w:rPr>
              <w:t>SCRC - SUCRIVOIRE</w:t>
            </w:r>
          </w:p>
        </w:tc>
        <w:tc>
          <w:tcPr>
            <w:tcW w:type="dxa" w:w="1728"/>
            <w:shd w:fill="E2EFDA" w:val="clear"/>
          </w:tcPr>
          <w:p>
            <w:r>
              <w:rPr>
                <w:sz w:val="17"/>
              </w:rPr>
              <w:t>2,345</w:t>
            </w:r>
          </w:p>
        </w:tc>
        <w:tc>
          <w:tcPr>
            <w:tcW w:type="dxa" w:w="1728"/>
            <w:shd w:fill="E2EFDA" w:val="clear"/>
          </w:tcPr>
          <w:p>
            <w:r>
              <w:rPr>
                <w:sz w:val="17"/>
              </w:rPr>
              <w:t>74/100</w:t>
            </w:r>
          </w:p>
        </w:tc>
        <w:tc>
          <w:tcPr>
            <w:tcW w:type="dxa" w:w="1728"/>
            <w:shd w:fill="E2EFDA" w:val="clear"/>
          </w:tcPr>
          <w:p>
            <w:r>
              <w:rPr>
                <w:sz w:val="17"/>
              </w:rPr>
              <w:t>11.2%</w:t>
            </w:r>
          </w:p>
        </w:tc>
      </w:tr>
      <w:tr>
        <w:tc>
          <w:tcPr>
            <w:tcW w:type="dxa" w:w="1728"/>
            <w:shd w:fill="E2EFDA" w:val="clear"/>
          </w:tcPr>
          <w:p>
            <w:r>
              <w:rPr>
                <w:sz w:val="17"/>
              </w:rPr>
              <w:t>SGBC</w:t>
            </w:r>
          </w:p>
        </w:tc>
        <w:tc>
          <w:tcPr>
            <w:tcW w:type="dxa" w:w="1728"/>
            <w:shd w:fill="E2EFDA" w:val="clear"/>
          </w:tcPr>
          <w:p>
            <w:r>
              <w:rPr>
                <w:sz w:val="17"/>
              </w:rPr>
              <w:t>SGBC - SOCIETE GENERALE COTE</w:t>
            </w:r>
          </w:p>
        </w:tc>
        <w:tc>
          <w:tcPr>
            <w:tcW w:type="dxa" w:w="1728"/>
            <w:shd w:fill="E2EFDA" w:val="clear"/>
          </w:tcPr>
          <w:p>
            <w:r>
              <w:rPr>
                <w:sz w:val="17"/>
              </w:rPr>
              <w:t>38,995</w:t>
            </w:r>
          </w:p>
        </w:tc>
        <w:tc>
          <w:tcPr>
            <w:tcW w:type="dxa" w:w="1728"/>
            <w:shd w:fill="E2EFDA" w:val="clear"/>
          </w:tcPr>
          <w:p>
            <w:r>
              <w:rPr>
                <w:sz w:val="17"/>
              </w:rPr>
              <w:t>74/100</w:t>
            </w:r>
          </w:p>
        </w:tc>
        <w:tc>
          <w:tcPr>
            <w:tcW w:type="dxa" w:w="1728"/>
            <w:shd w:fill="E2EFDA" w:val="clear"/>
          </w:tcPr>
          <w:p>
            <w:r>
              <w:rPr>
                <w:sz w:val="17"/>
              </w:rPr>
              <w:t>11.2%</w:t>
            </w:r>
          </w:p>
        </w:tc>
      </w:tr>
      <w:tr>
        <w:tc>
          <w:tcPr>
            <w:tcW w:type="dxa" w:w="1728"/>
            <w:shd w:fill="E2EFDA" w:val="clear"/>
          </w:tcPr>
          <w:p>
            <w:r>
              <w:rPr>
                <w:sz w:val="17"/>
              </w:rPr>
              <w:t>ECOC</w:t>
            </w:r>
          </w:p>
        </w:tc>
        <w:tc>
          <w:tcPr>
            <w:tcW w:type="dxa" w:w="1728"/>
            <w:shd w:fill="E2EFDA" w:val="clear"/>
          </w:tcPr>
          <w:p>
            <w:r>
              <w:rPr>
                <w:sz w:val="17"/>
              </w:rPr>
              <w:t>ECOC - ECOBANK COTE D'IVOIRE</w:t>
            </w:r>
          </w:p>
        </w:tc>
        <w:tc>
          <w:tcPr>
            <w:tcW w:type="dxa" w:w="1728"/>
            <w:shd w:fill="E2EFDA" w:val="clear"/>
          </w:tcPr>
          <w:p>
            <w:r>
              <w:rPr>
                <w:sz w:val="17"/>
              </w:rPr>
              <w:t>16,000</w:t>
            </w:r>
          </w:p>
        </w:tc>
        <w:tc>
          <w:tcPr>
            <w:tcW w:type="dxa" w:w="1728"/>
            <w:shd w:fill="E2EFDA" w:val="clear"/>
          </w:tcPr>
          <w:p>
            <w:r>
              <w:rPr>
                <w:sz w:val="17"/>
              </w:rPr>
              <w:t>73/100</w:t>
            </w:r>
          </w:p>
        </w:tc>
        <w:tc>
          <w:tcPr>
            <w:tcW w:type="dxa" w:w="1728"/>
            <w:shd w:fill="E2EFDA" w:val="clear"/>
          </w:tcPr>
          <w:p>
            <w:r>
              <w:rPr>
                <w:sz w:val="17"/>
              </w:rPr>
              <w:t>11.2%</w:t>
            </w:r>
          </w:p>
        </w:tc>
      </w:tr>
      <w:tr>
        <w:tc>
          <w:tcPr>
            <w:tcW w:type="dxa" w:w="1728"/>
            <w:shd w:fill="E2EFDA" w:val="clear"/>
          </w:tcPr>
          <w:p>
            <w:r>
              <w:rPr>
                <w:sz w:val="17"/>
              </w:rPr>
              <w:t>SLBC</w:t>
            </w:r>
          </w:p>
        </w:tc>
        <w:tc>
          <w:tcPr>
            <w:tcW w:type="dxa" w:w="1728"/>
            <w:shd w:fill="E2EFDA" w:val="clear"/>
          </w:tcPr>
          <w:p>
            <w:r>
              <w:rPr>
                <w:sz w:val="17"/>
              </w:rPr>
              <w:t>SLBC - SOLIBRA COTE D'IVOIRE</w:t>
            </w:r>
          </w:p>
        </w:tc>
        <w:tc>
          <w:tcPr>
            <w:tcW w:type="dxa" w:w="1728"/>
            <w:shd w:fill="E2EFDA" w:val="clear"/>
          </w:tcPr>
          <w:p>
            <w:r>
              <w:rPr>
                <w:sz w:val="17"/>
              </w:rPr>
              <w:t>38,490</w:t>
            </w:r>
          </w:p>
        </w:tc>
        <w:tc>
          <w:tcPr>
            <w:tcW w:type="dxa" w:w="1728"/>
            <w:shd w:fill="E2EFDA" w:val="clear"/>
          </w:tcPr>
          <w:p>
            <w:r>
              <w:rPr>
                <w:sz w:val="17"/>
              </w:rPr>
              <w:t>73/100</w:t>
            </w:r>
          </w:p>
        </w:tc>
        <w:tc>
          <w:tcPr>
            <w:tcW w:type="dxa" w:w="1728"/>
            <w:shd w:fill="E2EFDA" w:val="clear"/>
          </w:tcPr>
          <w:p>
            <w:r>
              <w:rPr>
                <w:sz w:val="17"/>
              </w:rPr>
              <w:t>11.2%</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10%</w:t>
            </w:r>
          </w:p>
        </w:tc>
      </w:tr>
    </w:tbl>
    <w:p/>
    <w:p>
      <w:pPr>
        <w:pStyle w:val="Heading3"/>
      </w:pPr>
      <w:r>
        <w:t>🔴 Portefeuille OFFENSIF</w:t>
      </w:r>
    </w:p>
    <w:p>
      <w:r>
        <w:rPr>
          <w:i/>
          <w:sz w:val="18"/>
        </w:rPr>
        <w:t>Meilleurs scores (≥ 60), tous niveaux de risque. Pour investisseurs avertis.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FCE4D6" w:val="clear"/>
          </w:tcPr>
          <w:p>
            <w:r>
              <w:rPr>
                <w:sz w:val="17"/>
              </w:rPr>
              <w:t>SIVC</w:t>
            </w:r>
          </w:p>
        </w:tc>
        <w:tc>
          <w:tcPr>
            <w:tcW w:type="dxa" w:w="1728"/>
            <w:shd w:fill="FCE4D6" w:val="clear"/>
          </w:tcPr>
          <w:p>
            <w:r>
              <w:rPr>
                <w:sz w:val="17"/>
              </w:rPr>
              <w:t>SIVC - ERIUM CI (Ex AIR LIQU</w:t>
            </w:r>
          </w:p>
        </w:tc>
        <w:tc>
          <w:tcPr>
            <w:tcW w:type="dxa" w:w="1728"/>
            <w:shd w:fill="FCE4D6" w:val="clear"/>
          </w:tcPr>
          <w:p>
            <w:r>
              <w:rPr>
                <w:sz w:val="17"/>
              </w:rPr>
              <w:t>1,790</w:t>
            </w:r>
          </w:p>
        </w:tc>
        <w:tc>
          <w:tcPr>
            <w:tcW w:type="dxa" w:w="1728"/>
            <w:shd w:fill="FCE4D6" w:val="clear"/>
          </w:tcPr>
          <w:p>
            <w:r>
              <w:rPr>
                <w:sz w:val="17"/>
              </w:rPr>
              <w:t>78/100</w:t>
            </w:r>
          </w:p>
        </w:tc>
        <w:tc>
          <w:tcPr>
            <w:tcW w:type="dxa" w:w="1728"/>
            <w:shd w:fill="FCE4D6" w:val="clear"/>
          </w:tcPr>
          <w:p>
            <w:r>
              <w:rPr>
                <w:sz w:val="17"/>
              </w:rPr>
              <w:t>11.9%</w:t>
            </w:r>
          </w:p>
        </w:tc>
      </w:tr>
      <w:tr>
        <w:tc>
          <w:tcPr>
            <w:tcW w:type="dxa" w:w="1728"/>
            <w:shd w:fill="FCE4D6" w:val="clear"/>
          </w:tcPr>
          <w:p>
            <w:r>
              <w:rPr>
                <w:sz w:val="17"/>
              </w:rPr>
              <w:t>SDSC</w:t>
            </w:r>
          </w:p>
        </w:tc>
        <w:tc>
          <w:tcPr>
            <w:tcW w:type="dxa" w:w="1728"/>
            <w:shd w:fill="FCE4D6" w:val="clear"/>
          </w:tcPr>
          <w:p>
            <w:r>
              <w:rPr>
                <w:sz w:val="17"/>
              </w:rPr>
              <w:t>SDSC - AFRICA GLOBAL LOGISTI</w:t>
            </w:r>
          </w:p>
        </w:tc>
        <w:tc>
          <w:tcPr>
            <w:tcW w:type="dxa" w:w="1728"/>
            <w:shd w:fill="FCE4D6" w:val="clear"/>
          </w:tcPr>
          <w:p>
            <w:r>
              <w:rPr>
                <w:sz w:val="17"/>
              </w:rPr>
              <w:t>3,065</w:t>
            </w:r>
          </w:p>
        </w:tc>
        <w:tc>
          <w:tcPr>
            <w:tcW w:type="dxa" w:w="1728"/>
            <w:shd w:fill="FCE4D6" w:val="clear"/>
          </w:tcPr>
          <w:p>
            <w:r>
              <w:rPr>
                <w:sz w:val="17"/>
              </w:rPr>
              <w:t>76/100</w:t>
            </w:r>
          </w:p>
        </w:tc>
        <w:tc>
          <w:tcPr>
            <w:tcW w:type="dxa" w:w="1728"/>
            <w:shd w:fill="FCE4D6" w:val="clear"/>
          </w:tcPr>
          <w:p>
            <w:r>
              <w:rPr>
                <w:sz w:val="17"/>
              </w:rPr>
              <w:t>11.9%</w:t>
            </w:r>
          </w:p>
        </w:tc>
      </w:tr>
      <w:tr>
        <w:tc>
          <w:tcPr>
            <w:tcW w:type="dxa" w:w="1728"/>
            <w:shd w:fill="FCE4D6" w:val="clear"/>
          </w:tcPr>
          <w:p>
            <w:r>
              <w:rPr>
                <w:sz w:val="17"/>
              </w:rPr>
              <w:t>UNXC</w:t>
            </w:r>
          </w:p>
        </w:tc>
        <w:tc>
          <w:tcPr>
            <w:tcW w:type="dxa" w:w="1728"/>
            <w:shd w:fill="FCE4D6" w:val="clear"/>
          </w:tcPr>
          <w:p>
            <w:r>
              <w:rPr>
                <w:sz w:val="17"/>
              </w:rPr>
              <w:t>UNXC - UNIWAX COTE D'IVOIRE</w:t>
            </w:r>
          </w:p>
        </w:tc>
        <w:tc>
          <w:tcPr>
            <w:tcW w:type="dxa" w:w="1728"/>
            <w:shd w:fill="FCE4D6" w:val="clear"/>
          </w:tcPr>
          <w:p>
            <w:r>
              <w:rPr>
                <w:sz w:val="17"/>
              </w:rPr>
              <w:t>2,180</w:t>
            </w:r>
          </w:p>
        </w:tc>
        <w:tc>
          <w:tcPr>
            <w:tcW w:type="dxa" w:w="1728"/>
            <w:shd w:fill="FCE4D6" w:val="clear"/>
          </w:tcPr>
          <w:p>
            <w:r>
              <w:rPr>
                <w:sz w:val="17"/>
              </w:rPr>
              <w:t>76/100</w:t>
            </w:r>
          </w:p>
        </w:tc>
        <w:tc>
          <w:tcPr>
            <w:tcW w:type="dxa" w:w="1728"/>
            <w:shd w:fill="FCE4D6" w:val="clear"/>
          </w:tcPr>
          <w:p>
            <w:r>
              <w:rPr>
                <w:sz w:val="17"/>
              </w:rPr>
              <w:t>11.9%</w:t>
            </w:r>
          </w:p>
        </w:tc>
      </w:tr>
      <w:tr>
        <w:tc>
          <w:tcPr>
            <w:tcW w:type="dxa" w:w="1728"/>
            <w:shd w:fill="FCE4D6" w:val="clear"/>
          </w:tcPr>
          <w:p>
            <w:r>
              <w:rPr>
                <w:sz w:val="17"/>
              </w:rPr>
              <w:t>ONTBF</w:t>
            </w:r>
          </w:p>
        </w:tc>
        <w:tc>
          <w:tcPr>
            <w:tcW w:type="dxa" w:w="1728"/>
            <w:shd w:fill="FCE4D6" w:val="clear"/>
          </w:tcPr>
          <w:p>
            <w:r>
              <w:rPr>
                <w:sz w:val="17"/>
              </w:rPr>
              <w:t>ONTBF - ONATEL BURKINA FASO</w:t>
            </w:r>
          </w:p>
        </w:tc>
        <w:tc>
          <w:tcPr>
            <w:tcW w:type="dxa" w:w="1728"/>
            <w:shd w:fill="FCE4D6" w:val="clear"/>
          </w:tcPr>
          <w:p>
            <w:r>
              <w:rPr>
                <w:sz w:val="17"/>
              </w:rPr>
              <w:t>2,900</w:t>
            </w:r>
          </w:p>
        </w:tc>
        <w:tc>
          <w:tcPr>
            <w:tcW w:type="dxa" w:w="1728"/>
            <w:shd w:fill="FCE4D6" w:val="clear"/>
          </w:tcPr>
          <w:p>
            <w:r>
              <w:rPr>
                <w:sz w:val="17"/>
              </w:rPr>
              <w:t>74/100</w:t>
            </w:r>
          </w:p>
        </w:tc>
        <w:tc>
          <w:tcPr>
            <w:tcW w:type="dxa" w:w="1728"/>
            <w:shd w:fill="FCE4D6" w:val="clear"/>
          </w:tcPr>
          <w:p>
            <w:r>
              <w:rPr>
                <w:sz w:val="17"/>
              </w:rPr>
              <w:t>11.9%</w:t>
            </w:r>
          </w:p>
        </w:tc>
      </w:tr>
      <w:tr>
        <w:tc>
          <w:tcPr>
            <w:tcW w:type="dxa" w:w="1728"/>
            <w:shd w:fill="FCE4D6" w:val="clear"/>
          </w:tcPr>
          <w:p>
            <w:r>
              <w:rPr>
                <w:sz w:val="17"/>
              </w:rPr>
              <w:t>SCRC</w:t>
            </w:r>
          </w:p>
        </w:tc>
        <w:tc>
          <w:tcPr>
            <w:tcW w:type="dxa" w:w="1728"/>
            <w:shd w:fill="FCE4D6" w:val="clear"/>
          </w:tcPr>
          <w:p>
            <w:r>
              <w:rPr>
                <w:sz w:val="17"/>
              </w:rPr>
              <w:t>SCRC - SUCRIVOIRE</w:t>
            </w:r>
          </w:p>
        </w:tc>
        <w:tc>
          <w:tcPr>
            <w:tcW w:type="dxa" w:w="1728"/>
            <w:shd w:fill="FCE4D6" w:val="clear"/>
          </w:tcPr>
          <w:p>
            <w:r>
              <w:rPr>
                <w:sz w:val="17"/>
              </w:rPr>
              <w:t>2,345</w:t>
            </w:r>
          </w:p>
        </w:tc>
        <w:tc>
          <w:tcPr>
            <w:tcW w:type="dxa" w:w="1728"/>
            <w:shd w:fill="FCE4D6" w:val="clear"/>
          </w:tcPr>
          <w:p>
            <w:r>
              <w:rPr>
                <w:sz w:val="17"/>
              </w:rPr>
              <w:t>74/100</w:t>
            </w:r>
          </w:p>
        </w:tc>
        <w:tc>
          <w:tcPr>
            <w:tcW w:type="dxa" w:w="1728"/>
            <w:shd w:fill="FCE4D6" w:val="clear"/>
          </w:tcPr>
          <w:p>
            <w:r>
              <w:rPr>
                <w:sz w:val="17"/>
              </w:rPr>
              <w:t>11.9%</w:t>
            </w:r>
          </w:p>
        </w:tc>
      </w:tr>
      <w:tr>
        <w:tc>
          <w:tcPr>
            <w:tcW w:type="dxa" w:w="1728"/>
            <w:shd w:fill="FCE4D6" w:val="clear"/>
          </w:tcPr>
          <w:p>
            <w:r>
              <w:rPr>
                <w:sz w:val="17"/>
              </w:rPr>
              <w:t>SGBC</w:t>
            </w:r>
          </w:p>
        </w:tc>
        <w:tc>
          <w:tcPr>
            <w:tcW w:type="dxa" w:w="1728"/>
            <w:shd w:fill="FCE4D6" w:val="clear"/>
          </w:tcPr>
          <w:p>
            <w:r>
              <w:rPr>
                <w:sz w:val="17"/>
              </w:rPr>
              <w:t>SGBC - SOCIETE GENERALE COTE</w:t>
            </w:r>
          </w:p>
        </w:tc>
        <w:tc>
          <w:tcPr>
            <w:tcW w:type="dxa" w:w="1728"/>
            <w:shd w:fill="FCE4D6" w:val="clear"/>
          </w:tcPr>
          <w:p>
            <w:r>
              <w:rPr>
                <w:sz w:val="17"/>
              </w:rPr>
              <w:t>38,995</w:t>
            </w:r>
          </w:p>
        </w:tc>
        <w:tc>
          <w:tcPr>
            <w:tcW w:type="dxa" w:w="1728"/>
            <w:shd w:fill="FCE4D6" w:val="clear"/>
          </w:tcPr>
          <w:p>
            <w:r>
              <w:rPr>
                <w:sz w:val="17"/>
              </w:rPr>
              <w:t>74/100</w:t>
            </w:r>
          </w:p>
        </w:tc>
        <w:tc>
          <w:tcPr>
            <w:tcW w:type="dxa" w:w="1728"/>
            <w:shd w:fill="FCE4D6" w:val="clear"/>
          </w:tcPr>
          <w:p>
            <w:r>
              <w:rPr>
                <w:sz w:val="17"/>
              </w:rPr>
              <w:t>11.9%</w:t>
            </w:r>
          </w:p>
        </w:tc>
      </w:tr>
      <w:tr>
        <w:tc>
          <w:tcPr>
            <w:tcW w:type="dxa" w:w="1728"/>
            <w:shd w:fill="FCE4D6" w:val="clear"/>
          </w:tcPr>
          <w:p>
            <w:r>
              <w:rPr>
                <w:sz w:val="17"/>
              </w:rPr>
              <w:t>ECOC</w:t>
            </w:r>
          </w:p>
        </w:tc>
        <w:tc>
          <w:tcPr>
            <w:tcW w:type="dxa" w:w="1728"/>
            <w:shd w:fill="FCE4D6" w:val="clear"/>
          </w:tcPr>
          <w:p>
            <w:r>
              <w:rPr>
                <w:sz w:val="17"/>
              </w:rPr>
              <w:t>ECOC - ECOBANK COTE D'IVOIRE</w:t>
            </w:r>
          </w:p>
        </w:tc>
        <w:tc>
          <w:tcPr>
            <w:tcW w:type="dxa" w:w="1728"/>
            <w:shd w:fill="FCE4D6" w:val="clear"/>
          </w:tcPr>
          <w:p>
            <w:r>
              <w:rPr>
                <w:sz w:val="17"/>
              </w:rPr>
              <w:t>16,000</w:t>
            </w:r>
          </w:p>
        </w:tc>
        <w:tc>
          <w:tcPr>
            <w:tcW w:type="dxa" w:w="1728"/>
            <w:shd w:fill="FCE4D6" w:val="clear"/>
          </w:tcPr>
          <w:p>
            <w:r>
              <w:rPr>
                <w:sz w:val="17"/>
              </w:rPr>
              <w:t>73/100</w:t>
            </w:r>
          </w:p>
        </w:tc>
        <w:tc>
          <w:tcPr>
            <w:tcW w:type="dxa" w:w="1728"/>
            <w:shd w:fill="FCE4D6" w:val="clear"/>
          </w:tcPr>
          <w:p>
            <w:r>
              <w:rPr>
                <w:sz w:val="17"/>
              </w:rPr>
              <w:t>11.9%</w:t>
            </w:r>
          </w:p>
        </w:tc>
      </w:tr>
      <w:tr>
        <w:tc>
          <w:tcPr>
            <w:tcW w:type="dxa" w:w="1728"/>
            <w:shd w:fill="FCE4D6" w:val="clear"/>
          </w:tcPr>
          <w:p>
            <w:r>
              <w:rPr>
                <w:sz w:val="17"/>
              </w:rPr>
              <w:t>SLBC</w:t>
            </w:r>
          </w:p>
        </w:tc>
        <w:tc>
          <w:tcPr>
            <w:tcW w:type="dxa" w:w="1728"/>
            <w:shd w:fill="FCE4D6" w:val="clear"/>
          </w:tcPr>
          <w:p>
            <w:r>
              <w:rPr>
                <w:sz w:val="17"/>
              </w:rPr>
              <w:t>SLBC - SOLIBRA COTE D'IVOIRE</w:t>
            </w:r>
          </w:p>
        </w:tc>
        <w:tc>
          <w:tcPr>
            <w:tcW w:type="dxa" w:w="1728"/>
            <w:shd w:fill="FCE4D6" w:val="clear"/>
          </w:tcPr>
          <w:p>
            <w:r>
              <w:rPr>
                <w:sz w:val="17"/>
              </w:rPr>
              <w:t>38,490</w:t>
            </w:r>
          </w:p>
        </w:tc>
        <w:tc>
          <w:tcPr>
            <w:tcW w:type="dxa" w:w="1728"/>
            <w:shd w:fill="FCE4D6" w:val="clear"/>
          </w:tcPr>
          <w:p>
            <w:r>
              <w:rPr>
                <w:sz w:val="17"/>
              </w:rPr>
              <w:t>73/100</w:t>
            </w:r>
          </w:p>
        </w:tc>
        <w:tc>
          <w:tcPr>
            <w:tcW w:type="dxa" w:w="1728"/>
            <w:shd w:fill="FCE4D6" w:val="clear"/>
          </w:tcPr>
          <w:p>
            <w:r>
              <w:rPr>
                <w:sz w:val="17"/>
              </w:rPr>
              <w:t>11.9%</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5%</w:t>
            </w:r>
          </w:p>
        </w:tc>
      </w:tr>
    </w:tbl>
    <w:p/>
    <w:p>
      <w:r>
        <w:br w:type="page"/>
      </w:r>
    </w:p>
    <w:p>
      <w:pPr>
        <w:pStyle w:val="Heading1"/>
      </w:pPr>
      <w:r>
        <w:t>⚡ ALERTES DU JOUR</w:t>
      </w:r>
    </w:p>
    <w:p>
      <w:r>
        <w:t>Sociétés présentant des signaux extrêmes ou des incohérences majeures nécessitant une attention particulière avant toute décision.</w:t>
      </w:r>
    </w:p>
    <w:p/>
    <w:p>
      <w:pPr>
        <w:spacing w:before="120"/>
      </w:pPr>
      <w:r>
        <w:rPr>
          <w:b/>
          <w:color w:val="0050A0"/>
          <w:sz w:val="20"/>
        </w:rPr>
        <w:t>SNTS — SNTS - SONATEL SN</w:t>
      </w:r>
    </w:p>
    <w:p>
      <w:pPr>
        <w:pStyle w:val="ListBullet"/>
        <w:spacing w:before="20"/>
        <w:ind w:left="400"/>
      </w:pPr>
      <w:r>
        <w:rPr>
          <w:sz w:val="18"/>
        </w:rPr>
        <w:t>🔴 RSI surachat (73.5 &gt; 70) — risque de correction</w:t>
      </w:r>
    </w:p>
    <w:p>
      <w:pPr>
        <w:pStyle w:val="ListBullet"/>
        <w:spacing w:before="20"/>
        <w:ind w:left="400"/>
      </w:pPr>
      <w:r>
        <w:rPr>
          <w:sz w:val="18"/>
        </w:rPr>
        <w:t>⚠️ Cours à 2.4% du plus haut 100j (45,000 FCFA)</w:t>
      </w:r>
    </w:p>
    <w:p>
      <w:pPr>
        <w:pStyle w:val="ListBullet"/>
        <w:spacing w:before="20"/>
        <w:ind w:left="400"/>
      </w:pPr>
      <w:r>
        <w:rPr>
          <w:sz w:val="18"/>
        </w:rPr>
        <w:t>🟠 Divergence tech(VENTE) / fond(ACHAT) — recommandation ajustée à ACHAT</w:t>
      </w:r>
    </w:p>
    <w:p>
      <w:pPr>
        <w:spacing w:before="120"/>
      </w:pPr>
      <w:r>
        <w:rPr>
          <w:b/>
          <w:color w:val="0050A0"/>
          <w:sz w:val="20"/>
        </w:rPr>
        <w:t>BOAS — BANK OF AFRICA SENEGAL</w:t>
      </w:r>
    </w:p>
    <w:p>
      <w:pPr>
        <w:pStyle w:val="ListBullet"/>
        <w:spacing w:before="20"/>
        <w:ind w:left="400"/>
      </w:pPr>
      <w:r>
        <w:rPr>
          <w:sz w:val="18"/>
        </w:rPr>
        <w:t>🔴 RSI surachat (78.5 &gt; 70) — risque de correction</w:t>
      </w:r>
    </w:p>
    <w:p>
      <w:pPr>
        <w:pStyle w:val="ListBullet"/>
        <w:spacing w:before="20"/>
        <w:ind w:left="400"/>
      </w:pPr>
      <w:r>
        <w:rPr>
          <w:sz w:val="18"/>
        </w:rPr>
        <w:t>🟠 Divergence tech(VENTE) / fond(ACHAT) — recommandation ajustée à ACHAT</w:t>
      </w:r>
    </w:p>
    <w:p>
      <w:pPr>
        <w:spacing w:before="120"/>
      </w:pPr>
      <w:r>
        <w:rPr>
          <w:b/>
          <w:color w:val="0050A0"/>
          <w:sz w:val="20"/>
        </w:rPr>
        <w:t>CABC — CABC - SICABLE COTE D'IVOIRE</w:t>
      </w:r>
    </w:p>
    <w:p>
      <w:pPr>
        <w:pStyle w:val="ListBullet"/>
        <w:spacing w:before="20"/>
        <w:ind w:left="400"/>
      </w:pPr>
      <w:r>
        <w:rPr>
          <w:sz w:val="18"/>
        </w:rPr>
        <w:t>⚠️ Cours à 0.0% du plus bas 100j (3,050 FCFA)</w:t>
      </w:r>
    </w:p>
    <w:p>
      <w:pPr>
        <w:pStyle w:val="ListBullet"/>
        <w:spacing w:before="20"/>
        <w:ind w:left="400"/>
      </w:pPr>
      <w:r>
        <w:rPr>
          <w:sz w:val="18"/>
        </w:rPr>
        <w:t>🟠 Divergence tech(VENTE) / fond(ACHAT) — recommandation ajustée à ACHAT</w:t>
      </w:r>
    </w:p>
    <w:p>
      <w:pPr>
        <w:spacing w:before="120"/>
      </w:pPr>
      <w:r>
        <w:rPr>
          <w:b/>
          <w:color w:val="0050A0"/>
          <w:sz w:val="20"/>
        </w:rPr>
        <w:t>FTSC — FTSC - FILTISAC COTE D'IVOIRE</w:t>
      </w:r>
    </w:p>
    <w:p>
      <w:pPr>
        <w:pStyle w:val="ListBullet"/>
        <w:spacing w:before="20"/>
        <w:ind w:left="400"/>
      </w:pPr>
      <w:r>
        <w:rPr>
          <w:sz w:val="18"/>
        </w:rPr>
        <w:t>⚠️ Cours à 0.0% du plus bas 100j (1,800 FCFA)</w:t>
      </w:r>
    </w:p>
    <w:p>
      <w:pPr>
        <w:pStyle w:val="ListBullet"/>
        <w:spacing w:before="20"/>
        <w:ind w:left="400"/>
      </w:pPr>
      <w:r>
        <w:rPr>
          <w:sz w:val="18"/>
        </w:rPr>
        <w:t>🟠 Divergence tech(VENTE) / fond(ACHAT) — recommandation ajustée à ACHAT</w:t>
      </w:r>
    </w:p>
    <w:p>
      <w:pPr>
        <w:spacing w:before="120"/>
      </w:pPr>
      <w:r>
        <w:rPr>
          <w:b/>
          <w:color w:val="0050A0"/>
          <w:sz w:val="20"/>
        </w:rPr>
        <w:t>PALC — PALC - PALM COTE D'IVOIRE</w:t>
      </w:r>
    </w:p>
    <w:p>
      <w:pPr>
        <w:pStyle w:val="ListBullet"/>
        <w:spacing w:before="20"/>
        <w:ind w:left="400"/>
      </w:pPr>
      <w:r>
        <w:rPr>
          <w:sz w:val="18"/>
        </w:rPr>
        <w:t>⚠️ Cours à 0.0% du plus bas 100j (7,680 FCFA)</w:t>
      </w:r>
    </w:p>
    <w:p>
      <w:pPr>
        <w:pStyle w:val="ListBullet"/>
        <w:spacing w:before="20"/>
        <w:ind w:left="400"/>
      </w:pPr>
      <w:r>
        <w:rPr>
          <w:sz w:val="18"/>
        </w:rPr>
        <w:t>🟠 Divergence tech(VENTE) / fond(ACHAT) — recommandation ajustée à ACHAT</w:t>
      </w:r>
    </w:p>
    <w:p>
      <w:pPr>
        <w:spacing w:before="120"/>
      </w:pPr>
      <w:r>
        <w:rPr>
          <w:b/>
          <w:color w:val="0050A0"/>
          <w:sz w:val="20"/>
        </w:rPr>
        <w:t>SIVC — SIVC - ERIUM CI (Ex AIR LIQUIDECI)</w:t>
      </w:r>
    </w:p>
    <w:p>
      <w:pPr>
        <w:pStyle w:val="ListBullet"/>
        <w:spacing w:before="20"/>
        <w:ind w:left="400"/>
      </w:pPr>
      <w:r>
        <w:rPr>
          <w:sz w:val="18"/>
        </w:rPr>
        <w:t>🟢 RSI survente (26.6 &lt; 30) — opportunité potentielle</w:t>
      </w:r>
    </w:p>
    <w:p>
      <w:pPr>
        <w:pStyle w:val="ListBullet"/>
        <w:spacing w:before="20"/>
        <w:ind w:left="400"/>
      </w:pPr>
      <w:r>
        <w:rPr>
          <w:sz w:val="18"/>
        </w:rPr>
        <w:t>⚠️ Cours à 0.0% du plus bas 100j (1,790 FCFA)</w:t>
      </w:r>
    </w:p>
    <w:p>
      <w:pPr>
        <w:spacing w:before="120"/>
      </w:pPr>
      <w:r>
        <w:rPr>
          <w:b/>
          <w:color w:val="0050A0"/>
          <w:sz w:val="20"/>
        </w:rPr>
        <w:t>STAC — STAC - SETAO COTE D'IVOIRE</w:t>
      </w:r>
    </w:p>
    <w:p>
      <w:pPr>
        <w:pStyle w:val="ListBullet"/>
        <w:spacing w:before="20"/>
        <w:ind w:left="400"/>
      </w:pPr>
      <w:r>
        <w:rPr>
          <w:sz w:val="18"/>
        </w:rPr>
        <w:t>⚠️ Cours à 0.0% du plus bas 100j (1,905 FCFA)</w:t>
      </w:r>
    </w:p>
    <w:p>
      <w:pPr>
        <w:pStyle w:val="ListBullet"/>
        <w:spacing w:before="20"/>
        <w:ind w:left="400"/>
      </w:pPr>
      <w:r>
        <w:rPr>
          <w:sz w:val="18"/>
        </w:rPr>
        <w:t>🟠 Divergence tech(VENTE) / fond(ACHAT) — recommandation ajustée à ACHAT</w:t>
      </w:r>
    </w:p>
    <w:p>
      <w:pPr>
        <w:spacing w:before="120"/>
      </w:pPr>
      <w:r>
        <w:rPr>
          <w:b/>
          <w:color w:val="0050A0"/>
          <w:sz w:val="20"/>
        </w:rPr>
        <w:t>STBC — STBC - SITAB COTE D'IVOIRE</w:t>
      </w:r>
    </w:p>
    <w:p>
      <w:pPr>
        <w:pStyle w:val="ListBullet"/>
        <w:spacing w:before="20"/>
        <w:ind w:left="400"/>
      </w:pPr>
      <w:r>
        <w:rPr>
          <w:sz w:val="18"/>
        </w:rPr>
        <w:t>⚠️ Cours à 1.5% du plus bas 100j (20,895 FCFA)</w:t>
      </w:r>
    </w:p>
    <w:p>
      <w:pPr>
        <w:pStyle w:val="ListBullet"/>
        <w:spacing w:before="20"/>
        <w:ind w:left="400"/>
      </w:pPr>
      <w:r>
        <w:rPr>
          <w:sz w:val="18"/>
        </w:rPr>
        <w:t>🟠 Divergence tech(VENTE) / fond(ACHAT) — recommandation ajustée à ACHAT</w:t>
      </w:r>
    </w:p>
    <w:p>
      <w:pPr>
        <w:spacing w:before="120"/>
      </w:pPr>
      <w:r>
        <w:rPr>
          <w:b/>
          <w:color w:val="0050A0"/>
          <w:sz w:val="20"/>
        </w:rPr>
        <w:t>UNLC — UNLC - UNILEVER COTE D'IVOIRE</w:t>
      </w:r>
    </w:p>
    <w:p>
      <w:pPr>
        <w:pStyle w:val="ListBullet"/>
        <w:spacing w:before="20"/>
        <w:ind w:left="400"/>
      </w:pPr>
      <w:r>
        <w:rPr>
          <w:sz w:val="18"/>
        </w:rPr>
        <w:t>🟢 RSI survente (27.7 &lt; 30) — opportunité potentielle</w:t>
      </w:r>
    </w:p>
    <w:p>
      <w:pPr>
        <w:pStyle w:val="ListBullet"/>
        <w:spacing w:before="20"/>
        <w:ind w:left="400"/>
      </w:pPr>
      <w:r>
        <w:rPr>
          <w:sz w:val="18"/>
        </w:rPr>
        <w:t>⚠️ Cours à 0.0% du plus bas 100j (44,410 FCFA)</w:t>
      </w:r>
    </w:p>
    <w:p>
      <w:pPr>
        <w:spacing w:before="120"/>
      </w:pPr>
      <w:r>
        <w:rPr>
          <w:b/>
          <w:color w:val="0050A0"/>
          <w:sz w:val="20"/>
        </w:rPr>
        <w:t>ABJC — ABJC - SERVAIR ABIDJAN CI</w:t>
      </w:r>
    </w:p>
    <w:p>
      <w:pPr>
        <w:pStyle w:val="ListBullet"/>
        <w:spacing w:before="20"/>
        <w:ind w:left="400"/>
      </w:pPr>
      <w:r>
        <w:rPr>
          <w:sz w:val="18"/>
        </w:rPr>
        <w:t>🟢 RSI survente (16.0 &lt; 30) — opportunité potentielle</w:t>
      </w:r>
    </w:p>
    <w:p>
      <w:pPr>
        <w:spacing w:before="120"/>
      </w:pPr>
      <w:r>
        <w:rPr>
          <w:b/>
          <w:color w:val="0050A0"/>
          <w:sz w:val="20"/>
        </w:rPr>
        <w:t>BBGC — BRIDGE BANK GROUP COTE D'IVOIRE</w:t>
      </w:r>
    </w:p>
    <w:p>
      <w:pPr>
        <w:pStyle w:val="ListBullet"/>
        <w:spacing w:before="20"/>
        <w:ind w:left="400"/>
      </w:pPr>
      <w:r>
        <w:rPr>
          <w:sz w:val="18"/>
        </w:rPr>
        <w:t>⚠️ Cours à 0.0% du plus haut 100j (10,495 FCFA)</w:t>
      </w:r>
    </w:p>
    <w:p>
      <w:pPr>
        <w:spacing w:before="120"/>
      </w:pPr>
      <w:r>
        <w:rPr>
          <w:b/>
          <w:color w:val="0050A0"/>
          <w:sz w:val="20"/>
        </w:rPr>
        <w:t>BICB — BIIC BN - Banque internationale pour le commerce du benin</w:t>
      </w:r>
    </w:p>
    <w:p>
      <w:pPr>
        <w:pStyle w:val="ListBullet"/>
        <w:spacing w:before="20"/>
        <w:ind w:left="400"/>
      </w:pPr>
      <w:r>
        <w:rPr>
          <w:sz w:val="18"/>
        </w:rPr>
        <w:t>🟠 Divergence tech(VENTE) / fond(ACHAT) — recommandation ajustée à ACHAT</w:t>
      </w:r>
    </w:p>
    <w:p>
      <w:pPr>
        <w:spacing w:before="120"/>
      </w:pPr>
      <w:r>
        <w:rPr>
          <w:b/>
          <w:color w:val="0050A0"/>
          <w:sz w:val="20"/>
        </w:rPr>
        <w:t>BNBC — BNBC - BERNABE CI</w:t>
      </w:r>
    </w:p>
    <w:p>
      <w:pPr>
        <w:pStyle w:val="ListBullet"/>
        <w:spacing w:before="20"/>
        <w:ind w:left="400"/>
      </w:pPr>
      <w:r>
        <w:rPr>
          <w:sz w:val="18"/>
        </w:rPr>
        <w:t>🟠 Divergence tech(VENTE) / fond(ACHAT) — recommandation ajustée à ACHAT</w:t>
      </w:r>
    </w:p>
    <w:p>
      <w:pPr>
        <w:spacing w:before="120"/>
      </w:pPr>
      <w:r>
        <w:rPr>
          <w:b/>
          <w:color w:val="0050A0"/>
          <w:sz w:val="20"/>
        </w:rPr>
        <w:t>BOAB — BANK OF AFRICA BENIN</w:t>
      </w:r>
    </w:p>
    <w:p>
      <w:pPr>
        <w:pStyle w:val="ListBullet"/>
        <w:spacing w:before="20"/>
        <w:ind w:left="400"/>
      </w:pPr>
      <w:r>
        <w:rPr>
          <w:sz w:val="18"/>
        </w:rPr>
        <w:t>🟠 Divergence tech(VENTE) / fond(ACHAT) — recommandation ajustée à ACHAT</w:t>
      </w:r>
    </w:p>
    <w:p>
      <w:pPr>
        <w:spacing w:before="120"/>
      </w:pPr>
      <w:r>
        <w:rPr>
          <w:b/>
          <w:color w:val="0050A0"/>
          <w:sz w:val="20"/>
        </w:rPr>
        <w:t>BOABF — BANK OF AFRICA BURKINA FASO</w:t>
      </w:r>
    </w:p>
    <w:p>
      <w:pPr>
        <w:pStyle w:val="ListBullet"/>
        <w:spacing w:before="20"/>
        <w:ind w:left="400"/>
      </w:pPr>
      <w:r>
        <w:rPr>
          <w:sz w:val="18"/>
        </w:rPr>
        <w:t>🟠 Divergence tech(VENTE) / fond(ACHAT) — recommandation ajustée à ACHAT</w:t>
      </w:r>
    </w:p>
    <w:p>
      <w:pPr>
        <w:spacing w:before="120"/>
      </w:pPr>
      <w:r>
        <w:rPr>
          <w:b/>
          <w:color w:val="0050A0"/>
          <w:sz w:val="20"/>
        </w:rPr>
        <w:t>BOAM — BANK OF AFRICA MALI</w:t>
      </w:r>
    </w:p>
    <w:p>
      <w:pPr>
        <w:pStyle w:val="ListBullet"/>
        <w:spacing w:before="20"/>
        <w:ind w:left="400"/>
      </w:pPr>
      <w:r>
        <w:rPr>
          <w:sz w:val="18"/>
        </w:rPr>
        <w:t>🟠 Divergence tech(VENTE) / fond(ACHAT) — recommandation ajustée à ACHAT</w:t>
      </w:r>
    </w:p>
    <w:p>
      <w:pPr>
        <w:spacing w:before="120"/>
      </w:pPr>
      <w:r>
        <w:rPr>
          <w:b/>
          <w:color w:val="0050A0"/>
          <w:sz w:val="20"/>
        </w:rPr>
        <w:t>BOAN — BANK OF AFRICA NIGER</w:t>
      </w:r>
    </w:p>
    <w:p>
      <w:pPr>
        <w:pStyle w:val="ListBullet"/>
        <w:spacing w:before="20"/>
        <w:ind w:left="400"/>
      </w:pPr>
      <w:r>
        <w:rPr>
          <w:sz w:val="18"/>
        </w:rPr>
        <w:t>🟠 Divergence tech(VENTE) / fond(ACHAT) — recommandation ajustée à ACHAT</w:t>
      </w:r>
    </w:p>
    <w:p>
      <w:pPr>
        <w:spacing w:before="120"/>
      </w:pPr>
      <w:r>
        <w:rPr>
          <w:b/>
          <w:color w:val="0050A0"/>
          <w:sz w:val="20"/>
        </w:rPr>
        <w:t>CFAC — CFAC - CFAO MOTORS CI</w:t>
      </w:r>
    </w:p>
    <w:p>
      <w:pPr>
        <w:pStyle w:val="ListBullet"/>
        <w:spacing w:before="20"/>
        <w:ind w:left="400"/>
      </w:pPr>
      <w:r>
        <w:rPr>
          <w:sz w:val="18"/>
        </w:rPr>
        <w:t>⚠️ Cours à 0.0% du plus bas 100j (1,350 FCFA)</w:t>
      </w:r>
    </w:p>
    <w:p>
      <w:pPr>
        <w:spacing w:before="120"/>
      </w:pPr>
      <w:r>
        <w:rPr>
          <w:b/>
          <w:color w:val="0050A0"/>
          <w:sz w:val="20"/>
        </w:rPr>
        <w:t>ECOC — ECOC - ECOBANK COTE D'IVOIRE</w:t>
      </w:r>
    </w:p>
    <w:p>
      <w:pPr>
        <w:pStyle w:val="ListBullet"/>
        <w:spacing w:before="20"/>
        <w:ind w:left="400"/>
      </w:pPr>
      <w:r>
        <w:rPr>
          <w:sz w:val="18"/>
        </w:rPr>
        <w:t>⚠️ Cours à 1.8% du plus bas 100j (15,715 FCFA)</w:t>
      </w:r>
    </w:p>
    <w:p>
      <w:pPr>
        <w:spacing w:before="120"/>
      </w:pPr>
      <w:r>
        <w:rPr>
          <w:b/>
          <w:color w:val="0050A0"/>
          <w:sz w:val="20"/>
        </w:rPr>
        <w:t>ETIT — ETIT - Ecobank Transnational Incorporated Togo</w:t>
      </w:r>
    </w:p>
    <w:p>
      <w:pPr>
        <w:pStyle w:val="ListBullet"/>
        <w:spacing w:before="20"/>
        <w:ind w:left="400"/>
      </w:pPr>
      <w:r>
        <w:rPr>
          <w:sz w:val="18"/>
        </w:rPr>
        <w:t>🟠 Divergence tech(VENTE) / fond(ACHAT) — recommandation ajustée à ACHAT</w:t>
      </w:r>
    </w:p>
    <w:p>
      <w:pPr>
        <w:spacing w:before="120"/>
      </w:pPr>
      <w:r>
        <w:rPr>
          <w:b/>
          <w:color w:val="0050A0"/>
          <w:sz w:val="20"/>
        </w:rPr>
        <w:t>LNBB — LNBB - LOTERIE NATIONALE DU BENIN</w:t>
      </w:r>
    </w:p>
    <w:p>
      <w:pPr>
        <w:pStyle w:val="ListBullet"/>
        <w:spacing w:before="20"/>
        <w:ind w:left="400"/>
      </w:pPr>
      <w:r>
        <w:rPr>
          <w:sz w:val="18"/>
        </w:rPr>
        <w:t>🟠 Divergence tech(VENTE) / fond(ACHAT) — recommandation ajustée à ACHAT</w:t>
      </w:r>
    </w:p>
    <w:p>
      <w:pPr>
        <w:spacing w:before="120"/>
      </w:pPr>
      <w:r>
        <w:rPr>
          <w:b/>
          <w:color w:val="0050A0"/>
          <w:sz w:val="20"/>
        </w:rPr>
        <w:t>NEIC — NEIC - NEI-CEDA CI</w:t>
      </w:r>
    </w:p>
    <w:p>
      <w:pPr>
        <w:pStyle w:val="ListBullet"/>
        <w:spacing w:before="20"/>
        <w:ind w:left="400"/>
      </w:pPr>
      <w:r>
        <w:rPr>
          <w:sz w:val="18"/>
        </w:rPr>
        <w:t>🟢 RSI survente (17.5 &lt; 30) — opportunité potentielle</w:t>
      </w:r>
    </w:p>
    <w:p>
      <w:pPr>
        <w:spacing w:before="120"/>
      </w:pPr>
      <w:r>
        <w:rPr>
          <w:b/>
          <w:color w:val="0050A0"/>
          <w:sz w:val="20"/>
        </w:rPr>
        <w:t>NSBC — NSBC - NSIA BANQUE COTE D'IVOIRE</w:t>
      </w:r>
    </w:p>
    <w:p>
      <w:pPr>
        <w:pStyle w:val="ListBullet"/>
        <w:spacing w:before="20"/>
        <w:ind w:left="400"/>
      </w:pPr>
      <w:r>
        <w:rPr>
          <w:sz w:val="18"/>
        </w:rPr>
        <w:t>🟠 Divergence tech(VENTE) / fond(ACHAT) — recommandation ajustée à ACHAT</w:t>
      </w:r>
    </w:p>
    <w:p>
      <w:pPr>
        <w:spacing w:before="120"/>
      </w:pPr>
      <w:r>
        <w:rPr>
          <w:b/>
          <w:color w:val="0050A0"/>
          <w:sz w:val="20"/>
        </w:rPr>
        <w:t>NTLC — NTLC - NESTLE COTE D'IVOIRE</w:t>
      </w:r>
    </w:p>
    <w:p>
      <w:pPr>
        <w:pStyle w:val="ListBullet"/>
        <w:spacing w:before="20"/>
        <w:ind w:left="400"/>
      </w:pPr>
      <w:r>
        <w:rPr>
          <w:sz w:val="18"/>
        </w:rPr>
        <w:t>🟠 Divergence tech(VENTE) / fond(ACHAT) — recommandation ajustée à ACHAT</w:t>
      </w:r>
    </w:p>
    <w:p>
      <w:pPr>
        <w:spacing w:before="120"/>
      </w:pPr>
      <w:r>
        <w:rPr>
          <w:b/>
          <w:color w:val="0050A0"/>
          <w:sz w:val="20"/>
        </w:rPr>
        <w:t>ORGT — ORGT - ORAGROUP TOGO</w:t>
      </w:r>
    </w:p>
    <w:p>
      <w:pPr>
        <w:pStyle w:val="ListBullet"/>
        <w:spacing w:before="20"/>
        <w:ind w:left="400"/>
      </w:pPr>
      <w:r>
        <w:rPr>
          <w:sz w:val="18"/>
        </w:rPr>
        <w:t>🟠 Divergence tech(VENTE) / fond(ACHAT) — recommandation ajustée à ACHAT</w:t>
      </w:r>
    </w:p>
    <w:p>
      <w:pPr>
        <w:spacing w:before="120"/>
      </w:pPr>
      <w:r>
        <w:rPr>
          <w:b/>
          <w:color w:val="0050A0"/>
          <w:sz w:val="20"/>
        </w:rPr>
        <w:t>SAFC — SAFCA CI</w:t>
      </w:r>
    </w:p>
    <w:p>
      <w:pPr>
        <w:pStyle w:val="ListBullet"/>
        <w:spacing w:before="20"/>
        <w:ind w:left="400"/>
      </w:pPr>
      <w:r>
        <w:rPr>
          <w:sz w:val="18"/>
        </w:rPr>
        <w:t>🟠 Divergence tech(VENTE) / fond(ACHAT) — recommandation ajustée à ACHAT</w:t>
      </w:r>
    </w:p>
    <w:p>
      <w:pPr>
        <w:spacing w:before="120"/>
      </w:pPr>
      <w:r>
        <w:rPr>
          <w:b/>
          <w:color w:val="0050A0"/>
          <w:sz w:val="20"/>
        </w:rPr>
        <w:t>SCRC — SCRC - SUCRIVOIRE</w:t>
      </w:r>
    </w:p>
    <w:p>
      <w:pPr>
        <w:pStyle w:val="ListBullet"/>
        <w:spacing w:before="20"/>
        <w:ind w:left="400"/>
      </w:pPr>
      <w:r>
        <w:rPr>
          <w:sz w:val="18"/>
        </w:rPr>
        <w:t>🟢 RSI survente (22.9 &lt; 30) — opportunité potentielle</w:t>
      </w:r>
    </w:p>
    <w:p>
      <w:pPr>
        <w:spacing w:before="120"/>
      </w:pPr>
      <w:r>
        <w:rPr>
          <w:b/>
          <w:color w:val="0050A0"/>
          <w:sz w:val="20"/>
        </w:rPr>
        <w:t>SDCC — SDCC - Société de Distribution d'Eau de Côte d'Ivoire</w:t>
      </w:r>
    </w:p>
    <w:p>
      <w:pPr>
        <w:pStyle w:val="ListBullet"/>
        <w:spacing w:before="20"/>
        <w:ind w:left="400"/>
      </w:pPr>
      <w:r>
        <w:rPr>
          <w:sz w:val="18"/>
        </w:rPr>
        <w:t>🔴 RSI surachat (70.6 &gt; 70) — risque de correction</w:t>
      </w:r>
    </w:p>
    <w:p>
      <w:pPr>
        <w:spacing w:before="120"/>
      </w:pPr>
      <w:r>
        <w:rPr>
          <w:b/>
          <w:color w:val="0050A0"/>
          <w:sz w:val="20"/>
        </w:rPr>
        <w:t>SGBC — SGBC - SOCIETE GENERALE COTE D'IVOIRE</w:t>
      </w:r>
    </w:p>
    <w:p>
      <w:pPr>
        <w:pStyle w:val="ListBullet"/>
        <w:spacing w:before="20"/>
        <w:ind w:left="400"/>
      </w:pPr>
      <w:r>
        <w:rPr>
          <w:sz w:val="18"/>
        </w:rPr>
        <w:t>⚠️ Cours à 0.8% du plus haut 100j (39,300 FCFA)</w:t>
      </w:r>
    </w:p>
    <w:p>
      <w:pPr>
        <w:spacing w:before="120"/>
      </w:pPr>
      <w:r>
        <w:rPr>
          <w:b/>
          <w:color w:val="0050A0"/>
          <w:sz w:val="20"/>
        </w:rPr>
        <w:t>SHEC — SHEC - VIVO ENERGY COTE D'IVOIRE</w:t>
      </w:r>
    </w:p>
    <w:p>
      <w:pPr>
        <w:pStyle w:val="ListBullet"/>
        <w:spacing w:before="20"/>
        <w:ind w:left="400"/>
      </w:pPr>
      <w:r>
        <w:rPr>
          <w:sz w:val="18"/>
        </w:rPr>
        <w:t>🟢 RSI survente (18.0 &lt; 30) — opportunité potentielle</w:t>
      </w:r>
    </w:p>
    <w:p>
      <w:pPr>
        <w:spacing w:before="120"/>
      </w:pPr>
      <w:r>
        <w:rPr>
          <w:b/>
          <w:color w:val="0050A0"/>
          <w:sz w:val="20"/>
        </w:rPr>
        <w:t>SIBC — SIBC - SOCIETE IVOIRIENNE DE BANQUE</w:t>
      </w:r>
    </w:p>
    <w:p>
      <w:pPr>
        <w:pStyle w:val="ListBullet"/>
        <w:spacing w:before="20"/>
        <w:ind w:left="400"/>
      </w:pPr>
      <w:r>
        <w:rPr>
          <w:sz w:val="18"/>
        </w:rPr>
        <w:t>🟠 Divergence tech(VENTE) / fond(ACHAT) — recommandation ajustée à ACHAT</w:t>
      </w:r>
    </w:p>
    <w:p>
      <w:pPr>
        <w:spacing w:before="120"/>
      </w:pPr>
      <w:r>
        <w:rPr>
          <w:b/>
          <w:color w:val="0050A0"/>
          <w:sz w:val="20"/>
        </w:rPr>
        <w:t>SMBC — SMBC - Société Multinationale de Bitumes COTE D'IVOIRE</w:t>
      </w:r>
    </w:p>
    <w:p>
      <w:pPr>
        <w:pStyle w:val="ListBullet"/>
        <w:spacing w:before="20"/>
        <w:ind w:left="400"/>
      </w:pPr>
      <w:r>
        <w:rPr>
          <w:sz w:val="18"/>
        </w:rPr>
        <w:t>🟠 Divergence tech(VENTE) / fond(ACHAT) — recommandation ajustée à ACHAT</w:t>
      </w:r>
    </w:p>
    <w:p>
      <w:pPr>
        <w:spacing w:before="120"/>
      </w:pPr>
      <w:r>
        <w:rPr>
          <w:b/>
          <w:color w:val="0050A0"/>
          <w:sz w:val="20"/>
        </w:rPr>
        <w:t>SOGC — SOGC - Société des caoutchoucs de Grand-Béréby</w:t>
      </w:r>
    </w:p>
    <w:p>
      <w:pPr>
        <w:pStyle w:val="ListBullet"/>
        <w:spacing w:before="20"/>
        <w:ind w:left="400"/>
      </w:pPr>
      <w:r>
        <w:rPr>
          <w:sz w:val="18"/>
        </w:rPr>
        <w:t>🟠 Divergence tech(VENTE) / fond(ACHAT) — recommandation ajustée à ACHAT</w:t>
      </w:r>
    </w:p>
    <w:p>
      <w:r>
        <w:br w:type="page"/>
      </w:r>
    </w:p>
    <w:p>
      <w:pPr>
        <w:pStyle w:val="Heading1"/>
      </w:pPr>
      <w:r>
        <w:t>🛡️ RÉCAPITULATIF DES RISQUES — TOUTES LES SOCIÉTÉS</w:t>
      </w:r>
    </w:p>
    <w:p>
      <w:r>
        <w:rPr>
          <w:i/>
          <w:color w:val="505050"/>
          <w:sz w:val="18"/>
        </w:rPr>
        <w:t>Synthèse comparative des scores de risque calculés pour chaque société. Le score de risque (0–100) agrège 5 critères : volatilité des prix (30%), bêta réel vs BRVM Composite (20%), liquidité du titre (20%), divergence des signaux techniques (15%) et stabilité des rendements (15%). Plus le score est élevé, plus le titre est risqué.</w:t>
      </w:r>
    </w:p>
    <w:p/>
    <w:p>
      <w:pPr>
        <w:pStyle w:val="Heading2"/>
      </w:pPr>
      <w:r>
        <w:t>📊 1. Vue d'ensemble des niveaux de risque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644"/>
            <w:shd w:fill="1F4E79" w:val="clear"/>
          </w:tcPr>
          <w:p>
            <w:r>
              <w:rPr>
                <w:b/>
                <w:color w:val="FFFFFF"/>
                <w:sz w:val="17"/>
              </w:rPr>
              <w:t>Faible</w:t>
            </w:r>
          </w:p>
        </w:tc>
        <w:tc>
          <w:tcPr>
            <w:tcW w:type="dxa" w:w="1644"/>
            <w:shd w:fill="1F4E79" w:val="clear"/>
          </w:tcPr>
          <w:p>
            <w:r>
              <w:rPr>
                <w:b/>
                <w:color w:val="FFFFFF"/>
                <w:sz w:val="17"/>
              </w:rPr>
              <w:t>Moyen</w:t>
            </w:r>
          </w:p>
        </w:tc>
        <w:tc>
          <w:tcPr>
            <w:tcW w:type="dxa" w:w="1644"/>
            <w:shd w:fill="1F4E79" w:val="clear"/>
          </w:tcPr>
          <w:p>
            <w:r>
              <w:rPr>
                <w:b/>
                <w:color w:val="FFFFFF"/>
                <w:sz w:val="17"/>
              </w:rPr>
              <w:t>Élevé</w:t>
            </w:r>
          </w:p>
        </w:tc>
        <w:tc>
          <w:tcPr>
            <w:tcW w:type="dxa" w:w="1644"/>
            <w:shd w:fill="1F4E79" w:val="clear"/>
          </w:tcPr>
          <w:p>
            <w:r>
              <w:rPr>
                <w:b/>
                <w:color w:val="FFFFFF"/>
                <w:sz w:val="17"/>
              </w:rPr>
              <w:t>Très élevé</w:t>
            </w:r>
          </w:p>
        </w:tc>
        <w:tc>
          <w:tcPr>
            <w:tcW w:type="dxa" w:w="1644"/>
            <w:shd w:fill="1F4E79" w:val="clear"/>
          </w:tcPr>
          <w:p>
            <w:r>
              <w:rPr>
                <w:b/>
                <w:color w:val="FFFFFF"/>
                <w:sz w:val="17"/>
              </w:rPr>
              <w:t>Score moyen</w:t>
            </w:r>
          </w:p>
        </w:tc>
        <w:tc>
          <w:tcPr>
            <w:tcW w:type="dxa" w:w="1644"/>
            <w:shd w:fill="1F4E79" w:val="clear"/>
          </w:tcPr>
          <w:p>
            <w:r>
              <w:rPr>
                <w:b/>
                <w:color w:val="FFFFFF"/>
                <w:sz w:val="17"/>
              </w:rPr>
              <w:t>Score médian</w:t>
            </w:r>
          </w:p>
        </w:tc>
      </w:tr>
      <w:tr>
        <w:tc>
          <w:tcPr>
            <w:tcW w:type="dxa" w:w="1644"/>
            <w:shd w:fill="C6EFCE" w:val="clear"/>
          </w:tcPr>
          <w:p>
            <w:r>
              <w:rPr>
                <w:b/>
                <w:color w:val="006400"/>
                <w:sz w:val="19"/>
              </w:rPr>
              <w:t>28 société(s) (58%)</w:t>
            </w:r>
          </w:p>
        </w:tc>
        <w:tc>
          <w:tcPr>
            <w:tcW w:type="dxa" w:w="1644"/>
            <w:shd w:fill="FFEB9C" w:val="clear"/>
          </w:tcPr>
          <w:p>
            <w:r>
              <w:rPr>
                <w:b/>
                <w:color w:val="825A00"/>
                <w:sz w:val="19"/>
              </w:rPr>
              <w:t>20 société(s) (42%)</w:t>
            </w:r>
          </w:p>
        </w:tc>
        <w:tc>
          <w:tcPr>
            <w:tcW w:type="dxa" w:w="1644"/>
            <w:shd w:fill="FFC7CE" w:val="clear"/>
          </w:tcPr>
          <w:p>
            <w:r>
              <w:rPr>
                <w:b/>
                <w:color w:val="B40000"/>
                <w:sz w:val="19"/>
              </w:rPr>
              <w:t>0 société(s) (0%)</w:t>
            </w:r>
          </w:p>
        </w:tc>
        <w:tc>
          <w:tcPr>
            <w:tcW w:type="dxa" w:w="1644"/>
            <w:shd w:fill="FF0000" w:val="clear"/>
          </w:tcPr>
          <w:p>
            <w:r>
              <w:rPr>
                <w:b/>
                <w:color w:val="FFFFFF"/>
                <w:sz w:val="19"/>
              </w:rPr>
              <w:t>0 société(s) (0%)</w:t>
            </w:r>
          </w:p>
        </w:tc>
        <w:tc>
          <w:tcPr>
            <w:tcW w:type="dxa" w:w="1644"/>
            <w:shd w:fill="DEEAF1" w:val="clear"/>
          </w:tcPr>
          <w:p>
            <w:r>
              <w:rPr>
                <w:b/>
                <w:color w:val="000000"/>
                <w:sz w:val="19"/>
              </w:rPr>
              <w:t>19.2/100</w:t>
            </w:r>
          </w:p>
        </w:tc>
        <w:tc>
          <w:tcPr>
            <w:tcW w:type="dxa" w:w="1644"/>
            <w:shd w:fill="DEEAF1" w:val="clear"/>
          </w:tcPr>
          <w:p>
            <w:r>
              <w:rPr>
                <w:b/>
                <w:color w:val="000000"/>
                <w:sz w:val="19"/>
              </w:rPr>
              <w:t>19.1/100</w:t>
            </w:r>
          </w:p>
        </w:tc>
      </w:tr>
    </w:tbl>
    <w:p/>
    <w:p>
      <w:r>
        <w:rPr>
          <w:i/>
          <w:color w:val="006400"/>
          <w:sz w:val="18"/>
        </w:rPr>
        <w:t>✅ Le marché BRVM présente globalement un profil de risque FAIBLE (score moyen 19.2/100). La majorité des titres ont des volatilités maîtrisées et une bonne convergence des signaux techniques.</w:t>
      </w:r>
    </w:p>
    <w:p/>
    <w:p>
      <w:pPr>
        <w:pStyle w:val="Heading2"/>
      </w:pPr>
      <w:r>
        <w:t>🔴 2. Top 5 — Sociétés les plus risquées</w:t>
      </w:r>
    </w:p>
    <w:p>
      <w:r>
        <w:rPr>
          <w:i/>
          <w:sz w:val="17"/>
        </w:rPr>
        <w:t>Les 5 sociétés avec le score de risque le plus élevé. Un score élevé indique une combinaison de forte volatilité, faible liquidité, bêta élevé ou signaux techniques contradictoires.</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567"/>
            <w:shd w:fill="843C0C" w:val="clear"/>
          </w:tcPr>
          <w:p>
            <w:r>
              <w:rPr>
                <w:b/>
                <w:color w:val="FFFFFF"/>
                <w:sz w:val="16"/>
              </w:rPr>
              <w:t>Rang</w:t>
            </w:r>
          </w:p>
        </w:tc>
        <w:tc>
          <w:tcPr>
            <w:tcW w:type="dxa" w:w="850"/>
            <w:shd w:fill="843C0C" w:val="clear"/>
          </w:tcPr>
          <w:p>
            <w:r>
              <w:rPr>
                <w:b/>
                <w:color w:val="FFFFFF"/>
                <w:sz w:val="16"/>
              </w:rPr>
              <w:t>Symbole</w:t>
            </w:r>
          </w:p>
        </w:tc>
        <w:tc>
          <w:tcPr>
            <w:tcW w:type="dxa" w:w="2268"/>
            <w:shd w:fill="843C0C" w:val="clear"/>
          </w:tcPr>
          <w:p>
            <w:r>
              <w:rPr>
                <w:b/>
                <w:color w:val="FFFFFF"/>
                <w:sz w:val="16"/>
              </w:rPr>
              <w:t>Société</w:t>
            </w:r>
          </w:p>
        </w:tc>
        <w:tc>
          <w:tcPr>
            <w:tcW w:type="dxa" w:w="1701"/>
            <w:shd w:fill="843C0C" w:val="clear"/>
          </w:tcPr>
          <w:p>
            <w:r>
              <w:rPr>
                <w:b/>
                <w:color w:val="FFFFFF"/>
                <w:sz w:val="16"/>
              </w:rPr>
              <w:t>Secteur</w:t>
            </w:r>
          </w:p>
        </w:tc>
        <w:tc>
          <w:tcPr>
            <w:tcW w:type="dxa" w:w="1020"/>
            <w:shd w:fill="843C0C" w:val="clear"/>
          </w:tcPr>
          <w:p>
            <w:r>
              <w:rPr>
                <w:b/>
                <w:color w:val="FFFFFF"/>
                <w:sz w:val="16"/>
              </w:rPr>
              <w:t>Score</w:t>
            </w:r>
          </w:p>
        </w:tc>
        <w:tc>
          <w:tcPr>
            <w:tcW w:type="dxa" w:w="1134"/>
            <w:shd w:fill="843C0C" w:val="clear"/>
          </w:tcPr>
          <w:p>
            <w:r>
              <w:rPr>
                <w:b/>
                <w:color w:val="FFFFFF"/>
                <w:sz w:val="16"/>
              </w:rPr>
              <w:t>Niveau</w:t>
            </w:r>
          </w:p>
        </w:tc>
        <w:tc>
          <w:tcPr>
            <w:tcW w:type="dxa" w:w="2381"/>
            <w:shd w:fill="843C0C" w:val="clear"/>
          </w:tcPr>
          <w:p>
            <w:r>
              <w:rPr>
                <w:b/>
                <w:color w:val="FFFFFF"/>
                <w:sz w:val="16"/>
              </w:rPr>
              <w:t>Point critique</w:t>
            </w:r>
          </w:p>
        </w:tc>
      </w:tr>
      <w:tr>
        <w:tc>
          <w:tcPr>
            <w:tcW w:type="dxa" w:w="567"/>
            <w:shd w:fill="FFFFFF" w:val="clear"/>
          </w:tcPr>
          <w:p>
            <w:r>
              <w:rPr>
                <w:b/>
                <w:sz w:val="16"/>
              </w:rPr>
              <w:t>#1</w:t>
            </w:r>
          </w:p>
        </w:tc>
        <w:tc>
          <w:tcPr>
            <w:tcW w:type="dxa" w:w="850"/>
            <w:shd w:fill="FFFFFF" w:val="clear"/>
          </w:tcPr>
          <w:p>
            <w:r>
              <w:rPr>
                <w:sz w:val="16"/>
              </w:rPr>
              <w:t>SICC</w:t>
            </w:r>
          </w:p>
        </w:tc>
        <w:tc>
          <w:tcPr>
            <w:tcW w:type="dxa" w:w="2268"/>
            <w:shd w:fill="FFFFFF" w:val="clear"/>
          </w:tcPr>
          <w:p>
            <w:r>
              <w:rPr>
                <w:sz w:val="16"/>
              </w:rPr>
              <w:t>SICC - SICOR COTE D'IVOIRE</w:t>
            </w:r>
          </w:p>
        </w:tc>
        <w:tc>
          <w:tcPr>
            <w:tcW w:type="dxa" w:w="1701"/>
            <w:shd w:fill="FFFFFF" w:val="clear"/>
          </w:tcPr>
          <w:p>
            <w:r>
              <w:rPr>
                <w:sz w:val="16"/>
              </w:rPr>
              <w:t>CONSOMMATION DE BA</w:t>
            </w:r>
          </w:p>
        </w:tc>
        <w:tc>
          <w:tcPr>
            <w:tcW w:type="dxa" w:w="1020"/>
            <w:shd w:fill="FFEB9C" w:val="clear"/>
          </w:tcPr>
          <w:p>
            <w:r>
              <w:rPr>
                <w:b/>
                <w:color w:val="B40000"/>
                <w:sz w:val="16"/>
              </w:rPr>
              <w:t>34.2/100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#2</w:t>
            </w:r>
          </w:p>
        </w:tc>
        <w:tc>
          <w:tcPr>
            <w:tcW w:type="dxa" w:w="850"/>
            <w:shd w:fill="FFFFFF" w:val="clear"/>
          </w:tcPr>
          <w:p>
            <w:r>
              <w:rPr>
                <w:sz w:val="16"/>
              </w:rPr>
              <w:t>ETIT</w:t>
            </w:r>
          </w:p>
        </w:tc>
        <w:tc>
          <w:tcPr>
            <w:tcW w:type="dxa" w:w="2268"/>
            <w:shd w:fill="FFFFFF" w:val="clear"/>
          </w:tcPr>
          <w:p>
            <w:r>
              <w:rPr>
                <w:sz w:val="16"/>
              </w:rPr>
              <w:t>ETIT - Ecobank Transnational…</w:t>
            </w:r>
          </w:p>
        </w:tc>
        <w:tc>
          <w:tcPr>
            <w:tcW w:type="dxa" w:w="1701"/>
            <w:shd w:fill="FFFFFF" w:val="clear"/>
          </w:tcPr>
          <w:p>
            <w:r>
              <w:rPr>
                <w:sz w:val="16"/>
              </w:rPr>
              <w:t>SERVICES FINANCIER</w:t>
            </w:r>
          </w:p>
        </w:tc>
        <w:tc>
          <w:tcPr>
            <w:tcW w:type="dxa" w:w="1020"/>
            <w:shd w:fill="FFEB9C" w:val="clear"/>
          </w:tcPr>
          <w:p>
            <w:r>
              <w:rPr>
                <w:b/>
                <w:color w:val="B40000"/>
                <w:sz w:val="16"/>
              </w:rPr>
              <w:t>33.8/100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#3</w:t>
            </w:r>
          </w:p>
        </w:tc>
        <w:tc>
          <w:tcPr>
            <w:tcW w:type="dxa" w:w="850"/>
            <w:shd w:fill="FFFFFF" w:val="clear"/>
          </w:tcPr>
          <w:p>
            <w:r>
              <w:rPr>
                <w:sz w:val="16"/>
              </w:rPr>
              <w:t>SAFC</w:t>
            </w:r>
          </w:p>
        </w:tc>
        <w:tc>
          <w:tcPr>
            <w:tcW w:type="dxa" w:w="2268"/>
            <w:shd w:fill="FFFFFF" w:val="clear"/>
          </w:tcPr>
          <w:p>
            <w:r>
              <w:rPr>
                <w:sz w:val="16"/>
              </w:rPr>
              <w:t>SAFCA CI</w:t>
            </w:r>
          </w:p>
        </w:tc>
        <w:tc>
          <w:tcPr>
            <w:tcW w:type="dxa" w:w="1701"/>
            <w:shd w:fill="FFFFFF" w:val="clear"/>
          </w:tcPr>
          <w:p>
            <w:r>
              <w:rPr>
                <w:sz w:val="16"/>
              </w:rPr>
              <w:t>SERVICES FINANCIER</w:t>
            </w:r>
          </w:p>
        </w:tc>
        <w:tc>
          <w:tcPr>
            <w:tcW w:type="dxa" w:w="1020"/>
            <w:shd w:fill="FFEB9C" w:val="clear"/>
          </w:tcPr>
          <w:p>
            <w:r>
              <w:rPr>
                <w:b/>
                <w:color w:val="B40000"/>
                <w:sz w:val="16"/>
              </w:rPr>
              <w:t>32.8/100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#4</w:t>
            </w:r>
          </w:p>
        </w:tc>
        <w:tc>
          <w:tcPr>
            <w:tcW w:type="dxa" w:w="850"/>
            <w:shd w:fill="FFFFFF" w:val="clear"/>
          </w:tcPr>
          <w:p>
            <w:r>
              <w:rPr>
                <w:sz w:val="16"/>
              </w:rPr>
              <w:t>STAC</w:t>
            </w:r>
          </w:p>
        </w:tc>
        <w:tc>
          <w:tcPr>
            <w:tcW w:type="dxa" w:w="2268"/>
            <w:shd w:fill="FFFFFF" w:val="clear"/>
          </w:tcPr>
          <w:p>
            <w:r>
              <w:rPr>
                <w:sz w:val="16"/>
              </w:rPr>
              <w:t>STAC - SETAO COTE D'IVOIRE</w:t>
            </w:r>
          </w:p>
        </w:tc>
        <w:tc>
          <w:tcPr>
            <w:tcW w:type="dxa" w:w="1701"/>
            <w:shd w:fill="FFFFFF" w:val="clear"/>
          </w:tcPr>
          <w:p>
            <w:r>
              <w:rPr>
                <w:sz w:val="16"/>
              </w:rPr>
              <w:t>INDUSTRIELS</w:t>
            </w:r>
          </w:p>
        </w:tc>
        <w:tc>
          <w:tcPr>
            <w:tcW w:type="dxa" w:w="1020"/>
            <w:shd w:fill="FFEB9C" w:val="clear"/>
          </w:tcPr>
          <w:p>
            <w:r>
              <w:rPr>
                <w:b/>
                <w:color w:val="B40000"/>
                <w:sz w:val="16"/>
              </w:rPr>
              <w:t>30.8/100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#5</w:t>
            </w:r>
          </w:p>
        </w:tc>
        <w:tc>
          <w:tcPr>
            <w:tcW w:type="dxa" w:w="850"/>
            <w:shd w:fill="FFFFFF" w:val="clear"/>
          </w:tcPr>
          <w:p>
            <w:r>
              <w:rPr>
                <w:sz w:val="16"/>
              </w:rPr>
              <w:t>SNTS</w:t>
            </w:r>
          </w:p>
        </w:tc>
        <w:tc>
          <w:tcPr>
            <w:tcW w:type="dxa" w:w="2268"/>
            <w:shd w:fill="FFFFFF" w:val="clear"/>
          </w:tcPr>
          <w:p>
            <w:r>
              <w:rPr>
                <w:sz w:val="16"/>
              </w:rPr>
              <w:t>SNTS - SONATEL SN</w:t>
            </w:r>
          </w:p>
        </w:tc>
        <w:tc>
          <w:tcPr>
            <w:tcW w:type="dxa" w:w="1701"/>
            <w:shd w:fill="FFFFFF" w:val="clear"/>
          </w:tcPr>
          <w:p>
            <w:r>
              <w:rPr>
                <w:sz w:val="16"/>
              </w:rPr>
              <w:t>TELECOMMUNICATIONS</w:t>
            </w:r>
          </w:p>
        </w:tc>
        <w:tc>
          <w:tcPr>
            <w:tcW w:type="dxa" w:w="1020"/>
            <w:shd w:fill="FFEB9C" w:val="clear"/>
          </w:tcPr>
          <w:p>
            <w:r>
              <w:rPr>
                <w:b/>
                <w:color w:val="B40000"/>
                <w:sz w:val="16"/>
              </w:rPr>
              <w:t>29.3/100</w:t>
            </w:r>
          </w:p>
        </w:tc>
        <w:tc>
          <w:tcPr>
            <w:tcW w:type="dxa" w:w="1134"/>
            <w:shd w:fill="FFEB9C" w:val="clear"/>
          </w:tcPr>
          <w:p>
            <w:r>
              <w:rPr>
                <w:sz w:val="16"/>
              </w:rPr>
              <w:t>Moyen</w:t>
            </w:r>
          </w:p>
        </w:tc>
        <w:tc>
          <w:tcPr>
            <w:tcW w:type="dxa" w:w="2381"/>
            <w:shd w:fill="FFFFFF" w:val="clear"/>
          </w:tcPr>
          <w:p>
            <w:r>
              <w:rPr>
                <w:sz w:val="16"/>
              </w:rPr>
              <w:t>📊 Volatilité élevée</w:t>
            </w:r>
          </w:p>
        </w:tc>
      </w:tr>
    </w:tbl>
    <w:p/>
    <w:p>
      <w:pPr>
        <w:pStyle w:val="ListBullet"/>
      </w:pPr>
      <w:r>
        <w:rPr>
          <w:b/>
          <w:color w:val="B40000"/>
          <w:sz w:val="18"/>
        </w:rPr>
        <w:t xml:space="preserve">#1 SICC (34.2/100 — Moyen) : </w:t>
      </w:r>
      <w:r>
        <w:rPr>
          <w:sz w:val="17"/>
        </w:rPr>
        <w:t>Volatilité=Élevée | Bêta=Contre-cyclique | Liquidité=Faible | Divergence signaux=taux divergence=0% (Convergent ✅) | Stabilité=Modérée</w:t>
      </w:r>
    </w:p>
    <w:p>
      <w:pPr>
        <w:pStyle w:val="ListBullet"/>
      </w:pPr>
      <w:r>
        <w:rPr>
          <w:b/>
          <w:color w:val="B40000"/>
          <w:sz w:val="18"/>
        </w:rPr>
        <w:t xml:space="preserve">#2 ETIT (33.8/100 — Moyen) : </w:t>
      </w:r>
      <w:r>
        <w:rPr>
          <w:sz w:val="17"/>
        </w:rPr>
        <w:t>Volatilité=Élevée | Bêta=Très agressif | Liquidité=Excellente | Divergence signaux=taux divergence=20% (Mixte ⚠️) | Stabilité=Modérée</w:t>
      </w:r>
    </w:p>
    <w:p>
      <w:pPr>
        <w:pStyle w:val="ListBullet"/>
      </w:pPr>
      <w:r>
        <w:rPr>
          <w:b/>
          <w:color w:val="B40000"/>
          <w:sz w:val="18"/>
        </w:rPr>
        <w:t xml:space="preserve">#3 SAFC (32.8/100 — Moyen) : </w:t>
      </w:r>
      <w:r>
        <w:rPr>
          <w:sz w:val="17"/>
        </w:rPr>
        <w:t>Volatilité=Élevée | Bêta=Agressif | Liquidité=Bonne | Divergence signaux=taux divergence=20% (Mixte ⚠️) | Stabilité=Modérée</w:t>
      </w:r>
    </w:p>
    <w:p>
      <w:pPr>
        <w:pStyle w:val="ListBullet"/>
      </w:pPr>
      <w:r>
        <w:rPr>
          <w:b/>
          <w:color w:val="B40000"/>
          <w:sz w:val="18"/>
        </w:rPr>
        <w:t xml:space="preserve">#4 STAC (30.8/100 — Moyen) : </w:t>
      </w:r>
      <w:r>
        <w:rPr>
          <w:sz w:val="17"/>
        </w:rPr>
        <w:t>Volatilité=Élevée | Bêta=Contre-cyclique | Liquidité=Bonne | Divergence signaux=taux divergence=20% (Mixte ⚠️) | Stabilité=Modérée</w:t>
      </w:r>
    </w:p>
    <w:p>
      <w:pPr>
        <w:pStyle w:val="ListBullet"/>
      </w:pPr>
      <w:r>
        <w:rPr>
          <w:b/>
          <w:color w:val="B40000"/>
          <w:sz w:val="18"/>
        </w:rPr>
        <w:t xml:space="preserve">#5 SNTS (29.3/100 — Moyen) : </w:t>
      </w:r>
      <w:r>
        <w:rPr>
          <w:sz w:val="17"/>
        </w:rPr>
        <w:t>Volatilité=Élevée | Bêta=Agressif | Liquidité=Excellente | Divergence signaux=taux divergence=20% (Mixte ⚠️) | Stabilité=Stable</w:t>
      </w:r>
    </w:p>
    <w:p/>
    <w:p>
      <w:pPr>
        <w:pStyle w:val="Heading2"/>
      </w:pPr>
      <w:r>
        <w:t>🟢 3. Top 5 — Sociétés les moins risquées</w:t>
      </w:r>
    </w:p>
    <w:p>
      <w:r>
        <w:rPr>
          <w:i/>
          <w:sz w:val="17"/>
        </w:rPr>
        <w:t>Les 5 sociétés avec le score de risque le plus bas. Un score faible reflète une volatilité modérée, une bonne liquidité, un bêta défensif et des signaux techniques convergents.</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567"/>
            <w:shd w:fill="375623" w:val="clear"/>
          </w:tcPr>
          <w:p>
            <w:r>
              <w:rPr>
                <w:b/>
                <w:color w:val="FFFFFF"/>
                <w:sz w:val="16"/>
              </w:rPr>
              <w:t>Rang</w:t>
            </w:r>
          </w:p>
        </w:tc>
        <w:tc>
          <w:tcPr>
            <w:tcW w:type="dxa" w:w="850"/>
            <w:shd w:fill="375623" w:val="clear"/>
          </w:tcPr>
          <w:p>
            <w:r>
              <w:rPr>
                <w:b/>
                <w:color w:val="FFFFFF"/>
                <w:sz w:val="16"/>
              </w:rPr>
              <w:t>Symbole</w:t>
            </w:r>
          </w:p>
        </w:tc>
        <w:tc>
          <w:tcPr>
            <w:tcW w:type="dxa" w:w="2268"/>
            <w:shd w:fill="375623" w:val="clear"/>
          </w:tcPr>
          <w:p>
            <w:r>
              <w:rPr>
                <w:b/>
                <w:color w:val="FFFFFF"/>
                <w:sz w:val="16"/>
              </w:rPr>
              <w:t>Société</w:t>
            </w:r>
          </w:p>
        </w:tc>
        <w:tc>
          <w:tcPr>
            <w:tcW w:type="dxa" w:w="1701"/>
            <w:shd w:fill="375623" w:val="clear"/>
          </w:tcPr>
          <w:p>
            <w:r>
              <w:rPr>
                <w:b/>
                <w:color w:val="FFFFFF"/>
                <w:sz w:val="16"/>
              </w:rPr>
              <w:t>Secteur</w:t>
            </w:r>
          </w:p>
        </w:tc>
        <w:tc>
          <w:tcPr>
            <w:tcW w:type="dxa" w:w="1020"/>
            <w:shd w:fill="375623" w:val="clear"/>
          </w:tcPr>
          <w:p>
            <w:r>
              <w:rPr>
                <w:b/>
                <w:color w:val="FFFFFF"/>
                <w:sz w:val="16"/>
              </w:rPr>
              <w:t>Score</w:t>
            </w:r>
          </w:p>
        </w:tc>
        <w:tc>
          <w:tcPr>
            <w:tcW w:type="dxa" w:w="1134"/>
            <w:shd w:fill="375623" w:val="clear"/>
          </w:tcPr>
          <w:p>
            <w:r>
              <w:rPr>
                <w:b/>
                <w:color w:val="FFFFFF"/>
                <w:sz w:val="16"/>
              </w:rPr>
              <w:t>Niveau</w:t>
            </w:r>
          </w:p>
        </w:tc>
        <w:tc>
          <w:tcPr>
            <w:tcW w:type="dxa" w:w="2381"/>
            <w:shd w:fill="375623" w:val="clear"/>
          </w:tcPr>
          <w:p>
            <w:r>
              <w:rPr>
                <w:b/>
                <w:color w:val="FFFFFF"/>
                <w:sz w:val="16"/>
              </w:rPr>
              <w:t>Point critique</w:t>
            </w:r>
          </w:p>
        </w:tc>
      </w:tr>
      <w:tr>
        <w:tc>
          <w:tcPr>
            <w:tcW w:type="dxa" w:w="567"/>
            <w:shd w:fill="FFFFFF" w:val="clear"/>
          </w:tcPr>
          <w:p>
            <w:r>
              <w:rPr>
                <w:b/>
                <w:sz w:val="16"/>
              </w:rPr>
              <w:t>#1</w:t>
            </w:r>
          </w:p>
        </w:tc>
        <w:tc>
          <w:tcPr>
            <w:tcW w:type="dxa" w:w="850"/>
            <w:shd w:fill="FFFFFF" w:val="clear"/>
          </w:tcPr>
          <w:p>
            <w:r>
              <w:rPr>
                <w:sz w:val="16"/>
              </w:rPr>
              <w:t>SIBC</w:t>
            </w:r>
          </w:p>
        </w:tc>
        <w:tc>
          <w:tcPr>
            <w:tcW w:type="dxa" w:w="2268"/>
            <w:shd w:fill="FFFFFF" w:val="clear"/>
          </w:tcPr>
          <w:p>
            <w:r>
              <w:rPr>
                <w:sz w:val="16"/>
              </w:rPr>
              <w:t>SIBC - SOCIETE IVOIRIENNE DE…</w:t>
            </w:r>
          </w:p>
        </w:tc>
        <w:tc>
          <w:tcPr>
            <w:tcW w:type="dxa" w:w="1701"/>
            <w:shd w:fill="FFFFFF" w:val="clear"/>
          </w:tcPr>
          <w:p>
            <w:r>
              <w:rPr>
                <w:sz w:val="16"/>
              </w:rPr>
              <w:t>SERVICES FINANCIER</w:t>
            </w:r>
          </w:p>
        </w:tc>
        <w:tc>
          <w:tcPr>
            <w:tcW w:type="dxa" w:w="1020"/>
            <w:shd w:fill="C6EFCE" w:val="clear"/>
          </w:tcPr>
          <w:p>
            <w:r>
              <w:rPr>
                <w:b/>
                <w:color w:val="007800"/>
                <w:sz w:val="16"/>
              </w:rPr>
              <w:t>7.5/100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#2</w:t>
            </w:r>
          </w:p>
        </w:tc>
        <w:tc>
          <w:tcPr>
            <w:tcW w:type="dxa" w:w="850"/>
            <w:shd w:fill="FFFFFF" w:val="clear"/>
          </w:tcPr>
          <w:p>
            <w:r>
              <w:rPr>
                <w:sz w:val="16"/>
              </w:rPr>
              <w:t>BOAS</w:t>
            </w:r>
          </w:p>
        </w:tc>
        <w:tc>
          <w:tcPr>
            <w:tcW w:type="dxa" w:w="2268"/>
            <w:shd w:fill="FFFFFF" w:val="clear"/>
          </w:tcPr>
          <w:p>
            <w:r>
              <w:rPr>
                <w:sz w:val="16"/>
              </w:rPr>
              <w:t>BANK OF AFRICA SENEGAL</w:t>
            </w:r>
          </w:p>
        </w:tc>
        <w:tc>
          <w:tcPr>
            <w:tcW w:type="dxa" w:w="1701"/>
            <w:shd w:fill="FFFFFF" w:val="clear"/>
          </w:tcPr>
          <w:p>
            <w:r>
              <w:rPr>
                <w:sz w:val="16"/>
              </w:rPr>
              <w:t>SERVICES FINANCIER</w:t>
            </w:r>
          </w:p>
        </w:tc>
        <w:tc>
          <w:tcPr>
            <w:tcW w:type="dxa" w:w="1020"/>
            <w:shd w:fill="C6EFCE" w:val="clear"/>
          </w:tcPr>
          <w:p>
            <w:r>
              <w:rPr>
                <w:b/>
                <w:color w:val="007800"/>
                <w:sz w:val="16"/>
              </w:rPr>
              <w:t>9.3/100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#3</w:t>
            </w:r>
          </w:p>
        </w:tc>
        <w:tc>
          <w:tcPr>
            <w:tcW w:type="dxa" w:w="850"/>
            <w:shd w:fill="FFFFFF" w:val="clear"/>
          </w:tcPr>
          <w:p>
            <w:r>
              <w:rPr>
                <w:sz w:val="16"/>
              </w:rPr>
              <w:t>SGBC</w:t>
            </w:r>
          </w:p>
        </w:tc>
        <w:tc>
          <w:tcPr>
            <w:tcW w:type="dxa" w:w="2268"/>
            <w:shd w:fill="FFFFFF" w:val="clear"/>
          </w:tcPr>
          <w:p>
            <w:r>
              <w:rPr>
                <w:sz w:val="16"/>
              </w:rPr>
              <w:t>SGBC - SOCIETE GENERALE COTE…</w:t>
            </w:r>
          </w:p>
        </w:tc>
        <w:tc>
          <w:tcPr>
            <w:tcW w:type="dxa" w:w="1701"/>
            <w:shd w:fill="FFFFFF" w:val="clear"/>
          </w:tcPr>
          <w:p>
            <w:r>
              <w:rPr>
                <w:sz w:val="16"/>
              </w:rPr>
              <w:t>SERVICES FINANCIER</w:t>
            </w:r>
          </w:p>
        </w:tc>
        <w:tc>
          <w:tcPr>
            <w:tcW w:type="dxa" w:w="1020"/>
            <w:shd w:fill="C6EFCE" w:val="clear"/>
          </w:tcPr>
          <w:p>
            <w:r>
              <w:rPr>
                <w:b/>
                <w:color w:val="007800"/>
                <w:sz w:val="16"/>
              </w:rPr>
              <w:t>9.5/100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#4</w:t>
            </w:r>
          </w:p>
        </w:tc>
        <w:tc>
          <w:tcPr>
            <w:tcW w:type="dxa" w:w="850"/>
            <w:shd w:fill="FFFFFF" w:val="clear"/>
          </w:tcPr>
          <w:p>
            <w:r>
              <w:rPr>
                <w:sz w:val="16"/>
              </w:rPr>
              <w:t>ONTBF</w:t>
            </w:r>
          </w:p>
        </w:tc>
        <w:tc>
          <w:tcPr>
            <w:tcW w:type="dxa" w:w="2268"/>
            <w:shd w:fill="FFFFFF" w:val="clear"/>
          </w:tcPr>
          <w:p>
            <w:r>
              <w:rPr>
                <w:sz w:val="16"/>
              </w:rPr>
              <w:t>ONTBF - ONATEL BURKINA FASO</w:t>
            </w:r>
          </w:p>
        </w:tc>
        <w:tc>
          <w:tcPr>
            <w:tcW w:type="dxa" w:w="1701"/>
            <w:shd w:fill="FFFFFF" w:val="clear"/>
          </w:tcPr>
          <w:p>
            <w:r>
              <w:rPr>
                <w:sz w:val="16"/>
              </w:rPr>
              <w:t>TELECOMMUNICATIONS</w:t>
            </w:r>
          </w:p>
        </w:tc>
        <w:tc>
          <w:tcPr>
            <w:tcW w:type="dxa" w:w="1020"/>
            <w:shd w:fill="C6EFCE" w:val="clear"/>
          </w:tcPr>
          <w:p>
            <w:r>
              <w:rPr>
                <w:b/>
                <w:color w:val="007800"/>
                <w:sz w:val="16"/>
              </w:rPr>
              <w:t>9.5/100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#5</w:t>
            </w:r>
          </w:p>
        </w:tc>
        <w:tc>
          <w:tcPr>
            <w:tcW w:type="dxa" w:w="850"/>
            <w:shd w:fill="FFFFFF" w:val="clear"/>
          </w:tcPr>
          <w:p>
            <w:r>
              <w:rPr>
                <w:sz w:val="16"/>
              </w:rPr>
              <w:t>STBC</w:t>
            </w:r>
          </w:p>
        </w:tc>
        <w:tc>
          <w:tcPr>
            <w:tcW w:type="dxa" w:w="2268"/>
            <w:shd w:fill="FFFFFF" w:val="clear"/>
          </w:tcPr>
          <w:p>
            <w:r>
              <w:rPr>
                <w:sz w:val="16"/>
              </w:rPr>
              <w:t>STBC - SITAB COTE D'IVOIRE</w:t>
            </w:r>
          </w:p>
        </w:tc>
        <w:tc>
          <w:tcPr>
            <w:tcW w:type="dxa" w:w="1701"/>
            <w:shd w:fill="FFFFFF" w:val="clear"/>
          </w:tcPr>
          <w:p>
            <w:r>
              <w:rPr>
                <w:sz w:val="16"/>
              </w:rPr>
              <w:t>CONSOMMATION DE BA</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bl>
    <w:p/>
    <w:p>
      <w:pPr>
        <w:pStyle w:val="Heading2"/>
      </w:pPr>
      <w:r>
        <w:t>📋 4. Tableau complet — Toutes les sociétés classées par risque</w:t>
      </w:r>
    </w:p>
    <w:p>
      <w:r>
        <w:rPr>
          <w:i/>
          <w:sz w:val="17"/>
        </w:rPr>
        <w:t>Toutes les sociétés triées par score de risque décroissant, avec le détail des 5 critères. Fond 🔴 = Élevé/Très élevé | 🟡 = Moyen | 🟢 = Faible.</w:t>
      </w:r>
    </w:p>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737"/>
            <w:shd w:fill="243F60" w:val="clear"/>
          </w:tcPr>
          <w:p>
            <w:r>
              <w:rPr>
                <w:b/>
                <w:color w:val="FFFFFF"/>
                <w:sz w:val="15"/>
              </w:rPr>
              <w:t>Sym.</w:t>
            </w:r>
          </w:p>
        </w:tc>
        <w:tc>
          <w:tcPr>
            <w:tcW w:type="dxa" w:w="1984"/>
            <w:shd w:fill="243F60" w:val="clear"/>
          </w:tcPr>
          <w:p>
            <w:r>
              <w:rPr>
                <w:b/>
                <w:color w:val="FFFFFF"/>
                <w:sz w:val="15"/>
              </w:rPr>
              <w:t>Société</w:t>
            </w:r>
          </w:p>
        </w:tc>
        <w:tc>
          <w:tcPr>
            <w:tcW w:type="dxa" w:w="1417"/>
            <w:shd w:fill="243F60" w:val="clear"/>
          </w:tcPr>
          <w:p>
            <w:r>
              <w:rPr>
                <w:b/>
                <w:color w:val="FFFFFF"/>
                <w:sz w:val="15"/>
              </w:rPr>
              <w:t>Secteur</w:t>
            </w:r>
          </w:p>
        </w:tc>
        <w:tc>
          <w:tcPr>
            <w:tcW w:type="dxa" w:w="737"/>
            <w:shd w:fill="243F60" w:val="clear"/>
          </w:tcPr>
          <w:p>
            <w:r>
              <w:rPr>
                <w:b/>
                <w:color w:val="FFFFFF"/>
                <w:sz w:val="15"/>
              </w:rPr>
              <w:t>Score</w:t>
            </w:r>
          </w:p>
        </w:tc>
        <w:tc>
          <w:tcPr>
            <w:tcW w:type="dxa" w:w="1020"/>
            <w:shd w:fill="243F60" w:val="clear"/>
          </w:tcPr>
          <w:p>
            <w:r>
              <w:rPr>
                <w:b/>
                <w:color w:val="FFFFFF"/>
                <w:sz w:val="15"/>
              </w:rPr>
              <w:t>Niveau</w:t>
            </w:r>
          </w:p>
        </w:tc>
        <w:tc>
          <w:tcPr>
            <w:tcW w:type="dxa" w:w="1134"/>
            <w:shd w:fill="243F60" w:val="clear"/>
          </w:tcPr>
          <w:p>
            <w:r>
              <w:rPr>
                <w:b/>
                <w:color w:val="FFFFFF"/>
                <w:sz w:val="15"/>
              </w:rPr>
              <w:t>Volatilité</w:t>
            </w:r>
          </w:p>
        </w:tc>
        <w:tc>
          <w:tcPr>
            <w:tcW w:type="dxa" w:w="1134"/>
            <w:shd w:fill="243F60" w:val="clear"/>
          </w:tcPr>
          <w:p>
            <w:r>
              <w:rPr>
                <w:b/>
                <w:color w:val="FFFFFF"/>
                <w:sz w:val="15"/>
              </w:rPr>
              <w:t>Bêta</w:t>
            </w:r>
          </w:p>
        </w:tc>
        <w:tc>
          <w:tcPr>
            <w:tcW w:type="dxa" w:w="1134"/>
            <w:shd w:fill="243F60" w:val="clear"/>
          </w:tcPr>
          <w:p>
            <w:r>
              <w:rPr>
                <w:b/>
                <w:color w:val="FFFFFF"/>
                <w:sz w:val="15"/>
              </w:rPr>
              <w:t>Liquidité</w:t>
            </w:r>
          </w:p>
        </w:tc>
        <w:tc>
          <w:tcPr>
            <w:tcW w:type="dxa" w:w="1757"/>
            <w:shd w:fill="243F60" w:val="clear"/>
          </w:tcPr>
          <w:p>
            <w:r>
              <w:rPr>
                <w:b/>
                <w:color w:val="FFFFFF"/>
                <w:sz w:val="15"/>
              </w:rPr>
              <w:t>Divergence / Stabilité</w:t>
            </w:r>
          </w:p>
        </w:tc>
      </w:tr>
      <w:tr>
        <w:tc>
          <w:tcPr>
            <w:tcW w:type="dxa" w:w="737"/>
            <w:shd w:fill="FFFFFF" w:val="clear"/>
          </w:tcPr>
          <w:p>
            <w:r>
              <w:rPr>
                <w:sz w:val="15"/>
              </w:rPr>
              <w:t>SICC</w:t>
            </w:r>
          </w:p>
        </w:tc>
        <w:tc>
          <w:tcPr>
            <w:tcW w:type="dxa" w:w="1984"/>
            <w:shd w:fill="FFFFFF" w:val="clear"/>
          </w:tcPr>
          <w:p>
            <w:r>
              <w:rPr>
                <w:sz w:val="15"/>
              </w:rPr>
              <w:t>SICC - SICOR COTE D'IV…</w:t>
            </w:r>
          </w:p>
        </w:tc>
        <w:tc>
          <w:tcPr>
            <w:tcW w:type="dxa" w:w="1417"/>
            <w:shd w:fill="FFFFFF" w:val="clear"/>
          </w:tcPr>
          <w:p>
            <w:r>
              <w:rPr>
                <w:sz w:val="15"/>
              </w:rPr>
              <w:t xml:space="preserve">CONSOMMATION DE </w:t>
            </w:r>
          </w:p>
        </w:tc>
        <w:tc>
          <w:tcPr>
            <w:tcW w:type="dxa" w:w="737"/>
            <w:shd w:fill="FFEB9C" w:val="clear"/>
          </w:tcPr>
          <w:p>
            <w:r>
              <w:rPr>
                <w:b/>
                <w:color w:val="825A00"/>
                <w:sz w:val="15"/>
              </w:rPr>
              <w:t>34.2</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Contre-cyclique</w:t>
            </w:r>
          </w:p>
        </w:tc>
        <w:tc>
          <w:tcPr>
            <w:tcW w:type="dxa" w:w="1134"/>
            <w:shd w:fill="FFFFFF" w:val="clear"/>
          </w:tcPr>
          <w:p>
            <w:r>
              <w:rPr>
                <w:sz w:val="15"/>
              </w:rPr>
              <w:t>Faible</w:t>
            </w:r>
          </w:p>
        </w:tc>
        <w:tc>
          <w:tcPr>
            <w:tcW w:type="dxa" w:w="1757"/>
            <w:shd w:fill="FFFFFF" w:val="clear"/>
          </w:tcPr>
          <w:p>
            <w:r>
              <w:rPr>
                <w:sz w:val="15"/>
              </w:rPr>
              <w:t>Convergent ✅ / Modérée</w:t>
            </w:r>
          </w:p>
        </w:tc>
      </w:tr>
      <w:tr>
        <w:tc>
          <w:tcPr>
            <w:tcW w:type="dxa" w:w="737"/>
            <w:shd w:fill="FFFFFF" w:val="clear"/>
          </w:tcPr>
          <w:p>
            <w:r>
              <w:rPr>
                <w:sz w:val="15"/>
              </w:rPr>
              <w:t>ETIT</w:t>
            </w:r>
          </w:p>
        </w:tc>
        <w:tc>
          <w:tcPr>
            <w:tcW w:type="dxa" w:w="1984"/>
            <w:shd w:fill="FFFFFF" w:val="clear"/>
          </w:tcPr>
          <w:p>
            <w:r>
              <w:rPr>
                <w:sz w:val="15"/>
              </w:rPr>
              <w:t>ETIT - Ecobank Transna…</w:t>
            </w:r>
          </w:p>
        </w:tc>
        <w:tc>
          <w:tcPr>
            <w:tcW w:type="dxa" w:w="1417"/>
            <w:shd w:fill="FFFFFF" w:val="clear"/>
          </w:tcPr>
          <w:p>
            <w:r>
              <w:rPr>
                <w:sz w:val="15"/>
              </w:rPr>
              <w:t>SERVICES FINANCI</w:t>
            </w:r>
          </w:p>
        </w:tc>
        <w:tc>
          <w:tcPr>
            <w:tcW w:type="dxa" w:w="737"/>
            <w:shd w:fill="FFEB9C" w:val="clear"/>
          </w:tcPr>
          <w:p>
            <w:r>
              <w:rPr>
                <w:b/>
                <w:color w:val="825A00"/>
                <w:sz w:val="15"/>
              </w:rPr>
              <w:t>33.8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Très agressif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SAFC</w:t>
            </w:r>
          </w:p>
        </w:tc>
        <w:tc>
          <w:tcPr>
            <w:tcW w:type="dxa" w:w="1984"/>
            <w:shd w:fill="FFFFFF" w:val="clear"/>
          </w:tcPr>
          <w:p>
            <w:r>
              <w:rPr>
                <w:sz w:val="15"/>
              </w:rPr>
              <w:t>SAFCA CI</w:t>
            </w:r>
          </w:p>
        </w:tc>
        <w:tc>
          <w:tcPr>
            <w:tcW w:type="dxa" w:w="1417"/>
            <w:shd w:fill="FFFFFF" w:val="clear"/>
          </w:tcPr>
          <w:p>
            <w:r>
              <w:rPr>
                <w:sz w:val="15"/>
              </w:rPr>
              <w:t>SERVICES FINANCI</w:t>
            </w:r>
          </w:p>
        </w:tc>
        <w:tc>
          <w:tcPr>
            <w:tcW w:type="dxa" w:w="737"/>
            <w:shd w:fill="FFEB9C" w:val="clear"/>
          </w:tcPr>
          <w:p>
            <w:r>
              <w:rPr>
                <w:b/>
                <w:color w:val="825A00"/>
                <w:sz w:val="15"/>
              </w:rPr>
              <w:t>32.8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STAC</w:t>
            </w:r>
          </w:p>
        </w:tc>
        <w:tc>
          <w:tcPr>
            <w:tcW w:type="dxa" w:w="1984"/>
            <w:shd w:fill="FFFFFF" w:val="clear"/>
          </w:tcPr>
          <w:p>
            <w:r>
              <w:rPr>
                <w:sz w:val="15"/>
              </w:rPr>
              <w:t>STAC - SETAO COTE D'IV…</w:t>
            </w:r>
          </w:p>
        </w:tc>
        <w:tc>
          <w:tcPr>
            <w:tcW w:type="dxa" w:w="1417"/>
            <w:shd w:fill="FFFFFF" w:val="clear"/>
          </w:tcPr>
          <w:p>
            <w:r>
              <w:rPr>
                <w:sz w:val="15"/>
              </w:rPr>
              <w:t>INDUSTRIELS</w:t>
            </w:r>
          </w:p>
        </w:tc>
        <w:tc>
          <w:tcPr>
            <w:tcW w:type="dxa" w:w="737"/>
            <w:shd w:fill="FFEB9C" w:val="clear"/>
          </w:tcPr>
          <w:p>
            <w:r>
              <w:rPr>
                <w:b/>
                <w:color w:val="825A00"/>
                <w:sz w:val="15"/>
              </w:rPr>
              <w:t>30.8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SNTS</w:t>
            </w:r>
          </w:p>
        </w:tc>
        <w:tc>
          <w:tcPr>
            <w:tcW w:type="dxa" w:w="1984"/>
            <w:shd w:fill="FFFFFF" w:val="clear"/>
          </w:tcPr>
          <w:p>
            <w:r>
              <w:rPr>
                <w:sz w:val="15"/>
              </w:rPr>
              <w:t>SNTS - SONATEL SN</w:t>
            </w:r>
          </w:p>
        </w:tc>
        <w:tc>
          <w:tcPr>
            <w:tcW w:type="dxa" w:w="1417"/>
            <w:shd w:fill="FFFFFF" w:val="clear"/>
          </w:tcPr>
          <w:p>
            <w:r>
              <w:rPr>
                <w:sz w:val="15"/>
              </w:rPr>
              <w:t>TELECOMMUNICATIO</w:t>
            </w:r>
          </w:p>
        </w:tc>
        <w:tc>
          <w:tcPr>
            <w:tcW w:type="dxa" w:w="737"/>
            <w:shd w:fill="FFEB9C" w:val="clear"/>
          </w:tcPr>
          <w:p>
            <w:r>
              <w:rPr>
                <w:b/>
                <w:color w:val="825A00"/>
                <w:sz w:val="15"/>
              </w:rPr>
              <w:t>29.3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Agressif</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UNLC</w:t>
            </w:r>
          </w:p>
        </w:tc>
        <w:tc>
          <w:tcPr>
            <w:tcW w:type="dxa" w:w="1984"/>
            <w:shd w:fill="FFFFFF" w:val="clear"/>
          </w:tcPr>
          <w:p>
            <w:r>
              <w:rPr>
                <w:sz w:val="15"/>
              </w:rPr>
              <w:t>UNLC - UNILEVER COTE D…</w:t>
            </w:r>
          </w:p>
        </w:tc>
        <w:tc>
          <w:tcPr>
            <w:tcW w:type="dxa" w:w="1417"/>
            <w:shd w:fill="FFFFFF" w:val="clear"/>
          </w:tcPr>
          <w:p>
            <w:r>
              <w:rPr>
                <w:sz w:val="15"/>
              </w:rPr>
              <w:t xml:space="preserve">CONSOMMATION DE </w:t>
            </w:r>
          </w:p>
        </w:tc>
        <w:tc>
          <w:tcPr>
            <w:tcW w:type="dxa" w:w="737"/>
            <w:shd w:fill="FFEB9C" w:val="clear"/>
          </w:tcPr>
          <w:p>
            <w:r>
              <w:rPr>
                <w:b/>
                <w:color w:val="825A00"/>
                <w:sz w:val="15"/>
              </w:rPr>
              <w:t>26.6</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Très faible</w:t>
            </w:r>
          </w:p>
        </w:tc>
        <w:tc>
          <w:tcPr>
            <w:tcW w:type="dxa" w:w="1757"/>
            <w:shd w:fill="FFFFFF" w:val="clear"/>
          </w:tcPr>
          <w:p>
            <w:r>
              <w:rPr>
                <w:sz w:val="15"/>
              </w:rPr>
              <w:t>Très divergent ❌ / Modérée</w:t>
            </w:r>
          </w:p>
        </w:tc>
      </w:tr>
      <w:tr>
        <w:tc>
          <w:tcPr>
            <w:tcW w:type="dxa" w:w="737"/>
            <w:shd w:fill="FFFFFF" w:val="clear"/>
          </w:tcPr>
          <w:p>
            <w:r>
              <w:rPr>
                <w:sz w:val="15"/>
              </w:rPr>
              <w:t>BICB</w:t>
            </w:r>
          </w:p>
        </w:tc>
        <w:tc>
          <w:tcPr>
            <w:tcW w:type="dxa" w:w="1984"/>
            <w:shd w:fill="FFFFFF" w:val="clear"/>
          </w:tcPr>
          <w:p>
            <w:r>
              <w:rPr>
                <w:sz w:val="15"/>
              </w:rPr>
              <w:t>BIIC BN - Banque inter…</w:t>
            </w:r>
          </w:p>
        </w:tc>
        <w:tc>
          <w:tcPr>
            <w:tcW w:type="dxa" w:w="1417"/>
            <w:shd w:fill="FFFFFF" w:val="clear"/>
          </w:tcPr>
          <w:p>
            <w:r>
              <w:rPr>
                <w:sz w:val="15"/>
              </w:rPr>
              <w:t>SERVICES FINANCI</w:t>
            </w:r>
          </w:p>
        </w:tc>
        <w:tc>
          <w:tcPr>
            <w:tcW w:type="dxa" w:w="737"/>
            <w:shd w:fill="FFEB9C" w:val="clear"/>
          </w:tcPr>
          <w:p>
            <w:r>
              <w:rPr>
                <w:b/>
                <w:color w:val="825A00"/>
                <w:sz w:val="15"/>
              </w:rPr>
              <w:t>26.3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Neutre (suit le marc</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BOABF</w:t>
            </w:r>
          </w:p>
        </w:tc>
        <w:tc>
          <w:tcPr>
            <w:tcW w:type="dxa" w:w="1984"/>
            <w:shd w:fill="FFFFFF" w:val="clear"/>
          </w:tcPr>
          <w:p>
            <w:r>
              <w:rPr>
                <w:sz w:val="15"/>
              </w:rPr>
              <w:t>BANK OF AFRICA BURKINA…</w:t>
            </w:r>
          </w:p>
        </w:tc>
        <w:tc>
          <w:tcPr>
            <w:tcW w:type="dxa" w:w="1417"/>
            <w:shd w:fill="FFFFFF" w:val="clear"/>
          </w:tcPr>
          <w:p>
            <w:r>
              <w:rPr>
                <w:sz w:val="15"/>
              </w:rPr>
              <w:t>SERVICES FINANCI</w:t>
            </w:r>
          </w:p>
        </w:tc>
        <w:tc>
          <w:tcPr>
            <w:tcW w:type="dxa" w:w="737"/>
            <w:shd w:fill="FFEB9C" w:val="clear"/>
          </w:tcPr>
          <w:p>
            <w:r>
              <w:rPr>
                <w:b/>
                <w:color w:val="825A00"/>
                <w:sz w:val="15"/>
              </w:rPr>
              <w:t>24.5</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SCRC</w:t>
            </w:r>
          </w:p>
        </w:tc>
        <w:tc>
          <w:tcPr>
            <w:tcW w:type="dxa" w:w="1984"/>
            <w:shd w:fill="FFFFFF" w:val="clear"/>
          </w:tcPr>
          <w:p>
            <w:r>
              <w:rPr>
                <w:sz w:val="15"/>
              </w:rPr>
              <w:t>SCRC - SUCRIVOIRE</w:t>
            </w:r>
          </w:p>
        </w:tc>
        <w:tc>
          <w:tcPr>
            <w:tcW w:type="dxa" w:w="1417"/>
            <w:shd w:fill="FFFFFF" w:val="clear"/>
          </w:tcPr>
          <w:p>
            <w:r>
              <w:rPr>
                <w:sz w:val="15"/>
              </w:rPr>
              <w:t xml:space="preserve">CONSOMMATION DE </w:t>
            </w:r>
          </w:p>
        </w:tc>
        <w:tc>
          <w:tcPr>
            <w:tcW w:type="dxa" w:w="737"/>
            <w:shd w:fill="FFEB9C" w:val="clear"/>
          </w:tcPr>
          <w:p>
            <w:r>
              <w:rPr>
                <w:b/>
                <w:color w:val="825A00"/>
                <w:sz w:val="15"/>
              </w:rPr>
              <w:t>23.6</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Excellente</w:t>
            </w:r>
          </w:p>
        </w:tc>
        <w:tc>
          <w:tcPr>
            <w:tcW w:type="dxa" w:w="1757"/>
            <w:shd w:fill="FFFFFF" w:val="clear"/>
          </w:tcPr>
          <w:p>
            <w:r>
              <w:rPr>
                <w:sz w:val="15"/>
              </w:rPr>
              <w:t>Très divergent ❌ / Modérée</w:t>
            </w:r>
          </w:p>
        </w:tc>
      </w:tr>
      <w:tr>
        <w:tc>
          <w:tcPr>
            <w:tcW w:type="dxa" w:w="737"/>
            <w:shd w:fill="FFFFFF" w:val="clear"/>
          </w:tcPr>
          <w:p>
            <w:r>
              <w:rPr>
                <w:sz w:val="15"/>
              </w:rPr>
              <w:t>BICC</w:t>
            </w:r>
          </w:p>
        </w:tc>
        <w:tc>
          <w:tcPr>
            <w:tcW w:type="dxa" w:w="1984"/>
            <w:shd w:fill="FFFFFF" w:val="clear"/>
          </w:tcPr>
          <w:p>
            <w:r>
              <w:rPr>
                <w:sz w:val="15"/>
              </w:rPr>
              <w:t>BICI CI - Banque inter…</w:t>
            </w:r>
          </w:p>
        </w:tc>
        <w:tc>
          <w:tcPr>
            <w:tcW w:type="dxa" w:w="1417"/>
            <w:shd w:fill="FFFFFF" w:val="clear"/>
          </w:tcPr>
          <w:p>
            <w:r>
              <w:rPr>
                <w:sz w:val="15"/>
              </w:rPr>
              <w:t>SERVICES FINANCI</w:t>
            </w:r>
          </w:p>
        </w:tc>
        <w:tc>
          <w:tcPr>
            <w:tcW w:type="dxa" w:w="737"/>
            <w:shd w:fill="FFEB9C" w:val="clear"/>
          </w:tcPr>
          <w:p>
            <w:r>
              <w:rPr>
                <w:b/>
                <w:color w:val="825A00"/>
                <w:sz w:val="15"/>
              </w:rPr>
              <w:t>22.3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Faible</w:t>
            </w:r>
          </w:p>
        </w:tc>
        <w:tc>
          <w:tcPr>
            <w:tcW w:type="dxa" w:w="1757"/>
            <w:shd w:fill="FFFFFF" w:val="clear"/>
          </w:tcPr>
          <w:p>
            <w:r>
              <w:rPr>
                <w:sz w:val="15"/>
              </w:rPr>
              <w:t>Mixte ⚠️ / Stable</w:t>
            </w:r>
          </w:p>
        </w:tc>
      </w:tr>
      <w:tr>
        <w:tc>
          <w:tcPr>
            <w:tcW w:type="dxa" w:w="737"/>
            <w:shd w:fill="FFFFFF" w:val="clear"/>
          </w:tcPr>
          <w:p>
            <w:r>
              <w:rPr>
                <w:sz w:val="15"/>
              </w:rPr>
              <w:t>BOAM</w:t>
            </w:r>
          </w:p>
        </w:tc>
        <w:tc>
          <w:tcPr>
            <w:tcW w:type="dxa" w:w="1984"/>
            <w:shd w:fill="FFFFFF" w:val="clear"/>
          </w:tcPr>
          <w:p>
            <w:r>
              <w:rPr>
                <w:sz w:val="15"/>
              </w:rPr>
              <w:t>BANK OF AFRICA MALI</w:t>
            </w:r>
          </w:p>
        </w:tc>
        <w:tc>
          <w:tcPr>
            <w:tcW w:type="dxa" w:w="1417"/>
            <w:shd w:fill="FFFFFF" w:val="clear"/>
          </w:tcPr>
          <w:p>
            <w:r>
              <w:rPr>
                <w:sz w:val="15"/>
              </w:rPr>
              <w:t>SERVICES FINANCI</w:t>
            </w:r>
          </w:p>
        </w:tc>
        <w:tc>
          <w:tcPr>
            <w:tcW w:type="dxa" w:w="737"/>
            <w:shd w:fill="FFEB9C" w:val="clear"/>
          </w:tcPr>
          <w:p>
            <w:r>
              <w:rPr>
                <w:b/>
                <w:color w:val="825A00"/>
                <w:sz w:val="15"/>
              </w:rPr>
              <w:t>22.3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BOAN</w:t>
            </w:r>
          </w:p>
        </w:tc>
        <w:tc>
          <w:tcPr>
            <w:tcW w:type="dxa" w:w="1984"/>
            <w:shd w:fill="FFFFFF" w:val="clear"/>
          </w:tcPr>
          <w:p>
            <w:r>
              <w:rPr>
                <w:sz w:val="15"/>
              </w:rPr>
              <w:t>BANK OF AFRICA NIGER</w:t>
            </w:r>
          </w:p>
        </w:tc>
        <w:tc>
          <w:tcPr>
            <w:tcW w:type="dxa" w:w="1417"/>
            <w:shd w:fill="FFFFFF" w:val="clear"/>
          </w:tcPr>
          <w:p>
            <w:r>
              <w:rPr>
                <w:sz w:val="15"/>
              </w:rPr>
              <w:t>SERVICES FINANCI</w:t>
            </w:r>
          </w:p>
        </w:tc>
        <w:tc>
          <w:tcPr>
            <w:tcW w:type="dxa" w:w="737"/>
            <w:shd w:fill="FFEB9C" w:val="clear"/>
          </w:tcPr>
          <w:p>
            <w:r>
              <w:rPr>
                <w:b/>
                <w:color w:val="825A00"/>
                <w:sz w:val="15"/>
              </w:rPr>
              <w:t>22.3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CBIBF</w:t>
            </w:r>
          </w:p>
        </w:tc>
        <w:tc>
          <w:tcPr>
            <w:tcW w:type="dxa" w:w="1984"/>
            <w:shd w:fill="FFFFFF" w:val="clear"/>
          </w:tcPr>
          <w:p>
            <w:r>
              <w:rPr>
                <w:sz w:val="15"/>
              </w:rPr>
              <w:t>CBIBF - CORIS BANK INT…</w:t>
            </w:r>
          </w:p>
        </w:tc>
        <w:tc>
          <w:tcPr>
            <w:tcW w:type="dxa" w:w="1417"/>
            <w:shd w:fill="FFFFFF" w:val="clear"/>
          </w:tcPr>
          <w:p>
            <w:r>
              <w:rPr>
                <w:sz w:val="15"/>
              </w:rPr>
              <w:t>SERVICES FINANCI</w:t>
            </w:r>
          </w:p>
        </w:tc>
        <w:tc>
          <w:tcPr>
            <w:tcW w:type="dxa" w:w="737"/>
            <w:shd w:fill="FFEB9C" w:val="clear"/>
          </w:tcPr>
          <w:p>
            <w:r>
              <w:rPr>
                <w:b/>
                <w:color w:val="825A00"/>
                <w:sz w:val="15"/>
              </w:rPr>
              <w:t>22.3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ORAC</w:t>
            </w:r>
          </w:p>
        </w:tc>
        <w:tc>
          <w:tcPr>
            <w:tcW w:type="dxa" w:w="1984"/>
            <w:shd w:fill="FFFFFF" w:val="clear"/>
          </w:tcPr>
          <w:p>
            <w:r>
              <w:rPr>
                <w:sz w:val="15"/>
              </w:rPr>
              <w:t>ORAC - ORANGE COTE D'I…</w:t>
            </w:r>
          </w:p>
        </w:tc>
        <w:tc>
          <w:tcPr>
            <w:tcW w:type="dxa" w:w="1417"/>
            <w:shd w:fill="FFFFFF" w:val="clear"/>
          </w:tcPr>
          <w:p>
            <w:r>
              <w:rPr>
                <w:sz w:val="15"/>
              </w:rPr>
              <w:t>TELECOMMUNICATIO</w:t>
            </w:r>
          </w:p>
        </w:tc>
        <w:tc>
          <w:tcPr>
            <w:tcW w:type="dxa" w:w="737"/>
            <w:shd w:fill="FFEB9C" w:val="clear"/>
          </w:tcPr>
          <w:p>
            <w:r>
              <w:rPr>
                <w:b/>
                <w:color w:val="825A00"/>
                <w:sz w:val="15"/>
              </w:rPr>
              <w:t>22.3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BBGC</w:t>
            </w:r>
          </w:p>
        </w:tc>
        <w:tc>
          <w:tcPr>
            <w:tcW w:type="dxa" w:w="1984"/>
            <w:shd w:fill="FFFFFF" w:val="clear"/>
          </w:tcPr>
          <w:p>
            <w:r>
              <w:rPr>
                <w:sz w:val="15"/>
              </w:rPr>
              <w:t>BRIDGE BANK GROUP COTE…</w:t>
            </w:r>
          </w:p>
        </w:tc>
        <w:tc>
          <w:tcPr>
            <w:tcW w:type="dxa" w:w="1417"/>
            <w:shd w:fill="FFFFFF" w:val="clear"/>
          </w:tcPr>
          <w:p>
            <w:r>
              <w:rPr>
                <w:sz w:val="15"/>
              </w:rPr>
              <w:t>Services Financi</w:t>
            </w:r>
          </w:p>
        </w:tc>
        <w:tc>
          <w:tcPr>
            <w:tcW w:type="dxa" w:w="737"/>
            <w:shd w:fill="FFEB9C" w:val="clear"/>
          </w:tcPr>
          <w:p>
            <w:r>
              <w:rPr>
                <w:b/>
                <w:color w:val="825A00"/>
                <w:sz w:val="15"/>
              </w:rPr>
              <w:t>22.2</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Excellente</w:t>
            </w:r>
          </w:p>
        </w:tc>
        <w:tc>
          <w:tcPr>
            <w:tcW w:type="dxa" w:w="1757"/>
            <w:shd w:fill="FFFFFF" w:val="clear"/>
          </w:tcPr>
          <w:p>
            <w:r>
              <w:rPr>
                <w:sz w:val="15"/>
              </w:rPr>
              <w:t>Convergent ✅ / Modérée</w:t>
            </w:r>
          </w:p>
        </w:tc>
      </w:tr>
      <w:tr>
        <w:tc>
          <w:tcPr>
            <w:tcW w:type="dxa" w:w="737"/>
            <w:shd w:fill="FFFFFF" w:val="clear"/>
          </w:tcPr>
          <w:p>
            <w:r>
              <w:rPr>
                <w:sz w:val="15"/>
              </w:rPr>
              <w:t>CFAC</w:t>
            </w:r>
          </w:p>
        </w:tc>
        <w:tc>
          <w:tcPr>
            <w:tcW w:type="dxa" w:w="1984"/>
            <w:shd w:fill="FFFFFF" w:val="clear"/>
          </w:tcPr>
          <w:p>
            <w:r>
              <w:rPr>
                <w:sz w:val="15"/>
              </w:rPr>
              <w:t>CFAC - CFAO MOTORS CI</w:t>
            </w:r>
          </w:p>
        </w:tc>
        <w:tc>
          <w:tcPr>
            <w:tcW w:type="dxa" w:w="1417"/>
            <w:shd w:fill="FFFFFF" w:val="clear"/>
          </w:tcPr>
          <w:p>
            <w:r>
              <w:rPr>
                <w:sz w:val="15"/>
              </w:rPr>
              <w:t>CONSOMMATION DIS</w:t>
            </w:r>
          </w:p>
        </w:tc>
        <w:tc>
          <w:tcPr>
            <w:tcW w:type="dxa" w:w="737"/>
            <w:shd w:fill="FFEB9C" w:val="clear"/>
          </w:tcPr>
          <w:p>
            <w:r>
              <w:rPr>
                <w:b/>
                <w:color w:val="825A00"/>
                <w:sz w:val="15"/>
              </w:rPr>
              <w:t>21.1</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SHEC</w:t>
            </w:r>
          </w:p>
        </w:tc>
        <w:tc>
          <w:tcPr>
            <w:tcW w:type="dxa" w:w="1984"/>
            <w:shd w:fill="FFFFFF" w:val="clear"/>
          </w:tcPr>
          <w:p>
            <w:r>
              <w:rPr>
                <w:sz w:val="15"/>
              </w:rPr>
              <w:t>SHEC - VIVO ENERGY COT…</w:t>
            </w:r>
          </w:p>
        </w:tc>
        <w:tc>
          <w:tcPr>
            <w:tcW w:type="dxa" w:w="1417"/>
            <w:shd w:fill="FFFFFF" w:val="clear"/>
          </w:tcPr>
          <w:p>
            <w:r>
              <w:rPr>
                <w:sz w:val="15"/>
              </w:rPr>
              <w:t>ENERGIE</w:t>
            </w:r>
          </w:p>
        </w:tc>
        <w:tc>
          <w:tcPr>
            <w:tcW w:type="dxa" w:w="737"/>
            <w:shd w:fill="FFEB9C" w:val="clear"/>
          </w:tcPr>
          <w:p>
            <w:r>
              <w:rPr>
                <w:b/>
                <w:color w:val="825A00"/>
                <w:sz w:val="15"/>
              </w:rPr>
              <w:t>21.1</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CIEC</w:t>
            </w:r>
          </w:p>
        </w:tc>
        <w:tc>
          <w:tcPr>
            <w:tcW w:type="dxa" w:w="1984"/>
            <w:shd w:fill="FFFFFF" w:val="clear"/>
          </w:tcPr>
          <w:p>
            <w:r>
              <w:rPr>
                <w:sz w:val="15"/>
              </w:rPr>
              <w:t>CIEC - Compagnie Ivoir…</w:t>
            </w:r>
          </w:p>
        </w:tc>
        <w:tc>
          <w:tcPr>
            <w:tcW w:type="dxa" w:w="1417"/>
            <w:shd w:fill="FFFFFF" w:val="clear"/>
          </w:tcPr>
          <w:p>
            <w:r>
              <w:rPr>
                <w:sz w:val="15"/>
              </w:rPr>
              <w:t>SERVICES PUBLICS</w:t>
            </w:r>
          </w:p>
        </w:tc>
        <w:tc>
          <w:tcPr>
            <w:tcW w:type="dxa" w:w="737"/>
            <w:shd w:fill="FFEB9C" w:val="clear"/>
          </w:tcPr>
          <w:p>
            <w:r>
              <w:rPr>
                <w:b/>
                <w:color w:val="825A00"/>
                <w:sz w:val="15"/>
              </w:rPr>
              <w:t>20.6</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Modérée</w:t>
            </w:r>
          </w:p>
        </w:tc>
      </w:tr>
      <w:tr>
        <w:tc>
          <w:tcPr>
            <w:tcW w:type="dxa" w:w="737"/>
            <w:shd w:fill="FFFFFF" w:val="clear"/>
          </w:tcPr>
          <w:p>
            <w:r>
              <w:rPr>
                <w:sz w:val="15"/>
              </w:rPr>
              <w:t>NEIC</w:t>
            </w:r>
          </w:p>
        </w:tc>
        <w:tc>
          <w:tcPr>
            <w:tcW w:type="dxa" w:w="1984"/>
            <w:shd w:fill="FFFFFF" w:val="clear"/>
          </w:tcPr>
          <w:p>
            <w:r>
              <w:rPr>
                <w:sz w:val="15"/>
              </w:rPr>
              <w:t>NEIC - NEI-CEDA CI</w:t>
            </w:r>
          </w:p>
        </w:tc>
        <w:tc>
          <w:tcPr>
            <w:tcW w:type="dxa" w:w="1417"/>
            <w:shd w:fill="FFFFFF" w:val="clear"/>
          </w:tcPr>
          <w:p>
            <w:r>
              <w:rPr>
                <w:sz w:val="15"/>
              </w:rPr>
              <w:t>CONSOMMATION DIS</w:t>
            </w:r>
          </w:p>
        </w:tc>
        <w:tc>
          <w:tcPr>
            <w:tcW w:type="dxa" w:w="737"/>
            <w:shd w:fill="FFEB9C" w:val="clear"/>
          </w:tcPr>
          <w:p>
            <w:r>
              <w:rPr>
                <w:b/>
                <w:color w:val="825A00"/>
                <w:sz w:val="15"/>
              </w:rPr>
              <w:t>20.6</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Modérée</w:t>
            </w:r>
          </w:p>
        </w:tc>
      </w:tr>
      <w:tr>
        <w:tc>
          <w:tcPr>
            <w:tcW w:type="dxa" w:w="737"/>
            <w:shd w:fill="FFFFFF" w:val="clear"/>
          </w:tcPr>
          <w:p>
            <w:r>
              <w:rPr>
                <w:sz w:val="15"/>
              </w:rPr>
              <w:t>SIVC</w:t>
            </w:r>
          </w:p>
        </w:tc>
        <w:tc>
          <w:tcPr>
            <w:tcW w:type="dxa" w:w="1984"/>
            <w:shd w:fill="FFFFFF" w:val="clear"/>
          </w:tcPr>
          <w:p>
            <w:r>
              <w:rPr>
                <w:sz w:val="15"/>
              </w:rPr>
              <w:t>SIVC - ERIUM CI (Ex AI…</w:t>
            </w:r>
          </w:p>
        </w:tc>
        <w:tc>
          <w:tcPr>
            <w:tcW w:type="dxa" w:w="1417"/>
            <w:shd w:fill="FFFFFF" w:val="clear"/>
          </w:tcPr>
          <w:p>
            <w:r>
              <w:rPr>
                <w:sz w:val="15"/>
              </w:rPr>
              <w:t>INDUSTRIELS</w:t>
            </w:r>
          </w:p>
        </w:tc>
        <w:tc>
          <w:tcPr>
            <w:tcW w:type="dxa" w:w="737"/>
            <w:shd w:fill="FFEB9C" w:val="clear"/>
          </w:tcPr>
          <w:p>
            <w:r>
              <w:rPr>
                <w:b/>
                <w:color w:val="825A00"/>
                <w:sz w:val="15"/>
              </w:rPr>
              <w:t>20.6</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Modérée</w:t>
            </w:r>
          </w:p>
        </w:tc>
      </w:tr>
      <w:tr>
        <w:tc>
          <w:tcPr>
            <w:tcW w:type="dxa" w:w="737"/>
            <w:shd w:fill="FFFFFF" w:val="clear"/>
          </w:tcPr>
          <w:p>
            <w:r>
              <w:rPr>
                <w:sz w:val="15"/>
              </w:rPr>
              <w:t>NSBC</w:t>
            </w:r>
          </w:p>
        </w:tc>
        <w:tc>
          <w:tcPr>
            <w:tcW w:type="dxa" w:w="1984"/>
            <w:shd w:fill="FFFFFF" w:val="clear"/>
          </w:tcPr>
          <w:p>
            <w:r>
              <w:rPr>
                <w:sz w:val="15"/>
              </w:rPr>
              <w:t>NSBC - NSIA BANQUE COT…</w:t>
            </w:r>
          </w:p>
        </w:tc>
        <w:tc>
          <w:tcPr>
            <w:tcW w:type="dxa" w:w="1417"/>
            <w:shd w:fill="FFFFFF" w:val="clear"/>
          </w:tcPr>
          <w:p>
            <w:r>
              <w:rPr>
                <w:sz w:val="15"/>
              </w:rPr>
              <w:t>SERVICES FINANCI</w:t>
            </w:r>
          </w:p>
        </w:tc>
        <w:tc>
          <w:tcPr>
            <w:tcW w:type="dxa" w:w="737"/>
            <w:shd w:fill="C6EFCE" w:val="clear"/>
          </w:tcPr>
          <w:p>
            <w:r>
              <w:rPr>
                <w:b/>
                <w:color w:val="006400"/>
                <w:sz w:val="15"/>
              </w:rPr>
              <w:t>19.3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ORGT</w:t>
            </w:r>
          </w:p>
        </w:tc>
        <w:tc>
          <w:tcPr>
            <w:tcW w:type="dxa" w:w="1984"/>
            <w:shd w:fill="FFFFFF" w:val="clear"/>
          </w:tcPr>
          <w:p>
            <w:r>
              <w:rPr>
                <w:sz w:val="15"/>
              </w:rPr>
              <w:t>ORGT - ORAGROUP TOGO</w:t>
            </w:r>
          </w:p>
        </w:tc>
        <w:tc>
          <w:tcPr>
            <w:tcW w:type="dxa" w:w="1417"/>
            <w:shd w:fill="FFFFFF" w:val="clear"/>
          </w:tcPr>
          <w:p>
            <w:r>
              <w:rPr>
                <w:sz w:val="15"/>
              </w:rPr>
              <w:t>SERVICES FINANCI</w:t>
            </w:r>
          </w:p>
        </w:tc>
        <w:tc>
          <w:tcPr>
            <w:tcW w:type="dxa" w:w="737"/>
            <w:shd w:fill="C6EFCE" w:val="clear"/>
          </w:tcPr>
          <w:p>
            <w:r>
              <w:rPr>
                <w:b/>
                <w:color w:val="006400"/>
                <w:sz w:val="15"/>
              </w:rPr>
              <w:t>19.3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ABJC</w:t>
            </w:r>
          </w:p>
        </w:tc>
        <w:tc>
          <w:tcPr>
            <w:tcW w:type="dxa" w:w="1984"/>
            <w:shd w:fill="FFFFFF" w:val="clear"/>
          </w:tcPr>
          <w:p>
            <w:r>
              <w:rPr>
                <w:sz w:val="15"/>
              </w:rPr>
              <w:t>ABJC - SERVAIR ABIDJAN…</w:t>
            </w:r>
          </w:p>
        </w:tc>
        <w:tc>
          <w:tcPr>
            <w:tcW w:type="dxa" w:w="1417"/>
            <w:shd w:fill="FFFFFF" w:val="clear"/>
          </w:tcPr>
          <w:p>
            <w:r>
              <w:rPr>
                <w:sz w:val="15"/>
              </w:rPr>
              <w:t>CONSOMMATION DIS</w:t>
            </w:r>
          </w:p>
        </w:tc>
        <w:tc>
          <w:tcPr>
            <w:tcW w:type="dxa" w:w="737"/>
            <w:shd w:fill="C6EFCE" w:val="clear"/>
          </w:tcPr>
          <w:p>
            <w:r>
              <w:rPr>
                <w:b/>
                <w:color w:val="006400"/>
                <w:sz w:val="15"/>
              </w:rPr>
              <w:t>19.1</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SDCC</w:t>
            </w:r>
          </w:p>
        </w:tc>
        <w:tc>
          <w:tcPr>
            <w:tcW w:type="dxa" w:w="1984"/>
            <w:shd w:fill="FFFFFF" w:val="clear"/>
          </w:tcPr>
          <w:p>
            <w:r>
              <w:rPr>
                <w:sz w:val="15"/>
              </w:rPr>
              <w:t>SDCC - Société de Dist…</w:t>
            </w:r>
          </w:p>
        </w:tc>
        <w:tc>
          <w:tcPr>
            <w:tcW w:type="dxa" w:w="1417"/>
            <w:shd w:fill="FFFFFF" w:val="clear"/>
          </w:tcPr>
          <w:p>
            <w:r>
              <w:rPr>
                <w:sz w:val="15"/>
              </w:rPr>
              <w:t>SERVICES PUBLICS</w:t>
            </w:r>
          </w:p>
        </w:tc>
        <w:tc>
          <w:tcPr>
            <w:tcW w:type="dxa" w:w="737"/>
            <w:shd w:fill="C6EFCE" w:val="clear"/>
          </w:tcPr>
          <w:p>
            <w:r>
              <w:rPr>
                <w:b/>
                <w:color w:val="006400"/>
                <w:sz w:val="15"/>
              </w:rPr>
              <w:t>19.1</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BNBC</w:t>
            </w:r>
          </w:p>
        </w:tc>
        <w:tc>
          <w:tcPr>
            <w:tcW w:type="dxa" w:w="1984"/>
            <w:shd w:fill="FFFFFF" w:val="clear"/>
          </w:tcPr>
          <w:p>
            <w:r>
              <w:rPr>
                <w:sz w:val="15"/>
              </w:rPr>
              <w:t>BNBC - BERNABE CI</w:t>
            </w:r>
          </w:p>
        </w:tc>
        <w:tc>
          <w:tcPr>
            <w:tcW w:type="dxa" w:w="1417"/>
            <w:shd w:fill="FFFFFF" w:val="clear"/>
          </w:tcPr>
          <w:p>
            <w:r>
              <w:rPr>
                <w:sz w:val="15"/>
              </w:rPr>
              <w:t>CONSOMMATION DIS</w:t>
            </w:r>
          </w:p>
        </w:tc>
        <w:tc>
          <w:tcPr>
            <w:tcW w:type="dxa" w:w="737"/>
            <w:shd w:fill="C6EFCE" w:val="clear"/>
          </w:tcPr>
          <w:p>
            <w:r>
              <w:rPr>
                <w:b/>
                <w:color w:val="006400"/>
                <w:sz w:val="15"/>
              </w:rPr>
              <w:t>18.8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CABC</w:t>
            </w:r>
          </w:p>
        </w:tc>
        <w:tc>
          <w:tcPr>
            <w:tcW w:type="dxa" w:w="1984"/>
            <w:shd w:fill="FFFFFF" w:val="clear"/>
          </w:tcPr>
          <w:p>
            <w:r>
              <w:rPr>
                <w:sz w:val="15"/>
              </w:rPr>
              <w:t>CABC - SICABLE COTE D'…</w:t>
            </w:r>
          </w:p>
        </w:tc>
        <w:tc>
          <w:tcPr>
            <w:tcW w:type="dxa" w:w="1417"/>
            <w:shd w:fill="FFFFFF" w:val="clear"/>
          </w:tcPr>
          <w:p>
            <w:r>
              <w:rPr>
                <w:sz w:val="15"/>
              </w:rPr>
              <w:t>INDUSTRIELS</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FTSC</w:t>
            </w:r>
          </w:p>
        </w:tc>
        <w:tc>
          <w:tcPr>
            <w:tcW w:type="dxa" w:w="1984"/>
            <w:shd w:fill="FFFFFF" w:val="clear"/>
          </w:tcPr>
          <w:p>
            <w:r>
              <w:rPr>
                <w:sz w:val="15"/>
              </w:rPr>
              <w:t>FTSC - FILTISAC COTE D…</w:t>
            </w:r>
          </w:p>
        </w:tc>
        <w:tc>
          <w:tcPr>
            <w:tcW w:type="dxa" w:w="1417"/>
            <w:shd w:fill="FFFFFF" w:val="clear"/>
          </w:tcPr>
          <w:p>
            <w:r>
              <w:rPr>
                <w:sz w:val="15"/>
              </w:rPr>
              <w:t>INDUSTRIELS</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NTLC</w:t>
            </w:r>
          </w:p>
        </w:tc>
        <w:tc>
          <w:tcPr>
            <w:tcW w:type="dxa" w:w="1984"/>
            <w:shd w:fill="FFFFFF" w:val="clear"/>
          </w:tcPr>
          <w:p>
            <w:r>
              <w:rPr>
                <w:sz w:val="15"/>
              </w:rPr>
              <w:t>NTLC - NESTLE COTE D'I…</w:t>
            </w:r>
          </w:p>
        </w:tc>
        <w:tc>
          <w:tcPr>
            <w:tcW w:type="dxa" w:w="1417"/>
            <w:shd w:fill="FFFFFF" w:val="clear"/>
          </w:tcPr>
          <w:p>
            <w:r>
              <w:rPr>
                <w:sz w:val="15"/>
              </w:rPr>
              <w:t xml:space="preserve">CONSOMMATION DE </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PALC</w:t>
            </w:r>
          </w:p>
        </w:tc>
        <w:tc>
          <w:tcPr>
            <w:tcW w:type="dxa" w:w="1984"/>
            <w:shd w:fill="FFFFFF" w:val="clear"/>
          </w:tcPr>
          <w:p>
            <w:r>
              <w:rPr>
                <w:sz w:val="15"/>
              </w:rPr>
              <w:t>PALC - PALM COTE D'IVO…</w:t>
            </w:r>
          </w:p>
        </w:tc>
        <w:tc>
          <w:tcPr>
            <w:tcW w:type="dxa" w:w="1417"/>
            <w:shd w:fill="FFFFFF" w:val="clear"/>
          </w:tcPr>
          <w:p>
            <w:r>
              <w:rPr>
                <w:sz w:val="15"/>
              </w:rPr>
              <w:t xml:space="preserve">CONSOMMATION DE </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SMBC</w:t>
            </w:r>
          </w:p>
        </w:tc>
        <w:tc>
          <w:tcPr>
            <w:tcW w:type="dxa" w:w="1984"/>
            <w:shd w:fill="FFFFFF" w:val="clear"/>
          </w:tcPr>
          <w:p>
            <w:r>
              <w:rPr>
                <w:sz w:val="15"/>
              </w:rPr>
              <w:t>SMBC - Société Multina…</w:t>
            </w:r>
          </w:p>
        </w:tc>
        <w:tc>
          <w:tcPr>
            <w:tcW w:type="dxa" w:w="1417"/>
            <w:shd w:fill="FFFFFF" w:val="clear"/>
          </w:tcPr>
          <w:p>
            <w:r>
              <w:rPr>
                <w:sz w:val="15"/>
              </w:rPr>
              <w:t>ENERGIE</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SPHC</w:t>
            </w:r>
          </w:p>
        </w:tc>
        <w:tc>
          <w:tcPr>
            <w:tcW w:type="dxa" w:w="1984"/>
            <w:shd w:fill="FFFFFF" w:val="clear"/>
          </w:tcPr>
          <w:p>
            <w:r>
              <w:rPr>
                <w:sz w:val="15"/>
              </w:rPr>
              <w:t>SPHC - Société Africai…</w:t>
            </w:r>
          </w:p>
        </w:tc>
        <w:tc>
          <w:tcPr>
            <w:tcW w:type="dxa" w:w="1417"/>
            <w:shd w:fill="FFFFFF" w:val="clear"/>
          </w:tcPr>
          <w:p>
            <w:r>
              <w:rPr>
                <w:sz w:val="15"/>
              </w:rPr>
              <w:t xml:space="preserve">CONSOMMATION DE </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TTLC</w:t>
            </w:r>
          </w:p>
        </w:tc>
        <w:tc>
          <w:tcPr>
            <w:tcW w:type="dxa" w:w="1984"/>
            <w:shd w:fill="FFFFFF" w:val="clear"/>
          </w:tcPr>
          <w:p>
            <w:r>
              <w:rPr>
                <w:sz w:val="15"/>
              </w:rPr>
              <w:t>TTLC - TOTAL ENERGIES …</w:t>
            </w:r>
          </w:p>
        </w:tc>
        <w:tc>
          <w:tcPr>
            <w:tcW w:type="dxa" w:w="1417"/>
            <w:shd w:fill="FFFFFF" w:val="clear"/>
          </w:tcPr>
          <w:p>
            <w:r>
              <w:rPr>
                <w:sz w:val="15"/>
              </w:rPr>
              <w:t>ENERGIE</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TTLS</w:t>
            </w:r>
          </w:p>
        </w:tc>
        <w:tc>
          <w:tcPr>
            <w:tcW w:type="dxa" w:w="1984"/>
            <w:shd w:fill="FFFFFF" w:val="clear"/>
          </w:tcPr>
          <w:p>
            <w:r>
              <w:rPr>
                <w:sz w:val="15"/>
              </w:rPr>
              <w:t>TTLS - TOTAL ENERGIES …</w:t>
            </w:r>
          </w:p>
        </w:tc>
        <w:tc>
          <w:tcPr>
            <w:tcW w:type="dxa" w:w="1417"/>
            <w:shd w:fill="FFFFFF" w:val="clear"/>
          </w:tcPr>
          <w:p>
            <w:r>
              <w:rPr>
                <w:sz w:val="15"/>
              </w:rPr>
              <w:t>ENERGIE</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SDSC</w:t>
            </w:r>
          </w:p>
        </w:tc>
        <w:tc>
          <w:tcPr>
            <w:tcW w:type="dxa" w:w="1984"/>
            <w:shd w:fill="FFFFFF" w:val="clear"/>
          </w:tcPr>
          <w:p>
            <w:r>
              <w:rPr>
                <w:sz w:val="15"/>
              </w:rPr>
              <w:t>SDSC - AFRICA GLOBAL L…</w:t>
            </w:r>
          </w:p>
        </w:tc>
        <w:tc>
          <w:tcPr>
            <w:tcW w:type="dxa" w:w="1417"/>
            <w:shd w:fill="FFFFFF" w:val="clear"/>
          </w:tcPr>
          <w:p>
            <w:r>
              <w:rPr>
                <w:sz w:val="15"/>
              </w:rPr>
              <w:t>INDUSTRIELS</w:t>
            </w:r>
          </w:p>
        </w:tc>
        <w:tc>
          <w:tcPr>
            <w:tcW w:type="dxa" w:w="737"/>
            <w:shd w:fill="C6EFCE" w:val="clear"/>
          </w:tcPr>
          <w:p>
            <w:r>
              <w:rPr>
                <w:b/>
                <w:color w:val="006400"/>
                <w:sz w:val="15"/>
              </w:rPr>
              <w:t>16.8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UNXC</w:t>
            </w:r>
          </w:p>
        </w:tc>
        <w:tc>
          <w:tcPr>
            <w:tcW w:type="dxa" w:w="1984"/>
            <w:shd w:fill="FFFFFF" w:val="clear"/>
          </w:tcPr>
          <w:p>
            <w:r>
              <w:rPr>
                <w:sz w:val="15"/>
              </w:rPr>
              <w:t>UNXC - UNIWAX COTE D'I…</w:t>
            </w:r>
          </w:p>
        </w:tc>
        <w:tc>
          <w:tcPr>
            <w:tcW w:type="dxa" w:w="1417"/>
            <w:shd w:fill="FFFFFF" w:val="clear"/>
          </w:tcPr>
          <w:p>
            <w:r>
              <w:rPr>
                <w:sz w:val="15"/>
              </w:rPr>
              <w:t>CONSOMMATION DIS</w:t>
            </w:r>
          </w:p>
        </w:tc>
        <w:tc>
          <w:tcPr>
            <w:tcW w:type="dxa" w:w="737"/>
            <w:shd w:fill="C6EFCE" w:val="clear"/>
          </w:tcPr>
          <w:p>
            <w:r>
              <w:rPr>
                <w:b/>
                <w:color w:val="006400"/>
                <w:sz w:val="15"/>
              </w:rPr>
              <w:t>16.8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BOAB</w:t>
            </w:r>
          </w:p>
        </w:tc>
        <w:tc>
          <w:tcPr>
            <w:tcW w:type="dxa" w:w="1984"/>
            <w:shd w:fill="FFFFFF" w:val="clear"/>
          </w:tcPr>
          <w:p>
            <w:r>
              <w:rPr>
                <w:sz w:val="15"/>
              </w:rPr>
              <w:t>BANK OF AFRICA BENIN</w:t>
            </w:r>
          </w:p>
        </w:tc>
        <w:tc>
          <w:tcPr>
            <w:tcW w:type="dxa" w:w="1417"/>
            <w:shd w:fill="FFFFFF" w:val="clear"/>
          </w:tcPr>
          <w:p>
            <w:r>
              <w:rPr>
                <w:sz w:val="15"/>
              </w:rPr>
              <w:t>SERVICES FINANCI</w:t>
            </w:r>
          </w:p>
        </w:tc>
        <w:tc>
          <w:tcPr>
            <w:tcW w:type="dxa" w:w="737"/>
            <w:shd w:fill="C6EFCE" w:val="clear"/>
          </w:tcPr>
          <w:p>
            <w:r>
              <w:rPr>
                <w:b/>
                <w:color w:val="006400"/>
                <w:sz w:val="15"/>
              </w:rPr>
              <w:t>15.5</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BOAC</w:t>
            </w:r>
          </w:p>
        </w:tc>
        <w:tc>
          <w:tcPr>
            <w:tcW w:type="dxa" w:w="1984"/>
            <w:shd w:fill="FFFFFF" w:val="clear"/>
          </w:tcPr>
          <w:p>
            <w:r>
              <w:rPr>
                <w:sz w:val="15"/>
              </w:rPr>
              <w:t>BANK OF AFRICA COTE D'…</w:t>
            </w:r>
          </w:p>
        </w:tc>
        <w:tc>
          <w:tcPr>
            <w:tcW w:type="dxa" w:w="1417"/>
            <w:shd w:fill="FFFFFF" w:val="clear"/>
          </w:tcPr>
          <w:p>
            <w:r>
              <w:rPr>
                <w:sz w:val="15"/>
              </w:rPr>
              <w:t>SERVICES FINANCI</w:t>
            </w:r>
          </w:p>
        </w:tc>
        <w:tc>
          <w:tcPr>
            <w:tcW w:type="dxa" w:w="737"/>
            <w:shd w:fill="C6EFCE" w:val="clear"/>
          </w:tcPr>
          <w:p>
            <w:r>
              <w:rPr>
                <w:b/>
                <w:color w:val="006400"/>
                <w:sz w:val="15"/>
              </w:rPr>
              <w:t>15.3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PRSC</w:t>
            </w:r>
          </w:p>
        </w:tc>
        <w:tc>
          <w:tcPr>
            <w:tcW w:type="dxa" w:w="1984"/>
            <w:shd w:fill="FFFFFF" w:val="clear"/>
          </w:tcPr>
          <w:p>
            <w:r>
              <w:rPr>
                <w:sz w:val="15"/>
              </w:rPr>
              <w:t>PRSC - TRACTAFRIC MOTO…</w:t>
            </w:r>
          </w:p>
        </w:tc>
        <w:tc>
          <w:tcPr>
            <w:tcW w:type="dxa" w:w="1417"/>
            <w:shd w:fill="FFFFFF" w:val="clear"/>
          </w:tcPr>
          <w:p>
            <w:r>
              <w:rPr>
                <w:sz w:val="15"/>
              </w:rPr>
              <w:t>CONSOMMATION DIS</w:t>
            </w:r>
          </w:p>
        </w:tc>
        <w:tc>
          <w:tcPr>
            <w:tcW w:type="dxa" w:w="737"/>
            <w:shd w:fill="C6EFCE" w:val="clear"/>
          </w:tcPr>
          <w:p>
            <w:r>
              <w:rPr>
                <w:b/>
                <w:color w:val="006400"/>
                <w:sz w:val="15"/>
              </w:rPr>
              <w:t>14.3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SEMC</w:t>
            </w:r>
          </w:p>
        </w:tc>
        <w:tc>
          <w:tcPr>
            <w:tcW w:type="dxa" w:w="1984"/>
            <w:shd w:fill="FFFFFF" w:val="clear"/>
          </w:tcPr>
          <w:p>
            <w:r>
              <w:rPr>
                <w:sz w:val="15"/>
              </w:rPr>
              <w:t>SEMC - EVIOSYS PACKAGI…</w:t>
            </w:r>
          </w:p>
        </w:tc>
        <w:tc>
          <w:tcPr>
            <w:tcW w:type="dxa" w:w="1417"/>
            <w:shd w:fill="FFFFFF" w:val="clear"/>
          </w:tcPr>
          <w:p>
            <w:r>
              <w:rPr>
                <w:sz w:val="15"/>
              </w:rPr>
              <w:t>INDUSTRIELS</w:t>
            </w:r>
          </w:p>
        </w:tc>
        <w:tc>
          <w:tcPr>
            <w:tcW w:type="dxa" w:w="737"/>
            <w:shd w:fill="C6EFCE" w:val="clear"/>
          </w:tcPr>
          <w:p>
            <w:r>
              <w:rPr>
                <w:b/>
                <w:color w:val="006400"/>
                <w:sz w:val="15"/>
              </w:rPr>
              <w:t>13.8</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ECOC</w:t>
            </w:r>
          </w:p>
        </w:tc>
        <w:tc>
          <w:tcPr>
            <w:tcW w:type="dxa" w:w="1984"/>
            <w:shd w:fill="FFFFFF" w:val="clear"/>
          </w:tcPr>
          <w:p>
            <w:r>
              <w:rPr>
                <w:sz w:val="15"/>
              </w:rPr>
              <w:t>ECOC - ECOBANK COTE D'…</w:t>
            </w:r>
          </w:p>
        </w:tc>
        <w:tc>
          <w:tcPr>
            <w:tcW w:type="dxa" w:w="1417"/>
            <w:shd w:fill="FFFFFF" w:val="clear"/>
          </w:tcPr>
          <w:p>
            <w:r>
              <w:rPr>
                <w:sz w:val="15"/>
              </w:rPr>
              <w:t>SERVICES FINANCI</w:t>
            </w:r>
          </w:p>
        </w:tc>
        <w:tc>
          <w:tcPr>
            <w:tcW w:type="dxa" w:w="737"/>
            <w:shd w:fill="C6EFCE" w:val="clear"/>
          </w:tcPr>
          <w:p>
            <w:r>
              <w:rPr>
                <w:b/>
                <w:color w:val="006400"/>
                <w:sz w:val="15"/>
              </w:rPr>
              <w:t>13.1</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SLBC</w:t>
            </w:r>
          </w:p>
        </w:tc>
        <w:tc>
          <w:tcPr>
            <w:tcW w:type="dxa" w:w="1984"/>
            <w:shd w:fill="FFFFFF" w:val="clear"/>
          </w:tcPr>
          <w:p>
            <w:r>
              <w:rPr>
                <w:sz w:val="15"/>
              </w:rPr>
              <w:t>SLBC - SOLIBRA COTE D'…</w:t>
            </w:r>
          </w:p>
        </w:tc>
        <w:tc>
          <w:tcPr>
            <w:tcW w:type="dxa" w:w="1417"/>
            <w:shd w:fill="FFFFFF" w:val="clear"/>
          </w:tcPr>
          <w:p>
            <w:r>
              <w:rPr>
                <w:sz w:val="15"/>
              </w:rPr>
              <w:t xml:space="preserve">CONSOMMATION DE </w:t>
            </w:r>
          </w:p>
        </w:tc>
        <w:tc>
          <w:tcPr>
            <w:tcW w:type="dxa" w:w="737"/>
            <w:shd w:fill="C6EFCE" w:val="clear"/>
          </w:tcPr>
          <w:p>
            <w:r>
              <w:rPr>
                <w:b/>
                <w:color w:val="006400"/>
                <w:sz w:val="15"/>
              </w:rPr>
              <w:t>13.1</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SOGC</w:t>
            </w:r>
          </w:p>
        </w:tc>
        <w:tc>
          <w:tcPr>
            <w:tcW w:type="dxa" w:w="1984"/>
            <w:shd w:fill="FFFFFF" w:val="clear"/>
          </w:tcPr>
          <w:p>
            <w:r>
              <w:rPr>
                <w:sz w:val="15"/>
              </w:rPr>
              <w:t>SOGC - Société des cao…</w:t>
            </w:r>
          </w:p>
        </w:tc>
        <w:tc>
          <w:tcPr>
            <w:tcW w:type="dxa" w:w="1417"/>
            <w:shd w:fill="FFFFFF" w:val="clear"/>
          </w:tcPr>
          <w:p>
            <w:r>
              <w:rPr>
                <w:sz w:val="15"/>
              </w:rPr>
              <w:t xml:space="preserve">CONSOMMATION DE </w:t>
            </w:r>
          </w:p>
        </w:tc>
        <w:tc>
          <w:tcPr>
            <w:tcW w:type="dxa" w:w="737"/>
            <w:shd w:fill="C6EFCE" w:val="clear"/>
          </w:tcPr>
          <w:p>
            <w:r>
              <w:rPr>
                <w:b/>
                <w:color w:val="006400"/>
                <w:sz w:val="15"/>
              </w:rPr>
              <w:t>11.5</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LNBB</w:t>
            </w:r>
          </w:p>
        </w:tc>
        <w:tc>
          <w:tcPr>
            <w:tcW w:type="dxa" w:w="1984"/>
            <w:shd w:fill="FFFFFF" w:val="clear"/>
          </w:tcPr>
          <w:p>
            <w:r>
              <w:rPr>
                <w:sz w:val="15"/>
              </w:rPr>
              <w:t>LNBB - LOTERIE NATIONA…</w:t>
            </w:r>
          </w:p>
        </w:tc>
        <w:tc>
          <w:tcPr>
            <w:tcW w:type="dxa" w:w="1417"/>
            <w:shd w:fill="FFFFFF" w:val="clear"/>
          </w:tcPr>
          <w:p>
            <w:r>
              <w:rPr>
                <w:sz w:val="15"/>
              </w:rPr>
              <w:t>CONSOMMATION DIS</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STBC</w:t>
            </w:r>
          </w:p>
        </w:tc>
        <w:tc>
          <w:tcPr>
            <w:tcW w:type="dxa" w:w="1984"/>
            <w:shd w:fill="FFFFFF" w:val="clear"/>
          </w:tcPr>
          <w:p>
            <w:r>
              <w:rPr>
                <w:sz w:val="15"/>
              </w:rPr>
              <w:t>STBC - SITAB COTE D'IV…</w:t>
            </w:r>
          </w:p>
        </w:tc>
        <w:tc>
          <w:tcPr>
            <w:tcW w:type="dxa" w:w="1417"/>
            <w:shd w:fill="FFFFFF" w:val="clear"/>
          </w:tcPr>
          <w:p>
            <w:r>
              <w:rPr>
                <w:sz w:val="15"/>
              </w:rPr>
              <w:t xml:space="preserve">CONSOMMATION DE </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ONTBF</w:t>
            </w:r>
          </w:p>
        </w:tc>
        <w:tc>
          <w:tcPr>
            <w:tcW w:type="dxa" w:w="1984"/>
            <w:shd w:fill="FFFFFF" w:val="clear"/>
          </w:tcPr>
          <w:p>
            <w:r>
              <w:rPr>
                <w:sz w:val="15"/>
              </w:rPr>
              <w:t>ONTBF - ONATEL BURKINA…</w:t>
            </w:r>
          </w:p>
        </w:tc>
        <w:tc>
          <w:tcPr>
            <w:tcW w:type="dxa" w:w="1417"/>
            <w:shd w:fill="FFFFFF" w:val="clear"/>
          </w:tcPr>
          <w:p>
            <w:r>
              <w:rPr>
                <w:sz w:val="15"/>
              </w:rPr>
              <w:t>TELECOMMUNICATIO</w:t>
            </w:r>
          </w:p>
        </w:tc>
        <w:tc>
          <w:tcPr>
            <w:tcW w:type="dxa" w:w="737"/>
            <w:shd w:fill="C6EFCE" w:val="clear"/>
          </w:tcPr>
          <w:p>
            <w:r>
              <w:rPr>
                <w:b/>
                <w:color w:val="006400"/>
                <w:sz w:val="15"/>
              </w:rPr>
              <w:t>9.5</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SGBC</w:t>
            </w:r>
          </w:p>
        </w:tc>
        <w:tc>
          <w:tcPr>
            <w:tcW w:type="dxa" w:w="1984"/>
            <w:shd w:fill="FFFFFF" w:val="clear"/>
          </w:tcPr>
          <w:p>
            <w:r>
              <w:rPr>
                <w:sz w:val="15"/>
              </w:rPr>
              <w:t>SGBC - SOCIETE GENERAL…</w:t>
            </w:r>
          </w:p>
        </w:tc>
        <w:tc>
          <w:tcPr>
            <w:tcW w:type="dxa" w:w="1417"/>
            <w:shd w:fill="FFFFFF" w:val="clear"/>
          </w:tcPr>
          <w:p>
            <w:r>
              <w:rPr>
                <w:sz w:val="15"/>
              </w:rPr>
              <w:t>SERVICES FINANCI</w:t>
            </w:r>
          </w:p>
        </w:tc>
        <w:tc>
          <w:tcPr>
            <w:tcW w:type="dxa" w:w="737"/>
            <w:shd w:fill="C6EFCE" w:val="clear"/>
          </w:tcPr>
          <w:p>
            <w:r>
              <w:rPr>
                <w:b/>
                <w:color w:val="006400"/>
                <w:sz w:val="15"/>
              </w:rPr>
              <w:t>9.5</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BOAS</w:t>
            </w:r>
          </w:p>
        </w:tc>
        <w:tc>
          <w:tcPr>
            <w:tcW w:type="dxa" w:w="1984"/>
            <w:shd w:fill="FFFFFF" w:val="clear"/>
          </w:tcPr>
          <w:p>
            <w:r>
              <w:rPr>
                <w:sz w:val="15"/>
              </w:rPr>
              <w:t>BANK OF AFRICA SENEGAL</w:t>
            </w:r>
          </w:p>
        </w:tc>
        <w:tc>
          <w:tcPr>
            <w:tcW w:type="dxa" w:w="1417"/>
            <w:shd w:fill="FFFFFF" w:val="clear"/>
          </w:tcPr>
          <w:p>
            <w:r>
              <w:rPr>
                <w:sz w:val="15"/>
              </w:rPr>
              <w:t>SERVICES FINANCI</w:t>
            </w:r>
          </w:p>
        </w:tc>
        <w:tc>
          <w:tcPr>
            <w:tcW w:type="dxa" w:w="737"/>
            <w:shd w:fill="C6EFCE" w:val="clear"/>
          </w:tcPr>
          <w:p>
            <w:r>
              <w:rPr>
                <w:b/>
                <w:color w:val="006400"/>
                <w:sz w:val="15"/>
              </w:rPr>
              <w:t>9.3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SIBC</w:t>
            </w:r>
          </w:p>
        </w:tc>
        <w:tc>
          <w:tcPr>
            <w:tcW w:type="dxa" w:w="1984"/>
            <w:shd w:fill="FFFFFF" w:val="clear"/>
          </w:tcPr>
          <w:p>
            <w:r>
              <w:rPr>
                <w:sz w:val="15"/>
              </w:rPr>
              <w:t>SIBC - SOCIETE IVOIRIE…</w:t>
            </w:r>
          </w:p>
        </w:tc>
        <w:tc>
          <w:tcPr>
            <w:tcW w:type="dxa" w:w="1417"/>
            <w:shd w:fill="FFFFFF" w:val="clear"/>
          </w:tcPr>
          <w:p>
            <w:r>
              <w:rPr>
                <w:sz w:val="15"/>
              </w:rPr>
              <w:t>SERVICES FINANCI</w:t>
            </w:r>
          </w:p>
        </w:tc>
        <w:tc>
          <w:tcPr>
            <w:tcW w:type="dxa" w:w="737"/>
            <w:shd w:fill="C6EFCE" w:val="clear"/>
          </w:tcPr>
          <w:p>
            <w:r>
              <w:rPr>
                <w:b/>
                <w:color w:val="006400"/>
                <w:sz w:val="15"/>
              </w:rPr>
              <w:t>7.5</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Convergent ✅ / Stable</w:t>
            </w:r>
          </w:p>
        </w:tc>
      </w:tr>
    </w:tbl>
    <w:p/>
    <w:p>
      <w:r>
        <w:br w:type="page"/>
      </w:r>
    </w:p>
    <w:p>
      <w:pPr>
        <w:pStyle w:val="Heading1"/>
      </w:pPr>
      <w:r>
        <w:t>🔮 SYNTHÈSE RÉCAPITULATIVE DES PRÉDICTIONS IA (J+1 → J+10)</w:t>
      </w:r>
    </w:p>
    <w:p>
      <w:r>
        <w:rPr>
          <w:i/>
          <w:color w:val="505050"/>
          <w:sz w:val="18"/>
        </w:rPr>
        <w:t>Cette section synthétise les prédictions des modèles GRU/LSTM/BiGRU pour les 48 sociétés. La variation J+10 est calculée entre le cours actuel et le cours prédit à 10 jours ouvrables. Le niveau de confiance agrégé reflète la proportion de jours avec confiance Élevée ou Moyenne dans la séquence de prédiction. Les prédictions sont données à titre indicatif — les marchés peu liquides comme la BRVM peuvent diverger des modèles statistiques.</w:t>
      </w:r>
    </w:p>
    <w:p/>
    <w:p>
      <w:pPr>
        <w:pStyle w:val="Heading2"/>
      </w:pPr>
      <w:r>
        <w:t>📊 1. Tendance générale du marché</w:t>
      </w:r>
    </w:p>
    <w:tbl>
      <w:tblPr>
        <w:tblStyle w:val="TableGrid"/>
        <w:tblW w:type="auto" w:w="0"/>
        <w:tblLook w:firstColumn="1" w:firstRow="1" w:lastColumn="0" w:lastRow="0" w:noHBand="0" w:noVBand="1" w:val="04A0"/>
      </w:tblPr>
      <w:tblGrid>
        <w:gridCol w:w="4320"/>
        <w:gridCol w:w="4320"/>
      </w:tblGrid>
      <w:tr>
        <w:tc>
          <w:tcPr>
            <w:tcW w:type="dxa" w:w="2835"/>
            <w:shd w:fill="DEEAF1" w:val="clear"/>
          </w:tcPr>
          <w:p>
            <w:r>
              <w:rPr>
                <w:b/>
                <w:sz w:val="18"/>
              </w:rPr>
              <w:t>Signal marché (J+10)</w:t>
            </w:r>
          </w:p>
        </w:tc>
        <w:tc>
          <w:tcPr>
            <w:tcW w:type="dxa" w:w="7370"/>
            <w:shd w:fill="F2F2F2" w:val="clear"/>
          </w:tcPr>
          <w:p>
            <w:r>
              <w:rPr>
                <w:b/>
                <w:color w:val="505050"/>
                <w:sz w:val="18"/>
              </w:rPr>
              <w:t>⚪ NEUTRE / CONSOLIDATION</w:t>
            </w:r>
          </w:p>
        </w:tc>
      </w:tr>
      <w:tr>
        <w:tc>
          <w:tcPr>
            <w:tcW w:type="dxa" w:w="2835"/>
            <w:shd w:fill="DEEAF1" w:val="clear"/>
          </w:tcPr>
          <w:p>
            <w:r>
              <w:rPr>
                <w:b/>
                <w:sz w:val="18"/>
              </w:rPr>
              <w:t>Variation moyenne J+10</w:t>
            </w:r>
          </w:p>
        </w:tc>
        <w:tc>
          <w:tcPr>
            <w:tcW w:type="dxa" w:w="7370"/>
          </w:tcPr>
          <w:p>
            <w:r>
              <w:rPr>
                <w:b/>
                <w:sz w:val="18"/>
              </w:rPr>
              <w:t>+0.17%  |  Médiane : -0.84%</w:t>
            </w:r>
          </w:p>
        </w:tc>
      </w:tr>
      <w:tr>
        <w:tc>
          <w:tcPr>
            <w:tcW w:type="dxa" w:w="2835"/>
            <w:shd w:fill="DEEAF1" w:val="clear"/>
          </w:tcPr>
          <w:p>
            <w:r>
              <w:rPr>
                <w:b/>
                <w:sz w:val="18"/>
              </w:rPr>
              <w:t>Répartition</w:t>
            </w:r>
          </w:p>
        </w:tc>
        <w:tc>
          <w:tcPr>
            <w:tcW w:type="dxa" w:w="7370"/>
          </w:tcPr>
          <w:p>
            <w:r>
              <w:rPr>
                <w:b/>
                <w:sz w:val="18"/>
              </w:rPr>
              <w:t>📈 16 sociétés en hausse (&gt;+1%)   📉 22 en baisse (&lt;-1%)   ➡️ 7 neutres</w:t>
            </w:r>
          </w:p>
        </w:tc>
      </w:tr>
      <w:tr>
        <w:tc>
          <w:tcPr>
            <w:tcW w:type="dxa" w:w="2835"/>
            <w:shd w:fill="DEEAF1" w:val="clear"/>
          </w:tcPr>
          <w:p>
            <w:r>
              <w:rPr>
                <w:b/>
                <w:sz w:val="18"/>
              </w:rPr>
              <w:t>Confiance globale</w:t>
            </w:r>
          </w:p>
        </w:tc>
        <w:tc>
          <w:tcPr>
            <w:tcW w:type="dxa" w:w="7370"/>
          </w:tcPr>
          <w:p>
            <w:r>
              <w:rPr>
                <w:b/>
                <w:sz w:val="18"/>
              </w:rPr>
              <w:t>Élevée : 0 sociétés (0%)   Moyenne : 8   Faible : 37 (82%)   → Confiance dominante : Faible</w:t>
            </w:r>
          </w:p>
        </w:tc>
      </w:tr>
    </w:tbl>
    <w:p/>
    <w:p>
      <w:r>
        <w:rPr>
          <w:i/>
          <w:color w:val="282828"/>
          <w:sz w:val="18"/>
        </w:rPr>
        <w:t>📝 Analyse : Les modèles n'anticipent pas de mouvement directionnel clair. La variation moyenne est de +0.17% avec 7 sociétés en zone neutre (±1%).</w:t>
      </w:r>
    </w:p>
    <w:p>
      <w:r>
        <w:rPr>
          <w:i/>
          <w:color w:val="282828"/>
          <w:sz w:val="18"/>
        </w:rPr>
        <w:t>🎯 Fiabilité : ⚠️ La confiance est globalement FAIBLE (82% des sociétés) — forte volatilité ou données insuffisantes dans les historiques. Les prédictions sont indicatives et doivent être croisées avec l'analyse technique.</w:t>
      </w:r>
    </w:p>
    <w:p/>
    <w:p>
      <w:pPr>
        <w:pStyle w:val="Heading2"/>
      </w:pPr>
      <w:r>
        <w:t>📈 2. TOP 5 — Cours attendus en HAUSSE à J+10</w:t>
      </w:r>
    </w:p>
    <w:p>
      <w:r>
        <w:rPr>
          <w:i/>
          <w:sz w:val="17"/>
        </w:rPr>
        <w:t>Classement par variation prédite J+10 (cours actuel → cours prédit dans 10 jours ouvrables). Sont indiqués : la variation attendue, la trajectoire sur 10 jours et le niveau de confiance du modèle.</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680"/>
            <w:shd w:fill="375623" w:val="clear"/>
          </w:tcPr>
          <w:p>
            <w:r>
              <w:rPr>
                <w:b/>
                <w:color w:val="FFFFFF"/>
                <w:sz w:val="16"/>
              </w:rPr>
              <w:t>Rang</w:t>
            </w:r>
          </w:p>
        </w:tc>
        <w:tc>
          <w:tcPr>
            <w:tcW w:type="dxa" w:w="2835"/>
            <w:shd w:fill="375623" w:val="clear"/>
          </w:tcPr>
          <w:p>
            <w:r>
              <w:rPr>
                <w:b/>
                <w:color w:val="FFFFFF"/>
                <w:sz w:val="16"/>
              </w:rPr>
              <w:t>Symbole / Société</w:t>
            </w:r>
          </w:p>
        </w:tc>
        <w:tc>
          <w:tcPr>
            <w:tcW w:type="dxa" w:w="1701"/>
            <w:shd w:fill="375623" w:val="clear"/>
          </w:tcPr>
          <w:p>
            <w:r>
              <w:rPr>
                <w:b/>
                <w:color w:val="FFFFFF"/>
                <w:sz w:val="16"/>
              </w:rPr>
              <w:t>Secteur</w:t>
            </w:r>
          </w:p>
        </w:tc>
        <w:tc>
          <w:tcPr>
            <w:tcW w:type="dxa" w:w="1417"/>
            <w:shd w:fill="375623" w:val="clear"/>
          </w:tcPr>
          <w:p>
            <w:r>
              <w:rPr>
                <w:b/>
                <w:color w:val="FFFFFF"/>
                <w:sz w:val="16"/>
              </w:rPr>
              <w:t>Cours actuel</w:t>
            </w:r>
          </w:p>
        </w:tc>
        <w:tc>
          <w:tcPr>
            <w:tcW w:type="dxa" w:w="1417"/>
            <w:shd w:fill="375623" w:val="clear"/>
          </w:tcPr>
          <w:p>
            <w:r>
              <w:rPr>
                <w:b/>
                <w:color w:val="FFFFFF"/>
                <w:sz w:val="16"/>
              </w:rPr>
              <w:t>Cours J+10 prédit</w:t>
            </w:r>
          </w:p>
        </w:tc>
        <w:tc>
          <w:tcPr>
            <w:tcW w:type="dxa" w:w="1134"/>
            <w:shd w:fill="375623" w:val="clear"/>
          </w:tcPr>
          <w:p>
            <w:r>
              <w:rPr>
                <w:b/>
                <w:color w:val="FFFFFF"/>
                <w:sz w:val="16"/>
              </w:rPr>
              <w:t>Variation J+10</w:t>
            </w:r>
          </w:p>
        </w:tc>
        <w:tc>
          <w:tcPr>
            <w:tcW w:type="dxa" w:w="1020"/>
            <w:shd w:fill="375623" w:val="clear"/>
          </w:tcPr>
          <w:p>
            <w:r>
              <w:rPr>
                <w:b/>
                <w:color w:val="FFFFFF"/>
                <w:sz w:val="16"/>
              </w:rPr>
              <w:t>Confiance</w:t>
            </w:r>
          </w:p>
        </w:tc>
      </w:tr>
      <w:tr>
        <w:tc>
          <w:tcPr>
            <w:tcW w:type="dxa" w:w="680"/>
            <w:shd w:fill="FFFFFF" w:val="clear"/>
          </w:tcPr>
          <w:p>
            <w:r>
              <w:rPr>
                <w:b/>
                <w:sz w:val="16"/>
              </w:rPr>
              <w:t>#1</w:t>
            </w:r>
          </w:p>
        </w:tc>
        <w:tc>
          <w:tcPr>
            <w:tcW w:type="dxa" w:w="2835"/>
            <w:shd w:fill="C6EFCE" w:val="clear"/>
          </w:tcPr>
          <w:p>
            <w:r>
              <w:rPr>
                <w:sz w:val="16"/>
              </w:rPr>
              <w:t>SCRC — SCRC - SUCRIVOIRE</w:t>
            </w:r>
          </w:p>
        </w:tc>
        <w:tc>
          <w:tcPr>
            <w:tcW w:type="dxa" w:w="1701"/>
            <w:shd w:fill="FFFFFF" w:val="clear"/>
          </w:tcPr>
          <w:p>
            <w:r>
              <w:rPr>
                <w:sz w:val="16"/>
              </w:rPr>
              <w:t>CONSOMMATION DE BASE</w:t>
            </w:r>
          </w:p>
        </w:tc>
        <w:tc>
          <w:tcPr>
            <w:tcW w:type="dxa" w:w="1417"/>
            <w:shd w:fill="FFFFFF" w:val="clear"/>
          </w:tcPr>
          <w:p>
            <w:r>
              <w:rPr>
                <w:sz w:val="16"/>
              </w:rPr>
              <w:t>2,345 FCFA</w:t>
            </w:r>
          </w:p>
        </w:tc>
        <w:tc>
          <w:tcPr>
            <w:tcW w:type="dxa" w:w="1417"/>
            <w:shd w:fill="FFFFFF" w:val="clear"/>
          </w:tcPr>
          <w:p>
            <w:r>
              <w:rPr>
                <w:sz w:val="16"/>
              </w:rPr>
              <w:t>3,119 FCFA</w:t>
            </w:r>
          </w:p>
        </w:tc>
        <w:tc>
          <w:tcPr>
            <w:tcW w:type="dxa" w:w="1134"/>
            <w:shd w:fill="C6EFCE" w:val="clear"/>
          </w:tcPr>
          <w:p>
            <w:r>
              <w:rPr>
                <w:b/>
                <w:color w:val="007800"/>
                <w:sz w:val="16"/>
              </w:rPr>
              <w:t>+33.02%</w:t>
            </w:r>
          </w:p>
        </w:tc>
        <w:tc>
          <w:tcPr>
            <w:tcW w:type="dxa" w:w="1020"/>
            <w:shd w:fill="FFC7CE" w:val="clear"/>
          </w:tcPr>
          <w:p>
            <w:r>
              <w:rPr>
                <w:sz w:val="16"/>
              </w:rPr>
              <w:t>Faible</w:t>
            </w:r>
          </w:p>
        </w:tc>
      </w:tr>
      <w:tr>
        <w:tc>
          <w:tcPr>
            <w:tcW w:type="dxa" w:w="680"/>
            <w:shd w:fill="FFFFFF" w:val="clear"/>
          </w:tcPr>
          <w:p>
            <w:r>
              <w:rPr>
                <w:b/>
                <w:sz w:val="16"/>
              </w:rPr>
              <w:t>#2</w:t>
            </w:r>
          </w:p>
        </w:tc>
        <w:tc>
          <w:tcPr>
            <w:tcW w:type="dxa" w:w="2835"/>
            <w:shd w:fill="C6EFCE" w:val="clear"/>
          </w:tcPr>
          <w:p>
            <w:r>
              <w:rPr>
                <w:sz w:val="16"/>
              </w:rPr>
              <w:t>STBC — STBC - SITAB COTE D'IVOIRE</w:t>
            </w:r>
          </w:p>
        </w:tc>
        <w:tc>
          <w:tcPr>
            <w:tcW w:type="dxa" w:w="1701"/>
            <w:shd w:fill="FFFFFF" w:val="clear"/>
          </w:tcPr>
          <w:p>
            <w:r>
              <w:rPr>
                <w:sz w:val="16"/>
              </w:rPr>
              <w:t>CONSOMMATION DE BASE</w:t>
            </w:r>
          </w:p>
        </w:tc>
        <w:tc>
          <w:tcPr>
            <w:tcW w:type="dxa" w:w="1417"/>
            <w:shd w:fill="FFFFFF" w:val="clear"/>
          </w:tcPr>
          <w:p>
            <w:r>
              <w:rPr>
                <w:sz w:val="16"/>
              </w:rPr>
              <w:t>21,200 FCFA</w:t>
            </w:r>
          </w:p>
        </w:tc>
        <w:tc>
          <w:tcPr>
            <w:tcW w:type="dxa" w:w="1417"/>
            <w:shd w:fill="FFFFFF" w:val="clear"/>
          </w:tcPr>
          <w:p>
            <w:r>
              <w:rPr>
                <w:sz w:val="16"/>
              </w:rPr>
              <w:t>24,346 FCFA</w:t>
            </w:r>
          </w:p>
        </w:tc>
        <w:tc>
          <w:tcPr>
            <w:tcW w:type="dxa" w:w="1134"/>
            <w:shd w:fill="C6EFCE" w:val="clear"/>
          </w:tcPr>
          <w:p>
            <w:r>
              <w:rPr>
                <w:b/>
                <w:color w:val="007800"/>
                <w:sz w:val="16"/>
              </w:rPr>
              <w:t>+14.84%</w:t>
            </w:r>
          </w:p>
        </w:tc>
        <w:tc>
          <w:tcPr>
            <w:tcW w:type="dxa" w:w="1020"/>
            <w:shd w:fill="FFC7CE" w:val="clear"/>
          </w:tcPr>
          <w:p>
            <w:r>
              <w:rPr>
                <w:sz w:val="16"/>
              </w:rPr>
              <w:t>Faible</w:t>
            </w:r>
          </w:p>
        </w:tc>
      </w:tr>
      <w:tr>
        <w:tc>
          <w:tcPr>
            <w:tcW w:type="dxa" w:w="680"/>
            <w:shd w:fill="FFFFFF" w:val="clear"/>
          </w:tcPr>
          <w:p>
            <w:r>
              <w:rPr>
                <w:b/>
                <w:sz w:val="16"/>
              </w:rPr>
              <w:t>#3</w:t>
            </w:r>
          </w:p>
        </w:tc>
        <w:tc>
          <w:tcPr>
            <w:tcW w:type="dxa" w:w="2835"/>
            <w:shd w:fill="C6EFCE" w:val="clear"/>
          </w:tcPr>
          <w:p>
            <w:r>
              <w:rPr>
                <w:sz w:val="16"/>
              </w:rPr>
              <w:t>BICB — BIIC BN - Banque internationale pou...</w:t>
            </w:r>
          </w:p>
        </w:tc>
        <w:tc>
          <w:tcPr>
            <w:tcW w:type="dxa" w:w="1701"/>
            <w:shd w:fill="FFFFFF" w:val="clear"/>
          </w:tcPr>
          <w:p>
            <w:r>
              <w:rPr>
                <w:sz w:val="16"/>
              </w:rPr>
              <w:t>SERVICES FINANCIERS</w:t>
            </w:r>
          </w:p>
        </w:tc>
        <w:tc>
          <w:tcPr>
            <w:tcW w:type="dxa" w:w="1417"/>
            <w:shd w:fill="FFFFFF" w:val="clear"/>
          </w:tcPr>
          <w:p>
            <w:r>
              <w:rPr>
                <w:sz w:val="16"/>
              </w:rPr>
              <w:t>8,400 FCFA</w:t>
            </w:r>
          </w:p>
        </w:tc>
        <w:tc>
          <w:tcPr>
            <w:tcW w:type="dxa" w:w="1417"/>
            <w:shd w:fill="FFFFFF" w:val="clear"/>
          </w:tcPr>
          <w:p>
            <w:r>
              <w:rPr>
                <w:sz w:val="16"/>
              </w:rPr>
              <w:t>9,299 FCFA</w:t>
            </w:r>
          </w:p>
        </w:tc>
        <w:tc>
          <w:tcPr>
            <w:tcW w:type="dxa" w:w="1134"/>
            <w:shd w:fill="C6EFCE" w:val="clear"/>
          </w:tcPr>
          <w:p>
            <w:r>
              <w:rPr>
                <w:b/>
                <w:color w:val="007800"/>
                <w:sz w:val="16"/>
              </w:rPr>
              <w:t>+10.70%</w:t>
            </w:r>
          </w:p>
        </w:tc>
        <w:tc>
          <w:tcPr>
            <w:tcW w:type="dxa" w:w="1020"/>
            <w:shd w:fill="FFC7CE" w:val="clear"/>
          </w:tcPr>
          <w:p>
            <w:r>
              <w:rPr>
                <w:sz w:val="16"/>
              </w:rPr>
              <w:t>Faible</w:t>
            </w:r>
          </w:p>
        </w:tc>
      </w:tr>
      <w:tr>
        <w:tc>
          <w:tcPr>
            <w:tcW w:type="dxa" w:w="680"/>
            <w:shd w:fill="FFFFFF" w:val="clear"/>
          </w:tcPr>
          <w:p>
            <w:r>
              <w:rPr>
                <w:b/>
                <w:sz w:val="16"/>
              </w:rPr>
              <w:t>#4</w:t>
            </w:r>
          </w:p>
        </w:tc>
        <w:tc>
          <w:tcPr>
            <w:tcW w:type="dxa" w:w="2835"/>
            <w:shd w:fill="C6EFCE" w:val="clear"/>
          </w:tcPr>
          <w:p>
            <w:r>
              <w:rPr>
                <w:sz w:val="16"/>
              </w:rPr>
              <w:t>CFAC — CFAC - CFAO MOTORS CI</w:t>
            </w:r>
          </w:p>
        </w:tc>
        <w:tc>
          <w:tcPr>
            <w:tcW w:type="dxa" w:w="1701"/>
            <w:shd w:fill="FFFFFF" w:val="clear"/>
          </w:tcPr>
          <w:p>
            <w:r>
              <w:rPr>
                <w:sz w:val="16"/>
              </w:rPr>
              <w:t>CONSOMMATION DISCRET</w:t>
            </w:r>
          </w:p>
        </w:tc>
        <w:tc>
          <w:tcPr>
            <w:tcW w:type="dxa" w:w="1417"/>
            <w:shd w:fill="FFFFFF" w:val="clear"/>
          </w:tcPr>
          <w:p>
            <w:r>
              <w:rPr>
                <w:sz w:val="16"/>
              </w:rPr>
              <w:t>1,350 FCFA</w:t>
            </w:r>
          </w:p>
        </w:tc>
        <w:tc>
          <w:tcPr>
            <w:tcW w:type="dxa" w:w="1417"/>
            <w:shd w:fill="FFFFFF" w:val="clear"/>
          </w:tcPr>
          <w:p>
            <w:r>
              <w:rPr>
                <w:sz w:val="16"/>
              </w:rPr>
              <w:t>1,477 FCFA</w:t>
            </w:r>
          </w:p>
        </w:tc>
        <w:tc>
          <w:tcPr>
            <w:tcW w:type="dxa" w:w="1134"/>
            <w:shd w:fill="C6EFCE" w:val="clear"/>
          </w:tcPr>
          <w:p>
            <w:r>
              <w:rPr>
                <w:b/>
                <w:color w:val="007800"/>
                <w:sz w:val="16"/>
              </w:rPr>
              <w:t>+9.41%</w:t>
            </w:r>
          </w:p>
        </w:tc>
        <w:tc>
          <w:tcPr>
            <w:tcW w:type="dxa" w:w="1020"/>
            <w:shd w:fill="FFC7CE" w:val="clear"/>
          </w:tcPr>
          <w:p>
            <w:r>
              <w:rPr>
                <w:sz w:val="16"/>
              </w:rPr>
              <w:t>Faible</w:t>
            </w:r>
          </w:p>
        </w:tc>
      </w:tr>
      <w:tr>
        <w:tc>
          <w:tcPr>
            <w:tcW w:type="dxa" w:w="680"/>
            <w:shd w:fill="FFFFFF" w:val="clear"/>
          </w:tcPr>
          <w:p>
            <w:r>
              <w:rPr>
                <w:b/>
                <w:sz w:val="16"/>
              </w:rPr>
              <w:t>#5</w:t>
            </w:r>
          </w:p>
        </w:tc>
        <w:tc>
          <w:tcPr>
            <w:tcW w:type="dxa" w:w="2835"/>
            <w:shd w:fill="C6EFCE" w:val="clear"/>
          </w:tcPr>
          <w:p>
            <w:r>
              <w:rPr>
                <w:sz w:val="16"/>
              </w:rPr>
              <w:t>SIVC — SIVC - ERIUM CI (Ex AIR LIQUIDECI)</w:t>
            </w:r>
          </w:p>
        </w:tc>
        <w:tc>
          <w:tcPr>
            <w:tcW w:type="dxa" w:w="1701"/>
            <w:shd w:fill="FFFFFF" w:val="clear"/>
          </w:tcPr>
          <w:p>
            <w:r>
              <w:rPr>
                <w:sz w:val="16"/>
              </w:rPr>
              <w:t>INDUSTRIELS</w:t>
            </w:r>
          </w:p>
        </w:tc>
        <w:tc>
          <w:tcPr>
            <w:tcW w:type="dxa" w:w="1417"/>
            <w:shd w:fill="FFFFFF" w:val="clear"/>
          </w:tcPr>
          <w:p>
            <w:r>
              <w:rPr>
                <w:sz w:val="16"/>
              </w:rPr>
              <w:t>1,790 FCFA</w:t>
            </w:r>
          </w:p>
        </w:tc>
        <w:tc>
          <w:tcPr>
            <w:tcW w:type="dxa" w:w="1417"/>
            <w:shd w:fill="FFFFFF" w:val="clear"/>
          </w:tcPr>
          <w:p>
            <w:r>
              <w:rPr>
                <w:sz w:val="16"/>
              </w:rPr>
              <w:t>1,915 FCFA</w:t>
            </w:r>
          </w:p>
        </w:tc>
        <w:tc>
          <w:tcPr>
            <w:tcW w:type="dxa" w:w="1134"/>
            <w:shd w:fill="C6EFCE" w:val="clear"/>
          </w:tcPr>
          <w:p>
            <w:r>
              <w:rPr>
                <w:b/>
                <w:color w:val="007800"/>
                <w:sz w:val="16"/>
              </w:rPr>
              <w:t>+6.98%</w:t>
            </w:r>
          </w:p>
        </w:tc>
        <w:tc>
          <w:tcPr>
            <w:tcW w:type="dxa" w:w="1020"/>
            <w:shd w:fill="FFC7CE" w:val="clear"/>
          </w:tcPr>
          <w:p>
            <w:r>
              <w:rPr>
                <w:sz w:val="16"/>
              </w:rPr>
              <w:t>Faible</w:t>
            </w:r>
          </w:p>
        </w:tc>
      </w:tr>
    </w:tbl>
    <w:p/>
    <w:p>
      <w:pPr>
        <w:pStyle w:val="ListBullet"/>
      </w:pPr>
      <w:r>
        <w:rPr>
          <w:b/>
          <w:color w:val="006400"/>
          <w:sz w:val="18"/>
        </w:rPr>
        <w:t xml:space="preserve">#1 SCRC </w:t>
      </w:r>
      <w:r>
        <w:rPr>
          <w:sz w:val="17"/>
        </w:rPr>
        <w:t>(SCRC - SUCRIVOIRE) — hausse très forte (+33.0%) — signal potentiellement excessif, à croiser avec l'analyse technique. Trajectoire : 📈 Hausse continue. Cours actuel : 2,345 FCFA → prédit J+10 : 3,119 FCFA. ⚠️ Confiance limitée — volatilité élevée ou données insuffisantes. Résultat indicatif uniquement.</w:t>
      </w:r>
    </w:p>
    <w:p>
      <w:pPr>
        <w:pStyle w:val="ListBullet"/>
      </w:pPr>
      <w:r>
        <w:rPr>
          <w:b/>
          <w:color w:val="006400"/>
          <w:sz w:val="18"/>
        </w:rPr>
        <w:t xml:space="preserve">#2 STBC </w:t>
      </w:r>
      <w:r>
        <w:rPr>
          <w:sz w:val="17"/>
        </w:rPr>
        <w:t>(STBC - SITAB COTE D'IVOIRE) — hausse significative (+14.8%) — potentiel de revalorisation notable. Trajectoire : 📈 Hausse continue. Cours actuel : 21,200 FCFA → prédit J+10 : 24,346 FCFA. ⚠️ Confiance limitée — volatilité élevée ou données insuffisantes. Résultat indicatif uniquement.</w:t>
      </w:r>
    </w:p>
    <w:p>
      <w:pPr>
        <w:pStyle w:val="ListBullet"/>
      </w:pPr>
      <w:r>
        <w:rPr>
          <w:b/>
          <w:color w:val="006400"/>
          <w:sz w:val="18"/>
        </w:rPr>
        <w:t xml:space="preserve">#3 BICB </w:t>
      </w:r>
      <w:r>
        <w:rPr>
          <w:sz w:val="17"/>
        </w:rPr>
        <w:t>(BIIC BN - Banque internationale pour le ) — hausse significative (+10.7%) — potentiel de revalorisation notable. Trajectoire : 📈 Hausse continue. Cours actuel : 8,400 FCFA → prédit J+10 : 9,299 FCFA. ⚠️ Confiance limitée — volatilité élevée ou données insuffisantes. Résultat indicatif uniquement.</w:t>
      </w:r>
    </w:p>
    <w:p>
      <w:pPr>
        <w:pStyle w:val="ListBullet"/>
      </w:pPr>
      <w:r>
        <w:rPr>
          <w:b/>
          <w:color w:val="006400"/>
          <w:sz w:val="18"/>
        </w:rPr>
        <w:t xml:space="preserve">#4 CFAC </w:t>
      </w:r>
      <w:r>
        <w:rPr>
          <w:sz w:val="17"/>
        </w:rPr>
        <w:t>(CFAC - CFAO MOTORS CI) — hausse modérée (+9.4%) — signal raisonnable et crédible. Trajectoire : 📈 Hausse continue. Cours actuel : 1,350 FCFA → prédit J+10 : 1,477 FCFA. ⚠️ Confiance limitée — volatilité élevée ou données insuffisantes. Résultat indicatif uniquement.</w:t>
      </w:r>
    </w:p>
    <w:p>
      <w:pPr>
        <w:pStyle w:val="ListBullet"/>
      </w:pPr>
      <w:r>
        <w:rPr>
          <w:b/>
          <w:color w:val="006400"/>
          <w:sz w:val="18"/>
        </w:rPr>
        <w:t xml:space="preserve">#5 SIVC </w:t>
      </w:r>
      <w:r>
        <w:rPr>
          <w:sz w:val="17"/>
        </w:rPr>
        <w:t>(SIVC - ERIUM CI (Ex AIR LIQUIDECI)) — hausse modérée (+7.0%) — signal raisonnable et crédible. Trajectoire : 📈 Hausse continue. Cours actuel : 1,790 FCFA → prédit J+10 : 1,915 FCFA. ⚠️ Confiance limitée — volatilité élevée ou données insuffisantes. Résultat indicatif uniquement.</w:t>
      </w:r>
    </w:p>
    <w:p/>
    <w:p>
      <w:pPr>
        <w:pStyle w:val="Heading2"/>
      </w:pPr>
      <w:r>
        <w:t>📉 3. TOP 5 — Cours attendus en BAISSE à J+10</w:t>
      </w:r>
    </w:p>
    <w:p>
      <w:r>
        <w:rPr>
          <w:i/>
          <w:sz w:val="17"/>
        </w:rPr>
        <w:t>Les sociétés présentant les prédictions les plus négatives à J+10. Une baisse prédite ne signifie pas nécessairement une recommandation de vente — elle doit être croisée avec les fondamentaux et la liquidité du titre.</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680"/>
            <w:shd w:fill="843C0C" w:val="clear"/>
          </w:tcPr>
          <w:p>
            <w:r>
              <w:rPr>
                <w:b/>
                <w:color w:val="FFFFFF"/>
                <w:sz w:val="16"/>
              </w:rPr>
              <w:t>Rang</w:t>
            </w:r>
          </w:p>
        </w:tc>
        <w:tc>
          <w:tcPr>
            <w:tcW w:type="dxa" w:w="2835"/>
            <w:shd w:fill="843C0C" w:val="clear"/>
          </w:tcPr>
          <w:p>
            <w:r>
              <w:rPr>
                <w:b/>
                <w:color w:val="FFFFFF"/>
                <w:sz w:val="16"/>
              </w:rPr>
              <w:t>Symbole / Société</w:t>
            </w:r>
          </w:p>
        </w:tc>
        <w:tc>
          <w:tcPr>
            <w:tcW w:type="dxa" w:w="1701"/>
            <w:shd w:fill="843C0C" w:val="clear"/>
          </w:tcPr>
          <w:p>
            <w:r>
              <w:rPr>
                <w:b/>
                <w:color w:val="FFFFFF"/>
                <w:sz w:val="16"/>
              </w:rPr>
              <w:t>Secteur</w:t>
            </w:r>
          </w:p>
        </w:tc>
        <w:tc>
          <w:tcPr>
            <w:tcW w:type="dxa" w:w="1417"/>
            <w:shd w:fill="843C0C" w:val="clear"/>
          </w:tcPr>
          <w:p>
            <w:r>
              <w:rPr>
                <w:b/>
                <w:color w:val="FFFFFF"/>
                <w:sz w:val="16"/>
              </w:rPr>
              <w:t>Cours actuel</w:t>
            </w:r>
          </w:p>
        </w:tc>
        <w:tc>
          <w:tcPr>
            <w:tcW w:type="dxa" w:w="1417"/>
            <w:shd w:fill="843C0C" w:val="clear"/>
          </w:tcPr>
          <w:p>
            <w:r>
              <w:rPr>
                <w:b/>
                <w:color w:val="FFFFFF"/>
                <w:sz w:val="16"/>
              </w:rPr>
              <w:t>Cours J+10 prédit</w:t>
            </w:r>
          </w:p>
        </w:tc>
        <w:tc>
          <w:tcPr>
            <w:tcW w:type="dxa" w:w="1134"/>
            <w:shd w:fill="843C0C" w:val="clear"/>
          </w:tcPr>
          <w:p>
            <w:r>
              <w:rPr>
                <w:b/>
                <w:color w:val="FFFFFF"/>
                <w:sz w:val="16"/>
              </w:rPr>
              <w:t>Variation J+10</w:t>
            </w:r>
          </w:p>
        </w:tc>
        <w:tc>
          <w:tcPr>
            <w:tcW w:type="dxa" w:w="1020"/>
            <w:shd w:fill="843C0C" w:val="clear"/>
          </w:tcPr>
          <w:p>
            <w:r>
              <w:rPr>
                <w:b/>
                <w:color w:val="FFFFFF"/>
                <w:sz w:val="16"/>
              </w:rPr>
              <w:t>Confiance</w:t>
            </w:r>
          </w:p>
        </w:tc>
      </w:tr>
      <w:tr>
        <w:tc>
          <w:tcPr>
            <w:tcW w:type="dxa" w:w="680"/>
            <w:shd w:fill="FFFFFF" w:val="clear"/>
          </w:tcPr>
          <w:p>
            <w:r>
              <w:rPr>
                <w:b/>
                <w:sz w:val="16"/>
              </w:rPr>
              <w:t>#1</w:t>
            </w:r>
          </w:p>
        </w:tc>
        <w:tc>
          <w:tcPr>
            <w:tcW w:type="dxa" w:w="2835"/>
            <w:shd w:fill="FFC7CE" w:val="clear"/>
          </w:tcPr>
          <w:p>
            <w:r>
              <w:rPr>
                <w:sz w:val="16"/>
              </w:rPr>
              <w:t>BOAS — BANK OF AFRICA SENEGAL</w:t>
            </w:r>
          </w:p>
        </w:tc>
        <w:tc>
          <w:tcPr>
            <w:tcW w:type="dxa" w:w="1701"/>
            <w:shd w:fill="FFFFFF" w:val="clear"/>
          </w:tcPr>
          <w:p>
            <w:r>
              <w:rPr>
                <w:sz w:val="16"/>
              </w:rPr>
              <w:t>SERVICES FINANCIERS</w:t>
            </w:r>
          </w:p>
        </w:tc>
        <w:tc>
          <w:tcPr>
            <w:tcW w:type="dxa" w:w="1417"/>
            <w:shd w:fill="FFFFFF" w:val="clear"/>
          </w:tcPr>
          <w:p>
            <w:r>
              <w:rPr>
                <w:sz w:val="16"/>
              </w:rPr>
              <w:t>8,145 FCFA</w:t>
            </w:r>
          </w:p>
        </w:tc>
        <w:tc>
          <w:tcPr>
            <w:tcW w:type="dxa" w:w="1417"/>
            <w:shd w:fill="FFFFFF" w:val="clear"/>
          </w:tcPr>
          <w:p>
            <w:r>
              <w:rPr>
                <w:sz w:val="16"/>
              </w:rPr>
              <w:t>7,109 FCFA</w:t>
            </w:r>
          </w:p>
        </w:tc>
        <w:tc>
          <w:tcPr>
            <w:tcW w:type="dxa" w:w="1134"/>
            <w:shd w:fill="FFC7CE" w:val="clear"/>
          </w:tcPr>
          <w:p>
            <w:r>
              <w:rPr>
                <w:b/>
                <w:color w:val="B40000"/>
                <w:sz w:val="16"/>
              </w:rPr>
              <w:t>-12.72%</w:t>
            </w:r>
          </w:p>
        </w:tc>
        <w:tc>
          <w:tcPr>
            <w:tcW w:type="dxa" w:w="1020"/>
            <w:shd w:fill="FFEB9C" w:val="clear"/>
          </w:tcPr>
          <w:p>
            <w:r>
              <w:rPr>
                <w:sz w:val="16"/>
              </w:rPr>
              <w:t>Moyenne</w:t>
            </w:r>
          </w:p>
        </w:tc>
      </w:tr>
      <w:tr>
        <w:tc>
          <w:tcPr>
            <w:tcW w:type="dxa" w:w="680"/>
            <w:shd w:fill="FFFFFF" w:val="clear"/>
          </w:tcPr>
          <w:p>
            <w:r>
              <w:rPr>
                <w:b/>
                <w:sz w:val="16"/>
              </w:rPr>
              <w:t>#2</w:t>
            </w:r>
          </w:p>
        </w:tc>
        <w:tc>
          <w:tcPr>
            <w:tcW w:type="dxa" w:w="2835"/>
            <w:shd w:fill="FFC7CE" w:val="clear"/>
          </w:tcPr>
          <w:p>
            <w:r>
              <w:rPr>
                <w:sz w:val="16"/>
              </w:rPr>
              <w:t>NSBC — NSBC - NSIA BANQUE COTE D'IVOIRE</w:t>
            </w:r>
          </w:p>
        </w:tc>
        <w:tc>
          <w:tcPr>
            <w:tcW w:type="dxa" w:w="1701"/>
            <w:shd w:fill="FFFFFF" w:val="clear"/>
          </w:tcPr>
          <w:p>
            <w:r>
              <w:rPr>
                <w:sz w:val="16"/>
              </w:rPr>
              <w:t>SERVICES FINANCIERS</w:t>
            </w:r>
          </w:p>
        </w:tc>
        <w:tc>
          <w:tcPr>
            <w:tcW w:type="dxa" w:w="1417"/>
            <w:shd w:fill="FFFFFF" w:val="clear"/>
          </w:tcPr>
          <w:p>
            <w:r>
              <w:rPr>
                <w:sz w:val="16"/>
              </w:rPr>
              <w:t>20,800 FCFA</w:t>
            </w:r>
          </w:p>
        </w:tc>
        <w:tc>
          <w:tcPr>
            <w:tcW w:type="dxa" w:w="1417"/>
            <w:shd w:fill="FFFFFF" w:val="clear"/>
          </w:tcPr>
          <w:p>
            <w:r>
              <w:rPr>
                <w:sz w:val="16"/>
              </w:rPr>
              <w:t>18,647 FCFA</w:t>
            </w:r>
          </w:p>
        </w:tc>
        <w:tc>
          <w:tcPr>
            <w:tcW w:type="dxa" w:w="1134"/>
            <w:shd w:fill="FFC7CE" w:val="clear"/>
          </w:tcPr>
          <w:p>
            <w:r>
              <w:rPr>
                <w:b/>
                <w:color w:val="B40000"/>
                <w:sz w:val="16"/>
              </w:rPr>
              <w:t>-10.35%</w:t>
            </w:r>
          </w:p>
        </w:tc>
        <w:tc>
          <w:tcPr>
            <w:tcW w:type="dxa" w:w="1020"/>
            <w:shd w:fill="FFC7CE" w:val="clear"/>
          </w:tcPr>
          <w:p>
            <w:r>
              <w:rPr>
                <w:sz w:val="16"/>
              </w:rPr>
              <w:t>Faible</w:t>
            </w:r>
          </w:p>
        </w:tc>
      </w:tr>
      <w:tr>
        <w:tc>
          <w:tcPr>
            <w:tcW w:type="dxa" w:w="680"/>
            <w:shd w:fill="FFFFFF" w:val="clear"/>
          </w:tcPr>
          <w:p>
            <w:r>
              <w:rPr>
                <w:b/>
                <w:sz w:val="16"/>
              </w:rPr>
              <w:t>#3</w:t>
            </w:r>
          </w:p>
        </w:tc>
        <w:tc>
          <w:tcPr>
            <w:tcW w:type="dxa" w:w="2835"/>
            <w:shd w:fill="FFC7CE" w:val="clear"/>
          </w:tcPr>
          <w:p>
            <w:r>
              <w:rPr>
                <w:sz w:val="16"/>
              </w:rPr>
              <w:t>BOAM — BANK OF AFRICA MALI</w:t>
            </w:r>
          </w:p>
        </w:tc>
        <w:tc>
          <w:tcPr>
            <w:tcW w:type="dxa" w:w="1701"/>
            <w:shd w:fill="FFFFFF" w:val="clear"/>
          </w:tcPr>
          <w:p>
            <w:r>
              <w:rPr>
                <w:sz w:val="16"/>
              </w:rPr>
              <w:t>SERVICES FINANCIERS</w:t>
            </w:r>
          </w:p>
        </w:tc>
        <w:tc>
          <w:tcPr>
            <w:tcW w:type="dxa" w:w="1417"/>
            <w:shd w:fill="FFFFFF" w:val="clear"/>
          </w:tcPr>
          <w:p>
            <w:r>
              <w:rPr>
                <w:sz w:val="16"/>
              </w:rPr>
              <w:t>5,700 FCFA</w:t>
            </w:r>
          </w:p>
        </w:tc>
        <w:tc>
          <w:tcPr>
            <w:tcW w:type="dxa" w:w="1417"/>
            <w:shd w:fill="FFFFFF" w:val="clear"/>
          </w:tcPr>
          <w:p>
            <w:r>
              <w:rPr>
                <w:sz w:val="16"/>
              </w:rPr>
              <w:t>5,248 FCFA</w:t>
            </w:r>
          </w:p>
        </w:tc>
        <w:tc>
          <w:tcPr>
            <w:tcW w:type="dxa" w:w="1134"/>
            <w:shd w:fill="FFC7CE" w:val="clear"/>
          </w:tcPr>
          <w:p>
            <w:r>
              <w:rPr>
                <w:b/>
                <w:color w:val="B40000"/>
                <w:sz w:val="16"/>
              </w:rPr>
              <w:t>-7.94%</w:t>
            </w:r>
          </w:p>
        </w:tc>
        <w:tc>
          <w:tcPr>
            <w:tcW w:type="dxa" w:w="1020"/>
            <w:shd w:fill="FFC7CE" w:val="clear"/>
          </w:tcPr>
          <w:p>
            <w:r>
              <w:rPr>
                <w:sz w:val="16"/>
              </w:rPr>
              <w:t>Faible</w:t>
            </w:r>
          </w:p>
        </w:tc>
      </w:tr>
      <w:tr>
        <w:tc>
          <w:tcPr>
            <w:tcW w:type="dxa" w:w="680"/>
            <w:shd w:fill="FFFFFF" w:val="clear"/>
          </w:tcPr>
          <w:p>
            <w:r>
              <w:rPr>
                <w:b/>
                <w:sz w:val="16"/>
              </w:rPr>
              <w:t>#4</w:t>
            </w:r>
          </w:p>
        </w:tc>
        <w:tc>
          <w:tcPr>
            <w:tcW w:type="dxa" w:w="2835"/>
            <w:shd w:fill="FFC7CE" w:val="clear"/>
          </w:tcPr>
          <w:p>
            <w:r>
              <w:rPr>
                <w:sz w:val="16"/>
              </w:rPr>
              <w:t>CBIBF — CBIBF - CORIS BANK INTERNATIONAL BU...</w:t>
            </w:r>
          </w:p>
        </w:tc>
        <w:tc>
          <w:tcPr>
            <w:tcW w:type="dxa" w:w="1701"/>
            <w:shd w:fill="FFFFFF" w:val="clear"/>
          </w:tcPr>
          <w:p>
            <w:r>
              <w:rPr>
                <w:sz w:val="16"/>
              </w:rPr>
              <w:t>SERVICES FINANCIERS</w:t>
            </w:r>
          </w:p>
        </w:tc>
        <w:tc>
          <w:tcPr>
            <w:tcW w:type="dxa" w:w="1417"/>
            <w:shd w:fill="FFFFFF" w:val="clear"/>
          </w:tcPr>
          <w:p>
            <w:r>
              <w:rPr>
                <w:sz w:val="16"/>
              </w:rPr>
              <w:t>31,000 FCFA</w:t>
            </w:r>
          </w:p>
        </w:tc>
        <w:tc>
          <w:tcPr>
            <w:tcW w:type="dxa" w:w="1417"/>
            <w:shd w:fill="FFFFFF" w:val="clear"/>
          </w:tcPr>
          <w:p>
            <w:r>
              <w:rPr>
                <w:sz w:val="16"/>
              </w:rPr>
              <w:t>28,667 FCFA</w:t>
            </w:r>
          </w:p>
        </w:tc>
        <w:tc>
          <w:tcPr>
            <w:tcW w:type="dxa" w:w="1134"/>
            <w:shd w:fill="FFC7CE" w:val="clear"/>
          </w:tcPr>
          <w:p>
            <w:r>
              <w:rPr>
                <w:b/>
                <w:color w:val="B40000"/>
                <w:sz w:val="16"/>
              </w:rPr>
              <w:t>-7.52%</w:t>
            </w:r>
          </w:p>
        </w:tc>
        <w:tc>
          <w:tcPr>
            <w:tcW w:type="dxa" w:w="1020"/>
            <w:shd w:fill="FFC7CE" w:val="clear"/>
          </w:tcPr>
          <w:p>
            <w:r>
              <w:rPr>
                <w:sz w:val="16"/>
              </w:rPr>
              <w:t>Faible</w:t>
            </w:r>
          </w:p>
        </w:tc>
      </w:tr>
      <w:tr>
        <w:tc>
          <w:tcPr>
            <w:tcW w:type="dxa" w:w="680"/>
            <w:shd w:fill="FFFFFF" w:val="clear"/>
          </w:tcPr>
          <w:p>
            <w:r>
              <w:rPr>
                <w:b/>
                <w:sz w:val="16"/>
              </w:rPr>
              <w:t>#5</w:t>
            </w:r>
          </w:p>
        </w:tc>
        <w:tc>
          <w:tcPr>
            <w:tcW w:type="dxa" w:w="2835"/>
            <w:shd w:fill="FFC7CE" w:val="clear"/>
          </w:tcPr>
          <w:p>
            <w:r>
              <w:rPr>
                <w:sz w:val="16"/>
              </w:rPr>
              <w:t>UNXC — UNXC - UNIWAX COTE D'IVOIRE</w:t>
            </w:r>
          </w:p>
        </w:tc>
        <w:tc>
          <w:tcPr>
            <w:tcW w:type="dxa" w:w="1701"/>
            <w:shd w:fill="FFFFFF" w:val="clear"/>
          </w:tcPr>
          <w:p>
            <w:r>
              <w:rPr>
                <w:sz w:val="16"/>
              </w:rPr>
              <w:t>CONSOMMATION DISCRET</w:t>
            </w:r>
          </w:p>
        </w:tc>
        <w:tc>
          <w:tcPr>
            <w:tcW w:type="dxa" w:w="1417"/>
            <w:shd w:fill="FFFFFF" w:val="clear"/>
          </w:tcPr>
          <w:p>
            <w:r>
              <w:rPr>
                <w:sz w:val="16"/>
              </w:rPr>
              <w:t>2,180 FCFA</w:t>
            </w:r>
          </w:p>
        </w:tc>
        <w:tc>
          <w:tcPr>
            <w:tcW w:type="dxa" w:w="1417"/>
            <w:shd w:fill="FFFFFF" w:val="clear"/>
          </w:tcPr>
          <w:p>
            <w:r>
              <w:rPr>
                <w:sz w:val="16"/>
              </w:rPr>
              <w:t>2,050 FCFA</w:t>
            </w:r>
          </w:p>
        </w:tc>
        <w:tc>
          <w:tcPr>
            <w:tcW w:type="dxa" w:w="1134"/>
            <w:shd w:fill="FFC7CE" w:val="clear"/>
          </w:tcPr>
          <w:p>
            <w:r>
              <w:rPr>
                <w:b/>
                <w:color w:val="B40000"/>
                <w:sz w:val="16"/>
              </w:rPr>
              <w:t>-5.95%</w:t>
            </w:r>
          </w:p>
        </w:tc>
        <w:tc>
          <w:tcPr>
            <w:tcW w:type="dxa" w:w="1020"/>
            <w:shd w:fill="FFC7CE" w:val="clear"/>
          </w:tcPr>
          <w:p>
            <w:r>
              <w:rPr>
                <w:sz w:val="16"/>
              </w:rPr>
              <w:t>Faible</w:t>
            </w:r>
          </w:p>
        </w:tc>
      </w:tr>
    </w:tbl>
    <w:p/>
    <w:p>
      <w:pPr>
        <w:pStyle w:val="ListBullet"/>
      </w:pPr>
      <w:r>
        <w:rPr>
          <w:b/>
          <w:color w:val="B40000"/>
          <w:sz w:val="18"/>
        </w:rPr>
        <w:t xml:space="preserve">#1 BOAS </w:t>
      </w:r>
      <w:r>
        <w:rPr>
          <w:sz w:val="17"/>
        </w:rPr>
        <w:t>(BANK OF AFRICA SENEGAL) — baisse modérée (-12.7%) — repli technique attendu. Trajectoire : 📉 Baisse continue. Cours actuel : 8,145 FCFA → prédit J+10 : 7,109 FCFA. Confiance partielle — surveiller l'évolution réelle des premiers jours.</w:t>
      </w:r>
    </w:p>
    <w:p>
      <w:pPr>
        <w:pStyle w:val="ListBullet"/>
      </w:pPr>
      <w:r>
        <w:rPr>
          <w:b/>
          <w:color w:val="B40000"/>
          <w:sz w:val="18"/>
        </w:rPr>
        <w:t xml:space="preserve">#2 NSBC </w:t>
      </w:r>
      <w:r>
        <w:rPr>
          <w:sz w:val="17"/>
        </w:rPr>
        <w:t>(NSBC - NSIA BANQUE COTE D'IVOIRE) — baisse modérée (-10.3%) — repli technique attendu. Trajectoire : 📉 Baisse continue. Cours actuel : 20,800 FCFA → prédit J+10 : 18,647 FCFA. ⚠️ Confiance limitée — volatilité élevée. Ne pas agir sur ce seul signal.</w:t>
      </w:r>
    </w:p>
    <w:p>
      <w:pPr>
        <w:pStyle w:val="ListBullet"/>
      </w:pPr>
      <w:r>
        <w:rPr>
          <w:b/>
          <w:color w:val="B40000"/>
          <w:sz w:val="18"/>
        </w:rPr>
        <w:t xml:space="preserve">#3 BOAM </w:t>
      </w:r>
      <w:r>
        <w:rPr>
          <w:sz w:val="17"/>
        </w:rPr>
        <w:t>(BANK OF AFRICA MALI) — baisse modérée (-7.9%) — repli technique attendu. Trajectoire : 📉 Baisse continue. Cours actuel : 5,700 FCFA → prédit J+10 : 5,248 FCFA. ⚠️ Confiance limitée — volatilité élevée. Ne pas agir sur ce seul signal.</w:t>
      </w:r>
    </w:p>
    <w:p>
      <w:pPr>
        <w:pStyle w:val="ListBullet"/>
      </w:pPr>
      <w:r>
        <w:rPr>
          <w:b/>
          <w:color w:val="B40000"/>
          <w:sz w:val="18"/>
        </w:rPr>
        <w:t xml:space="preserve">#4 CBIBF </w:t>
      </w:r>
      <w:r>
        <w:rPr>
          <w:sz w:val="17"/>
        </w:rPr>
        <w:t>(CBIBF - CORIS BANK INTERNATIONAL BURKINA) — baisse modérée (-7.5%) — repli technique attendu. Trajectoire : 📉 Baisse continue. Cours actuel : 31,000 FCFA → prédit J+10 : 28,667 FCFA. ⚠️ Confiance limitée — volatilité élevée. Ne pas agir sur ce seul signal.</w:t>
      </w:r>
    </w:p>
    <w:p>
      <w:pPr>
        <w:pStyle w:val="ListBullet"/>
      </w:pPr>
      <w:r>
        <w:rPr>
          <w:b/>
          <w:color w:val="B40000"/>
          <w:sz w:val="18"/>
        </w:rPr>
        <w:t xml:space="preserve">#5 UNXC </w:t>
      </w:r>
      <w:r>
        <w:rPr>
          <w:sz w:val="17"/>
        </w:rPr>
        <w:t>(UNXC - UNIWAX COTE D'IVOIRE) — baisse modérée (-5.9%) — repli technique attendu. Trajectoire : 📉 Baisse continue. Cours actuel : 2,180 FCFA → prédit J+10 : 2,050 FCFA. ⚠️ Confiance limitée — volatilité élevée. Ne pas agir sur ce seul signal.</w:t>
      </w:r>
    </w:p>
    <w:p/>
    <w:p>
      <w:pPr>
        <w:pStyle w:val="Heading2"/>
      </w:pPr>
      <w:r>
        <w:t>📋 4. Tableau complet — Toutes les sociétés</w:t>
      </w:r>
    </w:p>
    <w:p>
      <w:r>
        <w:rPr>
          <w:i/>
          <w:sz w:val="17"/>
        </w:rPr>
        <w:t>Vue d'ensemble de toutes les sociétés avec prédictions disponibles, triées par variation J+10 décroissante.</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020"/>
            <w:shd w:fill="1F4E79" w:val="clear"/>
          </w:tcPr>
          <w:p>
            <w:r>
              <w:rPr>
                <w:b/>
                <w:color w:val="FFFFFF"/>
                <w:sz w:val="16"/>
              </w:rPr>
              <w:t>Symbole</w:t>
            </w:r>
          </w:p>
        </w:tc>
        <w:tc>
          <w:tcPr>
            <w:tcW w:type="dxa" w:w="3402"/>
            <w:shd w:fill="1F4E79" w:val="clear"/>
          </w:tcPr>
          <w:p>
            <w:r>
              <w:rPr>
                <w:b/>
                <w:color w:val="FFFFFF"/>
                <w:sz w:val="16"/>
              </w:rPr>
              <w:t>Société</w:t>
            </w:r>
          </w:p>
        </w:tc>
        <w:tc>
          <w:tcPr>
            <w:tcW w:type="dxa" w:w="1417"/>
            <w:shd w:fill="1F4E79" w:val="clear"/>
          </w:tcPr>
          <w:p>
            <w:r>
              <w:rPr>
                <w:b/>
                <w:color w:val="FFFFFF"/>
                <w:sz w:val="16"/>
              </w:rPr>
              <w:t>Cours actuel</w:t>
            </w:r>
          </w:p>
        </w:tc>
        <w:tc>
          <w:tcPr>
            <w:tcW w:type="dxa" w:w="1417"/>
            <w:shd w:fill="1F4E79" w:val="clear"/>
          </w:tcPr>
          <w:p>
            <w:r>
              <w:rPr>
                <w:b/>
                <w:color w:val="FFFFFF"/>
                <w:sz w:val="16"/>
              </w:rPr>
              <w:t>Cours J+10</w:t>
            </w:r>
          </w:p>
        </w:tc>
        <w:tc>
          <w:tcPr>
            <w:tcW w:type="dxa" w:w="1134"/>
            <w:shd w:fill="1F4E79" w:val="clear"/>
          </w:tcPr>
          <w:p>
            <w:r>
              <w:rPr>
                <w:b/>
                <w:color w:val="FFFFFF"/>
                <w:sz w:val="16"/>
              </w:rPr>
              <w:t>Var. J+10</w:t>
            </w:r>
          </w:p>
        </w:tc>
        <w:tc>
          <w:tcPr>
            <w:tcW w:type="dxa" w:w="1134"/>
            <w:shd w:fill="1F4E79" w:val="clear"/>
          </w:tcPr>
          <w:p>
            <w:r>
              <w:rPr>
                <w:b/>
                <w:color w:val="FFFFFF"/>
                <w:sz w:val="16"/>
              </w:rPr>
              <w:t>Confiance</w:t>
            </w:r>
          </w:p>
        </w:tc>
      </w:tr>
      <w:tr>
        <w:tc>
          <w:tcPr>
            <w:tcW w:type="dxa" w:w="1020"/>
            <w:shd w:fill="FFFFFF" w:val="clear"/>
          </w:tcPr>
          <w:p>
            <w:r>
              <w:rPr>
                <w:sz w:val="16"/>
              </w:rPr>
              <w:t>SCRC</w:t>
            </w:r>
          </w:p>
        </w:tc>
        <w:tc>
          <w:tcPr>
            <w:tcW w:type="dxa" w:w="3402"/>
            <w:shd w:fill="FFFFFF" w:val="clear"/>
          </w:tcPr>
          <w:p>
            <w:r>
              <w:rPr>
                <w:sz w:val="16"/>
              </w:rPr>
              <w:t>SCRC - SUCRIVOIRE</w:t>
            </w:r>
          </w:p>
        </w:tc>
        <w:tc>
          <w:tcPr>
            <w:tcW w:type="dxa" w:w="1417"/>
            <w:shd w:fill="FFFFFF" w:val="clear"/>
          </w:tcPr>
          <w:p>
            <w:r>
              <w:rPr>
                <w:sz w:val="16"/>
              </w:rPr>
              <w:t>2,345</w:t>
            </w:r>
          </w:p>
        </w:tc>
        <w:tc>
          <w:tcPr>
            <w:tcW w:type="dxa" w:w="1417"/>
            <w:shd w:fill="FFFFFF" w:val="clear"/>
          </w:tcPr>
          <w:p>
            <w:r>
              <w:rPr>
                <w:sz w:val="16"/>
              </w:rPr>
              <w:t>3,119</w:t>
            </w:r>
          </w:p>
        </w:tc>
        <w:tc>
          <w:tcPr>
            <w:tcW w:type="dxa" w:w="1134"/>
            <w:shd w:fill="C6EFCE" w:val="clear"/>
          </w:tcPr>
          <w:p>
            <w:r>
              <w:rPr>
                <w:b/>
                <w:color w:val="007800"/>
                <w:sz w:val="16"/>
              </w:rPr>
              <w:t>+33.02%</w:t>
            </w:r>
          </w:p>
        </w:tc>
        <w:tc>
          <w:tcPr>
            <w:tcW w:type="dxa" w:w="1134"/>
            <w:shd w:fill="FFC7CE" w:val="clear"/>
          </w:tcPr>
          <w:p>
            <w:r>
              <w:rPr>
                <w:sz w:val="16"/>
              </w:rPr>
              <w:t>Faible</w:t>
            </w:r>
          </w:p>
        </w:tc>
      </w:tr>
      <w:tr>
        <w:tc>
          <w:tcPr>
            <w:tcW w:type="dxa" w:w="1020"/>
            <w:shd w:fill="FFFFFF" w:val="clear"/>
          </w:tcPr>
          <w:p>
            <w:r>
              <w:rPr>
                <w:sz w:val="16"/>
              </w:rPr>
              <w:t>STBC</w:t>
            </w:r>
          </w:p>
        </w:tc>
        <w:tc>
          <w:tcPr>
            <w:tcW w:type="dxa" w:w="3402"/>
            <w:shd w:fill="FFFFFF" w:val="clear"/>
          </w:tcPr>
          <w:p>
            <w:r>
              <w:rPr>
                <w:sz w:val="16"/>
              </w:rPr>
              <w:t>STBC - SITAB COTE D'IVOIRE</w:t>
            </w:r>
          </w:p>
        </w:tc>
        <w:tc>
          <w:tcPr>
            <w:tcW w:type="dxa" w:w="1417"/>
            <w:shd w:fill="FFFFFF" w:val="clear"/>
          </w:tcPr>
          <w:p>
            <w:r>
              <w:rPr>
                <w:sz w:val="16"/>
              </w:rPr>
              <w:t>21,200</w:t>
            </w:r>
          </w:p>
        </w:tc>
        <w:tc>
          <w:tcPr>
            <w:tcW w:type="dxa" w:w="1417"/>
            <w:shd w:fill="FFFFFF" w:val="clear"/>
          </w:tcPr>
          <w:p>
            <w:r>
              <w:rPr>
                <w:sz w:val="16"/>
              </w:rPr>
              <w:t>24,346</w:t>
            </w:r>
          </w:p>
        </w:tc>
        <w:tc>
          <w:tcPr>
            <w:tcW w:type="dxa" w:w="1134"/>
            <w:shd w:fill="C6EFCE" w:val="clear"/>
          </w:tcPr>
          <w:p>
            <w:r>
              <w:rPr>
                <w:b/>
                <w:color w:val="007800"/>
                <w:sz w:val="16"/>
              </w:rPr>
              <w:t>+14.84%</w:t>
            </w:r>
          </w:p>
        </w:tc>
        <w:tc>
          <w:tcPr>
            <w:tcW w:type="dxa" w:w="1134"/>
            <w:shd w:fill="FFC7CE" w:val="clear"/>
          </w:tcPr>
          <w:p>
            <w:r>
              <w:rPr>
                <w:sz w:val="16"/>
              </w:rPr>
              <w:t>Faible</w:t>
            </w:r>
          </w:p>
        </w:tc>
      </w:tr>
      <w:tr>
        <w:tc>
          <w:tcPr>
            <w:tcW w:type="dxa" w:w="1020"/>
            <w:shd w:fill="FFFFFF" w:val="clear"/>
          </w:tcPr>
          <w:p>
            <w:r>
              <w:rPr>
                <w:sz w:val="16"/>
              </w:rPr>
              <w:t>BICB</w:t>
            </w:r>
          </w:p>
        </w:tc>
        <w:tc>
          <w:tcPr>
            <w:tcW w:type="dxa" w:w="3402"/>
            <w:shd w:fill="FFFFFF" w:val="clear"/>
          </w:tcPr>
          <w:p>
            <w:r>
              <w:rPr>
                <w:sz w:val="16"/>
              </w:rPr>
              <w:t>BIIC BN - Banque internationale pou...</w:t>
            </w:r>
          </w:p>
        </w:tc>
        <w:tc>
          <w:tcPr>
            <w:tcW w:type="dxa" w:w="1417"/>
            <w:shd w:fill="FFFFFF" w:val="clear"/>
          </w:tcPr>
          <w:p>
            <w:r>
              <w:rPr>
                <w:sz w:val="16"/>
              </w:rPr>
              <w:t>8,400</w:t>
            </w:r>
          </w:p>
        </w:tc>
        <w:tc>
          <w:tcPr>
            <w:tcW w:type="dxa" w:w="1417"/>
            <w:shd w:fill="FFFFFF" w:val="clear"/>
          </w:tcPr>
          <w:p>
            <w:r>
              <w:rPr>
                <w:sz w:val="16"/>
              </w:rPr>
              <w:t>9,299</w:t>
            </w:r>
          </w:p>
        </w:tc>
        <w:tc>
          <w:tcPr>
            <w:tcW w:type="dxa" w:w="1134"/>
            <w:shd w:fill="C6EFCE" w:val="clear"/>
          </w:tcPr>
          <w:p>
            <w:r>
              <w:rPr>
                <w:b/>
                <w:color w:val="007800"/>
                <w:sz w:val="16"/>
              </w:rPr>
              <w:t>+10.70%</w:t>
            </w:r>
          </w:p>
        </w:tc>
        <w:tc>
          <w:tcPr>
            <w:tcW w:type="dxa" w:w="1134"/>
            <w:shd w:fill="FFC7CE" w:val="clear"/>
          </w:tcPr>
          <w:p>
            <w:r>
              <w:rPr>
                <w:sz w:val="16"/>
              </w:rPr>
              <w:t>Faible</w:t>
            </w:r>
          </w:p>
        </w:tc>
      </w:tr>
      <w:tr>
        <w:tc>
          <w:tcPr>
            <w:tcW w:type="dxa" w:w="1020"/>
            <w:shd w:fill="FFFFFF" w:val="clear"/>
          </w:tcPr>
          <w:p>
            <w:r>
              <w:rPr>
                <w:sz w:val="16"/>
              </w:rPr>
              <w:t>CFAC</w:t>
            </w:r>
          </w:p>
        </w:tc>
        <w:tc>
          <w:tcPr>
            <w:tcW w:type="dxa" w:w="3402"/>
            <w:shd w:fill="FFFFFF" w:val="clear"/>
          </w:tcPr>
          <w:p>
            <w:r>
              <w:rPr>
                <w:sz w:val="16"/>
              </w:rPr>
              <w:t>CFAC - CFAO MOTORS CI</w:t>
            </w:r>
          </w:p>
        </w:tc>
        <w:tc>
          <w:tcPr>
            <w:tcW w:type="dxa" w:w="1417"/>
            <w:shd w:fill="FFFFFF" w:val="clear"/>
          </w:tcPr>
          <w:p>
            <w:r>
              <w:rPr>
                <w:sz w:val="16"/>
              </w:rPr>
              <w:t>1,350</w:t>
            </w:r>
          </w:p>
        </w:tc>
        <w:tc>
          <w:tcPr>
            <w:tcW w:type="dxa" w:w="1417"/>
            <w:shd w:fill="FFFFFF" w:val="clear"/>
          </w:tcPr>
          <w:p>
            <w:r>
              <w:rPr>
                <w:sz w:val="16"/>
              </w:rPr>
              <w:t>1,477</w:t>
            </w:r>
          </w:p>
        </w:tc>
        <w:tc>
          <w:tcPr>
            <w:tcW w:type="dxa" w:w="1134"/>
            <w:shd w:fill="C6EFCE" w:val="clear"/>
          </w:tcPr>
          <w:p>
            <w:r>
              <w:rPr>
                <w:b/>
                <w:color w:val="007800"/>
                <w:sz w:val="16"/>
              </w:rPr>
              <w:t>+9.41%</w:t>
            </w:r>
          </w:p>
        </w:tc>
        <w:tc>
          <w:tcPr>
            <w:tcW w:type="dxa" w:w="1134"/>
            <w:shd w:fill="FFC7CE" w:val="clear"/>
          </w:tcPr>
          <w:p>
            <w:r>
              <w:rPr>
                <w:sz w:val="16"/>
              </w:rPr>
              <w:t>Faible</w:t>
            </w:r>
          </w:p>
        </w:tc>
      </w:tr>
      <w:tr>
        <w:tc>
          <w:tcPr>
            <w:tcW w:type="dxa" w:w="1020"/>
            <w:shd w:fill="FFFFFF" w:val="clear"/>
          </w:tcPr>
          <w:p>
            <w:r>
              <w:rPr>
                <w:sz w:val="16"/>
              </w:rPr>
              <w:t>SIVC</w:t>
            </w:r>
          </w:p>
        </w:tc>
        <w:tc>
          <w:tcPr>
            <w:tcW w:type="dxa" w:w="3402"/>
            <w:shd w:fill="FFFFFF" w:val="clear"/>
          </w:tcPr>
          <w:p>
            <w:r>
              <w:rPr>
                <w:sz w:val="16"/>
              </w:rPr>
              <w:t>SIVC - ERIUM CI (Ex AIR LIQUIDECI)</w:t>
            </w:r>
          </w:p>
        </w:tc>
        <w:tc>
          <w:tcPr>
            <w:tcW w:type="dxa" w:w="1417"/>
            <w:shd w:fill="FFFFFF" w:val="clear"/>
          </w:tcPr>
          <w:p>
            <w:r>
              <w:rPr>
                <w:sz w:val="16"/>
              </w:rPr>
              <w:t>1,790</w:t>
            </w:r>
          </w:p>
        </w:tc>
        <w:tc>
          <w:tcPr>
            <w:tcW w:type="dxa" w:w="1417"/>
            <w:shd w:fill="FFFFFF" w:val="clear"/>
          </w:tcPr>
          <w:p>
            <w:r>
              <w:rPr>
                <w:sz w:val="16"/>
              </w:rPr>
              <w:t>1,915</w:t>
            </w:r>
          </w:p>
        </w:tc>
        <w:tc>
          <w:tcPr>
            <w:tcW w:type="dxa" w:w="1134"/>
            <w:shd w:fill="C6EFCE" w:val="clear"/>
          </w:tcPr>
          <w:p>
            <w:r>
              <w:rPr>
                <w:b/>
                <w:color w:val="007800"/>
                <w:sz w:val="16"/>
              </w:rPr>
              <w:t>+6.98%</w:t>
            </w:r>
          </w:p>
        </w:tc>
        <w:tc>
          <w:tcPr>
            <w:tcW w:type="dxa" w:w="1134"/>
            <w:shd w:fill="FFC7CE" w:val="clear"/>
          </w:tcPr>
          <w:p>
            <w:r>
              <w:rPr>
                <w:sz w:val="16"/>
              </w:rPr>
              <w:t>Faible</w:t>
            </w:r>
          </w:p>
        </w:tc>
      </w:tr>
      <w:tr>
        <w:tc>
          <w:tcPr>
            <w:tcW w:type="dxa" w:w="1020"/>
            <w:shd w:fill="FFFFFF" w:val="clear"/>
          </w:tcPr>
          <w:p>
            <w:r>
              <w:rPr>
                <w:sz w:val="16"/>
              </w:rPr>
              <w:t>BOAN</w:t>
            </w:r>
          </w:p>
        </w:tc>
        <w:tc>
          <w:tcPr>
            <w:tcW w:type="dxa" w:w="3402"/>
            <w:shd w:fill="FFFFFF" w:val="clear"/>
          </w:tcPr>
          <w:p>
            <w:r>
              <w:rPr>
                <w:sz w:val="16"/>
              </w:rPr>
              <w:t>BANK OF AFRICA NIGER</w:t>
            </w:r>
          </w:p>
        </w:tc>
        <w:tc>
          <w:tcPr>
            <w:tcW w:type="dxa" w:w="1417"/>
            <w:shd w:fill="FFFFFF" w:val="clear"/>
          </w:tcPr>
          <w:p>
            <w:r>
              <w:rPr>
                <w:sz w:val="16"/>
              </w:rPr>
              <w:t>4,675</w:t>
            </w:r>
          </w:p>
        </w:tc>
        <w:tc>
          <w:tcPr>
            <w:tcW w:type="dxa" w:w="1417"/>
            <w:shd w:fill="FFFFFF" w:val="clear"/>
          </w:tcPr>
          <w:p>
            <w:r>
              <w:rPr>
                <w:sz w:val="16"/>
              </w:rPr>
              <w:t>4,949</w:t>
            </w:r>
          </w:p>
        </w:tc>
        <w:tc>
          <w:tcPr>
            <w:tcW w:type="dxa" w:w="1134"/>
            <w:shd w:fill="C6EFCE" w:val="clear"/>
          </w:tcPr>
          <w:p>
            <w:r>
              <w:rPr>
                <w:b/>
                <w:color w:val="007800"/>
                <w:sz w:val="16"/>
              </w:rPr>
              <w:t>+5.86%</w:t>
            </w:r>
          </w:p>
        </w:tc>
        <w:tc>
          <w:tcPr>
            <w:tcW w:type="dxa" w:w="1134"/>
            <w:shd w:fill="FFC7CE" w:val="clear"/>
          </w:tcPr>
          <w:p>
            <w:r>
              <w:rPr>
                <w:sz w:val="16"/>
              </w:rPr>
              <w:t>Faible</w:t>
            </w:r>
          </w:p>
        </w:tc>
      </w:tr>
      <w:tr>
        <w:tc>
          <w:tcPr>
            <w:tcW w:type="dxa" w:w="1020"/>
            <w:shd w:fill="FFFFFF" w:val="clear"/>
          </w:tcPr>
          <w:p>
            <w:r>
              <w:rPr>
                <w:sz w:val="16"/>
              </w:rPr>
              <w:t>STAC</w:t>
            </w:r>
          </w:p>
        </w:tc>
        <w:tc>
          <w:tcPr>
            <w:tcW w:type="dxa" w:w="3402"/>
            <w:shd w:fill="FFFFFF" w:val="clear"/>
          </w:tcPr>
          <w:p>
            <w:r>
              <w:rPr>
                <w:sz w:val="16"/>
              </w:rPr>
              <w:t>STAC - SETAO COTE D'IVOIRE</w:t>
            </w:r>
          </w:p>
        </w:tc>
        <w:tc>
          <w:tcPr>
            <w:tcW w:type="dxa" w:w="1417"/>
            <w:shd w:fill="FFFFFF" w:val="clear"/>
          </w:tcPr>
          <w:p>
            <w:r>
              <w:rPr>
                <w:sz w:val="16"/>
              </w:rPr>
              <w:t>1,905</w:t>
            </w:r>
          </w:p>
        </w:tc>
        <w:tc>
          <w:tcPr>
            <w:tcW w:type="dxa" w:w="1417"/>
            <w:shd w:fill="FFFFFF" w:val="clear"/>
          </w:tcPr>
          <w:p>
            <w:r>
              <w:rPr>
                <w:sz w:val="16"/>
              </w:rPr>
              <w:t>1,973</w:t>
            </w:r>
          </w:p>
        </w:tc>
        <w:tc>
          <w:tcPr>
            <w:tcW w:type="dxa" w:w="1134"/>
            <w:shd w:fill="C6EFCE" w:val="clear"/>
          </w:tcPr>
          <w:p>
            <w:r>
              <w:rPr>
                <w:b/>
                <w:color w:val="007800"/>
                <w:sz w:val="16"/>
              </w:rPr>
              <w:t>+3.58%</w:t>
            </w:r>
          </w:p>
        </w:tc>
        <w:tc>
          <w:tcPr>
            <w:tcW w:type="dxa" w:w="1134"/>
            <w:shd w:fill="FFC7CE" w:val="clear"/>
          </w:tcPr>
          <w:p>
            <w:r>
              <w:rPr>
                <w:sz w:val="16"/>
              </w:rPr>
              <w:t>Faible</w:t>
            </w:r>
          </w:p>
        </w:tc>
      </w:tr>
      <w:tr>
        <w:tc>
          <w:tcPr>
            <w:tcW w:type="dxa" w:w="1020"/>
            <w:shd w:fill="FFFFFF" w:val="clear"/>
          </w:tcPr>
          <w:p>
            <w:r>
              <w:rPr>
                <w:sz w:val="16"/>
              </w:rPr>
              <w:t>SLBC</w:t>
            </w:r>
          </w:p>
        </w:tc>
        <w:tc>
          <w:tcPr>
            <w:tcW w:type="dxa" w:w="3402"/>
            <w:shd w:fill="FFFFFF" w:val="clear"/>
          </w:tcPr>
          <w:p>
            <w:r>
              <w:rPr>
                <w:sz w:val="16"/>
              </w:rPr>
              <w:t>SLBC - SOLIBRA COTE D'IVOIRE</w:t>
            </w:r>
          </w:p>
        </w:tc>
        <w:tc>
          <w:tcPr>
            <w:tcW w:type="dxa" w:w="1417"/>
            <w:shd w:fill="FFFFFF" w:val="clear"/>
          </w:tcPr>
          <w:p>
            <w:r>
              <w:rPr>
                <w:sz w:val="16"/>
              </w:rPr>
              <w:t>38,490</w:t>
            </w:r>
          </w:p>
        </w:tc>
        <w:tc>
          <w:tcPr>
            <w:tcW w:type="dxa" w:w="1417"/>
            <w:shd w:fill="FFFFFF" w:val="clear"/>
          </w:tcPr>
          <w:p>
            <w:r>
              <w:rPr>
                <w:sz w:val="16"/>
              </w:rPr>
              <w:t>39,723</w:t>
            </w:r>
          </w:p>
        </w:tc>
        <w:tc>
          <w:tcPr>
            <w:tcW w:type="dxa" w:w="1134"/>
            <w:shd w:fill="C6EFCE" w:val="clear"/>
          </w:tcPr>
          <w:p>
            <w:r>
              <w:rPr>
                <w:b/>
                <w:color w:val="007800"/>
                <w:sz w:val="16"/>
              </w:rPr>
              <w:t>+3.20%</w:t>
            </w:r>
          </w:p>
        </w:tc>
        <w:tc>
          <w:tcPr>
            <w:tcW w:type="dxa" w:w="1134"/>
            <w:shd w:fill="FFEB9C" w:val="clear"/>
          </w:tcPr>
          <w:p>
            <w:r>
              <w:rPr>
                <w:sz w:val="16"/>
              </w:rPr>
              <w:t>Moyenne</w:t>
            </w:r>
          </w:p>
        </w:tc>
      </w:tr>
      <w:tr>
        <w:tc>
          <w:tcPr>
            <w:tcW w:type="dxa" w:w="1020"/>
            <w:shd w:fill="FFFFFF" w:val="clear"/>
          </w:tcPr>
          <w:p>
            <w:r>
              <w:rPr>
                <w:sz w:val="16"/>
              </w:rPr>
              <w:t>ECOC</w:t>
            </w:r>
          </w:p>
        </w:tc>
        <w:tc>
          <w:tcPr>
            <w:tcW w:type="dxa" w:w="3402"/>
            <w:shd w:fill="FFFFFF" w:val="clear"/>
          </w:tcPr>
          <w:p>
            <w:r>
              <w:rPr>
                <w:sz w:val="16"/>
              </w:rPr>
              <w:t>ECOC - ECOBANK COTE D'IVOIRE</w:t>
            </w:r>
          </w:p>
        </w:tc>
        <w:tc>
          <w:tcPr>
            <w:tcW w:type="dxa" w:w="1417"/>
            <w:shd w:fill="FFFFFF" w:val="clear"/>
          </w:tcPr>
          <w:p>
            <w:r>
              <w:rPr>
                <w:sz w:val="16"/>
              </w:rPr>
              <w:t>16,000</w:t>
            </w:r>
          </w:p>
        </w:tc>
        <w:tc>
          <w:tcPr>
            <w:tcW w:type="dxa" w:w="1417"/>
            <w:shd w:fill="FFFFFF" w:val="clear"/>
          </w:tcPr>
          <w:p>
            <w:r>
              <w:rPr>
                <w:sz w:val="16"/>
              </w:rPr>
              <w:t>16,442</w:t>
            </w:r>
          </w:p>
        </w:tc>
        <w:tc>
          <w:tcPr>
            <w:tcW w:type="dxa" w:w="1134"/>
            <w:shd w:fill="C6EFCE" w:val="clear"/>
          </w:tcPr>
          <w:p>
            <w:r>
              <w:rPr>
                <w:b/>
                <w:color w:val="007800"/>
                <w:sz w:val="16"/>
              </w:rPr>
              <w:t>+2.76%</w:t>
            </w:r>
          </w:p>
        </w:tc>
        <w:tc>
          <w:tcPr>
            <w:tcW w:type="dxa" w:w="1134"/>
            <w:shd w:fill="FFEB9C" w:val="clear"/>
          </w:tcPr>
          <w:p>
            <w:r>
              <w:rPr>
                <w:sz w:val="16"/>
              </w:rPr>
              <w:t>Moyenne</w:t>
            </w:r>
          </w:p>
        </w:tc>
      </w:tr>
      <w:tr>
        <w:tc>
          <w:tcPr>
            <w:tcW w:type="dxa" w:w="1020"/>
            <w:shd w:fill="FFFFFF" w:val="clear"/>
          </w:tcPr>
          <w:p>
            <w:r>
              <w:rPr>
                <w:sz w:val="16"/>
              </w:rPr>
              <w:t>SAFC</w:t>
            </w:r>
          </w:p>
        </w:tc>
        <w:tc>
          <w:tcPr>
            <w:tcW w:type="dxa" w:w="3402"/>
            <w:shd w:fill="FFFFFF" w:val="clear"/>
          </w:tcPr>
          <w:p>
            <w:r>
              <w:rPr>
                <w:sz w:val="16"/>
              </w:rPr>
              <w:t>SAFCA CI</w:t>
            </w:r>
          </w:p>
        </w:tc>
        <w:tc>
          <w:tcPr>
            <w:tcW w:type="dxa" w:w="1417"/>
            <w:shd w:fill="FFFFFF" w:val="clear"/>
          </w:tcPr>
          <w:p>
            <w:r>
              <w:rPr>
                <w:sz w:val="16"/>
              </w:rPr>
              <w:t>3,900</w:t>
            </w:r>
          </w:p>
        </w:tc>
        <w:tc>
          <w:tcPr>
            <w:tcW w:type="dxa" w:w="1417"/>
            <w:shd w:fill="FFFFFF" w:val="clear"/>
          </w:tcPr>
          <w:p>
            <w:r>
              <w:rPr>
                <w:sz w:val="16"/>
              </w:rPr>
              <w:t>3,996</w:t>
            </w:r>
          </w:p>
        </w:tc>
        <w:tc>
          <w:tcPr>
            <w:tcW w:type="dxa" w:w="1134"/>
            <w:shd w:fill="C6EFCE" w:val="clear"/>
          </w:tcPr>
          <w:p>
            <w:r>
              <w:rPr>
                <w:b/>
                <w:color w:val="007800"/>
                <w:sz w:val="16"/>
              </w:rPr>
              <w:t>+2.46%</w:t>
            </w:r>
          </w:p>
        </w:tc>
        <w:tc>
          <w:tcPr>
            <w:tcW w:type="dxa" w:w="1134"/>
            <w:shd w:fill="FFC7CE" w:val="clear"/>
          </w:tcPr>
          <w:p>
            <w:r>
              <w:rPr>
                <w:sz w:val="16"/>
              </w:rPr>
              <w:t>Faible</w:t>
            </w:r>
          </w:p>
        </w:tc>
      </w:tr>
      <w:tr>
        <w:tc>
          <w:tcPr>
            <w:tcW w:type="dxa" w:w="1020"/>
            <w:shd w:fill="FFFFFF" w:val="clear"/>
          </w:tcPr>
          <w:p>
            <w:r>
              <w:rPr>
                <w:sz w:val="16"/>
              </w:rPr>
              <w:t>CIEC</w:t>
            </w:r>
          </w:p>
        </w:tc>
        <w:tc>
          <w:tcPr>
            <w:tcW w:type="dxa" w:w="3402"/>
            <w:shd w:fill="FFFFFF" w:val="clear"/>
          </w:tcPr>
          <w:p>
            <w:r>
              <w:rPr>
                <w:sz w:val="16"/>
              </w:rPr>
              <w:t>CIEC - Compagnie Ivoirienne d'Elect...</w:t>
            </w:r>
          </w:p>
        </w:tc>
        <w:tc>
          <w:tcPr>
            <w:tcW w:type="dxa" w:w="1417"/>
            <w:shd w:fill="FFFFFF" w:val="clear"/>
          </w:tcPr>
          <w:p>
            <w:r>
              <w:rPr>
                <w:sz w:val="16"/>
              </w:rPr>
              <w:t>5,950</w:t>
            </w:r>
          </w:p>
        </w:tc>
        <w:tc>
          <w:tcPr>
            <w:tcW w:type="dxa" w:w="1417"/>
            <w:shd w:fill="FFFFFF" w:val="clear"/>
          </w:tcPr>
          <w:p>
            <w:r>
              <w:rPr>
                <w:sz w:val="16"/>
              </w:rPr>
              <w:t>6,089</w:t>
            </w:r>
          </w:p>
        </w:tc>
        <w:tc>
          <w:tcPr>
            <w:tcW w:type="dxa" w:w="1134"/>
            <w:shd w:fill="C6EFCE" w:val="clear"/>
          </w:tcPr>
          <w:p>
            <w:r>
              <w:rPr>
                <w:b/>
                <w:color w:val="007800"/>
                <w:sz w:val="16"/>
              </w:rPr>
              <w:t>+2.34%</w:t>
            </w:r>
          </w:p>
        </w:tc>
        <w:tc>
          <w:tcPr>
            <w:tcW w:type="dxa" w:w="1134"/>
            <w:shd w:fill="FFC7CE" w:val="clear"/>
          </w:tcPr>
          <w:p>
            <w:r>
              <w:rPr>
                <w:sz w:val="16"/>
              </w:rPr>
              <w:t>Faible</w:t>
            </w:r>
          </w:p>
        </w:tc>
      </w:tr>
      <w:tr>
        <w:tc>
          <w:tcPr>
            <w:tcW w:type="dxa" w:w="1020"/>
            <w:shd w:fill="FFFFFF" w:val="clear"/>
          </w:tcPr>
          <w:p>
            <w:r>
              <w:rPr>
                <w:sz w:val="16"/>
              </w:rPr>
              <w:t>UNLC</w:t>
            </w:r>
          </w:p>
        </w:tc>
        <w:tc>
          <w:tcPr>
            <w:tcW w:type="dxa" w:w="3402"/>
            <w:shd w:fill="FFFFFF" w:val="clear"/>
          </w:tcPr>
          <w:p>
            <w:r>
              <w:rPr>
                <w:sz w:val="16"/>
              </w:rPr>
              <w:t>UNLC - UNILEVER COTE D'IVOIRE</w:t>
            </w:r>
          </w:p>
        </w:tc>
        <w:tc>
          <w:tcPr>
            <w:tcW w:type="dxa" w:w="1417"/>
            <w:shd w:fill="FFFFFF" w:val="clear"/>
          </w:tcPr>
          <w:p>
            <w:r>
              <w:rPr>
                <w:sz w:val="16"/>
              </w:rPr>
              <w:t>44,410</w:t>
            </w:r>
          </w:p>
        </w:tc>
        <w:tc>
          <w:tcPr>
            <w:tcW w:type="dxa" w:w="1417"/>
            <w:shd w:fill="FFFFFF" w:val="clear"/>
          </w:tcPr>
          <w:p>
            <w:r>
              <w:rPr>
                <w:sz w:val="16"/>
              </w:rPr>
              <w:t>45,367</w:t>
            </w:r>
          </w:p>
        </w:tc>
        <w:tc>
          <w:tcPr>
            <w:tcW w:type="dxa" w:w="1134"/>
            <w:shd w:fill="C6EFCE" w:val="clear"/>
          </w:tcPr>
          <w:p>
            <w:r>
              <w:rPr>
                <w:b/>
                <w:color w:val="007800"/>
                <w:sz w:val="16"/>
              </w:rPr>
              <w:t>+2.16%</w:t>
            </w:r>
          </w:p>
        </w:tc>
        <w:tc>
          <w:tcPr>
            <w:tcW w:type="dxa" w:w="1134"/>
            <w:shd w:fill="FFC7CE" w:val="clear"/>
          </w:tcPr>
          <w:p>
            <w:r>
              <w:rPr>
                <w:sz w:val="16"/>
              </w:rPr>
              <w:t>Faible</w:t>
            </w:r>
          </w:p>
        </w:tc>
      </w:tr>
      <w:tr>
        <w:tc>
          <w:tcPr>
            <w:tcW w:type="dxa" w:w="1020"/>
            <w:shd w:fill="FFFFFF" w:val="clear"/>
          </w:tcPr>
          <w:p>
            <w:r>
              <w:rPr>
                <w:sz w:val="16"/>
              </w:rPr>
              <w:t>SHEC</w:t>
            </w:r>
          </w:p>
        </w:tc>
        <w:tc>
          <w:tcPr>
            <w:tcW w:type="dxa" w:w="3402"/>
            <w:shd w:fill="FFFFFF" w:val="clear"/>
          </w:tcPr>
          <w:p>
            <w:r>
              <w:rPr>
                <w:sz w:val="16"/>
              </w:rPr>
              <w:t>SHEC - VIVO ENERGY COTE D'IVOIRE</w:t>
            </w:r>
          </w:p>
        </w:tc>
        <w:tc>
          <w:tcPr>
            <w:tcW w:type="dxa" w:w="1417"/>
            <w:shd w:fill="FFFFFF" w:val="clear"/>
          </w:tcPr>
          <w:p>
            <w:r>
              <w:rPr>
                <w:sz w:val="16"/>
              </w:rPr>
              <w:t>2,190</w:t>
            </w:r>
          </w:p>
        </w:tc>
        <w:tc>
          <w:tcPr>
            <w:tcW w:type="dxa" w:w="1417"/>
            <w:shd w:fill="FFFFFF" w:val="clear"/>
          </w:tcPr>
          <w:p>
            <w:r>
              <w:rPr>
                <w:sz w:val="16"/>
              </w:rPr>
              <w:t>2,236</w:t>
            </w:r>
          </w:p>
        </w:tc>
        <w:tc>
          <w:tcPr>
            <w:tcW w:type="dxa" w:w="1134"/>
            <w:shd w:fill="C6EFCE" w:val="clear"/>
          </w:tcPr>
          <w:p>
            <w:r>
              <w:rPr>
                <w:b/>
                <w:color w:val="007800"/>
                <w:sz w:val="16"/>
              </w:rPr>
              <w:t>+2.11%</w:t>
            </w:r>
          </w:p>
        </w:tc>
        <w:tc>
          <w:tcPr>
            <w:tcW w:type="dxa" w:w="1134"/>
            <w:shd w:fill="FFC7CE" w:val="clear"/>
          </w:tcPr>
          <w:p>
            <w:r>
              <w:rPr>
                <w:sz w:val="16"/>
              </w:rPr>
              <w:t>Faible</w:t>
            </w:r>
          </w:p>
        </w:tc>
      </w:tr>
      <w:tr>
        <w:tc>
          <w:tcPr>
            <w:tcW w:type="dxa" w:w="1020"/>
            <w:shd w:fill="FFFFFF" w:val="clear"/>
          </w:tcPr>
          <w:p>
            <w:r>
              <w:rPr>
                <w:sz w:val="16"/>
              </w:rPr>
              <w:t>BNBC</w:t>
            </w:r>
          </w:p>
        </w:tc>
        <w:tc>
          <w:tcPr>
            <w:tcW w:type="dxa" w:w="3402"/>
            <w:shd w:fill="FFFFFF" w:val="clear"/>
          </w:tcPr>
          <w:p>
            <w:r>
              <w:rPr>
                <w:sz w:val="16"/>
              </w:rPr>
              <w:t>BNBC - BERNABE CI</w:t>
            </w:r>
          </w:p>
        </w:tc>
        <w:tc>
          <w:tcPr>
            <w:tcW w:type="dxa" w:w="1417"/>
            <w:shd w:fill="FFFFFF" w:val="clear"/>
          </w:tcPr>
          <w:p>
            <w:r>
              <w:rPr>
                <w:sz w:val="16"/>
              </w:rPr>
              <w:t>1,775</w:t>
            </w:r>
          </w:p>
        </w:tc>
        <w:tc>
          <w:tcPr>
            <w:tcW w:type="dxa" w:w="1417"/>
            <w:shd w:fill="FFFFFF" w:val="clear"/>
          </w:tcPr>
          <w:p>
            <w:r>
              <w:rPr>
                <w:sz w:val="16"/>
              </w:rPr>
              <w:t>1,798</w:t>
            </w:r>
          </w:p>
        </w:tc>
        <w:tc>
          <w:tcPr>
            <w:tcW w:type="dxa" w:w="1134"/>
            <w:shd w:fill="C6EFCE" w:val="clear"/>
          </w:tcPr>
          <w:p>
            <w:r>
              <w:rPr>
                <w:b/>
                <w:color w:val="007800"/>
                <w:sz w:val="16"/>
              </w:rPr>
              <w:t>+1.28%</w:t>
            </w:r>
          </w:p>
        </w:tc>
        <w:tc>
          <w:tcPr>
            <w:tcW w:type="dxa" w:w="1134"/>
            <w:shd w:fill="FFC7CE" w:val="clear"/>
          </w:tcPr>
          <w:p>
            <w:r>
              <w:rPr>
                <w:sz w:val="16"/>
              </w:rPr>
              <w:t>Faible</w:t>
            </w:r>
          </w:p>
        </w:tc>
      </w:tr>
      <w:tr>
        <w:tc>
          <w:tcPr>
            <w:tcW w:type="dxa" w:w="1020"/>
            <w:shd w:fill="FFFFFF" w:val="clear"/>
          </w:tcPr>
          <w:p>
            <w:r>
              <w:rPr>
                <w:sz w:val="16"/>
              </w:rPr>
              <w:t>BOAC</w:t>
            </w:r>
          </w:p>
        </w:tc>
        <w:tc>
          <w:tcPr>
            <w:tcW w:type="dxa" w:w="3402"/>
            <w:shd w:fill="FFFFFF" w:val="clear"/>
          </w:tcPr>
          <w:p>
            <w:r>
              <w:rPr>
                <w:sz w:val="16"/>
              </w:rPr>
              <w:t>BANK OF AFRICA COTE D'IVOIRE</w:t>
            </w:r>
          </w:p>
        </w:tc>
        <w:tc>
          <w:tcPr>
            <w:tcW w:type="dxa" w:w="1417"/>
            <w:shd w:fill="FFFFFF" w:val="clear"/>
          </w:tcPr>
          <w:p>
            <w:r>
              <w:rPr>
                <w:sz w:val="16"/>
              </w:rPr>
              <w:t>11,380</w:t>
            </w:r>
          </w:p>
        </w:tc>
        <w:tc>
          <w:tcPr>
            <w:tcW w:type="dxa" w:w="1417"/>
            <w:shd w:fill="FFFFFF" w:val="clear"/>
          </w:tcPr>
          <w:p>
            <w:r>
              <w:rPr>
                <w:sz w:val="16"/>
              </w:rPr>
              <w:t>11,512</w:t>
            </w:r>
          </w:p>
        </w:tc>
        <w:tc>
          <w:tcPr>
            <w:tcW w:type="dxa" w:w="1134"/>
            <w:shd w:fill="C6EFCE" w:val="clear"/>
          </w:tcPr>
          <w:p>
            <w:r>
              <w:rPr>
                <w:b/>
                <w:color w:val="007800"/>
                <w:sz w:val="16"/>
              </w:rPr>
              <w:t>+1.16%</w:t>
            </w:r>
          </w:p>
        </w:tc>
        <w:tc>
          <w:tcPr>
            <w:tcW w:type="dxa" w:w="1134"/>
            <w:shd w:fill="FFEB9C" w:val="clear"/>
          </w:tcPr>
          <w:p>
            <w:r>
              <w:rPr>
                <w:sz w:val="16"/>
              </w:rPr>
              <w:t>Moyenne</w:t>
            </w:r>
          </w:p>
        </w:tc>
      </w:tr>
      <w:tr>
        <w:tc>
          <w:tcPr>
            <w:tcW w:type="dxa" w:w="1020"/>
            <w:shd w:fill="FFFFFF" w:val="clear"/>
          </w:tcPr>
          <w:p>
            <w:r>
              <w:rPr>
                <w:sz w:val="16"/>
              </w:rPr>
              <w:t>SNTS</w:t>
            </w:r>
          </w:p>
        </w:tc>
        <w:tc>
          <w:tcPr>
            <w:tcW w:type="dxa" w:w="3402"/>
            <w:shd w:fill="FFFFFF" w:val="clear"/>
          </w:tcPr>
          <w:p>
            <w:r>
              <w:rPr>
                <w:sz w:val="16"/>
              </w:rPr>
              <w:t>SNTS - SONATEL SN</w:t>
            </w:r>
          </w:p>
        </w:tc>
        <w:tc>
          <w:tcPr>
            <w:tcW w:type="dxa" w:w="1417"/>
            <w:shd w:fill="FFFFFF" w:val="clear"/>
          </w:tcPr>
          <w:p>
            <w:r>
              <w:rPr>
                <w:sz w:val="16"/>
              </w:rPr>
              <w:t>43,900</w:t>
            </w:r>
          </w:p>
        </w:tc>
        <w:tc>
          <w:tcPr>
            <w:tcW w:type="dxa" w:w="1417"/>
            <w:shd w:fill="FFFFFF" w:val="clear"/>
          </w:tcPr>
          <w:p>
            <w:r>
              <w:rPr>
                <w:sz w:val="16"/>
              </w:rPr>
              <w:t>44,405</w:t>
            </w:r>
          </w:p>
        </w:tc>
        <w:tc>
          <w:tcPr>
            <w:tcW w:type="dxa" w:w="1134"/>
            <w:shd w:fill="C6EFCE" w:val="clear"/>
          </w:tcPr>
          <w:p>
            <w:r>
              <w:rPr>
                <w:b/>
                <w:color w:val="007800"/>
                <w:sz w:val="16"/>
              </w:rPr>
              <w:t>+1.15%</w:t>
            </w:r>
          </w:p>
        </w:tc>
        <w:tc>
          <w:tcPr>
            <w:tcW w:type="dxa" w:w="1134"/>
            <w:shd w:fill="FFC7CE" w:val="clear"/>
          </w:tcPr>
          <w:p>
            <w:r>
              <w:rPr>
                <w:sz w:val="16"/>
              </w:rPr>
              <w:t>Faible</w:t>
            </w:r>
          </w:p>
        </w:tc>
      </w:tr>
      <w:tr>
        <w:tc>
          <w:tcPr>
            <w:tcW w:type="dxa" w:w="1020"/>
            <w:shd w:fill="FFFFFF" w:val="clear"/>
          </w:tcPr>
          <w:p>
            <w:r>
              <w:rPr>
                <w:sz w:val="16"/>
              </w:rPr>
              <w:t>SDCC</w:t>
            </w:r>
          </w:p>
        </w:tc>
        <w:tc>
          <w:tcPr>
            <w:tcW w:type="dxa" w:w="3402"/>
            <w:shd w:fill="FFFFFF" w:val="clear"/>
          </w:tcPr>
          <w:p>
            <w:r>
              <w:rPr>
                <w:sz w:val="16"/>
              </w:rPr>
              <w:t>SDCC - Société de Distribution d'Ea...</w:t>
            </w:r>
          </w:p>
        </w:tc>
        <w:tc>
          <w:tcPr>
            <w:tcW w:type="dxa" w:w="1417"/>
            <w:shd w:fill="FFFFFF" w:val="clear"/>
          </w:tcPr>
          <w:p>
            <w:r>
              <w:rPr>
                <w:sz w:val="16"/>
              </w:rPr>
              <w:t>12,985</w:t>
            </w:r>
          </w:p>
        </w:tc>
        <w:tc>
          <w:tcPr>
            <w:tcW w:type="dxa" w:w="1417"/>
            <w:shd w:fill="FFFFFF" w:val="clear"/>
          </w:tcPr>
          <w:p>
            <w:r>
              <w:rPr>
                <w:sz w:val="16"/>
              </w:rPr>
              <w:t>13,091</w:t>
            </w:r>
          </w:p>
        </w:tc>
        <w:tc>
          <w:tcPr>
            <w:tcW w:type="dxa" w:w="1134"/>
            <w:shd w:fill="FFEB9C" w:val="clear"/>
          </w:tcPr>
          <w:p>
            <w:r>
              <w:rPr>
                <w:b/>
                <w:color w:val="646400"/>
                <w:sz w:val="16"/>
              </w:rPr>
              <w:t>+0.82%</w:t>
            </w:r>
          </w:p>
        </w:tc>
        <w:tc>
          <w:tcPr>
            <w:tcW w:type="dxa" w:w="1134"/>
            <w:shd w:fill="FFC7CE" w:val="clear"/>
          </w:tcPr>
          <w:p>
            <w:r>
              <w:rPr>
                <w:sz w:val="16"/>
              </w:rPr>
              <w:t>Faible</w:t>
            </w:r>
          </w:p>
        </w:tc>
      </w:tr>
      <w:tr>
        <w:tc>
          <w:tcPr>
            <w:tcW w:type="dxa" w:w="1020"/>
            <w:shd w:fill="FFFFFF" w:val="clear"/>
          </w:tcPr>
          <w:p>
            <w:r>
              <w:rPr>
                <w:sz w:val="16"/>
              </w:rPr>
              <w:t>CABC</w:t>
            </w:r>
          </w:p>
        </w:tc>
        <w:tc>
          <w:tcPr>
            <w:tcW w:type="dxa" w:w="3402"/>
            <w:shd w:fill="FFFFFF" w:val="clear"/>
          </w:tcPr>
          <w:p>
            <w:r>
              <w:rPr>
                <w:sz w:val="16"/>
              </w:rPr>
              <w:t>CABC - SICABLE COTE D'IVOIRE</w:t>
            </w:r>
          </w:p>
        </w:tc>
        <w:tc>
          <w:tcPr>
            <w:tcW w:type="dxa" w:w="1417"/>
            <w:shd w:fill="FFFFFF" w:val="clear"/>
          </w:tcPr>
          <w:p>
            <w:r>
              <w:rPr>
                <w:sz w:val="16"/>
              </w:rPr>
              <w:t>3,050</w:t>
            </w:r>
          </w:p>
        </w:tc>
        <w:tc>
          <w:tcPr>
            <w:tcW w:type="dxa" w:w="1417"/>
            <w:shd w:fill="FFFFFF" w:val="clear"/>
          </w:tcPr>
          <w:p>
            <w:r>
              <w:rPr>
                <w:sz w:val="16"/>
              </w:rPr>
              <w:t>3,059</w:t>
            </w:r>
          </w:p>
        </w:tc>
        <w:tc>
          <w:tcPr>
            <w:tcW w:type="dxa" w:w="1134"/>
            <w:shd w:fill="FFEB9C" w:val="clear"/>
          </w:tcPr>
          <w:p>
            <w:r>
              <w:rPr>
                <w:b/>
                <w:color w:val="646400"/>
                <w:sz w:val="16"/>
              </w:rPr>
              <w:t>+0.31%</w:t>
            </w:r>
          </w:p>
        </w:tc>
        <w:tc>
          <w:tcPr>
            <w:tcW w:type="dxa" w:w="1134"/>
            <w:shd w:fill="FFC7CE" w:val="clear"/>
          </w:tcPr>
          <w:p>
            <w:r>
              <w:rPr>
                <w:sz w:val="16"/>
              </w:rPr>
              <w:t>Faible</w:t>
            </w:r>
          </w:p>
        </w:tc>
      </w:tr>
      <w:tr>
        <w:tc>
          <w:tcPr>
            <w:tcW w:type="dxa" w:w="1020"/>
            <w:shd w:fill="FFFFFF" w:val="clear"/>
          </w:tcPr>
          <w:p>
            <w:r>
              <w:rPr>
                <w:sz w:val="16"/>
              </w:rPr>
              <w:t>ETIT</w:t>
            </w:r>
          </w:p>
        </w:tc>
        <w:tc>
          <w:tcPr>
            <w:tcW w:type="dxa" w:w="3402"/>
            <w:shd w:fill="FFFFFF" w:val="clear"/>
          </w:tcPr>
          <w:p>
            <w:r>
              <w:rPr>
                <w:sz w:val="16"/>
              </w:rPr>
              <w:t>ETIT - Ecobank Transnational Incorp...</w:t>
            </w:r>
          </w:p>
        </w:tc>
        <w:tc>
          <w:tcPr>
            <w:tcW w:type="dxa" w:w="1417"/>
            <w:shd w:fill="FFFFFF" w:val="clear"/>
          </w:tcPr>
          <w:p>
            <w:r>
              <w:rPr>
                <w:sz w:val="16"/>
              </w:rPr>
              <w:t>65</w:t>
            </w:r>
          </w:p>
        </w:tc>
        <w:tc>
          <w:tcPr>
            <w:tcW w:type="dxa" w:w="1417"/>
            <w:shd w:fill="FFFFFF" w:val="clear"/>
          </w:tcPr>
          <w:p>
            <w:r>
              <w:rPr>
                <w:sz w:val="16"/>
              </w:rPr>
              <w:t>65</w:t>
            </w:r>
          </w:p>
        </w:tc>
        <w:tc>
          <w:tcPr>
            <w:tcW w:type="dxa" w:w="1134"/>
            <w:shd w:fill="FFEB9C" w:val="clear"/>
          </w:tcPr>
          <w:p>
            <w:r>
              <w:rPr>
                <w:b/>
                <w:color w:val="646400"/>
                <w:sz w:val="16"/>
              </w:rPr>
              <w:t>+0.26%</w:t>
            </w:r>
          </w:p>
        </w:tc>
        <w:tc>
          <w:tcPr>
            <w:tcW w:type="dxa" w:w="1134"/>
            <w:shd w:fill="FFC7CE" w:val="clear"/>
          </w:tcPr>
          <w:p>
            <w:r>
              <w:rPr>
                <w:sz w:val="16"/>
              </w:rPr>
              <w:t>Faible</w:t>
            </w:r>
          </w:p>
        </w:tc>
      </w:tr>
      <w:tr>
        <w:tc>
          <w:tcPr>
            <w:tcW w:type="dxa" w:w="1020"/>
            <w:shd w:fill="FFFFFF" w:val="clear"/>
          </w:tcPr>
          <w:p>
            <w:r>
              <w:rPr>
                <w:sz w:val="16"/>
              </w:rPr>
              <w:t>ORGT</w:t>
            </w:r>
          </w:p>
        </w:tc>
        <w:tc>
          <w:tcPr>
            <w:tcW w:type="dxa" w:w="3402"/>
            <w:shd w:fill="FFFFFF" w:val="clear"/>
          </w:tcPr>
          <w:p>
            <w:r>
              <w:rPr>
                <w:sz w:val="16"/>
              </w:rPr>
              <w:t>ORGT - ORAGROUP TOGO</w:t>
            </w:r>
          </w:p>
        </w:tc>
        <w:tc>
          <w:tcPr>
            <w:tcW w:type="dxa" w:w="1417"/>
            <w:shd w:fill="FFFFFF" w:val="clear"/>
          </w:tcPr>
          <w:p>
            <w:r>
              <w:rPr>
                <w:sz w:val="16"/>
              </w:rPr>
              <w:t>2,810</w:t>
            </w:r>
          </w:p>
        </w:tc>
        <w:tc>
          <w:tcPr>
            <w:tcW w:type="dxa" w:w="1417"/>
            <w:shd w:fill="FFFFFF" w:val="clear"/>
          </w:tcPr>
          <w:p>
            <w:r>
              <w:rPr>
                <w:sz w:val="16"/>
              </w:rPr>
              <w:t>2,811</w:t>
            </w:r>
          </w:p>
        </w:tc>
        <w:tc>
          <w:tcPr>
            <w:tcW w:type="dxa" w:w="1134"/>
            <w:shd w:fill="FFEB9C" w:val="clear"/>
          </w:tcPr>
          <w:p>
            <w:r>
              <w:rPr>
                <w:b/>
                <w:color w:val="646400"/>
                <w:sz w:val="16"/>
              </w:rPr>
              <w:t>+0.04%</w:t>
            </w:r>
          </w:p>
        </w:tc>
        <w:tc>
          <w:tcPr>
            <w:tcW w:type="dxa" w:w="1134"/>
            <w:shd w:fill="FFC7CE" w:val="clear"/>
          </w:tcPr>
          <w:p>
            <w:r>
              <w:rPr>
                <w:sz w:val="16"/>
              </w:rPr>
              <w:t>Faible</w:t>
            </w:r>
          </w:p>
        </w:tc>
      </w:tr>
      <w:tr>
        <w:tc>
          <w:tcPr>
            <w:tcW w:type="dxa" w:w="1020"/>
            <w:shd w:fill="FFFFFF" w:val="clear"/>
          </w:tcPr>
          <w:p>
            <w:r>
              <w:rPr>
                <w:sz w:val="16"/>
              </w:rPr>
              <w:t>PRSC</w:t>
            </w:r>
          </w:p>
        </w:tc>
        <w:tc>
          <w:tcPr>
            <w:tcW w:type="dxa" w:w="3402"/>
            <w:shd w:fill="FFFFFF" w:val="clear"/>
          </w:tcPr>
          <w:p>
            <w:r>
              <w:rPr>
                <w:sz w:val="16"/>
              </w:rPr>
              <w:t>PRSC - TRACTAFRIC MOTORS CI</w:t>
            </w:r>
          </w:p>
        </w:tc>
        <w:tc>
          <w:tcPr>
            <w:tcW w:type="dxa" w:w="1417"/>
            <w:shd w:fill="FFFFFF" w:val="clear"/>
          </w:tcPr>
          <w:p>
            <w:r>
              <w:rPr>
                <w:sz w:val="16"/>
              </w:rPr>
              <w:t>4,250</w:t>
            </w:r>
          </w:p>
        </w:tc>
        <w:tc>
          <w:tcPr>
            <w:tcW w:type="dxa" w:w="1417"/>
            <w:shd w:fill="FFFFFF" w:val="clear"/>
          </w:tcPr>
          <w:p>
            <w:r>
              <w:rPr>
                <w:sz w:val="16"/>
              </w:rPr>
              <w:t>4,218</w:t>
            </w:r>
          </w:p>
        </w:tc>
        <w:tc>
          <w:tcPr>
            <w:tcW w:type="dxa" w:w="1134"/>
            <w:shd w:fill="FFEB9C" w:val="clear"/>
          </w:tcPr>
          <w:p>
            <w:r>
              <w:rPr>
                <w:b/>
                <w:color w:val="646400"/>
                <w:sz w:val="16"/>
              </w:rPr>
              <w:t>-0.76%</w:t>
            </w:r>
          </w:p>
        </w:tc>
        <w:tc>
          <w:tcPr>
            <w:tcW w:type="dxa" w:w="1134"/>
            <w:shd w:fill="FFC7CE" w:val="clear"/>
          </w:tcPr>
          <w:p>
            <w:r>
              <w:rPr>
                <w:sz w:val="16"/>
              </w:rPr>
              <w:t>Faible</w:t>
            </w:r>
          </w:p>
        </w:tc>
      </w:tr>
      <w:tr>
        <w:tc>
          <w:tcPr>
            <w:tcW w:type="dxa" w:w="1020"/>
            <w:shd w:fill="FFFFFF" w:val="clear"/>
          </w:tcPr>
          <w:p>
            <w:r>
              <w:rPr>
                <w:sz w:val="16"/>
              </w:rPr>
              <w:t>ONTBF</w:t>
            </w:r>
          </w:p>
        </w:tc>
        <w:tc>
          <w:tcPr>
            <w:tcW w:type="dxa" w:w="3402"/>
            <w:shd w:fill="FFFFFF" w:val="clear"/>
          </w:tcPr>
          <w:p>
            <w:r>
              <w:rPr>
                <w:sz w:val="16"/>
              </w:rPr>
              <w:t>ONTBF - ONATEL BURKINA FASO</w:t>
            </w:r>
          </w:p>
        </w:tc>
        <w:tc>
          <w:tcPr>
            <w:tcW w:type="dxa" w:w="1417"/>
            <w:shd w:fill="FFFFFF" w:val="clear"/>
          </w:tcPr>
          <w:p>
            <w:r>
              <w:rPr>
                <w:sz w:val="16"/>
              </w:rPr>
              <w:t>2,900</w:t>
            </w:r>
          </w:p>
        </w:tc>
        <w:tc>
          <w:tcPr>
            <w:tcW w:type="dxa" w:w="1417"/>
            <w:shd w:fill="FFFFFF" w:val="clear"/>
          </w:tcPr>
          <w:p>
            <w:r>
              <w:rPr>
                <w:sz w:val="16"/>
              </w:rPr>
              <w:t>2,876</w:t>
            </w:r>
          </w:p>
        </w:tc>
        <w:tc>
          <w:tcPr>
            <w:tcW w:type="dxa" w:w="1134"/>
            <w:shd w:fill="FFEB9C" w:val="clear"/>
          </w:tcPr>
          <w:p>
            <w:r>
              <w:rPr>
                <w:b/>
                <w:color w:val="646400"/>
                <w:sz w:val="16"/>
              </w:rPr>
              <w:t>-0.83%</w:t>
            </w:r>
          </w:p>
        </w:tc>
        <w:tc>
          <w:tcPr>
            <w:tcW w:type="dxa" w:w="1134"/>
            <w:shd w:fill="FFC7CE" w:val="clear"/>
          </w:tcPr>
          <w:p>
            <w:r>
              <w:rPr>
                <w:sz w:val="16"/>
              </w:rPr>
              <w:t>Faible</w:t>
            </w:r>
          </w:p>
        </w:tc>
      </w:tr>
      <w:tr>
        <w:tc>
          <w:tcPr>
            <w:tcW w:type="dxa" w:w="1020"/>
            <w:shd w:fill="FFFFFF" w:val="clear"/>
          </w:tcPr>
          <w:p>
            <w:r>
              <w:rPr>
                <w:sz w:val="16"/>
              </w:rPr>
              <w:t>BICC</w:t>
            </w:r>
          </w:p>
        </w:tc>
        <w:tc>
          <w:tcPr>
            <w:tcW w:type="dxa" w:w="3402"/>
            <w:shd w:fill="FFFFFF" w:val="clear"/>
          </w:tcPr>
          <w:p>
            <w:r>
              <w:rPr>
                <w:sz w:val="16"/>
              </w:rPr>
              <w:t>BICI CI - Banque internationale pou...</w:t>
            </w:r>
          </w:p>
        </w:tc>
        <w:tc>
          <w:tcPr>
            <w:tcW w:type="dxa" w:w="1417"/>
            <w:shd w:fill="FFFFFF" w:val="clear"/>
          </w:tcPr>
          <w:p>
            <w:r>
              <w:rPr>
                <w:sz w:val="16"/>
              </w:rPr>
              <w:t>31,090</w:t>
            </w:r>
          </w:p>
        </w:tc>
        <w:tc>
          <w:tcPr>
            <w:tcW w:type="dxa" w:w="1417"/>
            <w:shd w:fill="FFFFFF" w:val="clear"/>
          </w:tcPr>
          <w:p>
            <w:r>
              <w:rPr>
                <w:sz w:val="16"/>
              </w:rPr>
              <w:t>30,830</w:t>
            </w:r>
          </w:p>
        </w:tc>
        <w:tc>
          <w:tcPr>
            <w:tcW w:type="dxa" w:w="1134"/>
            <w:shd w:fill="FFEB9C" w:val="clear"/>
          </w:tcPr>
          <w:p>
            <w:r>
              <w:rPr>
                <w:b/>
                <w:color w:val="646400"/>
                <w:sz w:val="16"/>
              </w:rPr>
              <w:t>-0.84%</w:t>
            </w:r>
          </w:p>
        </w:tc>
        <w:tc>
          <w:tcPr>
            <w:tcW w:type="dxa" w:w="1134"/>
            <w:shd w:fill="FFC7CE" w:val="clear"/>
          </w:tcPr>
          <w:p>
            <w:r>
              <w:rPr>
                <w:sz w:val="16"/>
              </w:rPr>
              <w:t>Faible</w:t>
            </w:r>
          </w:p>
        </w:tc>
      </w:tr>
      <w:tr>
        <w:tc>
          <w:tcPr>
            <w:tcW w:type="dxa" w:w="1020"/>
            <w:shd w:fill="FFFFFF" w:val="clear"/>
          </w:tcPr>
          <w:p>
            <w:r>
              <w:rPr>
                <w:sz w:val="16"/>
              </w:rPr>
              <w:t>LNBB</w:t>
            </w:r>
          </w:p>
        </w:tc>
        <w:tc>
          <w:tcPr>
            <w:tcW w:type="dxa" w:w="3402"/>
            <w:shd w:fill="FFFFFF" w:val="clear"/>
          </w:tcPr>
          <w:p>
            <w:r>
              <w:rPr>
                <w:sz w:val="16"/>
              </w:rPr>
              <w:t>LNBB - LOTERIE NATIONALE DU BENIN</w:t>
            </w:r>
          </w:p>
        </w:tc>
        <w:tc>
          <w:tcPr>
            <w:tcW w:type="dxa" w:w="1417"/>
            <w:shd w:fill="FFFFFF" w:val="clear"/>
          </w:tcPr>
          <w:p>
            <w:r>
              <w:rPr>
                <w:sz w:val="16"/>
              </w:rPr>
              <w:t>4,080</w:t>
            </w:r>
          </w:p>
        </w:tc>
        <w:tc>
          <w:tcPr>
            <w:tcW w:type="dxa" w:w="1417"/>
            <w:shd w:fill="FFFFFF" w:val="clear"/>
          </w:tcPr>
          <w:p>
            <w:r>
              <w:rPr>
                <w:sz w:val="16"/>
              </w:rPr>
              <w:t>4,039</w:t>
            </w:r>
          </w:p>
        </w:tc>
        <w:tc>
          <w:tcPr>
            <w:tcW w:type="dxa" w:w="1134"/>
            <w:shd w:fill="FFC7CE" w:val="clear"/>
          </w:tcPr>
          <w:p>
            <w:r>
              <w:rPr>
                <w:b/>
                <w:color w:val="B40000"/>
                <w:sz w:val="16"/>
              </w:rPr>
              <w:t>-1.01%</w:t>
            </w:r>
          </w:p>
        </w:tc>
        <w:tc>
          <w:tcPr>
            <w:tcW w:type="dxa" w:w="1134"/>
            <w:shd w:fill="FFC7CE" w:val="clear"/>
          </w:tcPr>
          <w:p>
            <w:r>
              <w:rPr>
                <w:sz w:val="16"/>
              </w:rPr>
              <w:t>Faible</w:t>
            </w:r>
          </w:p>
        </w:tc>
      </w:tr>
      <w:tr>
        <w:tc>
          <w:tcPr>
            <w:tcW w:type="dxa" w:w="1020"/>
            <w:shd w:fill="FFFFFF" w:val="clear"/>
          </w:tcPr>
          <w:p>
            <w:r>
              <w:rPr>
                <w:sz w:val="16"/>
              </w:rPr>
              <w:t>BOAB</w:t>
            </w:r>
          </w:p>
        </w:tc>
        <w:tc>
          <w:tcPr>
            <w:tcW w:type="dxa" w:w="3402"/>
            <w:shd w:fill="FFFFFF" w:val="clear"/>
          </w:tcPr>
          <w:p>
            <w:r>
              <w:rPr>
                <w:sz w:val="16"/>
              </w:rPr>
              <w:t>BANK OF AFRICA BENIN</w:t>
            </w:r>
          </w:p>
        </w:tc>
        <w:tc>
          <w:tcPr>
            <w:tcW w:type="dxa" w:w="1417"/>
            <w:shd w:fill="FFFFFF" w:val="clear"/>
          </w:tcPr>
          <w:p>
            <w:r>
              <w:rPr>
                <w:sz w:val="16"/>
              </w:rPr>
              <w:t>9,205</w:t>
            </w:r>
          </w:p>
        </w:tc>
        <w:tc>
          <w:tcPr>
            <w:tcW w:type="dxa" w:w="1417"/>
            <w:shd w:fill="FFFFFF" w:val="clear"/>
          </w:tcPr>
          <w:p>
            <w:r>
              <w:rPr>
                <w:sz w:val="16"/>
              </w:rPr>
              <w:t>9,079</w:t>
            </w:r>
          </w:p>
        </w:tc>
        <w:tc>
          <w:tcPr>
            <w:tcW w:type="dxa" w:w="1134"/>
            <w:shd w:fill="FFC7CE" w:val="clear"/>
          </w:tcPr>
          <w:p>
            <w:r>
              <w:rPr>
                <w:b/>
                <w:color w:val="B40000"/>
                <w:sz w:val="16"/>
              </w:rPr>
              <w:t>-1.37%</w:t>
            </w:r>
          </w:p>
        </w:tc>
        <w:tc>
          <w:tcPr>
            <w:tcW w:type="dxa" w:w="1134"/>
            <w:shd w:fill="FFEB9C" w:val="clear"/>
          </w:tcPr>
          <w:p>
            <w:r>
              <w:rPr>
                <w:sz w:val="16"/>
              </w:rPr>
              <w:t>Moyenne</w:t>
            </w:r>
          </w:p>
        </w:tc>
      </w:tr>
      <w:tr>
        <w:tc>
          <w:tcPr>
            <w:tcW w:type="dxa" w:w="1020"/>
            <w:shd w:fill="FFFFFF" w:val="clear"/>
          </w:tcPr>
          <w:p>
            <w:r>
              <w:rPr>
                <w:sz w:val="16"/>
              </w:rPr>
              <w:t>SMBC</w:t>
            </w:r>
          </w:p>
        </w:tc>
        <w:tc>
          <w:tcPr>
            <w:tcW w:type="dxa" w:w="3402"/>
            <w:shd w:fill="FFFFFF" w:val="clear"/>
          </w:tcPr>
          <w:p>
            <w:r>
              <w:rPr>
                <w:sz w:val="16"/>
              </w:rPr>
              <w:t>SMBC - Société Multinationale de Bi...</w:t>
            </w:r>
          </w:p>
        </w:tc>
        <w:tc>
          <w:tcPr>
            <w:tcW w:type="dxa" w:w="1417"/>
            <w:shd w:fill="FFFFFF" w:val="clear"/>
          </w:tcPr>
          <w:p>
            <w:r>
              <w:rPr>
                <w:sz w:val="16"/>
              </w:rPr>
              <w:t>15,500</w:t>
            </w:r>
          </w:p>
        </w:tc>
        <w:tc>
          <w:tcPr>
            <w:tcW w:type="dxa" w:w="1417"/>
            <w:shd w:fill="FFFFFF" w:val="clear"/>
          </w:tcPr>
          <w:p>
            <w:r>
              <w:rPr>
                <w:sz w:val="16"/>
              </w:rPr>
              <w:t>15,280</w:t>
            </w:r>
          </w:p>
        </w:tc>
        <w:tc>
          <w:tcPr>
            <w:tcW w:type="dxa" w:w="1134"/>
            <w:shd w:fill="FFC7CE" w:val="clear"/>
          </w:tcPr>
          <w:p>
            <w:r>
              <w:rPr>
                <w:b/>
                <w:color w:val="B40000"/>
                <w:sz w:val="16"/>
              </w:rPr>
              <w:t>-1.42%</w:t>
            </w:r>
          </w:p>
        </w:tc>
        <w:tc>
          <w:tcPr>
            <w:tcW w:type="dxa" w:w="1134"/>
            <w:shd w:fill="FFC7CE" w:val="clear"/>
          </w:tcPr>
          <w:p>
            <w:r>
              <w:rPr>
                <w:sz w:val="16"/>
              </w:rPr>
              <w:t>Faible</w:t>
            </w:r>
          </w:p>
        </w:tc>
      </w:tr>
      <w:tr>
        <w:tc>
          <w:tcPr>
            <w:tcW w:type="dxa" w:w="1020"/>
            <w:shd w:fill="FFFFFF" w:val="clear"/>
          </w:tcPr>
          <w:p>
            <w:r>
              <w:rPr>
                <w:sz w:val="16"/>
              </w:rPr>
              <w:t>SOGC</w:t>
            </w:r>
          </w:p>
        </w:tc>
        <w:tc>
          <w:tcPr>
            <w:tcW w:type="dxa" w:w="3402"/>
            <w:shd w:fill="FFFFFF" w:val="clear"/>
          </w:tcPr>
          <w:p>
            <w:r>
              <w:rPr>
                <w:sz w:val="16"/>
              </w:rPr>
              <w:t>SOGC - Société des caoutchoucs de G...</w:t>
            </w:r>
          </w:p>
        </w:tc>
        <w:tc>
          <w:tcPr>
            <w:tcW w:type="dxa" w:w="1417"/>
            <w:shd w:fill="FFFFFF" w:val="clear"/>
          </w:tcPr>
          <w:p>
            <w:r>
              <w:rPr>
                <w:sz w:val="16"/>
              </w:rPr>
              <w:t>7,700</w:t>
            </w:r>
          </w:p>
        </w:tc>
        <w:tc>
          <w:tcPr>
            <w:tcW w:type="dxa" w:w="1417"/>
            <w:shd w:fill="FFFFFF" w:val="clear"/>
          </w:tcPr>
          <w:p>
            <w:r>
              <w:rPr>
                <w:sz w:val="16"/>
              </w:rPr>
              <w:t>7,589</w:t>
            </w:r>
          </w:p>
        </w:tc>
        <w:tc>
          <w:tcPr>
            <w:tcW w:type="dxa" w:w="1134"/>
            <w:shd w:fill="FFC7CE" w:val="clear"/>
          </w:tcPr>
          <w:p>
            <w:r>
              <w:rPr>
                <w:b/>
                <w:color w:val="B40000"/>
                <w:sz w:val="16"/>
              </w:rPr>
              <w:t>-1.44%</w:t>
            </w:r>
          </w:p>
        </w:tc>
        <w:tc>
          <w:tcPr>
            <w:tcW w:type="dxa" w:w="1134"/>
            <w:shd w:fill="FFC7CE" w:val="clear"/>
          </w:tcPr>
          <w:p>
            <w:r>
              <w:rPr>
                <w:sz w:val="16"/>
              </w:rPr>
              <w:t>Faible</w:t>
            </w:r>
          </w:p>
        </w:tc>
      </w:tr>
      <w:tr>
        <w:tc>
          <w:tcPr>
            <w:tcW w:type="dxa" w:w="1020"/>
            <w:shd w:fill="FFFFFF" w:val="clear"/>
          </w:tcPr>
          <w:p>
            <w:r>
              <w:rPr>
                <w:sz w:val="16"/>
              </w:rPr>
              <w:t>NTLC</w:t>
            </w:r>
          </w:p>
        </w:tc>
        <w:tc>
          <w:tcPr>
            <w:tcW w:type="dxa" w:w="3402"/>
            <w:shd w:fill="FFFFFF" w:val="clear"/>
          </w:tcPr>
          <w:p>
            <w:r>
              <w:rPr>
                <w:sz w:val="16"/>
              </w:rPr>
              <w:t>NTLC - NESTLE COTE D'IVOIRE</w:t>
            </w:r>
          </w:p>
        </w:tc>
        <w:tc>
          <w:tcPr>
            <w:tcW w:type="dxa" w:w="1417"/>
            <w:shd w:fill="FFFFFF" w:val="clear"/>
          </w:tcPr>
          <w:p>
            <w:r>
              <w:rPr>
                <w:sz w:val="16"/>
              </w:rPr>
              <w:t>15,500</w:t>
            </w:r>
          </w:p>
        </w:tc>
        <w:tc>
          <w:tcPr>
            <w:tcW w:type="dxa" w:w="1417"/>
            <w:shd w:fill="FFFFFF" w:val="clear"/>
          </w:tcPr>
          <w:p>
            <w:r>
              <w:rPr>
                <w:sz w:val="16"/>
              </w:rPr>
              <w:t>15,265</w:t>
            </w:r>
          </w:p>
        </w:tc>
        <w:tc>
          <w:tcPr>
            <w:tcW w:type="dxa" w:w="1134"/>
            <w:shd w:fill="FFC7CE" w:val="clear"/>
          </w:tcPr>
          <w:p>
            <w:r>
              <w:rPr>
                <w:b/>
                <w:color w:val="B40000"/>
                <w:sz w:val="16"/>
              </w:rPr>
              <w:t>-1.52%</w:t>
            </w:r>
          </w:p>
        </w:tc>
        <w:tc>
          <w:tcPr>
            <w:tcW w:type="dxa" w:w="1134"/>
            <w:shd w:fill="FFC7CE" w:val="clear"/>
          </w:tcPr>
          <w:p>
            <w:r>
              <w:rPr>
                <w:sz w:val="16"/>
              </w:rPr>
              <w:t>Faible</w:t>
            </w:r>
          </w:p>
        </w:tc>
      </w:tr>
      <w:tr>
        <w:tc>
          <w:tcPr>
            <w:tcW w:type="dxa" w:w="1020"/>
            <w:shd w:fill="FFFFFF" w:val="clear"/>
          </w:tcPr>
          <w:p>
            <w:r>
              <w:rPr>
                <w:sz w:val="16"/>
              </w:rPr>
              <w:t>TTLC</w:t>
            </w:r>
          </w:p>
        </w:tc>
        <w:tc>
          <w:tcPr>
            <w:tcW w:type="dxa" w:w="3402"/>
            <w:shd w:fill="FFFFFF" w:val="clear"/>
          </w:tcPr>
          <w:p>
            <w:r>
              <w:rPr>
                <w:sz w:val="16"/>
              </w:rPr>
              <w:t>TTLC - TOTAL ENERGIES MARKETING COT...</w:t>
            </w:r>
          </w:p>
        </w:tc>
        <w:tc>
          <w:tcPr>
            <w:tcW w:type="dxa" w:w="1417"/>
            <w:shd w:fill="FFFFFF" w:val="clear"/>
          </w:tcPr>
          <w:p>
            <w:r>
              <w:rPr>
                <w:sz w:val="16"/>
              </w:rPr>
              <w:t>3,000</w:t>
            </w:r>
          </w:p>
        </w:tc>
        <w:tc>
          <w:tcPr>
            <w:tcW w:type="dxa" w:w="1417"/>
            <w:shd w:fill="FFFFFF" w:val="clear"/>
          </w:tcPr>
          <w:p>
            <w:r>
              <w:rPr>
                <w:sz w:val="16"/>
              </w:rPr>
              <w:t>2,954</w:t>
            </w:r>
          </w:p>
        </w:tc>
        <w:tc>
          <w:tcPr>
            <w:tcW w:type="dxa" w:w="1134"/>
            <w:shd w:fill="FFC7CE" w:val="clear"/>
          </w:tcPr>
          <w:p>
            <w:r>
              <w:rPr>
                <w:b/>
                <w:color w:val="B40000"/>
                <w:sz w:val="16"/>
              </w:rPr>
              <w:t>-1.54%</w:t>
            </w:r>
          </w:p>
        </w:tc>
        <w:tc>
          <w:tcPr>
            <w:tcW w:type="dxa" w:w="1134"/>
            <w:shd w:fill="FFC7CE" w:val="clear"/>
          </w:tcPr>
          <w:p>
            <w:r>
              <w:rPr>
                <w:sz w:val="16"/>
              </w:rPr>
              <w:t>Faible</w:t>
            </w:r>
          </w:p>
        </w:tc>
      </w:tr>
      <w:tr>
        <w:tc>
          <w:tcPr>
            <w:tcW w:type="dxa" w:w="1020"/>
            <w:shd w:fill="FFFFFF" w:val="clear"/>
          </w:tcPr>
          <w:p>
            <w:r>
              <w:rPr>
                <w:sz w:val="16"/>
              </w:rPr>
              <w:t>ORAC</w:t>
            </w:r>
          </w:p>
        </w:tc>
        <w:tc>
          <w:tcPr>
            <w:tcW w:type="dxa" w:w="3402"/>
            <w:shd w:fill="FFFFFF" w:val="clear"/>
          </w:tcPr>
          <w:p>
            <w:r>
              <w:rPr>
                <w:sz w:val="16"/>
              </w:rPr>
              <w:t>ORAC - ORANGE COTE D'IVOIRE</w:t>
            </w:r>
          </w:p>
        </w:tc>
        <w:tc>
          <w:tcPr>
            <w:tcW w:type="dxa" w:w="1417"/>
            <w:shd w:fill="FFFFFF" w:val="clear"/>
          </w:tcPr>
          <w:p>
            <w:r>
              <w:rPr>
                <w:sz w:val="16"/>
              </w:rPr>
              <w:t>21,500</w:t>
            </w:r>
          </w:p>
        </w:tc>
        <w:tc>
          <w:tcPr>
            <w:tcW w:type="dxa" w:w="1417"/>
            <w:shd w:fill="FFFFFF" w:val="clear"/>
          </w:tcPr>
          <w:p>
            <w:r>
              <w:rPr>
                <w:sz w:val="16"/>
              </w:rPr>
              <w:t>21,111</w:t>
            </w:r>
          </w:p>
        </w:tc>
        <w:tc>
          <w:tcPr>
            <w:tcW w:type="dxa" w:w="1134"/>
            <w:shd w:fill="FFC7CE" w:val="clear"/>
          </w:tcPr>
          <w:p>
            <w:r>
              <w:rPr>
                <w:b/>
                <w:color w:val="B40000"/>
                <w:sz w:val="16"/>
              </w:rPr>
              <w:t>-1.81%</w:t>
            </w:r>
          </w:p>
        </w:tc>
        <w:tc>
          <w:tcPr>
            <w:tcW w:type="dxa" w:w="1134"/>
            <w:shd w:fill="FFC7CE" w:val="clear"/>
          </w:tcPr>
          <w:p>
            <w:r>
              <w:rPr>
                <w:sz w:val="16"/>
              </w:rPr>
              <w:t>Faible</w:t>
            </w:r>
          </w:p>
        </w:tc>
      </w:tr>
      <w:tr>
        <w:tc>
          <w:tcPr>
            <w:tcW w:type="dxa" w:w="1020"/>
            <w:shd w:fill="FFFFFF" w:val="clear"/>
          </w:tcPr>
          <w:p>
            <w:r>
              <w:rPr>
                <w:sz w:val="16"/>
              </w:rPr>
              <w:t>SGBC</w:t>
            </w:r>
          </w:p>
        </w:tc>
        <w:tc>
          <w:tcPr>
            <w:tcW w:type="dxa" w:w="3402"/>
            <w:shd w:fill="FFFFFF" w:val="clear"/>
          </w:tcPr>
          <w:p>
            <w:r>
              <w:rPr>
                <w:sz w:val="16"/>
              </w:rPr>
              <w:t>SGBC - SOCIETE GENERALE COTE D'IVOI...</w:t>
            </w:r>
          </w:p>
        </w:tc>
        <w:tc>
          <w:tcPr>
            <w:tcW w:type="dxa" w:w="1417"/>
            <w:shd w:fill="FFFFFF" w:val="clear"/>
          </w:tcPr>
          <w:p>
            <w:r>
              <w:rPr>
                <w:sz w:val="16"/>
              </w:rPr>
              <w:t>38,995</w:t>
            </w:r>
          </w:p>
        </w:tc>
        <w:tc>
          <w:tcPr>
            <w:tcW w:type="dxa" w:w="1417"/>
            <w:shd w:fill="FFFFFF" w:val="clear"/>
          </w:tcPr>
          <w:p>
            <w:r>
              <w:rPr>
                <w:sz w:val="16"/>
              </w:rPr>
              <w:t>38,190</w:t>
            </w:r>
          </w:p>
        </w:tc>
        <w:tc>
          <w:tcPr>
            <w:tcW w:type="dxa" w:w="1134"/>
            <w:shd w:fill="FFC7CE" w:val="clear"/>
          </w:tcPr>
          <w:p>
            <w:r>
              <w:rPr>
                <w:b/>
                <w:color w:val="B40000"/>
                <w:sz w:val="16"/>
              </w:rPr>
              <w:t>-2.06%</w:t>
            </w:r>
          </w:p>
        </w:tc>
        <w:tc>
          <w:tcPr>
            <w:tcW w:type="dxa" w:w="1134"/>
            <w:shd w:fill="FFEB9C" w:val="clear"/>
          </w:tcPr>
          <w:p>
            <w:r>
              <w:rPr>
                <w:sz w:val="16"/>
              </w:rPr>
              <w:t>Moyenne</w:t>
            </w:r>
          </w:p>
        </w:tc>
      </w:tr>
      <w:tr>
        <w:tc>
          <w:tcPr>
            <w:tcW w:type="dxa" w:w="1020"/>
            <w:shd w:fill="FFFFFF" w:val="clear"/>
          </w:tcPr>
          <w:p>
            <w:r>
              <w:rPr>
                <w:sz w:val="16"/>
              </w:rPr>
              <w:t>TTLS</w:t>
            </w:r>
          </w:p>
        </w:tc>
        <w:tc>
          <w:tcPr>
            <w:tcW w:type="dxa" w:w="3402"/>
            <w:shd w:fill="FFFFFF" w:val="clear"/>
          </w:tcPr>
          <w:p>
            <w:r>
              <w:rPr>
                <w:sz w:val="16"/>
              </w:rPr>
              <w:t>TTLS - TOTAL ENERGIES MARKETING SEN...</w:t>
            </w:r>
          </w:p>
        </w:tc>
        <w:tc>
          <w:tcPr>
            <w:tcW w:type="dxa" w:w="1417"/>
            <w:shd w:fill="FFFFFF" w:val="clear"/>
          </w:tcPr>
          <w:p>
            <w:r>
              <w:rPr>
                <w:sz w:val="16"/>
              </w:rPr>
              <w:t>3,700</w:t>
            </w:r>
          </w:p>
        </w:tc>
        <w:tc>
          <w:tcPr>
            <w:tcW w:type="dxa" w:w="1417"/>
            <w:shd w:fill="FFFFFF" w:val="clear"/>
          </w:tcPr>
          <w:p>
            <w:r>
              <w:rPr>
                <w:sz w:val="16"/>
              </w:rPr>
              <w:t>3,595</w:t>
            </w:r>
          </w:p>
        </w:tc>
        <w:tc>
          <w:tcPr>
            <w:tcW w:type="dxa" w:w="1134"/>
            <w:shd w:fill="FFC7CE" w:val="clear"/>
          </w:tcPr>
          <w:p>
            <w:r>
              <w:rPr>
                <w:b/>
                <w:color w:val="B40000"/>
                <w:sz w:val="16"/>
              </w:rPr>
              <w:t>-2.85%</w:t>
            </w:r>
          </w:p>
        </w:tc>
        <w:tc>
          <w:tcPr>
            <w:tcW w:type="dxa" w:w="1134"/>
            <w:shd w:fill="FFC7CE" w:val="clear"/>
          </w:tcPr>
          <w:p>
            <w:r>
              <w:rPr>
                <w:sz w:val="16"/>
              </w:rPr>
              <w:t>Faible</w:t>
            </w:r>
          </w:p>
        </w:tc>
      </w:tr>
      <w:tr>
        <w:tc>
          <w:tcPr>
            <w:tcW w:type="dxa" w:w="1020"/>
            <w:shd w:fill="FFFFFF" w:val="clear"/>
          </w:tcPr>
          <w:p>
            <w:r>
              <w:rPr>
                <w:sz w:val="16"/>
              </w:rPr>
              <w:t>BOABF</w:t>
            </w:r>
          </w:p>
        </w:tc>
        <w:tc>
          <w:tcPr>
            <w:tcW w:type="dxa" w:w="3402"/>
            <w:shd w:fill="FFFFFF" w:val="clear"/>
          </w:tcPr>
          <w:p>
            <w:r>
              <w:rPr>
                <w:sz w:val="16"/>
              </w:rPr>
              <w:t>BANK OF AFRICA BURKINA FASO</w:t>
            </w:r>
          </w:p>
        </w:tc>
        <w:tc>
          <w:tcPr>
            <w:tcW w:type="dxa" w:w="1417"/>
            <w:shd w:fill="FFFFFF" w:val="clear"/>
          </w:tcPr>
          <w:p>
            <w:r>
              <w:rPr>
                <w:sz w:val="16"/>
              </w:rPr>
              <w:t>8,010</w:t>
            </w:r>
          </w:p>
        </w:tc>
        <w:tc>
          <w:tcPr>
            <w:tcW w:type="dxa" w:w="1417"/>
            <w:shd w:fill="FFFFFF" w:val="clear"/>
          </w:tcPr>
          <w:p>
            <w:r>
              <w:rPr>
                <w:sz w:val="16"/>
              </w:rPr>
              <w:t>7,782</w:t>
            </w:r>
          </w:p>
        </w:tc>
        <w:tc>
          <w:tcPr>
            <w:tcW w:type="dxa" w:w="1134"/>
            <w:shd w:fill="FFC7CE" w:val="clear"/>
          </w:tcPr>
          <w:p>
            <w:r>
              <w:rPr>
                <w:b/>
                <w:color w:val="B40000"/>
                <w:sz w:val="16"/>
              </w:rPr>
              <w:t>-2.85%</w:t>
            </w:r>
          </w:p>
        </w:tc>
        <w:tc>
          <w:tcPr>
            <w:tcW w:type="dxa" w:w="1134"/>
            <w:shd w:fill="FFC7CE" w:val="clear"/>
          </w:tcPr>
          <w:p>
            <w:r>
              <w:rPr>
                <w:sz w:val="16"/>
              </w:rPr>
              <w:t>Faible</w:t>
            </w:r>
          </w:p>
        </w:tc>
      </w:tr>
      <w:tr>
        <w:tc>
          <w:tcPr>
            <w:tcW w:type="dxa" w:w="1020"/>
            <w:shd w:fill="FFFFFF" w:val="clear"/>
          </w:tcPr>
          <w:p>
            <w:r>
              <w:rPr>
                <w:sz w:val="16"/>
              </w:rPr>
              <w:t>SDSC</w:t>
            </w:r>
          </w:p>
        </w:tc>
        <w:tc>
          <w:tcPr>
            <w:tcW w:type="dxa" w:w="3402"/>
            <w:shd w:fill="FFFFFF" w:val="clear"/>
          </w:tcPr>
          <w:p>
            <w:r>
              <w:rPr>
                <w:sz w:val="16"/>
              </w:rPr>
              <w:t>SDSC - AFRICA GLOBAL LOGISTICS CI</w:t>
            </w:r>
          </w:p>
        </w:tc>
        <w:tc>
          <w:tcPr>
            <w:tcW w:type="dxa" w:w="1417"/>
            <w:shd w:fill="FFFFFF" w:val="clear"/>
          </w:tcPr>
          <w:p>
            <w:r>
              <w:rPr>
                <w:sz w:val="16"/>
              </w:rPr>
              <w:t>3,065</w:t>
            </w:r>
          </w:p>
        </w:tc>
        <w:tc>
          <w:tcPr>
            <w:tcW w:type="dxa" w:w="1417"/>
            <w:shd w:fill="FFFFFF" w:val="clear"/>
          </w:tcPr>
          <w:p>
            <w:r>
              <w:rPr>
                <w:sz w:val="16"/>
              </w:rPr>
              <w:t>2,975</w:t>
            </w:r>
          </w:p>
        </w:tc>
        <w:tc>
          <w:tcPr>
            <w:tcW w:type="dxa" w:w="1134"/>
            <w:shd w:fill="FFC7CE" w:val="clear"/>
          </w:tcPr>
          <w:p>
            <w:r>
              <w:rPr>
                <w:b/>
                <w:color w:val="B40000"/>
                <w:sz w:val="16"/>
              </w:rPr>
              <w:t>-2.95%</w:t>
            </w:r>
          </w:p>
        </w:tc>
        <w:tc>
          <w:tcPr>
            <w:tcW w:type="dxa" w:w="1134"/>
            <w:shd w:fill="FFC7CE" w:val="clear"/>
          </w:tcPr>
          <w:p>
            <w:r>
              <w:rPr>
                <w:sz w:val="16"/>
              </w:rPr>
              <w:t>Faible</w:t>
            </w:r>
          </w:p>
        </w:tc>
      </w:tr>
      <w:tr>
        <w:tc>
          <w:tcPr>
            <w:tcW w:type="dxa" w:w="1020"/>
            <w:shd w:fill="FFFFFF" w:val="clear"/>
          </w:tcPr>
          <w:p>
            <w:r>
              <w:rPr>
                <w:sz w:val="16"/>
              </w:rPr>
              <w:t>PALC</w:t>
            </w:r>
          </w:p>
        </w:tc>
        <w:tc>
          <w:tcPr>
            <w:tcW w:type="dxa" w:w="3402"/>
            <w:shd w:fill="FFFFFF" w:val="clear"/>
          </w:tcPr>
          <w:p>
            <w:r>
              <w:rPr>
                <w:sz w:val="16"/>
              </w:rPr>
              <w:t>PALC - PALM COTE D'IVOIRE</w:t>
            </w:r>
          </w:p>
        </w:tc>
        <w:tc>
          <w:tcPr>
            <w:tcW w:type="dxa" w:w="1417"/>
            <w:shd w:fill="FFFFFF" w:val="clear"/>
          </w:tcPr>
          <w:p>
            <w:r>
              <w:rPr>
                <w:sz w:val="16"/>
              </w:rPr>
              <w:t>7,680</w:t>
            </w:r>
          </w:p>
        </w:tc>
        <w:tc>
          <w:tcPr>
            <w:tcW w:type="dxa" w:w="1417"/>
            <w:shd w:fill="FFFFFF" w:val="clear"/>
          </w:tcPr>
          <w:p>
            <w:r>
              <w:rPr>
                <w:sz w:val="16"/>
              </w:rPr>
              <w:t>7,433</w:t>
            </w:r>
          </w:p>
        </w:tc>
        <w:tc>
          <w:tcPr>
            <w:tcW w:type="dxa" w:w="1134"/>
            <w:shd w:fill="FFC7CE" w:val="clear"/>
          </w:tcPr>
          <w:p>
            <w:r>
              <w:rPr>
                <w:b/>
                <w:color w:val="B40000"/>
                <w:sz w:val="16"/>
              </w:rPr>
              <w:t>-3.21%</w:t>
            </w:r>
          </w:p>
        </w:tc>
        <w:tc>
          <w:tcPr>
            <w:tcW w:type="dxa" w:w="1134"/>
            <w:shd w:fill="FFEB9C" w:val="clear"/>
          </w:tcPr>
          <w:p>
            <w:r>
              <w:rPr>
                <w:sz w:val="16"/>
              </w:rPr>
              <w:t>Moyenne</w:t>
            </w:r>
          </w:p>
        </w:tc>
      </w:tr>
      <w:tr>
        <w:tc>
          <w:tcPr>
            <w:tcW w:type="dxa" w:w="1020"/>
            <w:shd w:fill="FFFFFF" w:val="clear"/>
          </w:tcPr>
          <w:p>
            <w:r>
              <w:rPr>
                <w:sz w:val="16"/>
              </w:rPr>
              <w:t>NEIC</w:t>
            </w:r>
          </w:p>
        </w:tc>
        <w:tc>
          <w:tcPr>
            <w:tcW w:type="dxa" w:w="3402"/>
            <w:shd w:fill="FFFFFF" w:val="clear"/>
          </w:tcPr>
          <w:p>
            <w:r>
              <w:rPr>
                <w:sz w:val="16"/>
              </w:rPr>
              <w:t>NEIC - NEI-CEDA CI</w:t>
            </w:r>
          </w:p>
        </w:tc>
        <w:tc>
          <w:tcPr>
            <w:tcW w:type="dxa" w:w="1417"/>
            <w:shd w:fill="FFFFFF" w:val="clear"/>
          </w:tcPr>
          <w:p>
            <w:r>
              <w:rPr>
                <w:sz w:val="16"/>
              </w:rPr>
              <w:t>2,140</w:t>
            </w:r>
          </w:p>
        </w:tc>
        <w:tc>
          <w:tcPr>
            <w:tcW w:type="dxa" w:w="1417"/>
            <w:shd w:fill="FFFFFF" w:val="clear"/>
          </w:tcPr>
          <w:p>
            <w:r>
              <w:rPr>
                <w:sz w:val="16"/>
              </w:rPr>
              <w:t>2,040</w:t>
            </w:r>
          </w:p>
        </w:tc>
        <w:tc>
          <w:tcPr>
            <w:tcW w:type="dxa" w:w="1134"/>
            <w:shd w:fill="FFC7CE" w:val="clear"/>
          </w:tcPr>
          <w:p>
            <w:r>
              <w:rPr>
                <w:b/>
                <w:color w:val="B40000"/>
                <w:sz w:val="16"/>
              </w:rPr>
              <w:t>-4.70%</w:t>
            </w:r>
          </w:p>
        </w:tc>
        <w:tc>
          <w:tcPr>
            <w:tcW w:type="dxa" w:w="1134"/>
            <w:shd w:fill="FFC7CE" w:val="clear"/>
          </w:tcPr>
          <w:p>
            <w:r>
              <w:rPr>
                <w:sz w:val="16"/>
              </w:rPr>
              <w:t>Faible</w:t>
            </w:r>
          </w:p>
        </w:tc>
      </w:tr>
      <w:tr>
        <w:tc>
          <w:tcPr>
            <w:tcW w:type="dxa" w:w="1020"/>
            <w:shd w:fill="FFFFFF" w:val="clear"/>
          </w:tcPr>
          <w:p>
            <w:r>
              <w:rPr>
                <w:sz w:val="16"/>
              </w:rPr>
              <w:t>SPHC</w:t>
            </w:r>
          </w:p>
        </w:tc>
        <w:tc>
          <w:tcPr>
            <w:tcW w:type="dxa" w:w="3402"/>
            <w:shd w:fill="FFFFFF" w:val="clear"/>
          </w:tcPr>
          <w:p>
            <w:r>
              <w:rPr>
                <w:sz w:val="16"/>
              </w:rPr>
              <w:t>SPHC - Société Africaine de Plantat...</w:t>
            </w:r>
          </w:p>
        </w:tc>
        <w:tc>
          <w:tcPr>
            <w:tcW w:type="dxa" w:w="1417"/>
            <w:shd w:fill="FFFFFF" w:val="clear"/>
          </w:tcPr>
          <w:p>
            <w:r>
              <w:rPr>
                <w:sz w:val="16"/>
              </w:rPr>
              <w:t>7,800</w:t>
            </w:r>
          </w:p>
        </w:tc>
        <w:tc>
          <w:tcPr>
            <w:tcW w:type="dxa" w:w="1417"/>
            <w:shd w:fill="FFFFFF" w:val="clear"/>
          </w:tcPr>
          <w:p>
            <w:r>
              <w:rPr>
                <w:sz w:val="16"/>
              </w:rPr>
              <w:t>7,428</w:t>
            </w:r>
          </w:p>
        </w:tc>
        <w:tc>
          <w:tcPr>
            <w:tcW w:type="dxa" w:w="1134"/>
            <w:shd w:fill="FFC7CE" w:val="clear"/>
          </w:tcPr>
          <w:p>
            <w:r>
              <w:rPr>
                <w:b/>
                <w:color w:val="B40000"/>
                <w:sz w:val="16"/>
              </w:rPr>
              <w:t>-4.77%</w:t>
            </w:r>
          </w:p>
        </w:tc>
        <w:tc>
          <w:tcPr>
            <w:tcW w:type="dxa" w:w="1134"/>
            <w:shd w:fill="FFC7CE" w:val="clear"/>
          </w:tcPr>
          <w:p>
            <w:r>
              <w:rPr>
                <w:sz w:val="16"/>
              </w:rPr>
              <w:t>Faible</w:t>
            </w:r>
          </w:p>
        </w:tc>
      </w:tr>
      <w:tr>
        <w:tc>
          <w:tcPr>
            <w:tcW w:type="dxa" w:w="1020"/>
            <w:shd w:fill="FFFFFF" w:val="clear"/>
          </w:tcPr>
          <w:p>
            <w:r>
              <w:rPr>
                <w:sz w:val="16"/>
              </w:rPr>
              <w:t>ABJC</w:t>
            </w:r>
          </w:p>
        </w:tc>
        <w:tc>
          <w:tcPr>
            <w:tcW w:type="dxa" w:w="3402"/>
            <w:shd w:fill="FFFFFF" w:val="clear"/>
          </w:tcPr>
          <w:p>
            <w:r>
              <w:rPr>
                <w:sz w:val="16"/>
              </w:rPr>
              <w:t>ABJC - SERVAIR ABIDJAN CI</w:t>
            </w:r>
          </w:p>
        </w:tc>
        <w:tc>
          <w:tcPr>
            <w:tcW w:type="dxa" w:w="1417"/>
            <w:shd w:fill="FFFFFF" w:val="clear"/>
          </w:tcPr>
          <w:p>
            <w:r>
              <w:rPr>
                <w:sz w:val="16"/>
              </w:rPr>
              <w:t>3,100</w:t>
            </w:r>
          </w:p>
        </w:tc>
        <w:tc>
          <w:tcPr>
            <w:tcW w:type="dxa" w:w="1417"/>
            <w:shd w:fill="FFFFFF" w:val="clear"/>
          </w:tcPr>
          <w:p>
            <w:r>
              <w:rPr>
                <w:sz w:val="16"/>
              </w:rPr>
              <w:t>2,942</w:t>
            </w:r>
          </w:p>
        </w:tc>
        <w:tc>
          <w:tcPr>
            <w:tcW w:type="dxa" w:w="1134"/>
            <w:shd w:fill="FFC7CE" w:val="clear"/>
          </w:tcPr>
          <w:p>
            <w:r>
              <w:rPr>
                <w:b/>
                <w:color w:val="B40000"/>
                <w:sz w:val="16"/>
              </w:rPr>
              <w:t>-5.09%</w:t>
            </w:r>
          </w:p>
        </w:tc>
        <w:tc>
          <w:tcPr>
            <w:tcW w:type="dxa" w:w="1134"/>
            <w:shd w:fill="FFC7CE" w:val="clear"/>
          </w:tcPr>
          <w:p>
            <w:r>
              <w:rPr>
                <w:sz w:val="16"/>
              </w:rPr>
              <w:t>Faible</w:t>
            </w:r>
          </w:p>
        </w:tc>
      </w:tr>
      <w:tr>
        <w:tc>
          <w:tcPr>
            <w:tcW w:type="dxa" w:w="1020"/>
            <w:shd w:fill="FFFFFF" w:val="clear"/>
          </w:tcPr>
          <w:p>
            <w:r>
              <w:rPr>
                <w:sz w:val="16"/>
              </w:rPr>
              <w:t>SIBC</w:t>
            </w:r>
          </w:p>
        </w:tc>
        <w:tc>
          <w:tcPr>
            <w:tcW w:type="dxa" w:w="3402"/>
            <w:shd w:fill="FFFFFF" w:val="clear"/>
          </w:tcPr>
          <w:p>
            <w:r>
              <w:rPr>
                <w:sz w:val="16"/>
              </w:rPr>
              <w:t>SIBC - SOCIETE IVOIRIENNE DE BANQUE</w:t>
            </w:r>
          </w:p>
        </w:tc>
        <w:tc>
          <w:tcPr>
            <w:tcW w:type="dxa" w:w="1417"/>
            <w:shd w:fill="FFFFFF" w:val="clear"/>
          </w:tcPr>
          <w:p>
            <w:r>
              <w:rPr>
                <w:sz w:val="16"/>
              </w:rPr>
              <w:t>8,900</w:t>
            </w:r>
          </w:p>
        </w:tc>
        <w:tc>
          <w:tcPr>
            <w:tcW w:type="dxa" w:w="1417"/>
            <w:shd w:fill="FFFFFF" w:val="clear"/>
          </w:tcPr>
          <w:p>
            <w:r>
              <w:rPr>
                <w:sz w:val="16"/>
              </w:rPr>
              <w:t>8,417</w:t>
            </w:r>
          </w:p>
        </w:tc>
        <w:tc>
          <w:tcPr>
            <w:tcW w:type="dxa" w:w="1134"/>
            <w:shd w:fill="FFC7CE" w:val="clear"/>
          </w:tcPr>
          <w:p>
            <w:r>
              <w:rPr>
                <w:b/>
                <w:color w:val="B40000"/>
                <w:sz w:val="16"/>
              </w:rPr>
              <w:t>-5.42%</w:t>
            </w:r>
          </w:p>
        </w:tc>
        <w:tc>
          <w:tcPr>
            <w:tcW w:type="dxa" w:w="1134"/>
            <w:shd w:fill="FFEB9C" w:val="clear"/>
          </w:tcPr>
          <w:p>
            <w:r>
              <w:rPr>
                <w:sz w:val="16"/>
              </w:rPr>
              <w:t>Moyenne</w:t>
            </w:r>
          </w:p>
        </w:tc>
      </w:tr>
      <w:tr>
        <w:tc>
          <w:tcPr>
            <w:tcW w:type="dxa" w:w="1020"/>
            <w:shd w:fill="FFFFFF" w:val="clear"/>
          </w:tcPr>
          <w:p>
            <w:r>
              <w:rPr>
                <w:sz w:val="16"/>
              </w:rPr>
              <w:t>FTSC</w:t>
            </w:r>
          </w:p>
        </w:tc>
        <w:tc>
          <w:tcPr>
            <w:tcW w:type="dxa" w:w="3402"/>
            <w:shd w:fill="FFFFFF" w:val="clear"/>
          </w:tcPr>
          <w:p>
            <w:r>
              <w:rPr>
                <w:sz w:val="16"/>
              </w:rPr>
              <w:t>FTSC - FILTISAC COTE D'IVOIRE</w:t>
            </w:r>
          </w:p>
        </w:tc>
        <w:tc>
          <w:tcPr>
            <w:tcW w:type="dxa" w:w="1417"/>
            <w:shd w:fill="FFFFFF" w:val="clear"/>
          </w:tcPr>
          <w:p>
            <w:r>
              <w:rPr>
                <w:sz w:val="16"/>
              </w:rPr>
              <w:t>1,800</w:t>
            </w:r>
          </w:p>
        </w:tc>
        <w:tc>
          <w:tcPr>
            <w:tcW w:type="dxa" w:w="1417"/>
            <w:shd w:fill="FFFFFF" w:val="clear"/>
          </w:tcPr>
          <w:p>
            <w:r>
              <w:rPr>
                <w:sz w:val="16"/>
              </w:rPr>
              <w:t>1,693</w:t>
            </w:r>
          </w:p>
        </w:tc>
        <w:tc>
          <w:tcPr>
            <w:tcW w:type="dxa" w:w="1134"/>
            <w:shd w:fill="FFC7CE" w:val="clear"/>
          </w:tcPr>
          <w:p>
            <w:r>
              <w:rPr>
                <w:b/>
                <w:color w:val="B40000"/>
                <w:sz w:val="16"/>
              </w:rPr>
              <w:t>-5.92%</w:t>
            </w:r>
          </w:p>
        </w:tc>
        <w:tc>
          <w:tcPr>
            <w:tcW w:type="dxa" w:w="1134"/>
            <w:shd w:fill="FFC7CE" w:val="clear"/>
          </w:tcPr>
          <w:p>
            <w:r>
              <w:rPr>
                <w:sz w:val="16"/>
              </w:rPr>
              <w:t>Faible</w:t>
            </w:r>
          </w:p>
        </w:tc>
      </w:tr>
      <w:tr>
        <w:tc>
          <w:tcPr>
            <w:tcW w:type="dxa" w:w="1020"/>
            <w:shd w:fill="FFFFFF" w:val="clear"/>
          </w:tcPr>
          <w:p>
            <w:r>
              <w:rPr>
                <w:sz w:val="16"/>
              </w:rPr>
              <w:t>UNXC</w:t>
            </w:r>
          </w:p>
        </w:tc>
        <w:tc>
          <w:tcPr>
            <w:tcW w:type="dxa" w:w="3402"/>
            <w:shd w:fill="FFFFFF" w:val="clear"/>
          </w:tcPr>
          <w:p>
            <w:r>
              <w:rPr>
                <w:sz w:val="16"/>
              </w:rPr>
              <w:t>UNXC - UNIWAX COTE D'IVOIRE</w:t>
            </w:r>
          </w:p>
        </w:tc>
        <w:tc>
          <w:tcPr>
            <w:tcW w:type="dxa" w:w="1417"/>
            <w:shd w:fill="FFFFFF" w:val="clear"/>
          </w:tcPr>
          <w:p>
            <w:r>
              <w:rPr>
                <w:sz w:val="16"/>
              </w:rPr>
              <w:t>2,180</w:t>
            </w:r>
          </w:p>
        </w:tc>
        <w:tc>
          <w:tcPr>
            <w:tcW w:type="dxa" w:w="1417"/>
            <w:shd w:fill="FFFFFF" w:val="clear"/>
          </w:tcPr>
          <w:p>
            <w:r>
              <w:rPr>
                <w:sz w:val="16"/>
              </w:rPr>
              <w:t>2,050</w:t>
            </w:r>
          </w:p>
        </w:tc>
        <w:tc>
          <w:tcPr>
            <w:tcW w:type="dxa" w:w="1134"/>
            <w:shd w:fill="FFC7CE" w:val="clear"/>
          </w:tcPr>
          <w:p>
            <w:r>
              <w:rPr>
                <w:b/>
                <w:color w:val="B40000"/>
                <w:sz w:val="16"/>
              </w:rPr>
              <w:t>-5.95%</w:t>
            </w:r>
          </w:p>
        </w:tc>
        <w:tc>
          <w:tcPr>
            <w:tcW w:type="dxa" w:w="1134"/>
            <w:shd w:fill="FFC7CE" w:val="clear"/>
          </w:tcPr>
          <w:p>
            <w:r>
              <w:rPr>
                <w:sz w:val="16"/>
              </w:rPr>
              <w:t>Faible</w:t>
            </w:r>
          </w:p>
        </w:tc>
      </w:tr>
      <w:tr>
        <w:tc>
          <w:tcPr>
            <w:tcW w:type="dxa" w:w="1020"/>
            <w:shd w:fill="FFFFFF" w:val="clear"/>
          </w:tcPr>
          <w:p>
            <w:r>
              <w:rPr>
                <w:sz w:val="16"/>
              </w:rPr>
              <w:t>CBIBF</w:t>
            </w:r>
          </w:p>
        </w:tc>
        <w:tc>
          <w:tcPr>
            <w:tcW w:type="dxa" w:w="3402"/>
            <w:shd w:fill="FFFFFF" w:val="clear"/>
          </w:tcPr>
          <w:p>
            <w:r>
              <w:rPr>
                <w:sz w:val="16"/>
              </w:rPr>
              <w:t>CBIBF - CORIS BANK INTERNATIONAL BU...</w:t>
            </w:r>
          </w:p>
        </w:tc>
        <w:tc>
          <w:tcPr>
            <w:tcW w:type="dxa" w:w="1417"/>
            <w:shd w:fill="FFFFFF" w:val="clear"/>
          </w:tcPr>
          <w:p>
            <w:r>
              <w:rPr>
                <w:sz w:val="16"/>
              </w:rPr>
              <w:t>31,000</w:t>
            </w:r>
          </w:p>
        </w:tc>
        <w:tc>
          <w:tcPr>
            <w:tcW w:type="dxa" w:w="1417"/>
            <w:shd w:fill="FFFFFF" w:val="clear"/>
          </w:tcPr>
          <w:p>
            <w:r>
              <w:rPr>
                <w:sz w:val="16"/>
              </w:rPr>
              <w:t>28,667</w:t>
            </w:r>
          </w:p>
        </w:tc>
        <w:tc>
          <w:tcPr>
            <w:tcW w:type="dxa" w:w="1134"/>
            <w:shd w:fill="FFC7CE" w:val="clear"/>
          </w:tcPr>
          <w:p>
            <w:r>
              <w:rPr>
                <w:b/>
                <w:color w:val="B40000"/>
                <w:sz w:val="16"/>
              </w:rPr>
              <w:t>-7.52%</w:t>
            </w:r>
          </w:p>
        </w:tc>
        <w:tc>
          <w:tcPr>
            <w:tcW w:type="dxa" w:w="1134"/>
            <w:shd w:fill="FFC7CE" w:val="clear"/>
          </w:tcPr>
          <w:p>
            <w:r>
              <w:rPr>
                <w:sz w:val="16"/>
              </w:rPr>
              <w:t>Faible</w:t>
            </w:r>
          </w:p>
        </w:tc>
      </w:tr>
      <w:tr>
        <w:tc>
          <w:tcPr>
            <w:tcW w:type="dxa" w:w="1020"/>
            <w:shd w:fill="FFFFFF" w:val="clear"/>
          </w:tcPr>
          <w:p>
            <w:r>
              <w:rPr>
                <w:sz w:val="16"/>
              </w:rPr>
              <w:t>BOAM</w:t>
            </w:r>
          </w:p>
        </w:tc>
        <w:tc>
          <w:tcPr>
            <w:tcW w:type="dxa" w:w="3402"/>
            <w:shd w:fill="FFFFFF" w:val="clear"/>
          </w:tcPr>
          <w:p>
            <w:r>
              <w:rPr>
                <w:sz w:val="16"/>
              </w:rPr>
              <w:t>BANK OF AFRICA MALI</w:t>
            </w:r>
          </w:p>
        </w:tc>
        <w:tc>
          <w:tcPr>
            <w:tcW w:type="dxa" w:w="1417"/>
            <w:shd w:fill="FFFFFF" w:val="clear"/>
          </w:tcPr>
          <w:p>
            <w:r>
              <w:rPr>
                <w:sz w:val="16"/>
              </w:rPr>
              <w:t>5,700</w:t>
            </w:r>
          </w:p>
        </w:tc>
        <w:tc>
          <w:tcPr>
            <w:tcW w:type="dxa" w:w="1417"/>
            <w:shd w:fill="FFFFFF" w:val="clear"/>
          </w:tcPr>
          <w:p>
            <w:r>
              <w:rPr>
                <w:sz w:val="16"/>
              </w:rPr>
              <w:t>5,248</w:t>
            </w:r>
          </w:p>
        </w:tc>
        <w:tc>
          <w:tcPr>
            <w:tcW w:type="dxa" w:w="1134"/>
            <w:shd w:fill="FFC7CE" w:val="clear"/>
          </w:tcPr>
          <w:p>
            <w:r>
              <w:rPr>
                <w:b/>
                <w:color w:val="B40000"/>
                <w:sz w:val="16"/>
              </w:rPr>
              <w:t>-7.94%</w:t>
            </w:r>
          </w:p>
        </w:tc>
        <w:tc>
          <w:tcPr>
            <w:tcW w:type="dxa" w:w="1134"/>
            <w:shd w:fill="FFC7CE" w:val="clear"/>
          </w:tcPr>
          <w:p>
            <w:r>
              <w:rPr>
                <w:sz w:val="16"/>
              </w:rPr>
              <w:t>Faible</w:t>
            </w:r>
          </w:p>
        </w:tc>
      </w:tr>
      <w:tr>
        <w:tc>
          <w:tcPr>
            <w:tcW w:type="dxa" w:w="1020"/>
            <w:shd w:fill="FFFFFF" w:val="clear"/>
          </w:tcPr>
          <w:p>
            <w:r>
              <w:rPr>
                <w:sz w:val="16"/>
              </w:rPr>
              <w:t>NSBC</w:t>
            </w:r>
          </w:p>
        </w:tc>
        <w:tc>
          <w:tcPr>
            <w:tcW w:type="dxa" w:w="3402"/>
            <w:shd w:fill="FFFFFF" w:val="clear"/>
          </w:tcPr>
          <w:p>
            <w:r>
              <w:rPr>
                <w:sz w:val="16"/>
              </w:rPr>
              <w:t>NSBC - NSIA BANQUE COTE D'IVOIRE</w:t>
            </w:r>
          </w:p>
        </w:tc>
        <w:tc>
          <w:tcPr>
            <w:tcW w:type="dxa" w:w="1417"/>
            <w:shd w:fill="FFFFFF" w:val="clear"/>
          </w:tcPr>
          <w:p>
            <w:r>
              <w:rPr>
                <w:sz w:val="16"/>
              </w:rPr>
              <w:t>20,800</w:t>
            </w:r>
          </w:p>
        </w:tc>
        <w:tc>
          <w:tcPr>
            <w:tcW w:type="dxa" w:w="1417"/>
            <w:shd w:fill="FFFFFF" w:val="clear"/>
          </w:tcPr>
          <w:p>
            <w:r>
              <w:rPr>
                <w:sz w:val="16"/>
              </w:rPr>
              <w:t>18,647</w:t>
            </w:r>
          </w:p>
        </w:tc>
        <w:tc>
          <w:tcPr>
            <w:tcW w:type="dxa" w:w="1134"/>
            <w:shd w:fill="FFC7CE" w:val="clear"/>
          </w:tcPr>
          <w:p>
            <w:r>
              <w:rPr>
                <w:b/>
                <w:color w:val="B40000"/>
                <w:sz w:val="16"/>
              </w:rPr>
              <w:t>-10.35%</w:t>
            </w:r>
          </w:p>
        </w:tc>
        <w:tc>
          <w:tcPr>
            <w:tcW w:type="dxa" w:w="1134"/>
            <w:shd w:fill="FFC7CE" w:val="clear"/>
          </w:tcPr>
          <w:p>
            <w:r>
              <w:rPr>
                <w:sz w:val="16"/>
              </w:rPr>
              <w:t>Faible</w:t>
            </w:r>
          </w:p>
        </w:tc>
      </w:tr>
      <w:tr>
        <w:tc>
          <w:tcPr>
            <w:tcW w:type="dxa" w:w="1020"/>
            <w:shd w:fill="FFFFFF" w:val="clear"/>
          </w:tcPr>
          <w:p>
            <w:r>
              <w:rPr>
                <w:sz w:val="16"/>
              </w:rPr>
              <w:t>BOAS</w:t>
            </w:r>
          </w:p>
        </w:tc>
        <w:tc>
          <w:tcPr>
            <w:tcW w:type="dxa" w:w="3402"/>
            <w:shd w:fill="FFFFFF" w:val="clear"/>
          </w:tcPr>
          <w:p>
            <w:r>
              <w:rPr>
                <w:sz w:val="16"/>
              </w:rPr>
              <w:t>BANK OF AFRICA SENEGAL</w:t>
            </w:r>
          </w:p>
        </w:tc>
        <w:tc>
          <w:tcPr>
            <w:tcW w:type="dxa" w:w="1417"/>
            <w:shd w:fill="FFFFFF" w:val="clear"/>
          </w:tcPr>
          <w:p>
            <w:r>
              <w:rPr>
                <w:sz w:val="16"/>
              </w:rPr>
              <w:t>8,145</w:t>
            </w:r>
          </w:p>
        </w:tc>
        <w:tc>
          <w:tcPr>
            <w:tcW w:type="dxa" w:w="1417"/>
            <w:shd w:fill="FFFFFF" w:val="clear"/>
          </w:tcPr>
          <w:p>
            <w:r>
              <w:rPr>
                <w:sz w:val="16"/>
              </w:rPr>
              <w:t>7,109</w:t>
            </w:r>
          </w:p>
        </w:tc>
        <w:tc>
          <w:tcPr>
            <w:tcW w:type="dxa" w:w="1134"/>
            <w:shd w:fill="FFC7CE" w:val="clear"/>
          </w:tcPr>
          <w:p>
            <w:r>
              <w:rPr>
                <w:b/>
                <w:color w:val="B40000"/>
                <w:sz w:val="16"/>
              </w:rPr>
              <w:t>-12.72%</w:t>
            </w:r>
          </w:p>
        </w:tc>
        <w:tc>
          <w:tcPr>
            <w:tcW w:type="dxa" w:w="1134"/>
            <w:shd w:fill="FFEB9C" w:val="clear"/>
          </w:tcPr>
          <w:p>
            <w:r>
              <w:rPr>
                <w:sz w:val="16"/>
              </w:rPr>
              <w:t>Moyenne</w:t>
            </w:r>
          </w:p>
        </w:tc>
      </w:tr>
    </w:tbl>
    <w:p/>
    <w:p>
      <w:r>
        <w:br w:type="page"/>
      </w:r>
    </w:p>
    <w:p>
      <w:pPr>
        <w:pStyle w:val="Heading1"/>
      </w:pPr>
      <w:r>
        <w:t>💰 ANALYSE FINANCIÈRE COMPARATIVE PAR SECTEUR</w:t>
      </w:r>
    </w:p>
    <w:p>
      <w:r>
        <w:rPr>
          <w:i/>
          <w:color w:val="505050"/>
          <w:sz w:val="18"/>
        </w:rPr>
        <w:t>Cette section compare les performances financières des sociétés cotées sur la base des données structurées annuelles issues de la table brvm_donnees_financieres. Seules les sociétés disposant de données renseignées sont analysées. Pour chaque secteur, les meilleures et moins bonnes performances sont identifiées sur les indicateurs clés de rentabilité, structure et liquidité.</w:t>
      </w:r>
    </w:p>
    <w:p/>
    <w:p>
      <w:r>
        <w:rPr>
          <w:i/>
          <w:color w:val="3C3C3C"/>
          <w:sz w:val="17"/>
        </w:rPr>
        <w:t>Données disponibles pour 45 société(s) sur 48. Sociétés sans données ignorées. 🟢 = performance positive  🔴 = performance à surveiller.</w:t>
      </w:r>
    </w:p>
    <w:p/>
    <w:p>
      <w:r>
        <w:br w:type="page"/>
      </w:r>
    </w:p>
    <w:p>
      <w:pPr>
        <w:pStyle w:val="Heading2"/>
      </w:pPr>
      <w:r>
        <w:rPr>
          <w:color w:val="003366"/>
        </w:rPr>
        <w:t>📂 Secteur : CONSOMMATION DE BASE</w:t>
      </w:r>
    </w:p>
    <w:p>
      <w:r>
        <w:rPr>
          <w:sz w:val="18"/>
        </w:rPr>
        <w:t>7 société(s) avec données financières sur 9 cotée(s) dans ce secteur. Exercice(s) analysé(s) : 2025, 2025, 2025,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2551"/>
            <w:shd w:fill="1F4E79" w:val="clear"/>
          </w:tcPr>
          <w:p>
            <w:r>
              <w:rPr>
                <w:b/>
                <w:color w:val="FFFFFF"/>
                <w:sz w:val="16"/>
              </w:rPr>
              <w:t>Indicateur</w:t>
            </w:r>
          </w:p>
        </w:tc>
        <w:tc>
          <w:tcPr>
            <w:tcW w:type="dxa" w:w="1053"/>
            <w:shd w:fill="1F4E79" w:val="clear"/>
          </w:tcPr>
          <w:p>
            <w:r>
              <w:rPr>
                <w:b/>
                <w:color w:val="FFFFFF"/>
                <w:sz w:val="15"/>
              </w:rPr>
              <w:t>NTLC (2025)</w:t>
            </w:r>
          </w:p>
        </w:tc>
        <w:tc>
          <w:tcPr>
            <w:tcW w:type="dxa" w:w="1053"/>
            <w:shd w:fill="1F4E79" w:val="clear"/>
          </w:tcPr>
          <w:p>
            <w:r>
              <w:rPr>
                <w:b/>
                <w:color w:val="FFFFFF"/>
                <w:sz w:val="15"/>
              </w:rPr>
              <w:t>PALC (2025)</w:t>
            </w:r>
          </w:p>
        </w:tc>
        <w:tc>
          <w:tcPr>
            <w:tcW w:type="dxa" w:w="1053"/>
            <w:shd w:fill="1F4E79" w:val="clear"/>
          </w:tcPr>
          <w:p>
            <w:r>
              <w:rPr>
                <w:b/>
                <w:color w:val="FFFFFF"/>
                <w:sz w:val="15"/>
              </w:rPr>
              <w:t>SCRC (2025)</w:t>
            </w:r>
          </w:p>
        </w:tc>
        <w:tc>
          <w:tcPr>
            <w:tcW w:type="dxa" w:w="1053"/>
            <w:shd w:fill="1F4E79" w:val="clear"/>
          </w:tcPr>
          <w:p>
            <w:r>
              <w:rPr>
                <w:b/>
                <w:color w:val="FFFFFF"/>
                <w:sz w:val="15"/>
              </w:rPr>
              <w:t>SLBC (2025)</w:t>
            </w:r>
          </w:p>
        </w:tc>
        <w:tc>
          <w:tcPr>
            <w:tcW w:type="dxa" w:w="1053"/>
            <w:shd w:fill="1F4E79" w:val="clear"/>
          </w:tcPr>
          <w:p>
            <w:r>
              <w:rPr>
                <w:b/>
                <w:color w:val="FFFFFF"/>
                <w:sz w:val="15"/>
              </w:rPr>
              <w:t>SOGC (2025)</w:t>
            </w:r>
          </w:p>
        </w:tc>
        <w:tc>
          <w:tcPr>
            <w:tcW w:type="dxa" w:w="1053"/>
            <w:shd w:fill="1F4E79" w:val="clear"/>
          </w:tcPr>
          <w:p>
            <w:r>
              <w:rPr>
                <w:b/>
                <w:color w:val="FFFFFF"/>
                <w:sz w:val="15"/>
              </w:rPr>
              <w:t>SPHC (2025)</w:t>
            </w:r>
          </w:p>
        </w:tc>
        <w:tc>
          <w:tcPr>
            <w:tcW w:type="dxa" w:w="1053"/>
            <w:shd w:fill="1F4E79" w:val="clear"/>
          </w:tcPr>
          <w:p>
            <w:r>
              <w:rPr>
                <w:b/>
                <w:color w:val="FFFFFF"/>
                <w:sz w:val="15"/>
              </w:rPr>
              <w:t>STBC (2025)</w:t>
            </w:r>
          </w:p>
        </w:tc>
      </w:tr>
      <w:tr>
        <w:tc>
          <w:tcPr>
            <w:tcW w:type="dxa" w:w="2551"/>
            <w:shd w:fill="EEF2F7" w:val="clear"/>
          </w:tcPr>
          <w:p>
            <w:r>
              <w:rPr>
                <w:b/>
                <w:sz w:val="15"/>
              </w:rPr>
              <w:t>ROE</w:t>
            </w:r>
          </w:p>
        </w:tc>
        <w:tc>
          <w:tcPr>
            <w:tcW w:type="dxa" w:w="1053"/>
            <w:shd w:fill="FFFFFF" w:val="clear"/>
          </w:tcPr>
          <w:p>
            <w:r>
              <w:rPr>
                <w:b/>
                <w:color w:val="000000"/>
                <w:sz w:val="16"/>
              </w:rPr>
              <w:t>62.28%</w:t>
            </w:r>
          </w:p>
        </w:tc>
        <w:tc>
          <w:tcPr>
            <w:tcW w:type="dxa" w:w="1053"/>
            <w:shd w:fill="FFFFFF" w:val="clear"/>
          </w:tcPr>
          <w:p>
            <w:r>
              <w:rPr>
                <w:b/>
                <w:color w:val="000000"/>
                <w:sz w:val="16"/>
              </w:rPr>
              <w:t>10.87%</w:t>
            </w:r>
          </w:p>
        </w:tc>
        <w:tc>
          <w:tcPr>
            <w:tcW w:type="dxa" w:w="1053"/>
            <w:shd w:fill="FFC7CE" w:val="clear"/>
          </w:tcPr>
          <w:p>
            <w:r>
              <w:rPr>
                <w:b/>
                <w:color w:val="B40000"/>
                <w:sz w:val="16"/>
              </w:rPr>
              <w:t>-46.13%</w:t>
            </w:r>
          </w:p>
        </w:tc>
        <w:tc>
          <w:tcPr>
            <w:tcW w:type="dxa" w:w="1053"/>
            <w:shd w:fill="FFFFFF" w:val="clear"/>
          </w:tcPr>
          <w:p>
            <w:r>
              <w:rPr>
                <w:b/>
                <w:color w:val="000000"/>
                <w:sz w:val="16"/>
              </w:rPr>
              <w:t>23.46%</w:t>
            </w:r>
          </w:p>
        </w:tc>
        <w:tc>
          <w:tcPr>
            <w:tcW w:type="dxa" w:w="1053"/>
            <w:shd w:fill="FFFFFF" w:val="clear"/>
          </w:tcPr>
          <w:p>
            <w:r>
              <w:rPr>
                <w:b/>
                <w:color w:val="000000"/>
                <w:sz w:val="16"/>
              </w:rPr>
              <w:t>18.26%</w:t>
            </w:r>
          </w:p>
        </w:tc>
        <w:tc>
          <w:tcPr>
            <w:tcW w:type="dxa" w:w="1053"/>
            <w:shd w:fill="FFFFFF" w:val="clear"/>
          </w:tcPr>
          <w:p>
            <w:r>
              <w:rPr>
                <w:b/>
                <w:color w:val="000000"/>
                <w:sz w:val="16"/>
              </w:rPr>
              <w:t>18.10%</w:t>
            </w:r>
          </w:p>
        </w:tc>
        <w:tc>
          <w:tcPr>
            <w:tcW w:type="dxa" w:w="1053"/>
            <w:shd w:fill="C6EFCE" w:val="clear"/>
          </w:tcPr>
          <w:p>
            <w:r>
              <w:rPr>
                <w:b/>
                <w:color w:val="006400"/>
                <w:sz w:val="16"/>
              </w:rPr>
              <w:t>79.75%</w:t>
            </w:r>
          </w:p>
        </w:tc>
      </w:tr>
      <w:tr>
        <w:tc>
          <w:tcPr>
            <w:tcW w:type="dxa" w:w="2551"/>
            <w:shd w:fill="EEF2F7" w:val="clear"/>
          </w:tcPr>
          <w:p>
            <w:r>
              <w:rPr>
                <w:b/>
                <w:sz w:val="15"/>
              </w:rPr>
              <w:t>ROA</w:t>
            </w:r>
          </w:p>
        </w:tc>
        <w:tc>
          <w:tcPr>
            <w:tcW w:type="dxa" w:w="1053"/>
            <w:shd w:fill="FFFFFF" w:val="clear"/>
          </w:tcPr>
          <w:p>
            <w:r>
              <w:rPr>
                <w:b/>
                <w:color w:val="000000"/>
                <w:sz w:val="16"/>
              </w:rPr>
              <w:t>9.70%</w:t>
            </w:r>
          </w:p>
        </w:tc>
        <w:tc>
          <w:tcPr>
            <w:tcW w:type="dxa" w:w="1053"/>
            <w:shd w:fill="FFFFFF" w:val="clear"/>
          </w:tcPr>
          <w:p>
            <w:r>
              <w:rPr>
                <w:b/>
                <w:color w:val="000000"/>
                <w:sz w:val="16"/>
              </w:rPr>
              <w:t>7.79%</w:t>
            </w:r>
          </w:p>
        </w:tc>
        <w:tc>
          <w:tcPr>
            <w:tcW w:type="dxa" w:w="1053"/>
            <w:shd w:fill="FFC7CE" w:val="clear"/>
          </w:tcPr>
          <w:p>
            <w:r>
              <w:rPr>
                <w:b/>
                <w:color w:val="B40000"/>
                <w:sz w:val="16"/>
              </w:rPr>
              <w:t>-5.08%</w:t>
            </w:r>
          </w:p>
        </w:tc>
        <w:tc>
          <w:tcPr>
            <w:tcW w:type="dxa" w:w="1053"/>
            <w:shd w:fill="FFFFFF" w:val="clear"/>
          </w:tcPr>
          <w:p>
            <w:r>
              <w:rPr>
                <w:b/>
                <w:color w:val="000000"/>
                <w:sz w:val="16"/>
              </w:rPr>
              <w:t>13.48%</w:t>
            </w:r>
          </w:p>
        </w:tc>
        <w:tc>
          <w:tcPr>
            <w:tcW w:type="dxa" w:w="1053"/>
            <w:shd w:fill="FFFFFF" w:val="clear"/>
          </w:tcPr>
          <w:p>
            <w:r>
              <w:rPr>
                <w:b/>
                <w:color w:val="000000"/>
                <w:sz w:val="16"/>
              </w:rPr>
              <w:t>13.84%</w:t>
            </w:r>
          </w:p>
        </w:tc>
        <w:tc>
          <w:tcPr>
            <w:tcW w:type="dxa" w:w="1053"/>
            <w:shd w:fill="FFFFFF" w:val="clear"/>
          </w:tcPr>
          <w:p>
            <w:r>
              <w:rPr>
                <w:b/>
                <w:color w:val="000000"/>
                <w:sz w:val="16"/>
              </w:rPr>
              <w:t>11.06%</w:t>
            </w:r>
          </w:p>
        </w:tc>
        <w:tc>
          <w:tcPr>
            <w:tcW w:type="dxa" w:w="1053"/>
            <w:shd w:fill="C6EFCE" w:val="clear"/>
          </w:tcPr>
          <w:p>
            <w:r>
              <w:rPr>
                <w:b/>
                <w:color w:val="006400"/>
                <w:sz w:val="16"/>
              </w:rPr>
              <w:t>48.09%</w:t>
            </w:r>
          </w:p>
        </w:tc>
      </w:tr>
      <w:tr>
        <w:tc>
          <w:tcPr>
            <w:tcW w:type="dxa" w:w="2551"/>
            <w:shd w:fill="EEF2F7" w:val="clear"/>
          </w:tcPr>
          <w:p>
            <w:r>
              <w:rPr>
                <w:b/>
                <w:sz w:val="15"/>
              </w:rPr>
              <w:t>Marge nette</w:t>
            </w:r>
          </w:p>
        </w:tc>
        <w:tc>
          <w:tcPr>
            <w:tcW w:type="dxa" w:w="1053"/>
            <w:shd w:fill="FFFFFF" w:val="clear"/>
          </w:tcPr>
          <w:p>
            <w:r>
              <w:rPr>
                <w:b/>
                <w:color w:val="000000"/>
                <w:sz w:val="16"/>
              </w:rPr>
              <w:t>7.90%</w:t>
            </w:r>
          </w:p>
        </w:tc>
        <w:tc>
          <w:tcPr>
            <w:tcW w:type="dxa" w:w="1053"/>
            <w:shd w:fill="FFFFFF" w:val="clear"/>
          </w:tcPr>
          <w:p>
            <w:r>
              <w:rPr>
                <w:b/>
                <w:color w:val="000000"/>
                <w:sz w:val="16"/>
              </w:rPr>
              <w:t>7.85%</w:t>
            </w:r>
          </w:p>
        </w:tc>
        <w:tc>
          <w:tcPr>
            <w:tcW w:type="dxa" w:w="1053"/>
            <w:shd w:fill="FFC7CE" w:val="clear"/>
          </w:tcPr>
          <w:p>
            <w:r>
              <w:rPr>
                <w:b/>
                <w:color w:val="B40000"/>
                <w:sz w:val="16"/>
              </w:rPr>
              <w:t>-9.87%</w:t>
            </w:r>
          </w:p>
        </w:tc>
        <w:tc>
          <w:tcPr>
            <w:tcW w:type="dxa" w:w="1053"/>
            <w:shd w:fill="FFFFFF" w:val="clear"/>
          </w:tcPr>
          <w:p>
            <w:r>
              <w:rPr>
                <w:b/>
                <w:color w:val="000000"/>
                <w:sz w:val="16"/>
              </w:rPr>
              <w:t>12.11%</w:t>
            </w:r>
          </w:p>
        </w:tc>
        <w:tc>
          <w:tcPr>
            <w:tcW w:type="dxa" w:w="1053"/>
            <w:shd w:fill="FFFFFF" w:val="clear"/>
          </w:tcPr>
          <w:p>
            <w:r>
              <w:rPr>
                <w:b/>
                <w:color w:val="000000"/>
                <w:sz w:val="16"/>
              </w:rPr>
              <w:t>12.62%</w:t>
            </w:r>
          </w:p>
        </w:tc>
        <w:tc>
          <w:tcPr>
            <w:tcW w:type="dxa" w:w="1053"/>
            <w:shd w:fill="FFFFFF" w:val="clear"/>
          </w:tcPr>
          <w:p>
            <w:r>
              <w:rPr>
                <w:b/>
                <w:color w:val="000000"/>
                <w:sz w:val="16"/>
              </w:rPr>
              <w:t>7.33%</w:t>
            </w:r>
          </w:p>
        </w:tc>
        <w:tc>
          <w:tcPr>
            <w:tcW w:type="dxa" w:w="1053"/>
            <w:shd w:fill="C6EFCE" w:val="clear"/>
          </w:tcPr>
          <w:p>
            <w:r>
              <w:rPr>
                <w:b/>
                <w:color w:val="006400"/>
                <w:sz w:val="16"/>
              </w:rPr>
              <w:t>13.46%</w:t>
            </w:r>
          </w:p>
        </w:tc>
      </w:tr>
      <w:tr>
        <w:tc>
          <w:tcPr>
            <w:tcW w:type="dxa" w:w="2551"/>
            <w:shd w:fill="EEF2F7" w:val="clear"/>
          </w:tcPr>
          <w:p>
            <w:r>
              <w:rPr>
                <w:b/>
                <w:sz w:val="15"/>
              </w:rPr>
              <w:t>Résultat net</w:t>
            </w:r>
          </w:p>
        </w:tc>
        <w:tc>
          <w:tcPr>
            <w:tcW w:type="dxa" w:w="1053"/>
            <w:shd w:fill="FFFFFF" w:val="clear"/>
          </w:tcPr>
          <w:p>
            <w:r>
              <w:rPr>
                <w:b/>
                <w:color w:val="000000"/>
                <w:sz w:val="16"/>
              </w:rPr>
              <w:t>18.427 Mds FCFA</w:t>
            </w:r>
          </w:p>
        </w:tc>
        <w:tc>
          <w:tcPr>
            <w:tcW w:type="dxa" w:w="1053"/>
            <w:shd w:fill="FFFFFF" w:val="clear"/>
          </w:tcPr>
          <w:p>
            <w:r>
              <w:rPr>
                <w:b/>
                <w:color w:val="000000"/>
                <w:sz w:val="16"/>
              </w:rPr>
              <w:t>15.509 Mds FCFA</w:t>
            </w:r>
          </w:p>
        </w:tc>
        <w:tc>
          <w:tcPr>
            <w:tcW w:type="dxa" w:w="1053"/>
            <w:shd w:fill="FFC7CE" w:val="clear"/>
          </w:tcPr>
          <w:p>
            <w:r>
              <w:rPr>
                <w:b/>
                <w:color w:val="B40000"/>
                <w:sz w:val="16"/>
              </w:rPr>
              <w:t>-7.954 Mds FCFA</w:t>
            </w:r>
          </w:p>
        </w:tc>
        <w:tc>
          <w:tcPr>
            <w:tcW w:type="dxa" w:w="1053"/>
            <w:shd w:fill="C6EFCE" w:val="clear"/>
          </w:tcPr>
          <w:p>
            <w:r>
              <w:rPr>
                <w:b/>
                <w:color w:val="006400"/>
                <w:sz w:val="16"/>
              </w:rPr>
              <w:t>45.781 Mds FCFA</w:t>
            </w:r>
          </w:p>
        </w:tc>
        <w:tc>
          <w:tcPr>
            <w:tcW w:type="dxa" w:w="1053"/>
            <w:shd w:fill="FFFFFF" w:val="clear"/>
          </w:tcPr>
          <w:p>
            <w:r>
              <w:rPr>
                <w:b/>
                <w:color w:val="000000"/>
                <w:sz w:val="16"/>
              </w:rPr>
              <w:t>12.493 Mds FCFA</w:t>
            </w:r>
          </w:p>
        </w:tc>
        <w:tc>
          <w:tcPr>
            <w:tcW w:type="dxa" w:w="1053"/>
            <w:shd w:fill="FFFFFF" w:val="clear"/>
          </w:tcPr>
          <w:p>
            <w:r>
              <w:rPr>
                <w:b/>
                <w:color w:val="000000"/>
                <w:sz w:val="16"/>
              </w:rPr>
              <w:t>24.972 Mds FCFA</w:t>
            </w:r>
          </w:p>
        </w:tc>
        <w:tc>
          <w:tcPr>
            <w:tcW w:type="dxa" w:w="1053"/>
            <w:shd w:fill="FFFFFF" w:val="clear"/>
          </w:tcPr>
          <w:p>
            <w:r>
              <w:rPr>
                <w:b/>
                <w:color w:val="000000"/>
                <w:sz w:val="16"/>
              </w:rPr>
              <w:t>36.158 Mds FCFA</w:t>
            </w:r>
          </w:p>
        </w:tc>
      </w:tr>
      <w:tr>
        <w:tc>
          <w:tcPr>
            <w:tcW w:type="dxa" w:w="2551"/>
            <w:shd w:fill="EEF2F7" w:val="clear"/>
          </w:tcPr>
          <w:p>
            <w:r>
              <w:rPr>
                <w:b/>
                <w:sz w:val="15"/>
              </w:rPr>
              <w:t>Taux croissance CA/PNB</w:t>
            </w:r>
          </w:p>
        </w:tc>
        <w:tc>
          <w:tcPr>
            <w:tcW w:type="dxa" w:w="1053"/>
            <w:shd w:fill="FFFFFF" w:val="clear"/>
          </w:tcPr>
          <w:p>
            <w:r>
              <w:rPr>
                <w:b/>
                <w:color w:val="000000"/>
                <w:sz w:val="16"/>
              </w:rPr>
              <w:t>5.97%</w:t>
            </w:r>
          </w:p>
        </w:tc>
        <w:tc>
          <w:tcPr>
            <w:tcW w:type="dxa" w:w="1053"/>
            <w:shd w:fill="FFFFFF" w:val="clear"/>
          </w:tcPr>
          <w:p>
            <w:r>
              <w:rPr>
                <w:b/>
                <w:color w:val="000000"/>
                <w:sz w:val="16"/>
              </w:rPr>
              <w:t>14.78%</w:t>
            </w:r>
          </w:p>
        </w:tc>
        <w:tc>
          <w:tcPr>
            <w:tcW w:type="dxa" w:w="1053"/>
            <w:shd w:fill="FFC7CE" w:val="clear"/>
          </w:tcPr>
          <w:p>
            <w:r>
              <w:rPr>
                <w:b/>
                <w:color w:val="B40000"/>
                <w:sz w:val="16"/>
              </w:rPr>
              <w:t>-7.63%</w:t>
            </w:r>
          </w:p>
        </w:tc>
        <w:tc>
          <w:tcPr>
            <w:tcW w:type="dxa" w:w="1053"/>
            <w:shd w:fill="FFFFFF" w:val="clear"/>
          </w:tcPr>
          <w:p>
            <w:r>
              <w:rPr>
                <w:b/>
                <w:color w:val="000000"/>
                <w:sz w:val="16"/>
              </w:rPr>
              <w:t>22.08%</w:t>
            </w:r>
          </w:p>
        </w:tc>
        <w:tc>
          <w:tcPr>
            <w:tcW w:type="dxa" w:w="1053"/>
            <w:shd w:fill="FFFFFF" w:val="clear"/>
          </w:tcPr>
          <w:p>
            <w:r>
              <w:rPr>
                <w:b/>
                <w:color w:val="000000"/>
                <w:sz w:val="16"/>
              </w:rPr>
              <w:t>10.70%</w:t>
            </w:r>
          </w:p>
        </w:tc>
        <w:tc>
          <w:tcPr>
            <w:tcW w:type="dxa" w:w="1053"/>
            <w:shd w:fill="FFFFFF" w:val="clear"/>
          </w:tcPr>
          <w:p>
            <w:r>
              <w:rPr>
                <w:b/>
                <w:color w:val="000000"/>
                <w:sz w:val="16"/>
              </w:rPr>
              <w:t>21.97%</w:t>
            </w:r>
          </w:p>
        </w:tc>
        <w:tc>
          <w:tcPr>
            <w:tcW w:type="dxa" w:w="1053"/>
            <w:shd w:fill="C6EFCE" w:val="clear"/>
          </w:tcPr>
          <w:p>
            <w:r>
              <w:rPr>
                <w:b/>
                <w:color w:val="006400"/>
                <w:sz w:val="16"/>
              </w:rPr>
              <w:t>25.30%</w:t>
            </w:r>
          </w:p>
        </w:tc>
      </w:tr>
      <w:tr>
        <w:tc>
          <w:tcPr>
            <w:tcW w:type="dxa" w:w="2551"/>
            <w:shd w:fill="EEF2F7" w:val="clear"/>
          </w:tcPr>
          <w:p>
            <w:r>
              <w:rPr>
                <w:b/>
                <w:sz w:val="15"/>
              </w:rPr>
              <w:t>Autonomie financière</w:t>
            </w:r>
          </w:p>
        </w:tc>
        <w:tc>
          <w:tcPr>
            <w:tcW w:type="dxa" w:w="1053"/>
            <w:shd w:fill="FFFFFF" w:val="clear"/>
          </w:tcPr>
          <w:p>
            <w:r>
              <w:rPr>
                <w:b/>
                <w:color w:val="000000"/>
                <w:sz w:val="16"/>
              </w:rPr>
              <w:t>15.58%</w:t>
            </w:r>
          </w:p>
        </w:tc>
        <w:tc>
          <w:tcPr>
            <w:tcW w:type="dxa" w:w="1053"/>
            <w:shd w:fill="FFFFFF" w:val="clear"/>
          </w:tcPr>
          <w:p>
            <w:r>
              <w:rPr>
                <w:b/>
                <w:color w:val="000000"/>
                <w:sz w:val="16"/>
              </w:rPr>
              <w:t>71.64%</w:t>
            </w:r>
          </w:p>
        </w:tc>
        <w:tc>
          <w:tcPr>
            <w:tcW w:type="dxa" w:w="1053"/>
            <w:shd w:fill="FFC7CE" w:val="clear"/>
          </w:tcPr>
          <w:p>
            <w:r>
              <w:rPr>
                <w:b/>
                <w:color w:val="B40000"/>
                <w:sz w:val="16"/>
              </w:rPr>
              <w:t>11.02%</w:t>
            </w:r>
          </w:p>
        </w:tc>
        <w:tc>
          <w:tcPr>
            <w:tcW w:type="dxa" w:w="1053"/>
            <w:shd w:fill="FFFFFF" w:val="clear"/>
          </w:tcPr>
          <w:p>
            <w:r>
              <w:rPr>
                <w:b/>
                <w:color w:val="000000"/>
                <w:sz w:val="16"/>
              </w:rPr>
              <w:t>57.48%</w:t>
            </w:r>
          </w:p>
        </w:tc>
        <w:tc>
          <w:tcPr>
            <w:tcW w:type="dxa" w:w="1053"/>
            <w:shd w:fill="C6EFCE" w:val="clear"/>
          </w:tcPr>
          <w:p>
            <w:r>
              <w:rPr>
                <w:b/>
                <w:color w:val="006400"/>
                <w:sz w:val="16"/>
              </w:rPr>
              <w:t>75.79%</w:t>
            </w:r>
          </w:p>
        </w:tc>
        <w:tc>
          <w:tcPr>
            <w:tcW w:type="dxa" w:w="1053"/>
            <w:shd w:fill="FFFFFF" w:val="clear"/>
          </w:tcPr>
          <w:p>
            <w:r>
              <w:rPr>
                <w:b/>
                <w:color w:val="000000"/>
                <w:sz w:val="16"/>
              </w:rPr>
              <w:t>61.08%</w:t>
            </w:r>
          </w:p>
        </w:tc>
        <w:tc>
          <w:tcPr>
            <w:tcW w:type="dxa" w:w="1053"/>
            <w:shd w:fill="FFFFFF" w:val="clear"/>
          </w:tcPr>
          <w:p>
            <w:r>
              <w:rPr>
                <w:b/>
                <w:color w:val="000000"/>
                <w:sz w:val="16"/>
              </w:rPr>
              <w:t>60.30%</w:t>
            </w:r>
          </w:p>
        </w:tc>
      </w:tr>
      <w:tr>
        <w:tc>
          <w:tcPr>
            <w:tcW w:type="dxa" w:w="2551"/>
            <w:shd w:fill="EEF2F7" w:val="clear"/>
          </w:tcPr>
          <w:p>
            <w:r>
              <w:rPr>
                <w:b/>
                <w:sz w:val="15"/>
              </w:rPr>
              <w:t>Ratio endettement</w:t>
            </w:r>
          </w:p>
        </w:tc>
        <w:tc>
          <w:tcPr>
            <w:tcW w:type="dxa" w:w="1053"/>
            <w:shd w:fill="FFC7CE" w:val="clear"/>
          </w:tcPr>
          <w:p>
            <w:r>
              <w:rPr>
                <w:b/>
                <w:color w:val="B40000"/>
                <w:sz w:val="16"/>
              </w:rPr>
              <w:t>135.85%</w:t>
            </w:r>
          </w:p>
        </w:tc>
        <w:tc>
          <w:tcPr>
            <w:tcW w:type="dxa" w:w="1053"/>
            <w:shd w:fill="C6EFCE" w:val="clear"/>
          </w:tcPr>
          <w:p>
            <w:r>
              <w:rPr>
                <w:b/>
                <w:color w:val="006400"/>
                <w:sz w:val="16"/>
              </w:rPr>
              <w:t>0.56%</w:t>
            </w:r>
          </w:p>
        </w:tc>
        <w:tc>
          <w:tcPr>
            <w:tcW w:type="dxa" w:w="1053"/>
            <w:shd w:fill="FFFFFF" w:val="clear"/>
          </w:tcPr>
          <w:p>
            <w:r>
              <w:rPr>
                <w:b/>
                <w:color w:val="000000"/>
                <w:sz w:val="16"/>
              </w:rPr>
              <w:t>88.98%</w:t>
            </w:r>
          </w:p>
        </w:tc>
        <w:tc>
          <w:tcPr>
            <w:tcW w:type="dxa" w:w="1053"/>
            <w:shd w:fill="FFFFFF" w:val="clear"/>
          </w:tcPr>
          <w:p>
            <w:r>
              <w:rPr>
                <w:b/>
                <w:color w:val="000000"/>
                <w:sz w:val="16"/>
              </w:rPr>
              <w:t>42.52%</w:t>
            </w:r>
          </w:p>
        </w:tc>
        <w:tc>
          <w:tcPr>
            <w:tcW w:type="dxa" w:w="1053"/>
            <w:shd w:fill="FFFFFF" w:val="clear"/>
          </w:tcPr>
          <w:p>
            <w:r>
              <w:rPr>
                <w:b/>
                <w:color w:val="000000"/>
                <w:sz w:val="16"/>
              </w:rPr>
              <w:t>24.21%</w:t>
            </w:r>
          </w:p>
        </w:tc>
        <w:tc>
          <w:tcPr>
            <w:tcW w:type="dxa" w:w="1053"/>
            <w:shd w:fill="FFFFFF" w:val="clear"/>
          </w:tcPr>
          <w:p>
            <w:r>
              <w:rPr>
                <w:b/>
                <w:color w:val="000000"/>
                <w:sz w:val="16"/>
              </w:rPr>
              <w:t>25.81%</w:t>
            </w:r>
          </w:p>
        </w:tc>
        <w:tc>
          <w:tcPr>
            <w:tcW w:type="dxa" w:w="1053"/>
            <w:shd w:fill="FFFFFF" w:val="clear"/>
          </w:tcPr>
          <w:p>
            <w:r>
              <w:rPr>
                <w:b/>
                <w:color w:val="000000"/>
                <w:sz w:val="16"/>
              </w:rPr>
              <w:t>39.70%</w:t>
            </w:r>
          </w:p>
        </w:tc>
      </w:tr>
      <w:tr>
        <w:tc>
          <w:tcPr>
            <w:tcW w:type="dxa" w:w="2551"/>
            <w:shd w:fill="EEF2F7" w:val="clear"/>
          </w:tcPr>
          <w:p>
            <w:r>
              <w:rPr>
                <w:b/>
                <w:sz w:val="15"/>
              </w:rPr>
              <w:t>Solvabilité générale</w:t>
            </w:r>
          </w:p>
        </w:tc>
        <w:tc>
          <w:tcPr>
            <w:tcW w:type="dxa" w:w="1053"/>
            <w:shd w:fill="FFFFFF" w:val="clear"/>
          </w:tcPr>
          <w:p>
            <w:r>
              <w:rPr>
                <w:b/>
                <w:color w:val="000000"/>
                <w:sz w:val="16"/>
              </w:rPr>
              <w:t>118.45%</w:t>
            </w:r>
          </w:p>
        </w:tc>
        <w:tc>
          <w:tcPr>
            <w:tcW w:type="dxa" w:w="1053"/>
            <w:shd w:fill="FFFFFF" w:val="clear"/>
          </w:tcPr>
          <w:p>
            <w:r>
              <w:rPr>
                <w:b/>
                <w:color w:val="000000"/>
                <w:sz w:val="16"/>
              </w:rPr>
              <w:t>352.56%</w:t>
            </w:r>
          </w:p>
        </w:tc>
        <w:tc>
          <w:tcPr>
            <w:tcW w:type="dxa" w:w="1053"/>
            <w:shd w:fill="FFC7CE" w:val="clear"/>
          </w:tcPr>
          <w:p>
            <w:r>
              <w:rPr>
                <w:b/>
                <w:color w:val="B40000"/>
                <w:sz w:val="16"/>
              </w:rPr>
              <w:t>112.39%</w:t>
            </w:r>
          </w:p>
        </w:tc>
        <w:tc>
          <w:tcPr>
            <w:tcW w:type="dxa" w:w="1053"/>
            <w:shd w:fill="FFFFFF" w:val="clear"/>
          </w:tcPr>
          <w:p>
            <w:r>
              <w:rPr>
                <w:b/>
                <w:color w:val="000000"/>
                <w:sz w:val="16"/>
              </w:rPr>
              <w:t>235.16%</w:t>
            </w:r>
          </w:p>
        </w:tc>
        <w:tc>
          <w:tcPr>
            <w:tcW w:type="dxa" w:w="1053"/>
            <w:shd w:fill="C6EFCE" w:val="clear"/>
          </w:tcPr>
          <w:p>
            <w:r>
              <w:rPr>
                <w:b/>
                <w:color w:val="006400"/>
                <w:sz w:val="16"/>
              </w:rPr>
              <w:t>413.07%</w:t>
            </w:r>
          </w:p>
        </w:tc>
        <w:tc>
          <w:tcPr>
            <w:tcW w:type="dxa" w:w="1053"/>
            <w:shd w:fill="FFFFFF" w:val="clear"/>
          </w:tcPr>
          <w:p>
            <w:r>
              <w:rPr>
                <w:b/>
                <w:color w:val="000000"/>
                <w:sz w:val="16"/>
              </w:rPr>
              <w:t>256.91%</w:t>
            </w:r>
          </w:p>
        </w:tc>
        <w:tc>
          <w:tcPr>
            <w:tcW w:type="dxa" w:w="1053"/>
            <w:shd w:fill="FFFFFF" w:val="clear"/>
          </w:tcPr>
          <w:p>
            <w:r>
              <w:rPr>
                <w:b/>
                <w:color w:val="000000"/>
                <w:sz w:val="16"/>
              </w:rPr>
              <w:t>251.89%</w:t>
            </w:r>
          </w:p>
        </w:tc>
      </w:tr>
      <w:tr>
        <w:tc>
          <w:tcPr>
            <w:tcW w:type="dxa" w:w="2551"/>
            <w:shd w:fill="EEF2F7" w:val="clear"/>
          </w:tcPr>
          <w:p>
            <w:r>
              <w:rPr>
                <w:b/>
                <w:sz w:val="15"/>
              </w:rPr>
              <w:t>Liquidité générale</w:t>
            </w:r>
          </w:p>
        </w:tc>
        <w:tc>
          <w:tcPr>
            <w:tcW w:type="dxa" w:w="1053"/>
            <w:shd w:fill="FFFFFF" w:val="clear"/>
          </w:tcPr>
          <w:p>
            <w:r>
              <w:rPr>
                <w:b/>
                <w:color w:val="000000"/>
                <w:sz w:val="16"/>
              </w:rPr>
              <w:t>79.86%</w:t>
            </w:r>
          </w:p>
        </w:tc>
        <w:tc>
          <w:tcPr>
            <w:tcW w:type="dxa" w:w="1053"/>
            <w:shd w:fill="FFFFFF" w:val="clear"/>
          </w:tcPr>
          <w:p>
            <w:r>
              <w:rPr>
                <w:b/>
                <w:color w:val="000000"/>
                <w:sz w:val="16"/>
              </w:rPr>
              <w:t>171.95%</w:t>
            </w:r>
          </w:p>
        </w:tc>
        <w:tc>
          <w:tcPr>
            <w:tcW w:type="dxa" w:w="1053"/>
            <w:shd w:fill="FFC7CE" w:val="clear"/>
          </w:tcPr>
          <w:p>
            <w:r>
              <w:rPr>
                <w:b/>
                <w:color w:val="B40000"/>
                <w:sz w:val="16"/>
              </w:rPr>
              <w:t>74.53%</w:t>
            </w:r>
          </w:p>
        </w:tc>
        <w:tc>
          <w:tcPr>
            <w:tcW w:type="dxa" w:w="1053"/>
            <w:shd w:fill="FFFFFF" w:val="clear"/>
          </w:tcPr>
          <w:p>
            <w:r>
              <w:rPr>
                <w:b/>
                <w:color w:val="000000"/>
                <w:sz w:val="16"/>
              </w:rPr>
              <w:t>195.00%</w:t>
            </w:r>
          </w:p>
        </w:tc>
        <w:tc>
          <w:tcPr>
            <w:tcW w:type="dxa" w:w="1053"/>
            <w:shd w:fill="FFFFFF" w:val="clear"/>
          </w:tcPr>
          <w:p>
            <w:r>
              <w:rPr>
                <w:b/>
                <w:color w:val="000000"/>
                <w:sz w:val="16"/>
              </w:rPr>
              <w:t>170.32%</w:t>
            </w:r>
          </w:p>
        </w:tc>
        <w:tc>
          <w:tcPr>
            <w:tcW w:type="dxa" w:w="1053"/>
            <w:shd w:fill="FFFFFF" w:val="clear"/>
          </w:tcPr>
          <w:p>
            <w:r>
              <w:rPr>
                <w:b/>
                <w:color w:val="000000"/>
                <w:sz w:val="16"/>
              </w:rPr>
              <w:t>195.54%</w:t>
            </w:r>
          </w:p>
        </w:tc>
        <w:tc>
          <w:tcPr>
            <w:tcW w:type="dxa" w:w="1053"/>
            <w:shd w:fill="C6EFCE" w:val="clear"/>
          </w:tcPr>
          <w:p>
            <w:r>
              <w:rPr>
                <w:b/>
                <w:color w:val="006400"/>
                <w:sz w:val="16"/>
              </w:rPr>
              <w:t>224.99%</w:t>
            </w:r>
          </w:p>
        </w:tc>
      </w:tr>
      <w:tr>
        <w:tc>
          <w:tcPr>
            <w:tcW w:type="dxa" w:w="2551"/>
            <w:shd w:fill="EEF2F7" w:val="clear"/>
          </w:tcPr>
          <w:p>
            <w:r>
              <w:rPr>
                <w:b/>
                <w:sz w:val="15"/>
              </w:rPr>
              <w:t>Free Cash Flow</w:t>
            </w:r>
          </w:p>
        </w:tc>
        <w:tc>
          <w:tcPr>
            <w:tcW w:type="dxa" w:w="1053"/>
            <w:shd w:fill="F2F2F2" w:val="clear"/>
          </w:tcPr>
          <w:p>
            <w:r>
              <w:rPr>
                <w:b/>
                <w:sz w:val="16"/>
              </w:rPr>
              <w:t>N/D</w:t>
            </w:r>
          </w:p>
        </w:tc>
        <w:tc>
          <w:tcPr>
            <w:tcW w:type="dxa" w:w="1053"/>
            <w:shd w:fill="FFFFFF" w:val="clear"/>
          </w:tcPr>
          <w:p>
            <w:r>
              <w:rPr>
                <w:b/>
                <w:color w:val="000000"/>
                <w:sz w:val="16"/>
              </w:rPr>
              <w:t>19.053 Mds FCFA</w:t>
            </w:r>
          </w:p>
        </w:tc>
        <w:tc>
          <w:tcPr>
            <w:tcW w:type="dxa" w:w="1053"/>
            <w:shd w:fill="FFC7CE" w:val="clear"/>
          </w:tcPr>
          <w:p>
            <w:r>
              <w:rPr>
                <w:b/>
                <w:color w:val="B40000"/>
                <w:sz w:val="16"/>
              </w:rPr>
              <w:t>-12.402 Mds FCFA</w:t>
            </w:r>
          </w:p>
        </w:tc>
        <w:tc>
          <w:tcPr>
            <w:tcW w:type="dxa" w:w="1053"/>
            <w:shd w:fill="C6EFCE" w:val="clear"/>
          </w:tcPr>
          <w:p>
            <w:r>
              <w:rPr>
                <w:b/>
                <w:color w:val="006400"/>
                <w:sz w:val="16"/>
              </w:rPr>
              <w:t>60.867 Mds FCFA</w:t>
            </w:r>
          </w:p>
        </w:tc>
        <w:tc>
          <w:tcPr>
            <w:tcW w:type="dxa" w:w="1053"/>
            <w:shd w:fill="FFFFFF" w:val="clear"/>
          </w:tcPr>
          <w:p>
            <w:r>
              <w:rPr>
                <w:b/>
                <w:color w:val="000000"/>
                <w:sz w:val="16"/>
              </w:rPr>
              <w:t>16.031 Mds FCFA</w:t>
            </w:r>
          </w:p>
        </w:tc>
        <w:tc>
          <w:tcPr>
            <w:tcW w:type="dxa" w:w="1053"/>
            <w:shd w:fill="FFFFFF" w:val="clear"/>
          </w:tcPr>
          <w:p>
            <w:r>
              <w:rPr>
                <w:b/>
                <w:color w:val="000000"/>
                <w:sz w:val="16"/>
              </w:rPr>
              <w:t>14.194 Mds FCFA</w:t>
            </w:r>
          </w:p>
        </w:tc>
        <w:tc>
          <w:tcPr>
            <w:tcW w:type="dxa" w:w="1053"/>
            <w:shd w:fill="FFFFFF" w:val="clear"/>
          </w:tcPr>
          <w:p>
            <w:r>
              <w:rPr>
                <w:b/>
                <w:color w:val="000000"/>
                <w:sz w:val="16"/>
              </w:rPr>
              <w:t>20.657 Mds FCFA</w:t>
            </w:r>
          </w:p>
        </w:tc>
      </w:tr>
      <w:tr>
        <w:tc>
          <w:tcPr>
            <w:tcW w:type="dxa" w:w="2551"/>
            <w:shd w:fill="EEF2F7" w:val="clear"/>
          </w:tcPr>
          <w:p>
            <w:r>
              <w:rPr>
                <w:b/>
                <w:sz w:val="15"/>
              </w:rPr>
              <w:t>Marge opérationnelle</w:t>
            </w:r>
          </w:p>
        </w:tc>
        <w:tc>
          <w:tcPr>
            <w:tcW w:type="dxa" w:w="1053"/>
            <w:shd w:fill="FFFFFF" w:val="clear"/>
          </w:tcPr>
          <w:p>
            <w:r>
              <w:rPr>
                <w:b/>
                <w:color w:val="000000"/>
                <w:sz w:val="16"/>
              </w:rPr>
              <w:t>16.16%</w:t>
            </w:r>
          </w:p>
        </w:tc>
        <w:tc>
          <w:tcPr>
            <w:tcW w:type="dxa" w:w="1053"/>
            <w:shd w:fill="FFFFFF" w:val="clear"/>
          </w:tcPr>
          <w:p>
            <w:r>
              <w:rPr>
                <w:b/>
                <w:color w:val="000000"/>
                <w:sz w:val="16"/>
              </w:rPr>
              <w:t>9.19%</w:t>
            </w:r>
          </w:p>
        </w:tc>
        <w:tc>
          <w:tcPr>
            <w:tcW w:type="dxa" w:w="1053"/>
            <w:shd w:fill="FFC7CE" w:val="clear"/>
          </w:tcPr>
          <w:p>
            <w:r>
              <w:rPr>
                <w:b/>
                <w:color w:val="B40000"/>
                <w:sz w:val="16"/>
              </w:rPr>
              <w:t>-0.68%</w:t>
            </w:r>
          </w:p>
        </w:tc>
        <w:tc>
          <w:tcPr>
            <w:tcW w:type="dxa" w:w="1053"/>
            <w:shd w:fill="FFFFFF" w:val="clear"/>
          </w:tcPr>
          <w:p>
            <w:r>
              <w:rPr>
                <w:b/>
                <w:color w:val="000000"/>
                <w:sz w:val="16"/>
              </w:rPr>
              <w:t>17.23%</w:t>
            </w:r>
          </w:p>
        </w:tc>
        <w:tc>
          <w:tcPr>
            <w:tcW w:type="dxa" w:w="1053"/>
            <w:shd w:fill="C6EFCE" w:val="clear"/>
          </w:tcPr>
          <w:p>
            <w:r>
              <w:rPr>
                <w:b/>
                <w:color w:val="006400"/>
                <w:sz w:val="16"/>
              </w:rPr>
              <w:t>17.24%</w:t>
            </w:r>
          </w:p>
        </w:tc>
        <w:tc>
          <w:tcPr>
            <w:tcW w:type="dxa" w:w="1053"/>
            <w:shd w:fill="FFFFFF" w:val="clear"/>
          </w:tcPr>
          <w:p>
            <w:r>
              <w:rPr>
                <w:b/>
                <w:color w:val="000000"/>
                <w:sz w:val="16"/>
              </w:rPr>
              <w:t>11.19%</w:t>
            </w:r>
          </w:p>
        </w:tc>
        <w:tc>
          <w:tcPr>
            <w:tcW w:type="dxa" w:w="1053"/>
            <w:shd w:fill="FFFFFF" w:val="clear"/>
          </w:tcPr>
          <w:p>
            <w:r>
              <w:rPr>
                <w:b/>
                <w:color w:val="000000"/>
                <w:sz w:val="16"/>
              </w:rPr>
              <w:t>17.12%</w:t>
            </w:r>
          </w:p>
        </w:tc>
      </w:tr>
      <w:tr>
        <w:tc>
          <w:tcPr>
            <w:tcW w:type="dxa" w:w="2551"/>
            <w:shd w:fill="EEF2F7" w:val="clear"/>
          </w:tcPr>
          <w:p>
            <w:r>
              <w:rPr>
                <w:b/>
                <w:sz w:val="15"/>
              </w:rPr>
              <w:t>Délai clients</w:t>
            </w:r>
          </w:p>
        </w:tc>
        <w:tc>
          <w:tcPr>
            <w:tcW w:type="dxa" w:w="1053"/>
            <w:shd w:fill="FFFFFF" w:val="clear"/>
          </w:tcPr>
          <w:p>
            <w:r>
              <w:rPr>
                <w:b/>
                <w:color w:val="000000"/>
                <w:sz w:val="16"/>
              </w:rPr>
              <w:t>74.3 j</w:t>
            </w:r>
          </w:p>
        </w:tc>
        <w:tc>
          <w:tcPr>
            <w:tcW w:type="dxa" w:w="1053"/>
            <w:shd w:fill="FFC7CE" w:val="clear"/>
          </w:tcPr>
          <w:p>
            <w:r>
              <w:rPr>
                <w:b/>
                <w:color w:val="B40000"/>
                <w:sz w:val="16"/>
              </w:rPr>
              <w:t>142.6 j</w:t>
            </w:r>
          </w:p>
        </w:tc>
        <w:tc>
          <w:tcPr>
            <w:tcW w:type="dxa" w:w="1053"/>
            <w:shd w:fill="C6EFCE" w:val="clear"/>
          </w:tcPr>
          <w:p>
            <w:r>
              <w:rPr>
                <w:b/>
                <w:color w:val="006400"/>
                <w:sz w:val="16"/>
              </w:rPr>
              <w:t>12.3 j</w:t>
            </w:r>
          </w:p>
        </w:tc>
        <w:tc>
          <w:tcPr>
            <w:tcW w:type="dxa" w:w="1053"/>
            <w:shd w:fill="FFFFFF" w:val="clear"/>
          </w:tcPr>
          <w:p>
            <w:r>
              <w:rPr>
                <w:b/>
                <w:color w:val="000000"/>
                <w:sz w:val="16"/>
              </w:rPr>
              <w:t>64.3 j</w:t>
            </w:r>
          </w:p>
        </w:tc>
        <w:tc>
          <w:tcPr>
            <w:tcW w:type="dxa" w:w="1053"/>
            <w:shd w:fill="FFFFFF" w:val="clear"/>
          </w:tcPr>
          <w:p>
            <w:r>
              <w:rPr>
                <w:b/>
                <w:color w:val="000000"/>
                <w:sz w:val="16"/>
              </w:rPr>
              <w:t>29.6 j</w:t>
            </w:r>
          </w:p>
        </w:tc>
        <w:tc>
          <w:tcPr>
            <w:tcW w:type="dxa" w:w="1053"/>
            <w:shd w:fill="FFFFFF" w:val="clear"/>
          </w:tcPr>
          <w:p>
            <w:r>
              <w:rPr>
                <w:b/>
                <w:color w:val="000000"/>
                <w:sz w:val="16"/>
              </w:rPr>
              <w:t>35.0 j</w:t>
            </w:r>
          </w:p>
        </w:tc>
        <w:tc>
          <w:tcPr>
            <w:tcW w:type="dxa" w:w="1053"/>
            <w:shd w:fill="FFFFFF" w:val="clear"/>
          </w:tcPr>
          <w:p>
            <w:r>
              <w:rPr>
                <w:b/>
                <w:color w:val="000000"/>
                <w:sz w:val="16"/>
              </w:rPr>
              <w:t>42.6 j</w:t>
            </w:r>
          </w:p>
        </w:tc>
      </w:tr>
      <w:tr>
        <w:tc>
          <w:tcPr>
            <w:tcW w:type="dxa" w:w="2551"/>
            <w:shd w:fill="EEF2F7" w:val="clear"/>
          </w:tcPr>
          <w:p>
            <w:r>
              <w:rPr>
                <w:b/>
                <w:sz w:val="15"/>
              </w:rPr>
              <w:t>Durée stockage</w:t>
            </w:r>
          </w:p>
        </w:tc>
        <w:tc>
          <w:tcPr>
            <w:tcW w:type="dxa" w:w="1053"/>
            <w:shd w:fill="FFFFFF" w:val="clear"/>
          </w:tcPr>
          <w:p>
            <w:r>
              <w:rPr>
                <w:b/>
                <w:color w:val="000000"/>
                <w:sz w:val="16"/>
              </w:rPr>
              <w:t>59.4 j</w:t>
            </w:r>
          </w:p>
        </w:tc>
        <w:tc>
          <w:tcPr>
            <w:tcW w:type="dxa" w:w="1053"/>
            <w:shd w:fill="FFFFFF" w:val="clear"/>
          </w:tcPr>
          <w:p>
            <w:r>
              <w:rPr>
                <w:b/>
                <w:color w:val="000000"/>
                <w:sz w:val="16"/>
              </w:rPr>
              <w:t>14.5 j</w:t>
            </w:r>
          </w:p>
        </w:tc>
        <w:tc>
          <w:tcPr>
            <w:tcW w:type="dxa" w:w="1053"/>
            <w:shd w:fill="FFC7CE" w:val="clear"/>
          </w:tcPr>
          <w:p>
            <w:r>
              <w:rPr>
                <w:b/>
                <w:color w:val="B40000"/>
                <w:sz w:val="16"/>
              </w:rPr>
              <w:t>360.7 j</w:t>
            </w:r>
          </w:p>
        </w:tc>
        <w:tc>
          <w:tcPr>
            <w:tcW w:type="dxa" w:w="1053"/>
            <w:shd w:fill="FFFFFF" w:val="clear"/>
          </w:tcPr>
          <w:p>
            <w:r>
              <w:rPr>
                <w:b/>
                <w:color w:val="000000"/>
                <w:sz w:val="16"/>
              </w:rPr>
              <w:t>117.3 j</w:t>
            </w:r>
          </w:p>
        </w:tc>
        <w:tc>
          <w:tcPr>
            <w:tcW w:type="dxa" w:w="1053"/>
            <w:shd w:fill="FFFFFF" w:val="clear"/>
          </w:tcPr>
          <w:p>
            <w:r>
              <w:rPr>
                <w:b/>
                <w:color w:val="000000"/>
                <w:sz w:val="16"/>
              </w:rPr>
              <w:t>97.7 j</w:t>
            </w:r>
          </w:p>
        </w:tc>
        <w:tc>
          <w:tcPr>
            <w:tcW w:type="dxa" w:w="1053"/>
            <w:shd w:fill="FFFFFF" w:val="clear"/>
          </w:tcPr>
          <w:p>
            <w:r>
              <w:rPr>
                <w:b/>
                <w:color w:val="000000"/>
                <w:sz w:val="16"/>
              </w:rPr>
              <w:t>72.3 j</w:t>
            </w:r>
          </w:p>
        </w:tc>
        <w:tc>
          <w:tcPr>
            <w:tcW w:type="dxa" w:w="1053"/>
            <w:shd w:fill="C6EFCE" w:val="clear"/>
          </w:tcPr>
          <w:p>
            <w:r>
              <w:rPr>
                <w:b/>
                <w:color w:val="006400"/>
                <w:sz w:val="16"/>
              </w:rPr>
              <w:t>5.7 j</w:t>
            </w:r>
          </w:p>
        </w:tc>
      </w:tr>
    </w:tbl>
    <w:p/>
    <w:p>
      <w:pPr>
        <w:pStyle w:val="Heading3"/>
      </w:pPr>
      <w:r>
        <w:t>🔍 Analyse détaillée par société</w:t>
      </w:r>
    </w:p>
    <w:p>
      <w:pPr>
        <w:spacing w:before="160"/>
      </w:pPr>
      <w:r>
        <w:rPr>
          <w:b/>
          <w:color w:val="003366"/>
          <w:sz w:val="20"/>
        </w:rPr>
        <w:t xml:space="preserve">▶ NTLC — NTLC - NESTLE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62.28%</w:t>
            </w:r>
          </w:p>
        </w:tc>
        <w:tc>
          <w:tcPr>
            <w:tcW w:type="dxa" w:w="5669"/>
            <w:shd w:fill="FFFFFF" w:val="clear"/>
          </w:tcPr>
          <w:p>
            <w:r>
              <w:rPr>
                <w:sz w:val="15"/>
              </w:rPr>
              <w:t>✅ ROE de 62.3%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9.70%</w:t>
            </w:r>
          </w:p>
        </w:tc>
        <w:tc>
          <w:tcPr>
            <w:tcW w:type="dxa" w:w="5669"/>
            <w:shd w:fill="FFFFFF" w:val="clear"/>
          </w:tcPr>
          <w:p>
            <w:r>
              <w:rPr>
                <w:sz w:val="15"/>
              </w:rPr>
              <w:t>✅ ROA de 9.70%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7.90%</w:t>
            </w:r>
          </w:p>
        </w:tc>
        <w:tc>
          <w:tcPr>
            <w:tcW w:type="dxa" w:w="5669"/>
            <w:shd w:fill="FFFFFF" w:val="clear"/>
          </w:tcPr>
          <w:p>
            <w:r>
              <w:rPr>
                <w:sz w:val="15"/>
              </w:rPr>
              <w:t>✅ Marge nette de 7.9%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18.427 Mds FCFA</w:t>
            </w:r>
          </w:p>
        </w:tc>
        <w:tc>
          <w:tcPr>
            <w:tcW w:type="dxa" w:w="5669"/>
            <w:shd w:fill="FFFFFF" w:val="clear"/>
          </w:tcPr>
          <w:p>
            <w:r>
              <w:rPr>
                <w:sz w:val="15"/>
              </w:rPr>
              <w:t>✅ Résultat net positif de 18.427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5.97%</w:t>
            </w:r>
          </w:p>
        </w:tc>
        <w:tc>
          <w:tcPr>
            <w:tcW w:type="dxa" w:w="5669"/>
            <w:shd w:fill="FFFFFF" w:val="clear"/>
          </w:tcPr>
          <w:p>
            <w:r>
              <w:rPr>
                <w:sz w:val="15"/>
              </w:rPr>
              <w:t>✅ Croissance de 6.0%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15.58%</w:t>
            </w:r>
          </w:p>
        </w:tc>
        <w:tc>
          <w:tcPr>
            <w:tcW w:type="dxa" w:w="5669"/>
            <w:shd w:fill="FFFFFF" w:val="clear"/>
          </w:tcPr>
          <w:p>
            <w:r>
              <w:rPr>
                <w:sz w:val="15"/>
              </w:rPr>
              <w:t>⚠️ Autonomie limitée (15.6%)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135.85%</w:t>
            </w:r>
          </w:p>
        </w:tc>
        <w:tc>
          <w:tcPr>
            <w:tcW w:type="dxa" w:w="5669"/>
            <w:shd w:fill="FFFFFF" w:val="clear"/>
          </w:tcPr>
          <w:p>
            <w:r>
              <w:rPr>
                <w:sz w:val="15"/>
              </w:rPr>
              <w:t>✅ Gearing de 136%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118.45%</w:t>
            </w:r>
          </w:p>
        </w:tc>
        <w:tc>
          <w:tcPr>
            <w:tcW w:type="dxa" w:w="5669"/>
            <w:shd w:fill="FFFFFF" w:val="clear"/>
          </w:tcPr>
          <w:p>
            <w:r>
              <w:rPr>
                <w:sz w:val="15"/>
              </w:rPr>
              <w:t>⚠️ Solvabilité limite (118%)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79.86%</w:t>
            </w:r>
          </w:p>
        </w:tc>
        <w:tc>
          <w:tcPr>
            <w:tcW w:type="dxa" w:w="5669"/>
            <w:shd w:fill="FFFFFF" w:val="clear"/>
          </w:tcPr>
          <w:p>
            <w:r>
              <w:rPr>
                <w:sz w:val="15"/>
              </w:rPr>
              <w:t>❌ Liquidité insuffisante (79.86x) — actif circulant ne couvre pas les dettes CT. Risque de défaut de paiement.</w:t>
            </w:r>
          </w:p>
        </w:tc>
      </w:tr>
      <w:tr>
        <w:tc>
          <w:tcPr>
            <w:tcW w:type="dxa" w:w="2268"/>
            <w:shd w:fill="EEF2F7" w:val="clear"/>
          </w:tcPr>
          <w:p>
            <w:r>
              <w:rPr>
                <w:b/>
                <w:sz w:val="15"/>
              </w:rPr>
              <w:t>Marge opérationnelle</w:t>
            </w:r>
          </w:p>
        </w:tc>
        <w:tc>
          <w:tcPr>
            <w:tcW w:type="dxa" w:w="1984"/>
            <w:shd w:fill="C6EFCE" w:val="clear"/>
          </w:tcPr>
          <w:p>
            <w:r>
              <w:rPr>
                <w:b/>
                <w:color w:val="007800"/>
                <w:sz w:val="17"/>
              </w:rPr>
              <w:t>16.16%</w:t>
            </w:r>
          </w:p>
        </w:tc>
        <w:tc>
          <w:tcPr>
            <w:tcW w:type="dxa" w:w="5669"/>
            <w:shd w:fill="FFFFFF" w:val="clear"/>
          </w:tcPr>
          <w:p>
            <w:r>
              <w:rPr>
                <w:sz w:val="15"/>
              </w:rPr>
              <w:t>✅ Marge opérationnelle correcte (16.2%).</w:t>
            </w:r>
          </w:p>
        </w:tc>
      </w:tr>
      <w:tr>
        <w:tc>
          <w:tcPr>
            <w:tcW w:type="dxa" w:w="2268"/>
            <w:shd w:fill="EEF2F7" w:val="clear"/>
          </w:tcPr>
          <w:p>
            <w:r>
              <w:rPr>
                <w:b/>
                <w:sz w:val="15"/>
              </w:rPr>
              <w:t>Délai clients</w:t>
            </w:r>
          </w:p>
        </w:tc>
        <w:tc>
          <w:tcPr>
            <w:tcW w:type="dxa" w:w="1984"/>
            <w:shd w:fill="FFEB9C" w:val="clear"/>
          </w:tcPr>
          <w:p>
            <w:r>
              <w:rPr>
                <w:b/>
                <w:color w:val="007800"/>
                <w:sz w:val="17"/>
              </w:rPr>
              <w:t>74.3 j</w:t>
            </w:r>
          </w:p>
        </w:tc>
        <w:tc>
          <w:tcPr>
            <w:tcW w:type="dxa" w:w="5669"/>
            <w:shd w:fill="FFFFFF" w:val="clear"/>
          </w:tcPr>
          <w:p>
            <w:r>
              <w:rPr>
                <w:sz w:val="15"/>
              </w:rPr>
              <w:t>⚠️ Délai long (74 jours) — risque d'impayés accru, pression sur la trésorerie CT.</w:t>
            </w:r>
          </w:p>
        </w:tc>
      </w:tr>
      <w:tr>
        <w:tc>
          <w:tcPr>
            <w:tcW w:type="dxa" w:w="2268"/>
            <w:shd w:fill="EEF2F7" w:val="clear"/>
          </w:tcPr>
          <w:p>
            <w:r>
              <w:rPr>
                <w:b/>
                <w:sz w:val="15"/>
              </w:rPr>
              <w:t>Durée stockage</w:t>
            </w:r>
          </w:p>
        </w:tc>
        <w:tc>
          <w:tcPr>
            <w:tcW w:type="dxa" w:w="1984"/>
            <w:shd w:fill="C6EFCE" w:val="clear"/>
          </w:tcPr>
          <w:p>
            <w:r>
              <w:rPr>
                <w:b/>
                <w:color w:val="007800"/>
                <w:sz w:val="17"/>
              </w:rPr>
              <w:t>59.4 j</w:t>
            </w:r>
          </w:p>
        </w:tc>
        <w:tc>
          <w:tcPr>
            <w:tcW w:type="dxa" w:w="5669"/>
            <w:shd w:fill="FFFFFF" w:val="clear"/>
          </w:tcPr>
          <w:p>
            <w:r>
              <w:rPr>
                <w:sz w:val="15"/>
              </w:rPr>
              <w:t>✅ Durée de stockage standard (59 jours).</w:t>
            </w:r>
          </w:p>
        </w:tc>
      </w:tr>
    </w:tbl>
    <w:p/>
    <w:p>
      <w:pPr>
        <w:spacing w:before="160"/>
      </w:pPr>
      <w:r>
        <w:rPr>
          <w:b/>
          <w:color w:val="003366"/>
          <w:sz w:val="20"/>
        </w:rPr>
        <w:t xml:space="preserve">▶ PALC — PALC - PALM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10.87%</w:t>
            </w:r>
          </w:p>
        </w:tc>
        <w:tc>
          <w:tcPr>
            <w:tcW w:type="dxa" w:w="5669"/>
            <w:shd w:fill="FFFFFF" w:val="clear"/>
          </w:tcPr>
          <w:p>
            <w:r>
              <w:rPr>
                <w:sz w:val="15"/>
              </w:rPr>
              <w:t>⚠️ ROE de 10.9%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C6EFCE" w:val="clear"/>
          </w:tcPr>
          <w:p>
            <w:r>
              <w:rPr>
                <w:b/>
                <w:color w:val="007800"/>
                <w:sz w:val="17"/>
              </w:rPr>
              <w:t>7.79%</w:t>
            </w:r>
          </w:p>
        </w:tc>
        <w:tc>
          <w:tcPr>
            <w:tcW w:type="dxa" w:w="5669"/>
            <w:shd w:fill="FFFFFF" w:val="clear"/>
          </w:tcPr>
          <w:p>
            <w:r>
              <w:rPr>
                <w:sz w:val="15"/>
              </w:rPr>
              <w:t>✅ ROA de 7.79%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7.85%</w:t>
            </w:r>
          </w:p>
        </w:tc>
        <w:tc>
          <w:tcPr>
            <w:tcW w:type="dxa" w:w="5669"/>
            <w:shd w:fill="FFFFFF" w:val="clear"/>
          </w:tcPr>
          <w:p>
            <w:r>
              <w:rPr>
                <w:sz w:val="15"/>
              </w:rPr>
              <w:t>✅ Marge nette de 7.8%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15.509 Mds FCFA</w:t>
            </w:r>
          </w:p>
        </w:tc>
        <w:tc>
          <w:tcPr>
            <w:tcW w:type="dxa" w:w="5669"/>
            <w:shd w:fill="FFFFFF" w:val="clear"/>
          </w:tcPr>
          <w:p>
            <w:r>
              <w:rPr>
                <w:sz w:val="15"/>
              </w:rPr>
              <w:t>✅ Résultat net positif de 15.509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14.78%</w:t>
            </w:r>
          </w:p>
        </w:tc>
        <w:tc>
          <w:tcPr>
            <w:tcW w:type="dxa" w:w="5669"/>
            <w:shd w:fill="FFFFFF" w:val="clear"/>
          </w:tcPr>
          <w:p>
            <w:r>
              <w:rPr>
                <w:sz w:val="15"/>
              </w:rPr>
              <w:t>✅ Croissance de 14.8%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71.64%</w:t>
            </w:r>
          </w:p>
        </w:tc>
        <w:tc>
          <w:tcPr>
            <w:tcW w:type="dxa" w:w="5669"/>
            <w:shd w:fill="FFFFFF" w:val="clear"/>
          </w:tcPr>
          <w:p>
            <w:r>
              <w:rPr>
                <w:sz w:val="15"/>
              </w:rPr>
              <w:t>✅ Autonomie financière de 71.6%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0.56%</w:t>
            </w:r>
          </w:p>
        </w:tc>
        <w:tc>
          <w:tcPr>
            <w:tcW w:type="dxa" w:w="5669"/>
            <w:shd w:fill="FFFFFF" w:val="clear"/>
          </w:tcPr>
          <w:p>
            <w:r>
              <w:rPr>
                <w:sz w:val="15"/>
              </w:rPr>
              <w:t>✅ Gearing de 1%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352.56%</w:t>
            </w:r>
          </w:p>
        </w:tc>
        <w:tc>
          <w:tcPr>
            <w:tcW w:type="dxa" w:w="5669"/>
            <w:shd w:fill="FFFFFF" w:val="clear"/>
          </w:tcPr>
          <w:p>
            <w:r>
              <w:rPr>
                <w:sz w:val="15"/>
              </w:rPr>
              <w:t>✅ Solvabilité de 353%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171.95%</w:t>
            </w:r>
          </w:p>
        </w:tc>
        <w:tc>
          <w:tcPr>
            <w:tcW w:type="dxa" w:w="5669"/>
            <w:shd w:fill="FFFFFF" w:val="clear"/>
          </w:tcPr>
          <w:p>
            <w:r>
              <w:rPr>
                <w:sz w:val="15"/>
              </w:rPr>
              <w:t>✅ Liquidité générale de 171.95x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19.053 Mds FCFA</w:t>
            </w:r>
          </w:p>
        </w:tc>
        <w:tc>
          <w:tcPr>
            <w:tcW w:type="dxa" w:w="5669"/>
            <w:shd w:fill="FFFFFF" w:val="clear"/>
          </w:tcPr>
          <w:p>
            <w:r>
              <w:rPr>
                <w:sz w:val="15"/>
              </w:rPr>
              <w:t>✅ FCF positif de 19.053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9.19%</w:t>
            </w:r>
          </w:p>
        </w:tc>
        <w:tc>
          <w:tcPr>
            <w:tcW w:type="dxa" w:w="5669"/>
            <w:shd w:fill="FFFFFF" w:val="clear"/>
          </w:tcPr>
          <w:p>
            <w:r>
              <w:rPr>
                <w:sz w:val="15"/>
              </w:rPr>
              <w:t>✅ Marge opérationnelle correcte (9.2%).</w:t>
            </w:r>
          </w:p>
        </w:tc>
      </w:tr>
      <w:tr>
        <w:tc>
          <w:tcPr>
            <w:tcW w:type="dxa" w:w="2268"/>
            <w:shd w:fill="EEF2F7" w:val="clear"/>
          </w:tcPr>
          <w:p>
            <w:r>
              <w:rPr>
                <w:b/>
                <w:sz w:val="15"/>
              </w:rPr>
              <w:t>Délai clients</w:t>
            </w:r>
          </w:p>
        </w:tc>
        <w:tc>
          <w:tcPr>
            <w:tcW w:type="dxa" w:w="1984"/>
            <w:shd w:fill="FFC7CE" w:val="clear"/>
          </w:tcPr>
          <w:p>
            <w:r>
              <w:rPr>
                <w:b/>
                <w:color w:val="007800"/>
                <w:sz w:val="17"/>
              </w:rPr>
              <w:t>142.6 j</w:t>
            </w:r>
          </w:p>
        </w:tc>
        <w:tc>
          <w:tcPr>
            <w:tcW w:type="dxa" w:w="5669"/>
            <w:shd w:fill="FFFFFF" w:val="clear"/>
          </w:tcPr>
          <w:p>
            <w:r>
              <w:rPr>
                <w:sz w:val="15"/>
              </w:rPr>
              <w:t>❌ Délai critique de 143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14.5 j</w:t>
            </w:r>
          </w:p>
        </w:tc>
        <w:tc>
          <w:tcPr>
            <w:tcW w:type="dxa" w:w="5669"/>
            <w:shd w:fill="FFFFFF" w:val="clear"/>
          </w:tcPr>
          <w:p>
            <w:r>
              <w:rPr>
                <w:sz w:val="15"/>
              </w:rPr>
              <w:t>✅ Stock écoulé en 15 jours — rotation excellente, capital peu immobilisé.</w:t>
            </w:r>
          </w:p>
        </w:tc>
      </w:tr>
    </w:tbl>
    <w:p/>
    <w:p>
      <w:pPr>
        <w:spacing w:before="160"/>
      </w:pPr>
      <w:r>
        <w:rPr>
          <w:b/>
          <w:color w:val="003366"/>
          <w:sz w:val="20"/>
        </w:rPr>
        <w:t xml:space="preserve">▶ SCRC — SCRC - SUCRIVOIRE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-46.13%</w:t>
            </w:r>
          </w:p>
        </w:tc>
        <w:tc>
          <w:tcPr>
            <w:tcW w:type="dxa" w:w="5669"/>
            <w:shd w:fill="FFFFFF" w:val="clear"/>
          </w:tcPr>
          <w:p>
            <w:r>
              <w:rPr>
                <w:sz w:val="15"/>
              </w:rPr>
              <w:t>❌ ROE négatif (-46.1%)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-5.08%</w:t>
            </w:r>
          </w:p>
        </w:tc>
        <w:tc>
          <w:tcPr>
            <w:tcW w:type="dxa" w:w="5669"/>
            <w:shd w:fill="FFFFFF" w:val="clear"/>
          </w:tcPr>
          <w:p>
            <w:r>
              <w:rPr>
                <w:sz w:val="15"/>
              </w:rPr>
              <w:t>❌ ROA négatif (-5.08%) — actifs non rentables.</w:t>
            </w:r>
          </w:p>
        </w:tc>
      </w:tr>
      <w:tr>
        <w:tc>
          <w:tcPr>
            <w:tcW w:type="dxa" w:w="2268"/>
            <w:shd w:fill="EEF2F7" w:val="clear"/>
          </w:tcPr>
          <w:p>
            <w:r>
              <w:rPr>
                <w:b/>
                <w:sz w:val="15"/>
              </w:rPr>
              <w:t>Marge nette</w:t>
            </w:r>
          </w:p>
        </w:tc>
        <w:tc>
          <w:tcPr>
            <w:tcW w:type="dxa" w:w="1984"/>
            <w:shd w:fill="FFC7CE" w:val="clear"/>
          </w:tcPr>
          <w:p>
            <w:r>
              <w:rPr>
                <w:b/>
                <w:color w:val="B40000"/>
                <w:sz w:val="17"/>
              </w:rPr>
              <w:t>-9.87%</w:t>
            </w:r>
          </w:p>
        </w:tc>
        <w:tc>
          <w:tcPr>
            <w:tcW w:type="dxa" w:w="5669"/>
            <w:shd w:fill="FFFFFF" w:val="clear"/>
          </w:tcPr>
          <w:p>
            <w:r>
              <w:rPr>
                <w:sz w:val="15"/>
              </w:rPr>
              <w:t>❌ Marge nette négative (-9.9%)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-7.954 Mds FCFA</w:t>
            </w:r>
          </w:p>
        </w:tc>
        <w:tc>
          <w:tcPr>
            <w:tcW w:type="dxa" w:w="5669"/>
            <w:shd w:fill="FFFFFF" w:val="clear"/>
          </w:tcPr>
          <w:p>
            <w:r>
              <w:rPr>
                <w:sz w:val="15"/>
              </w:rPr>
              <w:t>❌ Perte nette de 7.954 Mds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FFC7CE" w:val="clear"/>
          </w:tcPr>
          <w:p>
            <w:r>
              <w:rPr>
                <w:b/>
                <w:color w:val="B40000"/>
                <w:sz w:val="17"/>
              </w:rPr>
              <w:t>-7.63%</w:t>
            </w:r>
          </w:p>
        </w:tc>
        <w:tc>
          <w:tcPr>
            <w:tcW w:type="dxa" w:w="5669"/>
            <w:shd w:fill="FFFFFF" w:val="clear"/>
          </w:tcPr>
          <w:p>
            <w:r>
              <w:rPr>
                <w:sz w:val="15"/>
              </w:rPr>
              <w:t>❌ Recul marqué de 7.6%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11.02%</w:t>
            </w:r>
          </w:p>
        </w:tc>
        <w:tc>
          <w:tcPr>
            <w:tcW w:type="dxa" w:w="5669"/>
            <w:shd w:fill="FFFFFF" w:val="clear"/>
          </w:tcPr>
          <w:p>
            <w:r>
              <w:rPr>
                <w:sz w:val="15"/>
              </w:rPr>
              <w:t>⚠️ Autonomie limitée (11.0%)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88.98%</w:t>
            </w:r>
          </w:p>
        </w:tc>
        <w:tc>
          <w:tcPr>
            <w:tcW w:type="dxa" w:w="5669"/>
            <w:shd w:fill="FFFFFF" w:val="clear"/>
          </w:tcPr>
          <w:p>
            <w:r>
              <w:rPr>
                <w:sz w:val="15"/>
              </w:rPr>
              <w:t>✅ Gearing de 89%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112.39%</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74.53%</w:t>
            </w:r>
          </w:p>
        </w:tc>
        <w:tc>
          <w:tcPr>
            <w:tcW w:type="dxa" w:w="5669"/>
            <w:shd w:fill="FFFFFF" w:val="clear"/>
          </w:tcPr>
          <w:p>
            <w:r>
              <w:rPr>
                <w:sz w:val="15"/>
              </w:rPr>
              <w:t>❌ Liquidité insuffisante (74.53x) — actif circulant ne couvre pas les dettes CT. Risque de défaut de paiement.</w:t>
            </w:r>
          </w:p>
        </w:tc>
      </w:tr>
      <w:tr>
        <w:tc>
          <w:tcPr>
            <w:tcW w:type="dxa" w:w="2268"/>
            <w:shd w:fill="EEF2F7" w:val="clear"/>
          </w:tcPr>
          <w:p>
            <w:r>
              <w:rPr>
                <w:b/>
                <w:sz w:val="15"/>
              </w:rPr>
              <w:t>Free Cash Flow</w:t>
            </w:r>
          </w:p>
        </w:tc>
        <w:tc>
          <w:tcPr>
            <w:tcW w:type="dxa" w:w="1984"/>
            <w:shd w:fill="FFC7CE" w:val="clear"/>
          </w:tcPr>
          <w:p>
            <w:r>
              <w:rPr>
                <w:b/>
                <w:color w:val="B40000"/>
                <w:sz w:val="17"/>
              </w:rPr>
              <w:t>-12.402 Mds FCFA</w:t>
            </w:r>
          </w:p>
        </w:tc>
        <w:tc>
          <w:tcPr>
            <w:tcW w:type="dxa" w:w="5669"/>
            <w:shd w:fill="FFFFFF" w:val="clear"/>
          </w:tcPr>
          <w:p>
            <w:r>
              <w:rPr>
                <w:sz w:val="15"/>
              </w:rPr>
              <w:t>❌ FCF négatif significatif (-12.402 Mds FCFA) — la société consomme de la trésorerie. Risque si la situation perdure.</w:t>
            </w:r>
          </w:p>
        </w:tc>
      </w:tr>
      <w:tr>
        <w:tc>
          <w:tcPr>
            <w:tcW w:type="dxa" w:w="2268"/>
            <w:shd w:fill="EEF2F7" w:val="clear"/>
          </w:tcPr>
          <w:p>
            <w:r>
              <w:rPr>
                <w:b/>
                <w:sz w:val="15"/>
              </w:rPr>
              <w:t>Marge opérationnelle</w:t>
            </w:r>
          </w:p>
        </w:tc>
        <w:tc>
          <w:tcPr>
            <w:tcW w:type="dxa" w:w="1984"/>
            <w:shd w:fill="FFC7CE" w:val="clear"/>
          </w:tcPr>
          <w:p>
            <w:r>
              <w:rPr>
                <w:b/>
                <w:color w:val="B40000"/>
                <w:sz w:val="17"/>
              </w:rPr>
              <w:t>-0.68%</w:t>
            </w:r>
          </w:p>
        </w:tc>
        <w:tc>
          <w:tcPr>
            <w:tcW w:type="dxa" w:w="5669"/>
            <w:shd w:fill="FFFFFF" w:val="clear"/>
          </w:tcPr>
          <w:p>
            <w:r>
              <w:rPr>
                <w:sz w:val="15"/>
              </w:rPr>
              <w:t>❌ Marge opérationnelle négative (-0.7%) — l'activité principale est déficitaire.</w:t>
            </w:r>
          </w:p>
        </w:tc>
      </w:tr>
      <w:tr>
        <w:tc>
          <w:tcPr>
            <w:tcW w:type="dxa" w:w="2268"/>
            <w:shd w:fill="EEF2F7" w:val="clear"/>
          </w:tcPr>
          <w:p>
            <w:r>
              <w:rPr>
                <w:b/>
                <w:sz w:val="15"/>
              </w:rPr>
              <w:t>Délai clients</w:t>
            </w:r>
          </w:p>
        </w:tc>
        <w:tc>
          <w:tcPr>
            <w:tcW w:type="dxa" w:w="1984"/>
            <w:shd w:fill="C6EFCE" w:val="clear"/>
          </w:tcPr>
          <w:p>
            <w:r>
              <w:rPr>
                <w:b/>
                <w:color w:val="007800"/>
                <w:sz w:val="17"/>
              </w:rPr>
              <w:t>12.3 j</w:t>
            </w:r>
          </w:p>
        </w:tc>
        <w:tc>
          <w:tcPr>
            <w:tcW w:type="dxa" w:w="5669"/>
            <w:shd w:fill="FFFFFF" w:val="clear"/>
          </w:tcPr>
          <w:p>
            <w:r>
              <w:rPr>
                <w:sz w:val="15"/>
              </w:rPr>
              <w:t>✅ Délai clients de 12 jours — recouvrement rapide. Trésorerie peu sollicitée par les créances clients.</w:t>
            </w:r>
          </w:p>
        </w:tc>
      </w:tr>
      <w:tr>
        <w:tc>
          <w:tcPr>
            <w:tcW w:type="dxa" w:w="2268"/>
            <w:shd w:fill="EEF2F7" w:val="clear"/>
          </w:tcPr>
          <w:p>
            <w:r>
              <w:rPr>
                <w:b/>
                <w:sz w:val="15"/>
              </w:rPr>
              <w:t>Durée stockage</w:t>
            </w:r>
          </w:p>
        </w:tc>
        <w:tc>
          <w:tcPr>
            <w:tcW w:type="dxa" w:w="1984"/>
            <w:shd w:fill="FFC7CE" w:val="clear"/>
          </w:tcPr>
          <w:p>
            <w:r>
              <w:rPr>
                <w:b/>
                <w:color w:val="007800"/>
                <w:sz w:val="17"/>
              </w:rPr>
              <w:t>360.7 j</w:t>
            </w:r>
          </w:p>
        </w:tc>
        <w:tc>
          <w:tcPr>
            <w:tcW w:type="dxa" w:w="5669"/>
            <w:shd w:fill="FFFFFF" w:val="clear"/>
          </w:tcPr>
          <w:p>
            <w:r>
              <w:rPr>
                <w:sz w:val="15"/>
              </w:rPr>
              <w:t>❌ Stock quasi-bloqué (361 jours) — capital fortement immobilisé, risque d'obsolescence élevé.</w:t>
            </w:r>
          </w:p>
        </w:tc>
      </w:tr>
    </w:tbl>
    <w:p/>
    <w:p>
      <w:pPr>
        <w:spacing w:before="160"/>
      </w:pPr>
      <w:r>
        <w:rPr>
          <w:b/>
          <w:color w:val="003366"/>
          <w:sz w:val="20"/>
        </w:rPr>
        <w:t xml:space="preserve">▶ SLBC — SLBC - SOLIBRA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23.46%</w:t>
            </w:r>
          </w:p>
        </w:tc>
        <w:tc>
          <w:tcPr>
            <w:tcW w:type="dxa" w:w="5669"/>
            <w:shd w:fill="FFFFFF" w:val="clear"/>
          </w:tcPr>
          <w:p>
            <w:r>
              <w:rPr>
                <w:sz w:val="15"/>
              </w:rPr>
              <w:t>✅ ROE de 23.5%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13.48%</w:t>
            </w:r>
          </w:p>
        </w:tc>
        <w:tc>
          <w:tcPr>
            <w:tcW w:type="dxa" w:w="5669"/>
            <w:shd w:fill="FFFFFF" w:val="clear"/>
          </w:tcPr>
          <w:p>
            <w:r>
              <w:rPr>
                <w:sz w:val="15"/>
              </w:rPr>
              <w:t>✅ ROA de 13.48%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12.11%</w:t>
            </w:r>
          </w:p>
        </w:tc>
        <w:tc>
          <w:tcPr>
            <w:tcW w:type="dxa" w:w="5669"/>
            <w:shd w:fill="FFFFFF" w:val="clear"/>
          </w:tcPr>
          <w:p>
            <w:r>
              <w:rPr>
                <w:sz w:val="15"/>
              </w:rPr>
              <w:t>✅ Marge nette de 12.1%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45.781 Mds FCFA</w:t>
            </w:r>
          </w:p>
        </w:tc>
        <w:tc>
          <w:tcPr>
            <w:tcW w:type="dxa" w:w="5669"/>
            <w:shd w:fill="FFFFFF" w:val="clear"/>
          </w:tcPr>
          <w:p>
            <w:r>
              <w:rPr>
                <w:sz w:val="15"/>
              </w:rPr>
              <w:t>✅ Résultat net positif de 45.781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22.08%</w:t>
            </w:r>
          </w:p>
        </w:tc>
        <w:tc>
          <w:tcPr>
            <w:tcW w:type="dxa" w:w="5669"/>
            <w:shd w:fill="FFFFFF" w:val="clear"/>
          </w:tcPr>
          <w:p>
            <w:r>
              <w:rPr>
                <w:sz w:val="15"/>
              </w:rPr>
              <w:t>✅ Croissance de 22.1%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57.48%</w:t>
            </w:r>
          </w:p>
        </w:tc>
        <w:tc>
          <w:tcPr>
            <w:tcW w:type="dxa" w:w="5669"/>
            <w:shd w:fill="FFFFFF" w:val="clear"/>
          </w:tcPr>
          <w:p>
            <w:r>
              <w:rPr>
                <w:sz w:val="15"/>
              </w:rPr>
              <w:t>✅ Autonomie financière de 57.5%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42.52%</w:t>
            </w:r>
          </w:p>
        </w:tc>
        <w:tc>
          <w:tcPr>
            <w:tcW w:type="dxa" w:w="5669"/>
            <w:shd w:fill="FFFFFF" w:val="clear"/>
          </w:tcPr>
          <w:p>
            <w:r>
              <w:rPr>
                <w:sz w:val="15"/>
              </w:rPr>
              <w:t>✅ Gearing de 43%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235.16%</w:t>
            </w:r>
          </w:p>
        </w:tc>
        <w:tc>
          <w:tcPr>
            <w:tcW w:type="dxa" w:w="5669"/>
            <w:shd w:fill="FFFFFF" w:val="clear"/>
          </w:tcPr>
          <w:p>
            <w:r>
              <w:rPr>
                <w:sz w:val="15"/>
              </w:rPr>
              <w:t>✅ Solvabilité de 235%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195.00%</w:t>
            </w:r>
          </w:p>
        </w:tc>
        <w:tc>
          <w:tcPr>
            <w:tcW w:type="dxa" w:w="5669"/>
            <w:shd w:fill="FFFFFF" w:val="clear"/>
          </w:tcPr>
          <w:p>
            <w:r>
              <w:rPr>
                <w:sz w:val="15"/>
              </w:rPr>
              <w:t>✅ Liquidité générale de 195.00x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60.867 Mds FCFA</w:t>
            </w:r>
          </w:p>
        </w:tc>
        <w:tc>
          <w:tcPr>
            <w:tcW w:type="dxa" w:w="5669"/>
            <w:shd w:fill="FFFFFF" w:val="clear"/>
          </w:tcPr>
          <w:p>
            <w:r>
              <w:rPr>
                <w:sz w:val="15"/>
              </w:rPr>
              <w:t>✅ FCF positif de 60.867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17.23%</w:t>
            </w:r>
          </w:p>
        </w:tc>
        <w:tc>
          <w:tcPr>
            <w:tcW w:type="dxa" w:w="5669"/>
            <w:shd w:fill="FFFFFF" w:val="clear"/>
          </w:tcPr>
          <w:p>
            <w:r>
              <w:rPr>
                <w:sz w:val="15"/>
              </w:rPr>
              <w:t>✅ Marge opérationnelle correcte (17.2%).</w:t>
            </w:r>
          </w:p>
        </w:tc>
      </w:tr>
      <w:tr>
        <w:tc>
          <w:tcPr>
            <w:tcW w:type="dxa" w:w="2268"/>
            <w:shd w:fill="EEF2F7" w:val="clear"/>
          </w:tcPr>
          <w:p>
            <w:r>
              <w:rPr>
                <w:b/>
                <w:sz w:val="15"/>
              </w:rPr>
              <w:t>Délai clients</w:t>
            </w:r>
          </w:p>
        </w:tc>
        <w:tc>
          <w:tcPr>
            <w:tcW w:type="dxa" w:w="1984"/>
            <w:shd w:fill="FFEB9C" w:val="clear"/>
          </w:tcPr>
          <w:p>
            <w:r>
              <w:rPr>
                <w:b/>
                <w:color w:val="007800"/>
                <w:sz w:val="17"/>
              </w:rPr>
              <w:t>64.3 j</w:t>
            </w:r>
          </w:p>
        </w:tc>
        <w:tc>
          <w:tcPr>
            <w:tcW w:type="dxa" w:w="5669"/>
            <w:shd w:fill="FFFFFF" w:val="clear"/>
          </w:tcPr>
          <w:p>
            <w:r>
              <w:rPr>
                <w:sz w:val="15"/>
              </w:rPr>
              <w:t>⚠️ Délai long (64 jours) — risque d'impayés accru, pression sur la trésorerie CT.</w:t>
            </w:r>
          </w:p>
        </w:tc>
      </w:tr>
      <w:tr>
        <w:tc>
          <w:tcPr>
            <w:tcW w:type="dxa" w:w="2268"/>
            <w:shd w:fill="EEF2F7" w:val="clear"/>
          </w:tcPr>
          <w:p>
            <w:r>
              <w:rPr>
                <w:b/>
                <w:sz w:val="15"/>
              </w:rPr>
              <w:t>Durée stockage</w:t>
            </w:r>
          </w:p>
        </w:tc>
        <w:tc>
          <w:tcPr>
            <w:tcW w:type="dxa" w:w="1984"/>
            <w:shd w:fill="FFEB9C" w:val="clear"/>
          </w:tcPr>
          <w:p>
            <w:r>
              <w:rPr>
                <w:b/>
                <w:color w:val="007800"/>
                <w:sz w:val="17"/>
              </w:rPr>
              <w:t>117.3 j</w:t>
            </w:r>
          </w:p>
        </w:tc>
        <w:tc>
          <w:tcPr>
            <w:tcW w:type="dxa" w:w="5669"/>
            <w:shd w:fill="FFFFFF" w:val="clear"/>
          </w:tcPr>
          <w:p>
            <w:r>
              <w:rPr>
                <w:sz w:val="15"/>
              </w:rPr>
              <w:t>⚠️ Stock lent (117 jours) — immobilisation de capital importante. Risque d'obsolescence.</w:t>
            </w:r>
          </w:p>
        </w:tc>
      </w:tr>
    </w:tbl>
    <w:p/>
    <w:p>
      <w:pPr>
        <w:spacing w:before="160"/>
      </w:pPr>
      <w:r>
        <w:rPr>
          <w:b/>
          <w:color w:val="003366"/>
          <w:sz w:val="20"/>
        </w:rPr>
        <w:t xml:space="preserve">▶ SOGC — SOGC - Société des caoutchoucs de Grand-Béréby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18.26%</w:t>
            </w:r>
          </w:p>
        </w:tc>
        <w:tc>
          <w:tcPr>
            <w:tcW w:type="dxa" w:w="5669"/>
            <w:shd w:fill="FFFFFF" w:val="clear"/>
          </w:tcPr>
          <w:p>
            <w:r>
              <w:rPr>
                <w:sz w:val="15"/>
              </w:rPr>
              <w:t>✅ ROE de 18.3%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13.84%</w:t>
            </w:r>
          </w:p>
        </w:tc>
        <w:tc>
          <w:tcPr>
            <w:tcW w:type="dxa" w:w="5669"/>
            <w:shd w:fill="FFFFFF" w:val="clear"/>
          </w:tcPr>
          <w:p>
            <w:r>
              <w:rPr>
                <w:sz w:val="15"/>
              </w:rPr>
              <w:t>✅ ROA de 13.84%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12.62%</w:t>
            </w:r>
          </w:p>
        </w:tc>
        <w:tc>
          <w:tcPr>
            <w:tcW w:type="dxa" w:w="5669"/>
            <w:shd w:fill="FFFFFF" w:val="clear"/>
          </w:tcPr>
          <w:p>
            <w:r>
              <w:rPr>
                <w:sz w:val="15"/>
              </w:rPr>
              <w:t>✅ Marge nette de 12.6%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12.493 Mds FCFA</w:t>
            </w:r>
          </w:p>
        </w:tc>
        <w:tc>
          <w:tcPr>
            <w:tcW w:type="dxa" w:w="5669"/>
            <w:shd w:fill="FFFFFF" w:val="clear"/>
          </w:tcPr>
          <w:p>
            <w:r>
              <w:rPr>
                <w:sz w:val="15"/>
              </w:rPr>
              <w:t>✅ Résultat net positif de 12.493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10.70%</w:t>
            </w:r>
          </w:p>
        </w:tc>
        <w:tc>
          <w:tcPr>
            <w:tcW w:type="dxa" w:w="5669"/>
            <w:shd w:fill="FFFFFF" w:val="clear"/>
          </w:tcPr>
          <w:p>
            <w:r>
              <w:rPr>
                <w:sz w:val="15"/>
              </w:rPr>
              <w:t>✅ Croissance de 10.7%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75.79%</w:t>
            </w:r>
          </w:p>
        </w:tc>
        <w:tc>
          <w:tcPr>
            <w:tcW w:type="dxa" w:w="5669"/>
            <w:shd w:fill="FFFFFF" w:val="clear"/>
          </w:tcPr>
          <w:p>
            <w:r>
              <w:rPr>
                <w:sz w:val="15"/>
              </w:rPr>
              <w:t>✅ Autonomie financière de 75.8%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24.21%</w:t>
            </w:r>
          </w:p>
        </w:tc>
        <w:tc>
          <w:tcPr>
            <w:tcW w:type="dxa" w:w="5669"/>
            <w:shd w:fill="FFFFFF" w:val="clear"/>
          </w:tcPr>
          <w:p>
            <w:r>
              <w:rPr>
                <w:sz w:val="15"/>
              </w:rPr>
              <w:t>✅ Gearing de 24%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413.07%</w:t>
            </w:r>
          </w:p>
        </w:tc>
        <w:tc>
          <w:tcPr>
            <w:tcW w:type="dxa" w:w="5669"/>
            <w:shd w:fill="FFFFFF" w:val="clear"/>
          </w:tcPr>
          <w:p>
            <w:r>
              <w:rPr>
                <w:sz w:val="15"/>
              </w:rPr>
              <w:t>✅ Solvabilité de 413%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170.32%</w:t>
            </w:r>
          </w:p>
        </w:tc>
        <w:tc>
          <w:tcPr>
            <w:tcW w:type="dxa" w:w="5669"/>
            <w:shd w:fill="FFFFFF" w:val="clear"/>
          </w:tcPr>
          <w:p>
            <w:r>
              <w:rPr>
                <w:sz w:val="15"/>
              </w:rPr>
              <w:t>✅ Liquidité générale de 170.32x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16.031 Mds FCFA</w:t>
            </w:r>
          </w:p>
        </w:tc>
        <w:tc>
          <w:tcPr>
            <w:tcW w:type="dxa" w:w="5669"/>
            <w:shd w:fill="FFFFFF" w:val="clear"/>
          </w:tcPr>
          <w:p>
            <w:r>
              <w:rPr>
                <w:sz w:val="15"/>
              </w:rPr>
              <w:t>✅ FCF positif de 16.031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17.24%</w:t>
            </w:r>
          </w:p>
        </w:tc>
        <w:tc>
          <w:tcPr>
            <w:tcW w:type="dxa" w:w="5669"/>
            <w:shd w:fill="FFFFFF" w:val="clear"/>
          </w:tcPr>
          <w:p>
            <w:r>
              <w:rPr>
                <w:sz w:val="15"/>
              </w:rPr>
              <w:t>✅ Marge opérationnelle correcte (17.2%).</w:t>
            </w:r>
          </w:p>
        </w:tc>
      </w:tr>
      <w:tr>
        <w:tc>
          <w:tcPr>
            <w:tcW w:type="dxa" w:w="2268"/>
            <w:shd w:fill="EEF2F7" w:val="clear"/>
          </w:tcPr>
          <w:p>
            <w:r>
              <w:rPr>
                <w:b/>
                <w:sz w:val="15"/>
              </w:rPr>
              <w:t>Délai clients</w:t>
            </w:r>
          </w:p>
        </w:tc>
        <w:tc>
          <w:tcPr>
            <w:tcW w:type="dxa" w:w="1984"/>
            <w:shd w:fill="C6EFCE" w:val="clear"/>
          </w:tcPr>
          <w:p>
            <w:r>
              <w:rPr>
                <w:b/>
                <w:color w:val="007800"/>
                <w:sz w:val="17"/>
              </w:rPr>
              <w:t>29.6 j</w:t>
            </w:r>
          </w:p>
        </w:tc>
        <w:tc>
          <w:tcPr>
            <w:tcW w:type="dxa" w:w="5669"/>
            <w:shd w:fill="FFFFFF" w:val="clear"/>
          </w:tcPr>
          <w:p>
            <w:r>
              <w:rPr>
                <w:sz w:val="15"/>
              </w:rPr>
              <w:t>✅ Délai clients de 30 jours — recouvrement rapide. Trésorerie peu sollicitée par les créances clients.</w:t>
            </w:r>
          </w:p>
        </w:tc>
      </w:tr>
      <w:tr>
        <w:tc>
          <w:tcPr>
            <w:tcW w:type="dxa" w:w="2268"/>
            <w:shd w:fill="EEF2F7" w:val="clear"/>
          </w:tcPr>
          <w:p>
            <w:r>
              <w:rPr>
                <w:b/>
                <w:sz w:val="15"/>
              </w:rPr>
              <w:t>Durée stockage</w:t>
            </w:r>
          </w:p>
        </w:tc>
        <w:tc>
          <w:tcPr>
            <w:tcW w:type="dxa" w:w="1984"/>
            <w:shd w:fill="FFEB9C" w:val="clear"/>
          </w:tcPr>
          <w:p>
            <w:r>
              <w:rPr>
                <w:b/>
                <w:color w:val="007800"/>
                <w:sz w:val="17"/>
              </w:rPr>
              <w:t>97.7 j</w:t>
            </w:r>
          </w:p>
        </w:tc>
        <w:tc>
          <w:tcPr>
            <w:tcW w:type="dxa" w:w="5669"/>
            <w:shd w:fill="FFFFFF" w:val="clear"/>
          </w:tcPr>
          <w:p>
            <w:r>
              <w:rPr>
                <w:sz w:val="15"/>
              </w:rPr>
              <w:t>⚠️ Stock lent (98 jours) — immobilisation de capital importante. Risque d'obsolescence.</w:t>
            </w:r>
          </w:p>
        </w:tc>
      </w:tr>
    </w:tbl>
    <w:p/>
    <w:p>
      <w:pPr>
        <w:spacing w:before="160"/>
      </w:pPr>
      <w:r>
        <w:rPr>
          <w:b/>
          <w:color w:val="003366"/>
          <w:sz w:val="20"/>
        </w:rPr>
        <w:t xml:space="preserve">▶ SPHC — SPHC - Société Africaine de Plantation d'Hévéas de Côte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18.10%</w:t>
            </w:r>
          </w:p>
        </w:tc>
        <w:tc>
          <w:tcPr>
            <w:tcW w:type="dxa" w:w="5669"/>
            <w:shd w:fill="FFFFFF" w:val="clear"/>
          </w:tcPr>
          <w:p>
            <w:r>
              <w:rPr>
                <w:sz w:val="15"/>
              </w:rPr>
              <w:t>✅ ROE de 18.1%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11.06%</w:t>
            </w:r>
          </w:p>
        </w:tc>
        <w:tc>
          <w:tcPr>
            <w:tcW w:type="dxa" w:w="5669"/>
            <w:shd w:fill="FFFFFF" w:val="clear"/>
          </w:tcPr>
          <w:p>
            <w:r>
              <w:rPr>
                <w:sz w:val="15"/>
              </w:rPr>
              <w:t>✅ ROA de 11.06%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7.33%</w:t>
            </w:r>
          </w:p>
        </w:tc>
        <w:tc>
          <w:tcPr>
            <w:tcW w:type="dxa" w:w="5669"/>
            <w:shd w:fill="FFFFFF" w:val="clear"/>
          </w:tcPr>
          <w:p>
            <w:r>
              <w:rPr>
                <w:sz w:val="15"/>
              </w:rPr>
              <w:t>✅ Marge nette de 7.3%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24.972 Mds FCFA</w:t>
            </w:r>
          </w:p>
        </w:tc>
        <w:tc>
          <w:tcPr>
            <w:tcW w:type="dxa" w:w="5669"/>
            <w:shd w:fill="FFFFFF" w:val="clear"/>
          </w:tcPr>
          <w:p>
            <w:r>
              <w:rPr>
                <w:sz w:val="15"/>
              </w:rPr>
              <w:t>✅ Résultat net positif de 24.972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21.97%</w:t>
            </w:r>
          </w:p>
        </w:tc>
        <w:tc>
          <w:tcPr>
            <w:tcW w:type="dxa" w:w="5669"/>
            <w:shd w:fill="FFFFFF" w:val="clear"/>
          </w:tcPr>
          <w:p>
            <w:r>
              <w:rPr>
                <w:sz w:val="15"/>
              </w:rPr>
              <w:t>✅ Croissance de 22.0%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61.08%</w:t>
            </w:r>
          </w:p>
        </w:tc>
        <w:tc>
          <w:tcPr>
            <w:tcW w:type="dxa" w:w="5669"/>
            <w:shd w:fill="FFFFFF" w:val="clear"/>
          </w:tcPr>
          <w:p>
            <w:r>
              <w:rPr>
                <w:sz w:val="15"/>
              </w:rPr>
              <w:t>✅ Autonomie financière de 61.1%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25.81%</w:t>
            </w:r>
          </w:p>
        </w:tc>
        <w:tc>
          <w:tcPr>
            <w:tcW w:type="dxa" w:w="5669"/>
            <w:shd w:fill="FFFFFF" w:val="clear"/>
          </w:tcPr>
          <w:p>
            <w:r>
              <w:rPr>
                <w:sz w:val="15"/>
              </w:rPr>
              <w:t>✅ Gearing de 26%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256.91%</w:t>
            </w:r>
          </w:p>
        </w:tc>
        <w:tc>
          <w:tcPr>
            <w:tcW w:type="dxa" w:w="5669"/>
            <w:shd w:fill="FFFFFF" w:val="clear"/>
          </w:tcPr>
          <w:p>
            <w:r>
              <w:rPr>
                <w:sz w:val="15"/>
              </w:rPr>
              <w:t>✅ Solvabilité de 257%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195.54%</w:t>
            </w:r>
          </w:p>
        </w:tc>
        <w:tc>
          <w:tcPr>
            <w:tcW w:type="dxa" w:w="5669"/>
            <w:shd w:fill="FFFFFF" w:val="clear"/>
          </w:tcPr>
          <w:p>
            <w:r>
              <w:rPr>
                <w:sz w:val="15"/>
              </w:rPr>
              <w:t>✅ Liquidité générale de 195.54x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14.194 Mds FCFA</w:t>
            </w:r>
          </w:p>
        </w:tc>
        <w:tc>
          <w:tcPr>
            <w:tcW w:type="dxa" w:w="5669"/>
            <w:shd w:fill="FFFFFF" w:val="clear"/>
          </w:tcPr>
          <w:p>
            <w:r>
              <w:rPr>
                <w:sz w:val="15"/>
              </w:rPr>
              <w:t>✅ FCF positif de 14.194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11.19%</w:t>
            </w:r>
          </w:p>
        </w:tc>
        <w:tc>
          <w:tcPr>
            <w:tcW w:type="dxa" w:w="5669"/>
            <w:shd w:fill="FFFFFF" w:val="clear"/>
          </w:tcPr>
          <w:p>
            <w:r>
              <w:rPr>
                <w:sz w:val="15"/>
              </w:rPr>
              <w:t>✅ Marge opérationnelle correcte (11.2%).</w:t>
            </w:r>
          </w:p>
        </w:tc>
      </w:tr>
      <w:tr>
        <w:tc>
          <w:tcPr>
            <w:tcW w:type="dxa" w:w="2268"/>
            <w:shd w:fill="EEF2F7" w:val="clear"/>
          </w:tcPr>
          <w:p>
            <w:r>
              <w:rPr>
                <w:b/>
                <w:sz w:val="15"/>
              </w:rPr>
              <w:t>Délai clients</w:t>
            </w:r>
          </w:p>
        </w:tc>
        <w:tc>
          <w:tcPr>
            <w:tcW w:type="dxa" w:w="1984"/>
            <w:shd w:fill="C6EFCE" w:val="clear"/>
          </w:tcPr>
          <w:p>
            <w:r>
              <w:rPr>
                <w:b/>
                <w:color w:val="007800"/>
                <w:sz w:val="17"/>
              </w:rPr>
              <w:t>35.0 j</w:t>
            </w:r>
          </w:p>
        </w:tc>
        <w:tc>
          <w:tcPr>
            <w:tcW w:type="dxa" w:w="5669"/>
            <w:shd w:fill="FFFFFF" w:val="clear"/>
          </w:tcPr>
          <w:p>
            <w:r>
              <w:rPr>
                <w:sz w:val="15"/>
              </w:rPr>
              <w:t>✅ Délai standard (35 jours) — dans les normes commerciales habituelles.</w:t>
            </w:r>
          </w:p>
        </w:tc>
      </w:tr>
      <w:tr>
        <w:tc>
          <w:tcPr>
            <w:tcW w:type="dxa" w:w="2268"/>
            <w:shd w:fill="EEF2F7" w:val="clear"/>
          </w:tcPr>
          <w:p>
            <w:r>
              <w:rPr>
                <w:b/>
                <w:sz w:val="15"/>
              </w:rPr>
              <w:t>Durée stockage</w:t>
            </w:r>
          </w:p>
        </w:tc>
        <w:tc>
          <w:tcPr>
            <w:tcW w:type="dxa" w:w="1984"/>
            <w:shd w:fill="FFEB9C" w:val="clear"/>
          </w:tcPr>
          <w:p>
            <w:r>
              <w:rPr>
                <w:b/>
                <w:color w:val="007800"/>
                <w:sz w:val="17"/>
              </w:rPr>
              <w:t>72.3 j</w:t>
            </w:r>
          </w:p>
        </w:tc>
        <w:tc>
          <w:tcPr>
            <w:tcW w:type="dxa" w:w="5669"/>
            <w:shd w:fill="FFFFFF" w:val="clear"/>
          </w:tcPr>
          <w:p>
            <w:r>
              <w:rPr>
                <w:sz w:val="15"/>
              </w:rPr>
              <w:t>⚠️ Stock lent (72 jours) — immobilisation de capital importante. Risque d'obsolescence.</w:t>
            </w:r>
          </w:p>
        </w:tc>
      </w:tr>
    </w:tbl>
    <w:p/>
    <w:p>
      <w:pPr>
        <w:spacing w:before="160"/>
      </w:pPr>
      <w:r>
        <w:rPr>
          <w:b/>
          <w:color w:val="003366"/>
          <w:sz w:val="20"/>
        </w:rPr>
        <w:t xml:space="preserve">▶ STBC — STBC - SITAB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79.75%</w:t>
            </w:r>
          </w:p>
        </w:tc>
        <w:tc>
          <w:tcPr>
            <w:tcW w:type="dxa" w:w="5669"/>
            <w:shd w:fill="FFFFFF" w:val="clear"/>
          </w:tcPr>
          <w:p>
            <w:r>
              <w:rPr>
                <w:sz w:val="15"/>
              </w:rPr>
              <w:t>✅ ROE de 79.8%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48.09%</w:t>
            </w:r>
          </w:p>
        </w:tc>
        <w:tc>
          <w:tcPr>
            <w:tcW w:type="dxa" w:w="5669"/>
            <w:shd w:fill="FFFFFF" w:val="clear"/>
          </w:tcPr>
          <w:p>
            <w:r>
              <w:rPr>
                <w:sz w:val="15"/>
              </w:rPr>
              <w:t>✅ ROA de 48.09%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13.46%</w:t>
            </w:r>
          </w:p>
        </w:tc>
        <w:tc>
          <w:tcPr>
            <w:tcW w:type="dxa" w:w="5669"/>
            <w:shd w:fill="FFFFFF" w:val="clear"/>
          </w:tcPr>
          <w:p>
            <w:r>
              <w:rPr>
                <w:sz w:val="15"/>
              </w:rPr>
              <w:t>✅ Marge nette de 13.5%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36.158 Mds FCFA</w:t>
            </w:r>
          </w:p>
        </w:tc>
        <w:tc>
          <w:tcPr>
            <w:tcW w:type="dxa" w:w="5669"/>
            <w:shd w:fill="FFFFFF" w:val="clear"/>
          </w:tcPr>
          <w:p>
            <w:r>
              <w:rPr>
                <w:sz w:val="15"/>
              </w:rPr>
              <w:t>✅ Résultat net positif de 36.158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25.30%</w:t>
            </w:r>
          </w:p>
        </w:tc>
        <w:tc>
          <w:tcPr>
            <w:tcW w:type="dxa" w:w="5669"/>
            <w:shd w:fill="FFFFFF" w:val="clear"/>
          </w:tcPr>
          <w:p>
            <w:r>
              <w:rPr>
                <w:sz w:val="15"/>
              </w:rPr>
              <w:t>✅ Croissance de 25.3%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60.30%</w:t>
            </w:r>
          </w:p>
        </w:tc>
        <w:tc>
          <w:tcPr>
            <w:tcW w:type="dxa" w:w="5669"/>
            <w:shd w:fill="FFFFFF" w:val="clear"/>
          </w:tcPr>
          <w:p>
            <w:r>
              <w:rPr>
                <w:sz w:val="15"/>
              </w:rPr>
              <w:t>✅ Autonomie financière de 60.3%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39.70%</w:t>
            </w:r>
          </w:p>
        </w:tc>
        <w:tc>
          <w:tcPr>
            <w:tcW w:type="dxa" w:w="5669"/>
            <w:shd w:fill="FFFFFF" w:val="clear"/>
          </w:tcPr>
          <w:p>
            <w:r>
              <w:rPr>
                <w:sz w:val="15"/>
              </w:rPr>
              <w:t>✅ Gearing de 40%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251.89%</w:t>
            </w:r>
          </w:p>
        </w:tc>
        <w:tc>
          <w:tcPr>
            <w:tcW w:type="dxa" w:w="5669"/>
            <w:shd w:fill="FFFFFF" w:val="clear"/>
          </w:tcPr>
          <w:p>
            <w:r>
              <w:rPr>
                <w:sz w:val="15"/>
              </w:rPr>
              <w:t>✅ Solvabilité de 252%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224.99%</w:t>
            </w:r>
          </w:p>
        </w:tc>
        <w:tc>
          <w:tcPr>
            <w:tcW w:type="dxa" w:w="5669"/>
            <w:shd w:fill="FFFFFF" w:val="clear"/>
          </w:tcPr>
          <w:p>
            <w:r>
              <w:rPr>
                <w:sz w:val="15"/>
              </w:rPr>
              <w:t>✅ Liquidité générale de 225x — actif circulant deux fois supérieur aux dettes CT. Trésorerie très confortable.</w:t>
            </w:r>
          </w:p>
        </w:tc>
      </w:tr>
      <w:tr>
        <w:tc>
          <w:tcPr>
            <w:tcW w:type="dxa" w:w="2268"/>
            <w:shd w:fill="EEF2F7" w:val="clear"/>
          </w:tcPr>
          <w:p>
            <w:r>
              <w:rPr>
                <w:b/>
                <w:sz w:val="15"/>
              </w:rPr>
              <w:t>Free Cash Flow</w:t>
            </w:r>
          </w:p>
        </w:tc>
        <w:tc>
          <w:tcPr>
            <w:tcW w:type="dxa" w:w="1984"/>
            <w:shd w:fill="C6EFCE" w:val="clear"/>
          </w:tcPr>
          <w:p>
            <w:r>
              <w:rPr>
                <w:b/>
                <w:color w:val="007800"/>
                <w:sz w:val="17"/>
              </w:rPr>
              <w:t>20.657 Mds FCFA</w:t>
            </w:r>
          </w:p>
        </w:tc>
        <w:tc>
          <w:tcPr>
            <w:tcW w:type="dxa" w:w="5669"/>
            <w:shd w:fill="FFFFFF" w:val="clear"/>
          </w:tcPr>
          <w:p>
            <w:r>
              <w:rPr>
                <w:sz w:val="15"/>
              </w:rPr>
              <w:t>✅ FCF positif de 20.657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17.12%</w:t>
            </w:r>
          </w:p>
        </w:tc>
        <w:tc>
          <w:tcPr>
            <w:tcW w:type="dxa" w:w="5669"/>
            <w:shd w:fill="FFFFFF" w:val="clear"/>
          </w:tcPr>
          <w:p>
            <w:r>
              <w:rPr>
                <w:sz w:val="15"/>
              </w:rPr>
              <w:t>✅ Marge opérationnelle correcte (17.1%).</w:t>
            </w:r>
          </w:p>
        </w:tc>
      </w:tr>
      <w:tr>
        <w:tc>
          <w:tcPr>
            <w:tcW w:type="dxa" w:w="2268"/>
            <w:shd w:fill="EEF2F7" w:val="clear"/>
          </w:tcPr>
          <w:p>
            <w:r>
              <w:rPr>
                <w:b/>
                <w:sz w:val="15"/>
              </w:rPr>
              <w:t>Délai clients</w:t>
            </w:r>
          </w:p>
        </w:tc>
        <w:tc>
          <w:tcPr>
            <w:tcW w:type="dxa" w:w="1984"/>
            <w:shd w:fill="C6EFCE" w:val="clear"/>
          </w:tcPr>
          <w:p>
            <w:r>
              <w:rPr>
                <w:b/>
                <w:color w:val="007800"/>
                <w:sz w:val="17"/>
              </w:rPr>
              <w:t>42.6 j</w:t>
            </w:r>
          </w:p>
        </w:tc>
        <w:tc>
          <w:tcPr>
            <w:tcW w:type="dxa" w:w="5669"/>
            <w:shd w:fill="FFFFFF" w:val="clear"/>
          </w:tcPr>
          <w:p>
            <w:r>
              <w:rPr>
                <w:sz w:val="15"/>
              </w:rPr>
              <w:t>✅ Délai standard (43 jours) — dans les normes commerciales habituelles.</w:t>
            </w:r>
          </w:p>
        </w:tc>
      </w:tr>
      <w:tr>
        <w:tc>
          <w:tcPr>
            <w:tcW w:type="dxa" w:w="2268"/>
            <w:shd w:fill="EEF2F7" w:val="clear"/>
          </w:tcPr>
          <w:p>
            <w:r>
              <w:rPr>
                <w:b/>
                <w:sz w:val="15"/>
              </w:rPr>
              <w:t>Durée stockage</w:t>
            </w:r>
          </w:p>
        </w:tc>
        <w:tc>
          <w:tcPr>
            <w:tcW w:type="dxa" w:w="1984"/>
            <w:shd w:fill="C6EFCE" w:val="clear"/>
          </w:tcPr>
          <w:p>
            <w:r>
              <w:rPr>
                <w:b/>
                <w:color w:val="007800"/>
                <w:sz w:val="17"/>
              </w:rPr>
              <w:t>5.7 j</w:t>
            </w:r>
          </w:p>
        </w:tc>
        <w:tc>
          <w:tcPr>
            <w:tcW w:type="dxa" w:w="5669"/>
            <w:shd w:fill="FFFFFF" w:val="clear"/>
          </w:tcPr>
          <w:p>
            <w:r>
              <w:rPr>
                <w:sz w:val="15"/>
              </w:rPr>
              <w:t>✅ Stock écoulé en 6 jours — rotation excellente, capital peu immobilisé.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STBC</w:t>
            </w:r>
          </w:p>
        </w:tc>
        <w:tc>
          <w:tcPr>
            <w:tcW w:type="dxa" w:w="1728"/>
            <w:shd w:fill="C6EFCE" w:val="clear"/>
          </w:tcPr>
          <w:p>
            <w:r>
              <w:rPr>
                <w:color w:val="006400"/>
                <w:sz w:val="16"/>
              </w:rPr>
              <w:t>79.75%</w:t>
            </w:r>
          </w:p>
        </w:tc>
        <w:tc>
          <w:tcPr>
            <w:tcW w:type="dxa" w:w="1728"/>
            <w:shd w:fill="FFC7CE" w:val="clear"/>
          </w:tcPr>
          <w:p>
            <w:r>
              <w:rPr>
                <w:b/>
                <w:color w:val="B40000"/>
                <w:sz w:val="16"/>
              </w:rPr>
              <w:t>SCRC</w:t>
            </w:r>
          </w:p>
        </w:tc>
        <w:tc>
          <w:tcPr>
            <w:tcW w:type="dxa" w:w="1728"/>
            <w:shd w:fill="FFC7CE" w:val="clear"/>
          </w:tcPr>
          <w:p>
            <w:r>
              <w:rPr>
                <w:color w:val="B40000"/>
                <w:sz w:val="16"/>
              </w:rPr>
              <w:t>-46.13%</w:t>
            </w:r>
          </w:p>
        </w:tc>
      </w:tr>
      <w:tr>
        <w:tc>
          <w:tcPr>
            <w:tcW w:type="dxa" w:w="1728"/>
            <w:shd w:fill="EEF2F7" w:val="clear"/>
          </w:tcPr>
          <w:p>
            <w:r>
              <w:rPr>
                <w:b/>
                <w:sz w:val="16"/>
              </w:rPr>
              <w:t>Marge nette</w:t>
            </w:r>
          </w:p>
        </w:tc>
        <w:tc>
          <w:tcPr>
            <w:tcW w:type="dxa" w:w="1728"/>
            <w:shd w:fill="C6EFCE" w:val="clear"/>
          </w:tcPr>
          <w:p>
            <w:r>
              <w:rPr>
                <w:b/>
                <w:color w:val="006400"/>
                <w:sz w:val="16"/>
              </w:rPr>
              <w:t>STBC</w:t>
            </w:r>
          </w:p>
        </w:tc>
        <w:tc>
          <w:tcPr>
            <w:tcW w:type="dxa" w:w="1728"/>
            <w:shd w:fill="C6EFCE" w:val="clear"/>
          </w:tcPr>
          <w:p>
            <w:r>
              <w:rPr>
                <w:color w:val="006400"/>
                <w:sz w:val="16"/>
              </w:rPr>
              <w:t>13.46%</w:t>
            </w:r>
          </w:p>
        </w:tc>
        <w:tc>
          <w:tcPr>
            <w:tcW w:type="dxa" w:w="1728"/>
            <w:shd w:fill="FFC7CE" w:val="clear"/>
          </w:tcPr>
          <w:p>
            <w:r>
              <w:rPr>
                <w:b/>
                <w:color w:val="B40000"/>
                <w:sz w:val="16"/>
              </w:rPr>
              <w:t>SCRC</w:t>
            </w:r>
          </w:p>
        </w:tc>
        <w:tc>
          <w:tcPr>
            <w:tcW w:type="dxa" w:w="1728"/>
            <w:shd w:fill="FFC7CE" w:val="clear"/>
          </w:tcPr>
          <w:p>
            <w:r>
              <w:rPr>
                <w:color w:val="B40000"/>
                <w:sz w:val="16"/>
              </w:rPr>
              <w:t>-9.87%</w:t>
            </w:r>
          </w:p>
        </w:tc>
      </w:tr>
      <w:tr>
        <w:tc>
          <w:tcPr>
            <w:tcW w:type="dxa" w:w="1728"/>
            <w:shd w:fill="EEF2F7" w:val="clear"/>
          </w:tcPr>
          <w:p>
            <w:r>
              <w:rPr>
                <w:b/>
                <w:sz w:val="16"/>
              </w:rPr>
              <w:t>Croissance CA/PNB</w:t>
            </w:r>
          </w:p>
        </w:tc>
        <w:tc>
          <w:tcPr>
            <w:tcW w:type="dxa" w:w="1728"/>
            <w:shd w:fill="C6EFCE" w:val="clear"/>
          </w:tcPr>
          <w:p>
            <w:r>
              <w:rPr>
                <w:b/>
                <w:color w:val="006400"/>
                <w:sz w:val="16"/>
              </w:rPr>
              <w:t>STBC</w:t>
            </w:r>
          </w:p>
        </w:tc>
        <w:tc>
          <w:tcPr>
            <w:tcW w:type="dxa" w:w="1728"/>
            <w:shd w:fill="C6EFCE" w:val="clear"/>
          </w:tcPr>
          <w:p>
            <w:r>
              <w:rPr>
                <w:color w:val="006400"/>
                <w:sz w:val="16"/>
              </w:rPr>
              <w:t>25.30%</w:t>
            </w:r>
          </w:p>
        </w:tc>
        <w:tc>
          <w:tcPr>
            <w:tcW w:type="dxa" w:w="1728"/>
            <w:shd w:fill="FFC7CE" w:val="clear"/>
          </w:tcPr>
          <w:p>
            <w:r>
              <w:rPr>
                <w:b/>
                <w:color w:val="B40000"/>
                <w:sz w:val="16"/>
              </w:rPr>
              <w:t>SCRC</w:t>
            </w:r>
          </w:p>
        </w:tc>
        <w:tc>
          <w:tcPr>
            <w:tcW w:type="dxa" w:w="1728"/>
            <w:shd w:fill="FFC7CE" w:val="clear"/>
          </w:tcPr>
          <w:p>
            <w:r>
              <w:rPr>
                <w:color w:val="B40000"/>
                <w:sz w:val="16"/>
              </w:rPr>
              <w:t>-7.63%</w:t>
            </w:r>
          </w:p>
        </w:tc>
      </w:tr>
      <w:tr>
        <w:tc>
          <w:tcPr>
            <w:tcW w:type="dxa" w:w="1728"/>
            <w:shd w:fill="EEF2F7" w:val="clear"/>
          </w:tcPr>
          <w:p>
            <w:r>
              <w:rPr>
                <w:b/>
                <w:sz w:val="16"/>
              </w:rPr>
              <w:t>Autonomie fin.</w:t>
            </w:r>
          </w:p>
        </w:tc>
        <w:tc>
          <w:tcPr>
            <w:tcW w:type="dxa" w:w="1728"/>
            <w:shd w:fill="C6EFCE" w:val="clear"/>
          </w:tcPr>
          <w:p>
            <w:r>
              <w:rPr>
                <w:b/>
                <w:color w:val="006400"/>
                <w:sz w:val="16"/>
              </w:rPr>
              <w:t>SOGC</w:t>
            </w:r>
          </w:p>
        </w:tc>
        <w:tc>
          <w:tcPr>
            <w:tcW w:type="dxa" w:w="1728"/>
            <w:shd w:fill="C6EFCE" w:val="clear"/>
          </w:tcPr>
          <w:p>
            <w:r>
              <w:rPr>
                <w:color w:val="006400"/>
                <w:sz w:val="16"/>
              </w:rPr>
              <w:t>75.79%</w:t>
            </w:r>
          </w:p>
        </w:tc>
        <w:tc>
          <w:tcPr>
            <w:tcW w:type="dxa" w:w="1728"/>
            <w:shd w:fill="FFC7CE" w:val="clear"/>
          </w:tcPr>
          <w:p>
            <w:r>
              <w:rPr>
                <w:b/>
                <w:color w:val="B40000"/>
                <w:sz w:val="16"/>
              </w:rPr>
              <w:t>SCRC</w:t>
            </w:r>
          </w:p>
        </w:tc>
        <w:tc>
          <w:tcPr>
            <w:tcW w:type="dxa" w:w="1728"/>
            <w:shd w:fill="FFC7CE" w:val="clear"/>
          </w:tcPr>
          <w:p>
            <w:r>
              <w:rPr>
                <w:color w:val="B40000"/>
                <w:sz w:val="16"/>
              </w:rPr>
              <w:t>11.02%</w:t>
            </w:r>
          </w:p>
        </w:tc>
      </w:tr>
      <w:tr>
        <w:tc>
          <w:tcPr>
            <w:tcW w:type="dxa" w:w="1728"/>
            <w:shd w:fill="EEF2F7" w:val="clear"/>
          </w:tcPr>
          <w:p>
            <w:r>
              <w:rPr>
                <w:b/>
                <w:sz w:val="16"/>
              </w:rPr>
              <w:t>Liquidité gén.</w:t>
            </w:r>
          </w:p>
        </w:tc>
        <w:tc>
          <w:tcPr>
            <w:tcW w:type="dxa" w:w="1728"/>
            <w:shd w:fill="C6EFCE" w:val="clear"/>
          </w:tcPr>
          <w:p>
            <w:r>
              <w:rPr>
                <w:b/>
                <w:color w:val="006400"/>
                <w:sz w:val="16"/>
              </w:rPr>
              <w:t>STBC</w:t>
            </w:r>
          </w:p>
        </w:tc>
        <w:tc>
          <w:tcPr>
            <w:tcW w:type="dxa" w:w="1728"/>
            <w:shd w:fill="C6EFCE" w:val="clear"/>
          </w:tcPr>
          <w:p>
            <w:r>
              <w:rPr>
                <w:color w:val="006400"/>
                <w:sz w:val="16"/>
              </w:rPr>
              <w:t>224.99%</w:t>
            </w:r>
          </w:p>
        </w:tc>
        <w:tc>
          <w:tcPr>
            <w:tcW w:type="dxa" w:w="1728"/>
            <w:shd w:fill="FFC7CE" w:val="clear"/>
          </w:tcPr>
          <w:p>
            <w:r>
              <w:rPr>
                <w:b/>
                <w:color w:val="B40000"/>
                <w:sz w:val="16"/>
              </w:rPr>
              <w:t>SCRC</w:t>
            </w:r>
          </w:p>
        </w:tc>
        <w:tc>
          <w:tcPr>
            <w:tcW w:type="dxa" w:w="1728"/>
            <w:shd w:fill="FFC7CE" w:val="clear"/>
          </w:tcPr>
          <w:p>
            <w:r>
              <w:rPr>
                <w:color w:val="B40000"/>
                <w:sz w:val="16"/>
              </w:rPr>
              <w:t>74.53%</w:t>
            </w:r>
          </w:p>
        </w:tc>
      </w:tr>
      <w:tr>
        <w:tc>
          <w:tcPr>
            <w:tcW w:type="dxa" w:w="1728"/>
            <w:shd w:fill="EEF2F7" w:val="clear"/>
          </w:tcPr>
          <w:p>
            <w:r>
              <w:rPr>
                <w:b/>
                <w:sz w:val="16"/>
              </w:rPr>
              <w:t>FCF</w:t>
            </w:r>
          </w:p>
        </w:tc>
        <w:tc>
          <w:tcPr>
            <w:tcW w:type="dxa" w:w="1728"/>
            <w:shd w:fill="C6EFCE" w:val="clear"/>
          </w:tcPr>
          <w:p>
            <w:r>
              <w:rPr>
                <w:b/>
                <w:color w:val="006400"/>
                <w:sz w:val="16"/>
              </w:rPr>
              <w:t>SLBC</w:t>
            </w:r>
          </w:p>
        </w:tc>
        <w:tc>
          <w:tcPr>
            <w:tcW w:type="dxa" w:w="1728"/>
            <w:shd w:fill="C6EFCE" w:val="clear"/>
          </w:tcPr>
          <w:p>
            <w:r>
              <w:rPr>
                <w:color w:val="006400"/>
                <w:sz w:val="16"/>
              </w:rPr>
              <w:t>60.867 Mds FCFA</w:t>
            </w:r>
          </w:p>
        </w:tc>
        <w:tc>
          <w:tcPr>
            <w:tcW w:type="dxa" w:w="1728"/>
            <w:shd w:fill="FFC7CE" w:val="clear"/>
          </w:tcPr>
          <w:p>
            <w:r>
              <w:rPr>
                <w:b/>
                <w:color w:val="B40000"/>
                <w:sz w:val="16"/>
              </w:rPr>
              <w:t>SCRC</w:t>
            </w:r>
          </w:p>
        </w:tc>
        <w:tc>
          <w:tcPr>
            <w:tcW w:type="dxa" w:w="1728"/>
            <w:shd w:fill="FFC7CE" w:val="clear"/>
          </w:tcPr>
          <w:p>
            <w:r>
              <w:rPr>
                <w:color w:val="B40000"/>
                <w:sz w:val="16"/>
              </w:rPr>
              <w:t>-12.402 Mds FCFA</w:t>
            </w:r>
          </w:p>
        </w:tc>
      </w:tr>
    </w:tbl>
    <w:p/>
    <w:p>
      <w:r>
        <w:br w:type="page"/>
      </w:r>
    </w:p>
    <w:p>
      <w:pPr>
        <w:pStyle w:val="Heading2"/>
      </w:pPr>
      <w:r>
        <w:rPr>
          <w:color w:val="003366"/>
        </w:rPr>
        <w:t>📂 Secteur : CONSOMMATION DISCRETIONNAIRE</w:t>
      </w:r>
    </w:p>
    <w:p>
      <w:r>
        <w:rPr>
          <w:sz w:val="18"/>
        </w:rPr>
        <w:t>7 société(s) avec données financières sur 7 cotée(s) dans ce secteur. Exercice(s) analysé(s) : 2025, 2025, 2024,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2551"/>
            <w:shd w:fill="1F4E79" w:val="clear"/>
          </w:tcPr>
          <w:p>
            <w:r>
              <w:rPr>
                <w:b/>
                <w:color w:val="FFFFFF"/>
                <w:sz w:val="16"/>
              </w:rPr>
              <w:t>Indicateur</w:t>
            </w:r>
          </w:p>
        </w:tc>
        <w:tc>
          <w:tcPr>
            <w:tcW w:type="dxa" w:w="1053"/>
            <w:shd w:fill="1F4E79" w:val="clear"/>
          </w:tcPr>
          <w:p>
            <w:r>
              <w:rPr>
                <w:b/>
                <w:color w:val="FFFFFF"/>
                <w:sz w:val="15"/>
              </w:rPr>
              <w:t>ABJC (2025)</w:t>
            </w:r>
          </w:p>
        </w:tc>
        <w:tc>
          <w:tcPr>
            <w:tcW w:type="dxa" w:w="1053"/>
            <w:shd w:fill="1F4E79" w:val="clear"/>
          </w:tcPr>
          <w:p>
            <w:r>
              <w:rPr>
                <w:b/>
                <w:color w:val="FFFFFF"/>
                <w:sz w:val="15"/>
              </w:rPr>
              <w:t>BNBC (2025)</w:t>
            </w:r>
          </w:p>
        </w:tc>
        <w:tc>
          <w:tcPr>
            <w:tcW w:type="dxa" w:w="1053"/>
            <w:shd w:fill="1F4E79" w:val="clear"/>
          </w:tcPr>
          <w:p>
            <w:r>
              <w:rPr>
                <w:b/>
                <w:color w:val="FFFFFF"/>
                <w:sz w:val="15"/>
              </w:rPr>
              <w:t>CFAC (2024)</w:t>
            </w:r>
          </w:p>
        </w:tc>
        <w:tc>
          <w:tcPr>
            <w:tcW w:type="dxa" w:w="1053"/>
            <w:shd w:fill="1F4E79" w:val="clear"/>
          </w:tcPr>
          <w:p>
            <w:r>
              <w:rPr>
                <w:b/>
                <w:color w:val="FFFFFF"/>
                <w:sz w:val="15"/>
              </w:rPr>
              <w:t>LNBB (2025)</w:t>
            </w:r>
          </w:p>
        </w:tc>
        <w:tc>
          <w:tcPr>
            <w:tcW w:type="dxa" w:w="1053"/>
            <w:shd w:fill="1F4E79" w:val="clear"/>
          </w:tcPr>
          <w:p>
            <w:r>
              <w:rPr>
                <w:b/>
                <w:color w:val="FFFFFF"/>
                <w:sz w:val="15"/>
              </w:rPr>
              <w:t>NEIC (2025)</w:t>
            </w:r>
          </w:p>
        </w:tc>
        <w:tc>
          <w:tcPr>
            <w:tcW w:type="dxa" w:w="1053"/>
            <w:shd w:fill="1F4E79" w:val="clear"/>
          </w:tcPr>
          <w:p>
            <w:r>
              <w:rPr>
                <w:b/>
                <w:color w:val="FFFFFF"/>
                <w:sz w:val="15"/>
              </w:rPr>
              <w:t>PRSC (2025)</w:t>
            </w:r>
          </w:p>
        </w:tc>
        <w:tc>
          <w:tcPr>
            <w:tcW w:type="dxa" w:w="1053"/>
            <w:shd w:fill="1F4E79" w:val="clear"/>
          </w:tcPr>
          <w:p>
            <w:r>
              <w:rPr>
                <w:b/>
                <w:color w:val="FFFFFF"/>
                <w:sz w:val="15"/>
              </w:rPr>
              <w:t>UNXC (2025)</w:t>
            </w:r>
          </w:p>
        </w:tc>
      </w:tr>
      <w:tr>
        <w:tc>
          <w:tcPr>
            <w:tcW w:type="dxa" w:w="2551"/>
            <w:shd w:fill="EEF2F7" w:val="clear"/>
          </w:tcPr>
          <w:p>
            <w:r>
              <w:rPr>
                <w:b/>
                <w:sz w:val="15"/>
              </w:rPr>
              <w:t>ROE</w:t>
            </w:r>
          </w:p>
        </w:tc>
        <w:tc>
          <w:tcPr>
            <w:tcW w:type="dxa" w:w="1053"/>
            <w:shd w:fill="FFFFFF" w:val="clear"/>
          </w:tcPr>
          <w:p>
            <w:r>
              <w:rPr>
                <w:b/>
                <w:color w:val="000000"/>
                <w:sz w:val="16"/>
              </w:rPr>
              <w:t>26.18%</w:t>
            </w:r>
          </w:p>
        </w:tc>
        <w:tc>
          <w:tcPr>
            <w:tcW w:type="dxa" w:w="1053"/>
            <w:shd w:fill="FFFFFF" w:val="clear"/>
          </w:tcPr>
          <w:p>
            <w:r>
              <w:rPr>
                <w:b/>
                <w:color w:val="000000"/>
                <w:sz w:val="16"/>
              </w:rPr>
              <w:t>0.13%</w:t>
            </w:r>
          </w:p>
        </w:tc>
        <w:tc>
          <w:tcPr>
            <w:tcW w:type="dxa" w:w="1053"/>
            <w:shd w:fill="FFFFFF" w:val="clear"/>
          </w:tcPr>
          <w:p>
            <w:r>
              <w:rPr>
                <w:b/>
                <w:color w:val="000000"/>
                <w:sz w:val="16"/>
              </w:rPr>
              <w:t>24.13%</w:t>
            </w:r>
          </w:p>
        </w:tc>
        <w:tc>
          <w:tcPr>
            <w:tcW w:type="dxa" w:w="1053"/>
            <w:shd w:fill="FFFFFF" w:val="clear"/>
          </w:tcPr>
          <w:p>
            <w:r>
              <w:rPr>
                <w:b/>
                <w:color w:val="000000"/>
                <w:sz w:val="16"/>
              </w:rPr>
              <w:t>21.05%</w:t>
            </w:r>
          </w:p>
        </w:tc>
        <w:tc>
          <w:tcPr>
            <w:tcW w:type="dxa" w:w="1053"/>
            <w:shd w:fill="C6EFCE" w:val="clear"/>
          </w:tcPr>
          <w:p>
            <w:r>
              <w:rPr>
                <w:b/>
                <w:color w:val="006400"/>
                <w:sz w:val="16"/>
              </w:rPr>
              <w:t>35.39%</w:t>
            </w:r>
          </w:p>
        </w:tc>
        <w:tc>
          <w:tcPr>
            <w:tcW w:type="dxa" w:w="1053"/>
            <w:shd w:fill="FFFFFF" w:val="clear"/>
          </w:tcPr>
          <w:p>
            <w:r>
              <w:rPr>
                <w:b/>
                <w:color w:val="000000"/>
                <w:sz w:val="16"/>
              </w:rPr>
              <w:t>20.53%</w:t>
            </w:r>
          </w:p>
        </w:tc>
        <w:tc>
          <w:tcPr>
            <w:tcW w:type="dxa" w:w="1053"/>
            <w:shd w:fill="FFC7CE" w:val="clear"/>
          </w:tcPr>
          <w:p>
            <w:r>
              <w:rPr>
                <w:b/>
                <w:color w:val="B40000"/>
                <w:sz w:val="16"/>
              </w:rPr>
              <w:t>-2.54%</w:t>
            </w:r>
          </w:p>
        </w:tc>
      </w:tr>
      <w:tr>
        <w:tc>
          <w:tcPr>
            <w:tcW w:type="dxa" w:w="2551"/>
            <w:shd w:fill="EEF2F7" w:val="clear"/>
          </w:tcPr>
          <w:p>
            <w:r>
              <w:rPr>
                <w:b/>
                <w:sz w:val="15"/>
              </w:rPr>
              <w:t>ROA</w:t>
            </w:r>
          </w:p>
        </w:tc>
        <w:tc>
          <w:tcPr>
            <w:tcW w:type="dxa" w:w="1053"/>
            <w:shd w:fill="FFFFFF" w:val="clear"/>
          </w:tcPr>
          <w:p>
            <w:r>
              <w:rPr>
                <w:b/>
                <w:color w:val="000000"/>
                <w:sz w:val="16"/>
              </w:rPr>
              <w:t>14.64%</w:t>
            </w:r>
          </w:p>
        </w:tc>
        <w:tc>
          <w:tcPr>
            <w:tcW w:type="dxa" w:w="1053"/>
            <w:shd w:fill="FFFFFF" w:val="clear"/>
          </w:tcPr>
          <w:p>
            <w:r>
              <w:rPr>
                <w:b/>
                <w:color w:val="000000"/>
                <w:sz w:val="16"/>
              </w:rPr>
              <w:t>0.05%</w:t>
            </w:r>
          </w:p>
        </w:tc>
        <w:tc>
          <w:tcPr>
            <w:tcW w:type="dxa" w:w="1053"/>
            <w:shd w:fill="FFFFFF" w:val="clear"/>
          </w:tcPr>
          <w:p>
            <w:r>
              <w:rPr>
                <w:b/>
                <w:color w:val="000000"/>
                <w:sz w:val="16"/>
              </w:rPr>
              <w:t>5.52%</w:t>
            </w:r>
          </w:p>
        </w:tc>
        <w:tc>
          <w:tcPr>
            <w:tcW w:type="dxa" w:w="1053"/>
            <w:shd w:fill="FFFFFF" w:val="clear"/>
          </w:tcPr>
          <w:p>
            <w:r>
              <w:rPr>
                <w:b/>
                <w:color w:val="000000"/>
                <w:sz w:val="16"/>
              </w:rPr>
              <w:t>14.17%</w:t>
            </w:r>
          </w:p>
        </w:tc>
        <w:tc>
          <w:tcPr>
            <w:tcW w:type="dxa" w:w="1053"/>
            <w:shd w:fill="C6EFCE" w:val="clear"/>
          </w:tcPr>
          <w:p>
            <w:r>
              <w:rPr>
                <w:b/>
                <w:color w:val="006400"/>
                <w:sz w:val="16"/>
              </w:rPr>
              <w:t>27.25%</w:t>
            </w:r>
          </w:p>
        </w:tc>
        <w:tc>
          <w:tcPr>
            <w:tcW w:type="dxa" w:w="1053"/>
            <w:shd w:fill="FFFFFF" w:val="clear"/>
          </w:tcPr>
          <w:p>
            <w:r>
              <w:rPr>
                <w:b/>
                <w:color w:val="000000"/>
                <w:sz w:val="16"/>
              </w:rPr>
              <w:t>4.95%</w:t>
            </w:r>
          </w:p>
        </w:tc>
        <w:tc>
          <w:tcPr>
            <w:tcW w:type="dxa" w:w="1053"/>
            <w:shd w:fill="FFC7CE" w:val="clear"/>
          </w:tcPr>
          <w:p>
            <w:r>
              <w:rPr>
                <w:b/>
                <w:color w:val="B40000"/>
                <w:sz w:val="16"/>
              </w:rPr>
              <w:t>-1.97%</w:t>
            </w:r>
          </w:p>
        </w:tc>
      </w:tr>
      <w:tr>
        <w:tc>
          <w:tcPr>
            <w:tcW w:type="dxa" w:w="2551"/>
            <w:shd w:fill="EEF2F7" w:val="clear"/>
          </w:tcPr>
          <w:p>
            <w:r>
              <w:rPr>
                <w:b/>
                <w:sz w:val="15"/>
              </w:rPr>
              <w:t>Marge nette</w:t>
            </w:r>
          </w:p>
        </w:tc>
        <w:tc>
          <w:tcPr>
            <w:tcW w:type="dxa" w:w="1053"/>
            <w:shd w:fill="FFFFFF" w:val="clear"/>
          </w:tcPr>
          <w:p>
            <w:r>
              <w:rPr>
                <w:b/>
                <w:color w:val="000000"/>
                <w:sz w:val="16"/>
              </w:rPr>
              <w:t>10.16%</w:t>
            </w:r>
          </w:p>
        </w:tc>
        <w:tc>
          <w:tcPr>
            <w:tcW w:type="dxa" w:w="1053"/>
            <w:shd w:fill="FFFFFF" w:val="clear"/>
          </w:tcPr>
          <w:p>
            <w:r>
              <w:rPr>
                <w:b/>
                <w:color w:val="000000"/>
                <w:sz w:val="16"/>
              </w:rPr>
              <w:t>0.05%</w:t>
            </w:r>
          </w:p>
        </w:tc>
        <w:tc>
          <w:tcPr>
            <w:tcW w:type="dxa" w:w="1053"/>
            <w:shd w:fill="FFFFFF" w:val="clear"/>
          </w:tcPr>
          <w:p>
            <w:r>
              <w:rPr>
                <w:b/>
                <w:color w:val="000000"/>
                <w:sz w:val="16"/>
              </w:rPr>
              <w:t>2.96%</w:t>
            </w:r>
          </w:p>
        </w:tc>
        <w:tc>
          <w:tcPr>
            <w:tcW w:type="dxa" w:w="1053"/>
            <w:shd w:fill="FFFFFF" w:val="clear"/>
          </w:tcPr>
          <w:p>
            <w:r>
              <w:rPr>
                <w:b/>
                <w:color w:val="000000"/>
                <w:sz w:val="16"/>
              </w:rPr>
              <w:t>4.69%</w:t>
            </w:r>
          </w:p>
        </w:tc>
        <w:tc>
          <w:tcPr>
            <w:tcW w:type="dxa" w:w="1053"/>
            <w:shd w:fill="C6EFCE" w:val="clear"/>
          </w:tcPr>
          <w:p>
            <w:r>
              <w:rPr>
                <w:b/>
                <w:color w:val="006400"/>
                <w:sz w:val="16"/>
              </w:rPr>
              <w:t>39.63%</w:t>
            </w:r>
          </w:p>
        </w:tc>
        <w:tc>
          <w:tcPr>
            <w:tcW w:type="dxa" w:w="1053"/>
            <w:shd w:fill="FFFFFF" w:val="clear"/>
          </w:tcPr>
          <w:p>
            <w:r>
              <w:rPr>
                <w:b/>
                <w:color w:val="000000"/>
                <w:sz w:val="16"/>
              </w:rPr>
              <w:t>2.92%</w:t>
            </w:r>
          </w:p>
        </w:tc>
        <w:tc>
          <w:tcPr>
            <w:tcW w:type="dxa" w:w="1053"/>
            <w:shd w:fill="FFC7CE" w:val="clear"/>
          </w:tcPr>
          <w:p>
            <w:r>
              <w:rPr>
                <w:b/>
                <w:color w:val="B40000"/>
                <w:sz w:val="16"/>
              </w:rPr>
              <w:t>-2.15%</w:t>
            </w:r>
          </w:p>
        </w:tc>
      </w:tr>
      <w:tr>
        <w:tc>
          <w:tcPr>
            <w:tcW w:type="dxa" w:w="2551"/>
            <w:shd w:fill="EEF2F7" w:val="clear"/>
          </w:tcPr>
          <w:p>
            <w:r>
              <w:rPr>
                <w:b/>
                <w:sz w:val="15"/>
              </w:rPr>
              <w:t>Résultat net</w:t>
            </w:r>
          </w:p>
        </w:tc>
        <w:tc>
          <w:tcPr>
            <w:tcW w:type="dxa" w:w="1053"/>
            <w:shd w:fill="FFFFFF" w:val="clear"/>
          </w:tcPr>
          <w:p>
            <w:r>
              <w:rPr>
                <w:b/>
                <w:color w:val="000000"/>
                <w:sz w:val="16"/>
              </w:rPr>
              <w:t>1.351 Mds FCFA</w:t>
            </w:r>
          </w:p>
        </w:tc>
        <w:tc>
          <w:tcPr>
            <w:tcW w:type="dxa" w:w="1053"/>
            <w:shd w:fill="FFFFFF" w:val="clear"/>
          </w:tcPr>
          <w:p>
            <w:r>
              <w:rPr>
                <w:b/>
                <w:color w:val="000000"/>
                <w:sz w:val="16"/>
              </w:rPr>
              <w:t>22.32 M FCFA</w:t>
            </w:r>
          </w:p>
        </w:tc>
        <w:tc>
          <w:tcPr>
            <w:tcW w:type="dxa" w:w="1053"/>
            <w:shd w:fill="C6EFCE" w:val="clear"/>
          </w:tcPr>
          <w:p>
            <w:r>
              <w:rPr>
                <w:b/>
                <w:color w:val="006400"/>
                <w:sz w:val="16"/>
              </w:rPr>
              <w:t>4.693 Mds FCFA</w:t>
            </w:r>
          </w:p>
        </w:tc>
        <w:tc>
          <w:tcPr>
            <w:tcW w:type="dxa" w:w="1053"/>
            <w:shd w:fill="FFFFFF" w:val="clear"/>
          </w:tcPr>
          <w:p>
            <w:r>
              <w:rPr>
                <w:b/>
                <w:color w:val="000000"/>
                <w:sz w:val="16"/>
              </w:rPr>
              <w:t>4.622 Mds FCFA</w:t>
            </w:r>
          </w:p>
        </w:tc>
        <w:tc>
          <w:tcPr>
            <w:tcW w:type="dxa" w:w="1053"/>
            <w:shd w:fill="FFFFFF" w:val="clear"/>
          </w:tcPr>
          <w:p>
            <w:r>
              <w:rPr>
                <w:b/>
                <w:color w:val="000000"/>
                <w:sz w:val="16"/>
              </w:rPr>
              <w:t>2.037 Mds FCFA</w:t>
            </w:r>
          </w:p>
        </w:tc>
        <w:tc>
          <w:tcPr>
            <w:tcW w:type="dxa" w:w="1053"/>
            <w:shd w:fill="FFFFFF" w:val="clear"/>
          </w:tcPr>
          <w:p>
            <w:r>
              <w:rPr>
                <w:b/>
                <w:color w:val="000000"/>
                <w:sz w:val="16"/>
              </w:rPr>
              <w:t>2.367 Mds FCFA</w:t>
            </w:r>
          </w:p>
        </w:tc>
        <w:tc>
          <w:tcPr>
            <w:tcW w:type="dxa" w:w="1053"/>
            <w:shd w:fill="FFC7CE" w:val="clear"/>
          </w:tcPr>
          <w:p>
            <w:r>
              <w:rPr>
                <w:b/>
                <w:color w:val="B40000"/>
                <w:sz w:val="16"/>
              </w:rPr>
              <w:t>-624.11 M FCFA</w:t>
            </w:r>
          </w:p>
        </w:tc>
      </w:tr>
      <w:tr>
        <w:tc>
          <w:tcPr>
            <w:tcW w:type="dxa" w:w="2551"/>
            <w:shd w:fill="EEF2F7" w:val="clear"/>
          </w:tcPr>
          <w:p>
            <w:r>
              <w:rPr>
                <w:b/>
                <w:sz w:val="15"/>
              </w:rPr>
              <w:t>Taux croissance CA/PNB</w:t>
            </w:r>
          </w:p>
        </w:tc>
        <w:tc>
          <w:tcPr>
            <w:tcW w:type="dxa" w:w="1053"/>
            <w:shd w:fill="FFFFFF" w:val="clear"/>
          </w:tcPr>
          <w:p>
            <w:r>
              <w:rPr>
                <w:b/>
                <w:color w:val="000000"/>
                <w:sz w:val="16"/>
              </w:rPr>
              <w:t>6.67%</w:t>
            </w:r>
          </w:p>
        </w:tc>
        <w:tc>
          <w:tcPr>
            <w:tcW w:type="dxa" w:w="1053"/>
            <w:shd w:fill="FFFFFF" w:val="clear"/>
          </w:tcPr>
          <w:p>
            <w:r>
              <w:rPr>
                <w:b/>
                <w:color w:val="000000"/>
                <w:sz w:val="16"/>
              </w:rPr>
              <w:t>-6.31%</w:t>
            </w:r>
          </w:p>
        </w:tc>
        <w:tc>
          <w:tcPr>
            <w:tcW w:type="dxa" w:w="1053"/>
            <w:shd w:fill="FFFFFF" w:val="clear"/>
          </w:tcPr>
          <w:p>
            <w:r>
              <w:rPr>
                <w:b/>
                <w:color w:val="000000"/>
                <w:sz w:val="16"/>
              </w:rPr>
              <w:t>-12.13%</w:t>
            </w:r>
          </w:p>
        </w:tc>
        <w:tc>
          <w:tcPr>
            <w:tcW w:type="dxa" w:w="1053"/>
            <w:shd w:fill="FFFFFF" w:val="clear"/>
          </w:tcPr>
          <w:p>
            <w:r>
              <w:rPr>
                <w:b/>
                <w:color w:val="000000"/>
                <w:sz w:val="16"/>
              </w:rPr>
              <w:t>-3.85%</w:t>
            </w:r>
          </w:p>
        </w:tc>
        <w:tc>
          <w:tcPr>
            <w:tcW w:type="dxa" w:w="1053"/>
            <w:shd w:fill="FFC7CE" w:val="clear"/>
          </w:tcPr>
          <w:p>
            <w:r>
              <w:rPr>
                <w:b/>
                <w:color w:val="B40000"/>
                <w:sz w:val="16"/>
              </w:rPr>
              <w:t>-23.80%</w:t>
            </w:r>
          </w:p>
        </w:tc>
        <w:tc>
          <w:tcPr>
            <w:tcW w:type="dxa" w:w="1053"/>
            <w:shd w:fill="C6EFCE" w:val="clear"/>
          </w:tcPr>
          <w:p>
            <w:r>
              <w:rPr>
                <w:b/>
                <w:color w:val="006400"/>
                <w:sz w:val="16"/>
              </w:rPr>
              <w:t>8.64%</w:t>
            </w:r>
          </w:p>
        </w:tc>
        <w:tc>
          <w:tcPr>
            <w:tcW w:type="dxa" w:w="1053"/>
            <w:shd w:fill="FFFFFF" w:val="clear"/>
          </w:tcPr>
          <w:p>
            <w:r>
              <w:rPr>
                <w:b/>
                <w:color w:val="000000"/>
                <w:sz w:val="16"/>
              </w:rPr>
              <w:t>6.21%</w:t>
            </w:r>
          </w:p>
        </w:tc>
      </w:tr>
      <w:tr>
        <w:tc>
          <w:tcPr>
            <w:tcW w:type="dxa" w:w="2551"/>
            <w:shd w:fill="EEF2F7" w:val="clear"/>
          </w:tcPr>
          <w:p>
            <w:r>
              <w:rPr>
                <w:b/>
                <w:sz w:val="15"/>
              </w:rPr>
              <w:t>Autonomie financière</w:t>
            </w:r>
          </w:p>
        </w:tc>
        <w:tc>
          <w:tcPr>
            <w:tcW w:type="dxa" w:w="1053"/>
            <w:shd w:fill="FFFFFF" w:val="clear"/>
          </w:tcPr>
          <w:p>
            <w:r>
              <w:rPr>
                <w:b/>
                <w:color w:val="000000"/>
                <w:sz w:val="16"/>
              </w:rPr>
              <w:t>55.92%</w:t>
            </w:r>
          </w:p>
        </w:tc>
        <w:tc>
          <w:tcPr>
            <w:tcW w:type="dxa" w:w="1053"/>
            <w:shd w:fill="FFFFFF" w:val="clear"/>
          </w:tcPr>
          <w:p>
            <w:r>
              <w:rPr>
                <w:b/>
                <w:color w:val="000000"/>
                <w:sz w:val="16"/>
              </w:rPr>
              <w:t>36.16%</w:t>
            </w:r>
          </w:p>
        </w:tc>
        <w:tc>
          <w:tcPr>
            <w:tcW w:type="dxa" w:w="1053"/>
            <w:shd w:fill="FFC7CE" w:val="clear"/>
          </w:tcPr>
          <w:p>
            <w:r>
              <w:rPr>
                <w:b/>
                <w:color w:val="B40000"/>
                <w:sz w:val="16"/>
              </w:rPr>
              <w:t>22.88%</w:t>
            </w:r>
          </w:p>
        </w:tc>
        <w:tc>
          <w:tcPr>
            <w:tcW w:type="dxa" w:w="1053"/>
            <w:shd w:fill="FFFFFF" w:val="clear"/>
          </w:tcPr>
          <w:p>
            <w:r>
              <w:rPr>
                <w:b/>
                <w:color w:val="000000"/>
                <w:sz w:val="16"/>
              </w:rPr>
              <w:t>67.32%</w:t>
            </w:r>
          </w:p>
        </w:tc>
        <w:tc>
          <w:tcPr>
            <w:tcW w:type="dxa" w:w="1053"/>
            <w:shd w:fill="FFFFFF" w:val="clear"/>
          </w:tcPr>
          <w:p>
            <w:r>
              <w:rPr>
                <w:b/>
                <w:color w:val="000000"/>
                <w:sz w:val="16"/>
              </w:rPr>
              <w:t>77.01%</w:t>
            </w:r>
          </w:p>
        </w:tc>
        <w:tc>
          <w:tcPr>
            <w:tcW w:type="dxa" w:w="1053"/>
            <w:shd w:fill="FFFFFF" w:val="clear"/>
          </w:tcPr>
          <w:p>
            <w:r>
              <w:rPr>
                <w:b/>
                <w:color w:val="000000"/>
                <w:sz w:val="16"/>
              </w:rPr>
              <w:t>24.10%</w:t>
            </w:r>
          </w:p>
        </w:tc>
        <w:tc>
          <w:tcPr>
            <w:tcW w:type="dxa" w:w="1053"/>
            <w:shd w:fill="C6EFCE" w:val="clear"/>
          </w:tcPr>
          <w:p>
            <w:r>
              <w:rPr>
                <w:b/>
                <w:color w:val="006400"/>
                <w:sz w:val="16"/>
              </w:rPr>
              <w:t>77.58%</w:t>
            </w:r>
          </w:p>
        </w:tc>
      </w:tr>
      <w:tr>
        <w:tc>
          <w:tcPr>
            <w:tcW w:type="dxa" w:w="2551"/>
            <w:shd w:fill="EEF2F7" w:val="clear"/>
          </w:tcPr>
          <w:p>
            <w:r>
              <w:rPr>
                <w:b/>
                <w:sz w:val="15"/>
              </w:rPr>
              <w:t>Ratio endettement</w:t>
            </w:r>
          </w:p>
        </w:tc>
        <w:tc>
          <w:tcPr>
            <w:tcW w:type="dxa" w:w="1053"/>
            <w:shd w:fill="FFFFFF" w:val="clear"/>
          </w:tcPr>
          <w:p>
            <w:r>
              <w:rPr>
                <w:b/>
                <w:color w:val="000000"/>
                <w:sz w:val="16"/>
              </w:rPr>
              <w:t>44.08%</w:t>
            </w:r>
          </w:p>
        </w:tc>
        <w:tc>
          <w:tcPr>
            <w:tcW w:type="dxa" w:w="1053"/>
            <w:shd w:fill="FFFFFF" w:val="clear"/>
          </w:tcPr>
          <w:p>
            <w:r>
              <w:rPr>
                <w:b/>
                <w:color w:val="000000"/>
                <w:sz w:val="16"/>
              </w:rPr>
              <w:t>105.48%</w:t>
            </w:r>
          </w:p>
        </w:tc>
        <w:tc>
          <w:tcPr>
            <w:tcW w:type="dxa" w:w="1053"/>
            <w:shd w:fill="FFFFFF" w:val="clear"/>
          </w:tcPr>
          <w:p>
            <w:r>
              <w:rPr>
                <w:b/>
                <w:color w:val="000000"/>
                <w:sz w:val="16"/>
              </w:rPr>
              <w:t>23.07%</w:t>
            </w:r>
          </w:p>
        </w:tc>
        <w:tc>
          <w:tcPr>
            <w:tcW w:type="dxa" w:w="1053"/>
            <w:shd w:fill="FFFFFF" w:val="clear"/>
          </w:tcPr>
          <w:p>
            <w:r>
              <w:rPr>
                <w:b/>
                <w:color w:val="000000"/>
                <w:sz w:val="16"/>
              </w:rPr>
              <w:t>2.57%</w:t>
            </w:r>
          </w:p>
        </w:tc>
        <w:tc>
          <w:tcPr>
            <w:tcW w:type="dxa" w:w="1053"/>
            <w:shd w:fill="F2F2F2" w:val="clear"/>
          </w:tcPr>
          <w:p>
            <w:r>
              <w:rPr>
                <w:b/>
                <w:sz w:val="16"/>
              </w:rPr>
              <w:t>N/D</w:t>
            </w:r>
          </w:p>
        </w:tc>
        <w:tc>
          <w:tcPr>
            <w:tcW w:type="dxa" w:w="1053"/>
            <w:shd w:fill="FFC7CE" w:val="clear"/>
          </w:tcPr>
          <w:p>
            <w:r>
              <w:rPr>
                <w:b/>
                <w:color w:val="B40000"/>
                <w:sz w:val="16"/>
              </w:rPr>
              <w:t>314.86%</w:t>
            </w:r>
          </w:p>
        </w:tc>
        <w:tc>
          <w:tcPr>
            <w:tcW w:type="dxa" w:w="1053"/>
            <w:shd w:fill="C6EFCE" w:val="clear"/>
          </w:tcPr>
          <w:p>
            <w:r>
              <w:rPr>
                <w:b/>
                <w:color w:val="006400"/>
                <w:sz w:val="16"/>
              </w:rPr>
              <w:t>1.50%</w:t>
            </w:r>
          </w:p>
        </w:tc>
      </w:tr>
      <w:tr>
        <w:tc>
          <w:tcPr>
            <w:tcW w:type="dxa" w:w="2551"/>
            <w:shd w:fill="EEF2F7" w:val="clear"/>
          </w:tcPr>
          <w:p>
            <w:r>
              <w:rPr>
                <w:b/>
                <w:sz w:val="15"/>
              </w:rPr>
              <w:t>Solvabilité générale</w:t>
            </w:r>
          </w:p>
        </w:tc>
        <w:tc>
          <w:tcPr>
            <w:tcW w:type="dxa" w:w="1053"/>
            <w:shd w:fill="FFFFFF" w:val="clear"/>
          </w:tcPr>
          <w:p>
            <w:r>
              <w:rPr>
                <w:b/>
                <w:color w:val="000000"/>
                <w:sz w:val="16"/>
              </w:rPr>
              <w:t>226.84%</w:t>
            </w:r>
          </w:p>
        </w:tc>
        <w:tc>
          <w:tcPr>
            <w:tcW w:type="dxa" w:w="1053"/>
            <w:shd w:fill="FFFFFF" w:val="clear"/>
          </w:tcPr>
          <w:p>
            <w:r>
              <w:rPr>
                <w:b/>
                <w:color w:val="000000"/>
                <w:sz w:val="16"/>
              </w:rPr>
              <w:t>156.64%</w:t>
            </w:r>
          </w:p>
        </w:tc>
        <w:tc>
          <w:tcPr>
            <w:tcW w:type="dxa" w:w="1053"/>
            <w:shd w:fill="FFC7CE" w:val="clear"/>
          </w:tcPr>
          <w:p>
            <w:r>
              <w:rPr>
                <w:b/>
                <w:color w:val="B40000"/>
                <w:sz w:val="16"/>
              </w:rPr>
              <w:t>129.67%</w:t>
            </w:r>
          </w:p>
        </w:tc>
        <w:tc>
          <w:tcPr>
            <w:tcW w:type="dxa" w:w="1053"/>
            <w:shd w:fill="FFFFFF" w:val="clear"/>
          </w:tcPr>
          <w:p>
            <w:r>
              <w:rPr>
                <w:b/>
                <w:color w:val="000000"/>
                <w:sz w:val="16"/>
              </w:rPr>
              <w:t>306.04%</w:t>
            </w:r>
          </w:p>
        </w:tc>
        <w:tc>
          <w:tcPr>
            <w:tcW w:type="dxa" w:w="1053"/>
            <w:shd w:fill="FFFFFF" w:val="clear"/>
          </w:tcPr>
          <w:p>
            <w:r>
              <w:rPr>
                <w:b/>
                <w:color w:val="000000"/>
                <w:sz w:val="16"/>
              </w:rPr>
              <w:t>435.02%</w:t>
            </w:r>
          </w:p>
        </w:tc>
        <w:tc>
          <w:tcPr>
            <w:tcW w:type="dxa" w:w="1053"/>
            <w:shd w:fill="FFFFFF" w:val="clear"/>
          </w:tcPr>
          <w:p>
            <w:r>
              <w:rPr>
                <w:b/>
                <w:color w:val="000000"/>
                <w:sz w:val="16"/>
              </w:rPr>
              <w:t>131.76%</w:t>
            </w:r>
          </w:p>
        </w:tc>
        <w:tc>
          <w:tcPr>
            <w:tcW w:type="dxa" w:w="1053"/>
            <w:shd w:fill="C6EFCE" w:val="clear"/>
          </w:tcPr>
          <w:p>
            <w:r>
              <w:rPr>
                <w:b/>
                <w:color w:val="006400"/>
                <w:sz w:val="16"/>
              </w:rPr>
              <w:t>445.93%</w:t>
            </w:r>
          </w:p>
        </w:tc>
      </w:tr>
      <w:tr>
        <w:tc>
          <w:tcPr>
            <w:tcW w:type="dxa" w:w="2551"/>
            <w:shd w:fill="EEF2F7" w:val="clear"/>
          </w:tcPr>
          <w:p>
            <w:r>
              <w:rPr>
                <w:b/>
                <w:sz w:val="15"/>
              </w:rPr>
              <w:t>Liquidité générale</w:t>
            </w:r>
          </w:p>
        </w:tc>
        <w:tc>
          <w:tcPr>
            <w:tcW w:type="dxa" w:w="1053"/>
            <w:shd w:fill="FFFFFF" w:val="clear"/>
          </w:tcPr>
          <w:p>
            <w:r>
              <w:rPr>
                <w:b/>
                <w:color w:val="000000"/>
                <w:sz w:val="16"/>
              </w:rPr>
              <w:t>218.37%</w:t>
            </w:r>
          </w:p>
        </w:tc>
        <w:tc>
          <w:tcPr>
            <w:tcW w:type="dxa" w:w="1053"/>
            <w:shd w:fill="FFFFFF" w:val="clear"/>
          </w:tcPr>
          <w:p>
            <w:r>
              <w:rPr>
                <w:b/>
                <w:color w:val="000000"/>
                <w:sz w:val="16"/>
              </w:rPr>
              <w:t>141.69%</w:t>
            </w:r>
          </w:p>
        </w:tc>
        <w:tc>
          <w:tcPr>
            <w:tcW w:type="dxa" w:w="1053"/>
            <w:shd w:fill="FFC7CE" w:val="clear"/>
          </w:tcPr>
          <w:p>
            <w:r>
              <w:rPr>
                <w:b/>
                <w:color w:val="B40000"/>
                <w:sz w:val="16"/>
              </w:rPr>
              <w:t>93.63%</w:t>
            </w:r>
          </w:p>
        </w:tc>
        <w:tc>
          <w:tcPr>
            <w:tcW w:type="dxa" w:w="1053"/>
            <w:shd w:fill="FFFFFF" w:val="clear"/>
          </w:tcPr>
          <w:p>
            <w:r>
              <w:rPr>
                <w:b/>
                <w:color w:val="000000"/>
                <w:sz w:val="16"/>
              </w:rPr>
              <w:t>184.84%</w:t>
            </w:r>
          </w:p>
        </w:tc>
        <w:tc>
          <w:tcPr>
            <w:tcW w:type="dxa" w:w="1053"/>
            <w:shd w:fill="C6EFCE" w:val="clear"/>
          </w:tcPr>
          <w:p>
            <w:r>
              <w:rPr>
                <w:b/>
                <w:color w:val="006400"/>
                <w:sz w:val="16"/>
              </w:rPr>
              <w:t>448.86%</w:t>
            </w:r>
          </w:p>
        </w:tc>
        <w:tc>
          <w:tcPr>
            <w:tcW w:type="dxa" w:w="1053"/>
            <w:shd w:fill="FFFFFF" w:val="clear"/>
          </w:tcPr>
          <w:p>
            <w:r>
              <w:rPr>
                <w:b/>
                <w:color w:val="000000"/>
                <w:sz w:val="16"/>
              </w:rPr>
              <w:t>120.87%</w:t>
            </w:r>
          </w:p>
        </w:tc>
        <w:tc>
          <w:tcPr>
            <w:tcW w:type="dxa" w:w="1053"/>
            <w:shd w:fill="FFFFFF" w:val="clear"/>
          </w:tcPr>
          <w:p>
            <w:r>
              <w:rPr>
                <w:b/>
                <w:color w:val="000000"/>
                <w:sz w:val="16"/>
              </w:rPr>
              <w:t>346.19%</w:t>
            </w:r>
          </w:p>
        </w:tc>
      </w:tr>
      <w:tr>
        <w:tc>
          <w:tcPr>
            <w:tcW w:type="dxa" w:w="2551"/>
            <w:shd w:fill="EEF2F7" w:val="clear"/>
          </w:tcPr>
          <w:p>
            <w:r>
              <w:rPr>
                <w:b/>
                <w:sz w:val="15"/>
              </w:rPr>
              <w:t>Free Cash Flow</w:t>
            </w:r>
          </w:p>
        </w:tc>
        <w:tc>
          <w:tcPr>
            <w:tcW w:type="dxa" w:w="1053"/>
            <w:shd w:fill="C6EFCE" w:val="clear"/>
          </w:tcPr>
          <w:p>
            <w:r>
              <w:rPr>
                <w:b/>
                <w:color w:val="006400"/>
                <w:sz w:val="16"/>
              </w:rPr>
              <w:t>619.83 M FCFA</w:t>
            </w:r>
          </w:p>
        </w:tc>
        <w:tc>
          <w:tcPr>
            <w:tcW w:type="dxa" w:w="1053"/>
            <w:shd w:fill="FFFFFF" w:val="clear"/>
          </w:tcPr>
          <w:p>
            <w:r>
              <w:rPr>
                <w:b/>
                <w:color w:val="000000"/>
                <w:sz w:val="16"/>
              </w:rPr>
              <w:t>-1.239 Mds FCFA</w:t>
            </w:r>
          </w:p>
        </w:tc>
        <w:tc>
          <w:tcPr>
            <w:tcW w:type="dxa" w:w="1053"/>
            <w:shd w:fill="FFFFFF" w:val="clear"/>
          </w:tcPr>
          <w:p>
            <w:r>
              <w:rPr>
                <w:b/>
                <w:color w:val="000000"/>
                <w:sz w:val="16"/>
              </w:rPr>
              <w:t>-1.650 Mds FCFA</w:t>
            </w:r>
          </w:p>
        </w:tc>
        <w:tc>
          <w:tcPr>
            <w:tcW w:type="dxa" w:w="1053"/>
            <w:shd w:fill="F2F2F2" w:val="clear"/>
          </w:tcPr>
          <w:p>
            <w:r>
              <w:rPr>
                <w:b/>
                <w:sz w:val="16"/>
              </w:rPr>
              <w:t>N/D</w:t>
            </w:r>
          </w:p>
        </w:tc>
        <w:tc>
          <w:tcPr>
            <w:tcW w:type="dxa" w:w="1053"/>
            <w:shd w:fill="FFFFFF" w:val="clear"/>
          </w:tcPr>
          <w:p>
            <w:r>
              <w:rPr>
                <w:b/>
                <w:color w:val="000000"/>
                <w:sz w:val="16"/>
              </w:rPr>
              <w:t>-565.91 M FCFA</w:t>
            </w:r>
          </w:p>
        </w:tc>
        <w:tc>
          <w:tcPr>
            <w:tcW w:type="dxa" w:w="1053"/>
            <w:shd w:fill="FFFFFF" w:val="clear"/>
          </w:tcPr>
          <w:p>
            <w:r>
              <w:rPr>
                <w:b/>
                <w:color w:val="000000"/>
                <w:sz w:val="16"/>
              </w:rPr>
              <w:t>-2.616 Mds FCFA</w:t>
            </w:r>
          </w:p>
        </w:tc>
        <w:tc>
          <w:tcPr>
            <w:tcW w:type="dxa" w:w="1053"/>
            <w:shd w:fill="FFC7CE" w:val="clear"/>
          </w:tcPr>
          <w:p>
            <w:r>
              <w:rPr>
                <w:b/>
                <w:color w:val="B40000"/>
                <w:sz w:val="16"/>
              </w:rPr>
              <w:t>-8.239 Mds FCFA</w:t>
            </w:r>
          </w:p>
        </w:tc>
      </w:tr>
      <w:tr>
        <w:tc>
          <w:tcPr>
            <w:tcW w:type="dxa" w:w="2551"/>
            <w:shd w:fill="EEF2F7" w:val="clear"/>
          </w:tcPr>
          <w:p>
            <w:r>
              <w:rPr>
                <w:b/>
                <w:sz w:val="15"/>
              </w:rPr>
              <w:t>Marge opérationnelle</w:t>
            </w:r>
          </w:p>
        </w:tc>
        <w:tc>
          <w:tcPr>
            <w:tcW w:type="dxa" w:w="1053"/>
            <w:shd w:fill="FFFFFF" w:val="clear"/>
          </w:tcPr>
          <w:p>
            <w:r>
              <w:rPr>
                <w:b/>
                <w:color w:val="000000"/>
                <w:sz w:val="16"/>
              </w:rPr>
              <w:t>16.38%</w:t>
            </w:r>
          </w:p>
        </w:tc>
        <w:tc>
          <w:tcPr>
            <w:tcW w:type="dxa" w:w="1053"/>
            <w:shd w:fill="FFFFFF" w:val="clear"/>
          </w:tcPr>
          <w:p>
            <w:r>
              <w:rPr>
                <w:b/>
                <w:color w:val="000000"/>
                <w:sz w:val="16"/>
              </w:rPr>
              <w:t>2.47%</w:t>
            </w:r>
          </w:p>
        </w:tc>
        <w:tc>
          <w:tcPr>
            <w:tcW w:type="dxa" w:w="1053"/>
            <w:shd w:fill="FFFFFF" w:val="clear"/>
          </w:tcPr>
          <w:p>
            <w:r>
              <w:rPr>
                <w:b/>
                <w:color w:val="000000"/>
                <w:sz w:val="16"/>
              </w:rPr>
              <w:t>4.96%</w:t>
            </w:r>
          </w:p>
        </w:tc>
        <w:tc>
          <w:tcPr>
            <w:tcW w:type="dxa" w:w="1053"/>
            <w:shd w:fill="FFFFFF" w:val="clear"/>
          </w:tcPr>
          <w:p>
            <w:r>
              <w:rPr>
                <w:b/>
                <w:color w:val="000000"/>
                <w:sz w:val="16"/>
              </w:rPr>
              <w:t>6.47%</w:t>
            </w:r>
          </w:p>
        </w:tc>
        <w:tc>
          <w:tcPr>
            <w:tcW w:type="dxa" w:w="1053"/>
            <w:shd w:fill="C6EFCE" w:val="clear"/>
          </w:tcPr>
          <w:p>
            <w:r>
              <w:rPr>
                <w:b/>
                <w:color w:val="006400"/>
                <w:sz w:val="16"/>
              </w:rPr>
              <w:t>23.60%</w:t>
            </w:r>
          </w:p>
        </w:tc>
        <w:tc>
          <w:tcPr>
            <w:tcW w:type="dxa" w:w="1053"/>
            <w:shd w:fill="FFFFFF" w:val="clear"/>
          </w:tcPr>
          <w:p>
            <w:r>
              <w:rPr>
                <w:b/>
                <w:color w:val="000000"/>
                <w:sz w:val="16"/>
              </w:rPr>
              <w:t>5.23%</w:t>
            </w:r>
          </w:p>
        </w:tc>
        <w:tc>
          <w:tcPr>
            <w:tcW w:type="dxa" w:w="1053"/>
            <w:shd w:fill="FFC7CE" w:val="clear"/>
          </w:tcPr>
          <w:p>
            <w:r>
              <w:rPr>
                <w:b/>
                <w:color w:val="B40000"/>
                <w:sz w:val="16"/>
              </w:rPr>
              <w:t>-1.46%</w:t>
            </w:r>
          </w:p>
        </w:tc>
      </w:tr>
      <w:tr>
        <w:tc>
          <w:tcPr>
            <w:tcW w:type="dxa" w:w="2551"/>
            <w:shd w:fill="EEF2F7" w:val="clear"/>
          </w:tcPr>
          <w:p>
            <w:r>
              <w:rPr>
                <w:b/>
                <w:sz w:val="15"/>
              </w:rPr>
              <w:t>Délai clients</w:t>
            </w:r>
          </w:p>
        </w:tc>
        <w:tc>
          <w:tcPr>
            <w:tcW w:type="dxa" w:w="1053"/>
            <w:shd w:fill="FFFFFF" w:val="clear"/>
          </w:tcPr>
          <w:p>
            <w:r>
              <w:rPr>
                <w:b/>
                <w:color w:val="000000"/>
                <w:sz w:val="16"/>
              </w:rPr>
              <w:t>70.1 j</w:t>
            </w:r>
          </w:p>
        </w:tc>
        <w:tc>
          <w:tcPr>
            <w:tcW w:type="dxa" w:w="1053"/>
            <w:shd w:fill="FFFFFF" w:val="clear"/>
          </w:tcPr>
          <w:p>
            <w:r>
              <w:rPr>
                <w:b/>
                <w:color w:val="000000"/>
                <w:sz w:val="16"/>
              </w:rPr>
              <w:t>104.4 j</w:t>
            </w:r>
          </w:p>
        </w:tc>
        <w:tc>
          <w:tcPr>
            <w:tcW w:type="dxa" w:w="1053"/>
            <w:shd w:fill="FFFFFF" w:val="clear"/>
          </w:tcPr>
          <w:p>
            <w:r>
              <w:rPr>
                <w:b/>
                <w:color w:val="000000"/>
                <w:sz w:val="16"/>
              </w:rPr>
              <w:t>36.6 j</w:t>
            </w:r>
          </w:p>
        </w:tc>
        <w:tc>
          <w:tcPr>
            <w:tcW w:type="dxa" w:w="1053"/>
            <w:shd w:fill="C6EFCE" w:val="clear"/>
          </w:tcPr>
          <w:p>
            <w:r>
              <w:rPr>
                <w:b/>
                <w:color w:val="006400"/>
                <w:sz w:val="16"/>
              </w:rPr>
              <w:t>4.8 j</w:t>
            </w:r>
          </w:p>
        </w:tc>
        <w:tc>
          <w:tcPr>
            <w:tcW w:type="dxa" w:w="1053"/>
            <w:shd w:fill="FFC7CE" w:val="clear"/>
          </w:tcPr>
          <w:p>
            <w:r>
              <w:rPr>
                <w:b/>
                <w:color w:val="B40000"/>
                <w:sz w:val="16"/>
              </w:rPr>
              <w:t>154.7 j</w:t>
            </w:r>
          </w:p>
        </w:tc>
        <w:tc>
          <w:tcPr>
            <w:tcW w:type="dxa" w:w="1053"/>
            <w:shd w:fill="FFFFFF" w:val="clear"/>
          </w:tcPr>
          <w:p>
            <w:r>
              <w:rPr>
                <w:b/>
                <w:color w:val="000000"/>
                <w:sz w:val="16"/>
              </w:rPr>
              <w:t>46.0 j</w:t>
            </w:r>
          </w:p>
        </w:tc>
        <w:tc>
          <w:tcPr>
            <w:tcW w:type="dxa" w:w="1053"/>
            <w:shd w:fill="FFFFFF" w:val="clear"/>
          </w:tcPr>
          <w:p>
            <w:r>
              <w:rPr>
                <w:b/>
                <w:color w:val="000000"/>
                <w:sz w:val="16"/>
              </w:rPr>
              <w:t>45.8 j</w:t>
            </w:r>
          </w:p>
        </w:tc>
      </w:tr>
      <w:tr>
        <w:tc>
          <w:tcPr>
            <w:tcW w:type="dxa" w:w="2551"/>
            <w:shd w:fill="EEF2F7" w:val="clear"/>
          </w:tcPr>
          <w:p>
            <w:r>
              <w:rPr>
                <w:b/>
                <w:sz w:val="15"/>
              </w:rPr>
              <w:t>Durée stockage</w:t>
            </w:r>
          </w:p>
        </w:tc>
        <w:tc>
          <w:tcPr>
            <w:tcW w:type="dxa" w:w="1053"/>
            <w:shd w:fill="FFFFFF" w:val="clear"/>
          </w:tcPr>
          <w:p>
            <w:r>
              <w:rPr>
                <w:b/>
                <w:color w:val="000000"/>
                <w:sz w:val="16"/>
              </w:rPr>
              <w:t>29.4 j</w:t>
            </w:r>
          </w:p>
        </w:tc>
        <w:tc>
          <w:tcPr>
            <w:tcW w:type="dxa" w:w="1053"/>
            <w:shd w:fill="FFC7CE" w:val="clear"/>
          </w:tcPr>
          <w:p>
            <w:r>
              <w:rPr>
                <w:b/>
                <w:color w:val="B40000"/>
                <w:sz w:val="16"/>
              </w:rPr>
              <w:t>339.2 j</w:t>
            </w:r>
          </w:p>
        </w:tc>
        <w:tc>
          <w:tcPr>
            <w:tcW w:type="dxa" w:w="1053"/>
            <w:shd w:fill="FFFFFF" w:val="clear"/>
          </w:tcPr>
          <w:p>
            <w:r>
              <w:rPr>
                <w:b/>
                <w:color w:val="000000"/>
                <w:sz w:val="16"/>
              </w:rPr>
              <w:t>88.3 j</w:t>
            </w:r>
          </w:p>
        </w:tc>
        <w:tc>
          <w:tcPr>
            <w:tcW w:type="dxa" w:w="1053"/>
            <w:shd w:fill="C6EFCE" w:val="clear"/>
          </w:tcPr>
          <w:p>
            <w:r>
              <w:rPr>
                <w:b/>
                <w:color w:val="006400"/>
                <w:sz w:val="16"/>
              </w:rPr>
              <w:t>1.6 j</w:t>
            </w:r>
          </w:p>
        </w:tc>
        <w:tc>
          <w:tcPr>
            <w:tcW w:type="dxa" w:w="1053"/>
            <w:shd w:fill="FFFFFF" w:val="clear"/>
          </w:tcPr>
          <w:p>
            <w:r>
              <w:rPr>
                <w:b/>
                <w:color w:val="000000"/>
                <w:sz w:val="16"/>
              </w:rPr>
              <w:t>54.5 j</w:t>
            </w:r>
          </w:p>
        </w:tc>
        <w:tc>
          <w:tcPr>
            <w:tcW w:type="dxa" w:w="1053"/>
            <w:shd w:fill="FFFFFF" w:val="clear"/>
          </w:tcPr>
          <w:p>
            <w:r>
              <w:rPr>
                <w:b/>
                <w:color w:val="000000"/>
                <w:sz w:val="16"/>
              </w:rPr>
              <w:t>150.5 j</w:t>
            </w:r>
          </w:p>
        </w:tc>
        <w:tc>
          <w:tcPr>
            <w:tcW w:type="dxa" w:w="1053"/>
            <w:shd w:fill="FFFFFF" w:val="clear"/>
          </w:tcPr>
          <w:p>
            <w:r>
              <w:rPr>
                <w:b/>
                <w:color w:val="000000"/>
                <w:sz w:val="16"/>
              </w:rPr>
              <w:t>325.0 j</w:t>
            </w:r>
          </w:p>
        </w:tc>
      </w:tr>
    </w:tbl>
    <w:p/>
    <w:p>
      <w:pPr>
        <w:pStyle w:val="Heading3"/>
      </w:pPr>
      <w:r>
        <w:t>🔍 Analyse détaillée par société</w:t>
      </w:r>
    </w:p>
    <w:p>
      <w:pPr>
        <w:spacing w:before="160"/>
      </w:pPr>
      <w:r>
        <w:rPr>
          <w:b/>
          <w:color w:val="003366"/>
          <w:sz w:val="20"/>
        </w:rPr>
        <w:t xml:space="preserve">▶ ABJC — ABJC - SERVAIR ABIDJAN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26.18%</w:t>
            </w:r>
          </w:p>
        </w:tc>
        <w:tc>
          <w:tcPr>
            <w:tcW w:type="dxa" w:w="5669"/>
            <w:shd w:fill="FFFFFF" w:val="clear"/>
          </w:tcPr>
          <w:p>
            <w:r>
              <w:rPr>
                <w:sz w:val="15"/>
              </w:rPr>
              <w:t>✅ ROE de 26.2%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14.64%</w:t>
            </w:r>
          </w:p>
        </w:tc>
        <w:tc>
          <w:tcPr>
            <w:tcW w:type="dxa" w:w="5669"/>
            <w:shd w:fill="FFFFFF" w:val="clear"/>
          </w:tcPr>
          <w:p>
            <w:r>
              <w:rPr>
                <w:sz w:val="15"/>
              </w:rPr>
              <w:t>✅ ROA de 14.64%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10.16%</w:t>
            </w:r>
          </w:p>
        </w:tc>
        <w:tc>
          <w:tcPr>
            <w:tcW w:type="dxa" w:w="5669"/>
            <w:shd w:fill="FFFFFF" w:val="clear"/>
          </w:tcPr>
          <w:p>
            <w:r>
              <w:rPr>
                <w:sz w:val="15"/>
              </w:rPr>
              <w:t>✅ Marge nette de 10.2%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1.351 Mds FCFA</w:t>
            </w:r>
          </w:p>
        </w:tc>
        <w:tc>
          <w:tcPr>
            <w:tcW w:type="dxa" w:w="5669"/>
            <w:shd w:fill="FFFFFF" w:val="clear"/>
          </w:tcPr>
          <w:p>
            <w:r>
              <w:rPr>
                <w:sz w:val="15"/>
              </w:rPr>
              <w:t>✅ Résultat net positif de 1.351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6.67%</w:t>
            </w:r>
          </w:p>
        </w:tc>
        <w:tc>
          <w:tcPr>
            <w:tcW w:type="dxa" w:w="5669"/>
            <w:shd w:fill="FFFFFF" w:val="clear"/>
          </w:tcPr>
          <w:p>
            <w:r>
              <w:rPr>
                <w:sz w:val="15"/>
              </w:rPr>
              <w:t>✅ Croissance de 6.7%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55.92%</w:t>
            </w:r>
          </w:p>
        </w:tc>
        <w:tc>
          <w:tcPr>
            <w:tcW w:type="dxa" w:w="5669"/>
            <w:shd w:fill="FFFFFF" w:val="clear"/>
          </w:tcPr>
          <w:p>
            <w:r>
              <w:rPr>
                <w:sz w:val="15"/>
              </w:rPr>
              <w:t>✅ Autonomie financière de 55.9%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44.08%</w:t>
            </w:r>
          </w:p>
        </w:tc>
        <w:tc>
          <w:tcPr>
            <w:tcW w:type="dxa" w:w="5669"/>
            <w:shd w:fill="FFFFFF" w:val="clear"/>
          </w:tcPr>
          <w:p>
            <w:r>
              <w:rPr>
                <w:sz w:val="15"/>
              </w:rPr>
              <w:t>✅ Gearing de 44%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226.84%</w:t>
            </w:r>
          </w:p>
        </w:tc>
        <w:tc>
          <w:tcPr>
            <w:tcW w:type="dxa" w:w="5669"/>
            <w:shd w:fill="FFFFFF" w:val="clear"/>
          </w:tcPr>
          <w:p>
            <w:r>
              <w:rPr>
                <w:sz w:val="15"/>
              </w:rPr>
              <w:t>✅ Solvabilité de 227%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218.37%</w:t>
            </w:r>
          </w:p>
        </w:tc>
        <w:tc>
          <w:tcPr>
            <w:tcW w:type="dxa" w:w="5669"/>
            <w:shd w:fill="FFFFFF" w:val="clear"/>
          </w:tcPr>
          <w:p>
            <w:r>
              <w:rPr>
                <w:sz w:val="15"/>
              </w:rPr>
              <w:t>✅ Liquidité générale de 218x — actif circulant deux fois supérieur aux dettes CT. Trésorerie très confortable.</w:t>
            </w:r>
          </w:p>
        </w:tc>
      </w:tr>
      <w:tr>
        <w:tc>
          <w:tcPr>
            <w:tcW w:type="dxa" w:w="2268"/>
            <w:shd w:fill="EEF2F7" w:val="clear"/>
          </w:tcPr>
          <w:p>
            <w:r>
              <w:rPr>
                <w:b/>
                <w:sz w:val="15"/>
              </w:rPr>
              <w:t>Free Cash Flow</w:t>
            </w:r>
          </w:p>
        </w:tc>
        <w:tc>
          <w:tcPr>
            <w:tcW w:type="dxa" w:w="1984"/>
            <w:shd w:fill="C6EFCE" w:val="clear"/>
          </w:tcPr>
          <w:p>
            <w:r>
              <w:rPr>
                <w:b/>
                <w:color w:val="007800"/>
                <w:sz w:val="17"/>
              </w:rPr>
              <w:t>619.83 M FCFA</w:t>
            </w:r>
          </w:p>
        </w:tc>
        <w:tc>
          <w:tcPr>
            <w:tcW w:type="dxa" w:w="5669"/>
            <w:shd w:fill="FFFFFF" w:val="clear"/>
          </w:tcPr>
          <w:p>
            <w:r>
              <w:rPr>
                <w:sz w:val="15"/>
              </w:rPr>
              <w:t>✅ FCF positif de 619.83 M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16.38%</w:t>
            </w:r>
          </w:p>
        </w:tc>
        <w:tc>
          <w:tcPr>
            <w:tcW w:type="dxa" w:w="5669"/>
            <w:shd w:fill="FFFFFF" w:val="clear"/>
          </w:tcPr>
          <w:p>
            <w:r>
              <w:rPr>
                <w:sz w:val="15"/>
              </w:rPr>
              <w:t>✅ Marge opérationnelle correcte (16.4%).</w:t>
            </w:r>
          </w:p>
        </w:tc>
      </w:tr>
      <w:tr>
        <w:tc>
          <w:tcPr>
            <w:tcW w:type="dxa" w:w="2268"/>
            <w:shd w:fill="EEF2F7" w:val="clear"/>
          </w:tcPr>
          <w:p>
            <w:r>
              <w:rPr>
                <w:b/>
                <w:sz w:val="15"/>
              </w:rPr>
              <w:t>Délai clients</w:t>
            </w:r>
          </w:p>
        </w:tc>
        <w:tc>
          <w:tcPr>
            <w:tcW w:type="dxa" w:w="1984"/>
            <w:shd w:fill="FFEB9C" w:val="clear"/>
          </w:tcPr>
          <w:p>
            <w:r>
              <w:rPr>
                <w:b/>
                <w:color w:val="007800"/>
                <w:sz w:val="17"/>
              </w:rPr>
              <w:t>70.1 j</w:t>
            </w:r>
          </w:p>
        </w:tc>
        <w:tc>
          <w:tcPr>
            <w:tcW w:type="dxa" w:w="5669"/>
            <w:shd w:fill="FFFFFF" w:val="clear"/>
          </w:tcPr>
          <w:p>
            <w:r>
              <w:rPr>
                <w:sz w:val="15"/>
              </w:rPr>
              <w:t>⚠️ Délai long (70 jours) — risque d'impayés accru, pression sur la trésorerie CT.</w:t>
            </w:r>
          </w:p>
        </w:tc>
      </w:tr>
      <w:tr>
        <w:tc>
          <w:tcPr>
            <w:tcW w:type="dxa" w:w="2268"/>
            <w:shd w:fill="EEF2F7" w:val="clear"/>
          </w:tcPr>
          <w:p>
            <w:r>
              <w:rPr>
                <w:b/>
                <w:sz w:val="15"/>
              </w:rPr>
              <w:t>Durée stockage</w:t>
            </w:r>
          </w:p>
        </w:tc>
        <w:tc>
          <w:tcPr>
            <w:tcW w:type="dxa" w:w="1984"/>
            <w:shd w:fill="C6EFCE" w:val="clear"/>
          </w:tcPr>
          <w:p>
            <w:r>
              <w:rPr>
                <w:b/>
                <w:color w:val="007800"/>
                <w:sz w:val="17"/>
              </w:rPr>
              <w:t>29.4 j</w:t>
            </w:r>
          </w:p>
        </w:tc>
        <w:tc>
          <w:tcPr>
            <w:tcW w:type="dxa" w:w="5669"/>
            <w:shd w:fill="FFFFFF" w:val="clear"/>
          </w:tcPr>
          <w:p>
            <w:r>
              <w:rPr>
                <w:sz w:val="15"/>
              </w:rPr>
              <w:t>✅ Stock écoulé en 29 jours — rotation excellente, capital peu immobilisé.</w:t>
            </w:r>
          </w:p>
        </w:tc>
      </w:tr>
    </w:tbl>
    <w:p/>
    <w:p>
      <w:pPr>
        <w:spacing w:before="160"/>
      </w:pPr>
      <w:r>
        <w:rPr>
          <w:b/>
          <w:color w:val="003366"/>
          <w:sz w:val="20"/>
        </w:rPr>
        <w:t xml:space="preserve">▶ BNBC — BNBC - BERNABE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0.13%</w:t>
            </w:r>
          </w:p>
        </w:tc>
        <w:tc>
          <w:tcPr>
            <w:tcW w:type="dxa" w:w="5669"/>
            <w:shd w:fill="FFFFFF" w:val="clear"/>
          </w:tcPr>
          <w:p>
            <w:r>
              <w:rPr>
                <w:sz w:val="15"/>
              </w:rPr>
              <w:t>⚠️ ROE de 0.1%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0.05%</w:t>
            </w:r>
          </w:p>
        </w:tc>
        <w:tc>
          <w:tcPr>
            <w:tcW w:type="dxa" w:w="5669"/>
            <w:shd w:fill="FFFFFF" w:val="clear"/>
          </w:tcPr>
          <w:p>
            <w:r>
              <w:rPr>
                <w:sz w:val="15"/>
              </w:rPr>
              <w:t>⚠️ ROA de 0.05%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0.05%</w:t>
            </w:r>
          </w:p>
        </w:tc>
        <w:tc>
          <w:tcPr>
            <w:tcW w:type="dxa" w:w="5669"/>
            <w:shd w:fill="FFFFFF" w:val="clear"/>
          </w:tcPr>
          <w:p>
            <w:r>
              <w:rPr>
                <w:sz w:val="15"/>
              </w:rPr>
              <w:t>⚠️ Marge nette quasi-nulle (0.05%) — activité à peine bénéficiaire.</w:t>
            </w:r>
          </w:p>
        </w:tc>
      </w:tr>
      <w:tr>
        <w:tc>
          <w:tcPr>
            <w:tcW w:type="dxa" w:w="2268"/>
            <w:shd w:fill="EEF2F7" w:val="clear"/>
          </w:tcPr>
          <w:p>
            <w:r>
              <w:rPr>
                <w:b/>
                <w:sz w:val="15"/>
              </w:rPr>
              <w:t>Résultat net</w:t>
            </w:r>
          </w:p>
        </w:tc>
        <w:tc>
          <w:tcPr>
            <w:tcW w:type="dxa" w:w="1984"/>
            <w:shd w:fill="C6EFCE" w:val="clear"/>
          </w:tcPr>
          <w:p>
            <w:r>
              <w:rPr>
                <w:b/>
                <w:color w:val="007800"/>
                <w:sz w:val="17"/>
              </w:rPr>
              <w:t>22.32 M FCFA</w:t>
            </w:r>
          </w:p>
        </w:tc>
        <w:tc>
          <w:tcPr>
            <w:tcW w:type="dxa" w:w="5669"/>
            <w:shd w:fill="FFFFFF" w:val="clear"/>
          </w:tcPr>
          <w:p>
            <w:r>
              <w:rPr>
                <w:sz w:val="15"/>
              </w:rPr>
              <w:t>✅ Résultat net positif de 22.32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-6.31%</w:t>
            </w:r>
          </w:p>
        </w:tc>
        <w:tc>
          <w:tcPr>
            <w:tcW w:type="dxa" w:w="5669"/>
            <w:shd w:fill="FFFFFF" w:val="clear"/>
          </w:tcPr>
          <w:p>
            <w:r>
              <w:rPr>
                <w:sz w:val="15"/>
              </w:rPr>
              <w:t>❌ Recul marqué de 6.3%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36.16%</w:t>
            </w:r>
          </w:p>
        </w:tc>
        <w:tc>
          <w:tcPr>
            <w:tcW w:type="dxa" w:w="5669"/>
            <w:shd w:fill="FFFFFF" w:val="clear"/>
          </w:tcPr>
          <w:p>
            <w:r>
              <w:rPr>
                <w:sz w:val="15"/>
              </w:rPr>
              <w:t>✅ Autonomie financière correcte (36.2%)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105.48%</w:t>
            </w:r>
          </w:p>
        </w:tc>
        <w:tc>
          <w:tcPr>
            <w:tcW w:type="dxa" w:w="5669"/>
            <w:shd w:fill="FFFFFF" w:val="clear"/>
          </w:tcPr>
          <w:p>
            <w:r>
              <w:rPr>
                <w:sz w:val="15"/>
              </w:rPr>
              <w:t>✅ Gearing de 105%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156.64%</w:t>
            </w:r>
          </w:p>
        </w:tc>
        <w:tc>
          <w:tcPr>
            <w:tcW w:type="dxa" w:w="5669"/>
            <w:shd w:fill="FFFFFF" w:val="clear"/>
          </w:tcPr>
          <w:p>
            <w:r>
              <w:rPr>
                <w:sz w:val="15"/>
              </w:rPr>
              <w:t>✅ Solvabilité satisfaisante (157%)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141.69%</w:t>
            </w:r>
          </w:p>
        </w:tc>
        <w:tc>
          <w:tcPr>
            <w:tcW w:type="dxa" w:w="5669"/>
            <w:shd w:fill="FFFFFF" w:val="clear"/>
          </w:tcPr>
          <w:p>
            <w:r>
              <w:rPr>
                <w:sz w:val="15"/>
              </w:rPr>
              <w:t>✅ Liquidité générale de 141.69x — bonne capacité à honorer les obligations CT.</w:t>
            </w:r>
          </w:p>
        </w:tc>
      </w:tr>
      <w:tr>
        <w:tc>
          <w:tcPr>
            <w:tcW w:type="dxa" w:w="2268"/>
            <w:shd w:fill="EEF2F7" w:val="clear"/>
          </w:tcPr>
          <w:p>
            <w:r>
              <w:rPr>
                <w:b/>
                <w:sz w:val="15"/>
              </w:rPr>
              <w:t>Free Cash Flow</w:t>
            </w:r>
          </w:p>
        </w:tc>
        <w:tc>
          <w:tcPr>
            <w:tcW w:type="dxa" w:w="1984"/>
            <w:shd w:fill="FFC7CE" w:val="clear"/>
          </w:tcPr>
          <w:p>
            <w:r>
              <w:rPr>
                <w:b/>
                <w:color w:val="B40000"/>
                <w:sz w:val="17"/>
              </w:rPr>
              <w:t>-1.239 Mds FCFA</w:t>
            </w:r>
          </w:p>
        </w:tc>
        <w:tc>
          <w:tcPr>
            <w:tcW w:type="dxa" w:w="5669"/>
            <w:shd w:fill="FFFFFF" w:val="clear"/>
          </w:tcPr>
          <w:p>
            <w:r>
              <w:rPr>
                <w:sz w:val="15"/>
              </w:rPr>
              <w:t>❌ FCF négatif significatif (-1.239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2.47%</w:t>
            </w:r>
          </w:p>
        </w:tc>
        <w:tc>
          <w:tcPr>
            <w:tcW w:type="dxa" w:w="5669"/>
            <w:shd w:fill="FFFFFF" w:val="clear"/>
          </w:tcPr>
          <w:p>
            <w:r>
              <w:rPr>
                <w:sz w:val="15"/>
              </w:rPr>
              <w:t>⚠️ Marge opérationnelle faible (2.5%)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104.4 j</w:t>
            </w:r>
          </w:p>
        </w:tc>
        <w:tc>
          <w:tcPr>
            <w:tcW w:type="dxa" w:w="5669"/>
            <w:shd w:fill="FFFFFF" w:val="clear"/>
          </w:tcPr>
          <w:p>
            <w:r>
              <w:rPr>
                <w:sz w:val="15"/>
              </w:rPr>
              <w:t>❌ Délai critique de 104 jours — process de recouvrement à revoir. Immobilisation de capital excessive.</w:t>
            </w:r>
          </w:p>
        </w:tc>
      </w:tr>
      <w:tr>
        <w:tc>
          <w:tcPr>
            <w:tcW w:type="dxa" w:w="2268"/>
            <w:shd w:fill="EEF2F7" w:val="clear"/>
          </w:tcPr>
          <w:p>
            <w:r>
              <w:rPr>
                <w:b/>
                <w:sz w:val="15"/>
              </w:rPr>
              <w:t>Durée stockage</w:t>
            </w:r>
          </w:p>
        </w:tc>
        <w:tc>
          <w:tcPr>
            <w:tcW w:type="dxa" w:w="1984"/>
            <w:shd w:fill="FFC7CE" w:val="clear"/>
          </w:tcPr>
          <w:p>
            <w:r>
              <w:rPr>
                <w:b/>
                <w:color w:val="007800"/>
                <w:sz w:val="17"/>
              </w:rPr>
              <w:t>339.2 j</w:t>
            </w:r>
          </w:p>
        </w:tc>
        <w:tc>
          <w:tcPr>
            <w:tcW w:type="dxa" w:w="5669"/>
            <w:shd w:fill="FFFFFF" w:val="clear"/>
          </w:tcPr>
          <w:p>
            <w:r>
              <w:rPr>
                <w:sz w:val="15"/>
              </w:rPr>
              <w:t>❌ Stock quasi-bloqué (339 jours) — capital fortement immobilisé, risque d'obsolescence élevé.</w:t>
            </w:r>
          </w:p>
        </w:tc>
      </w:tr>
    </w:tbl>
    <w:p/>
    <w:p>
      <w:pPr>
        <w:spacing w:before="160"/>
      </w:pPr>
      <w:r>
        <w:rPr>
          <w:b/>
          <w:color w:val="003366"/>
          <w:sz w:val="20"/>
        </w:rPr>
        <w:t xml:space="preserve">▶ CFAC — CFAC - CFAO MOTORS CI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24.13%</w:t>
            </w:r>
          </w:p>
        </w:tc>
        <w:tc>
          <w:tcPr>
            <w:tcW w:type="dxa" w:w="5669"/>
            <w:shd w:fill="FFFFFF" w:val="clear"/>
          </w:tcPr>
          <w:p>
            <w:r>
              <w:rPr>
                <w:sz w:val="15"/>
              </w:rPr>
              <w:t>✅ ROE de 24.1%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5.52%</w:t>
            </w:r>
          </w:p>
        </w:tc>
        <w:tc>
          <w:tcPr>
            <w:tcW w:type="dxa" w:w="5669"/>
            <w:shd w:fill="FFFFFF" w:val="clear"/>
          </w:tcPr>
          <w:p>
            <w:r>
              <w:rPr>
                <w:sz w:val="15"/>
              </w:rPr>
              <w:t>✅ ROA de 5.52% — bonne utilisation des actifs (seuil entreprise ≈ 5%).</w:t>
            </w:r>
          </w:p>
        </w:tc>
      </w:tr>
      <w:tr>
        <w:tc>
          <w:tcPr>
            <w:tcW w:type="dxa" w:w="2268"/>
            <w:shd w:fill="EEF2F7" w:val="clear"/>
          </w:tcPr>
          <w:p>
            <w:r>
              <w:rPr>
                <w:b/>
                <w:sz w:val="15"/>
              </w:rPr>
              <w:t>Marge nette</w:t>
            </w:r>
          </w:p>
        </w:tc>
        <w:tc>
          <w:tcPr>
            <w:tcW w:type="dxa" w:w="1984"/>
            <w:shd w:fill="FFEB9C" w:val="clear"/>
          </w:tcPr>
          <w:p>
            <w:r>
              <w:rPr>
                <w:b/>
                <w:color w:val="007800"/>
                <w:sz w:val="17"/>
              </w:rPr>
              <w:t>2.96%</w:t>
            </w:r>
          </w:p>
        </w:tc>
        <w:tc>
          <w:tcPr>
            <w:tcW w:type="dxa" w:w="5669"/>
            <w:shd w:fill="FFFFFF" w:val="clear"/>
          </w:tcPr>
          <w:p>
            <w:r>
              <w:rPr>
                <w:sz w:val="15"/>
              </w:rPr>
              <w:t>⚠️ Marge nette de 3.0%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4.693 Mds FCFA</w:t>
            </w:r>
          </w:p>
        </w:tc>
        <w:tc>
          <w:tcPr>
            <w:tcW w:type="dxa" w:w="5669"/>
            <w:shd w:fill="FFFFFF" w:val="clear"/>
          </w:tcPr>
          <w:p>
            <w:r>
              <w:rPr>
                <w:sz w:val="15"/>
              </w:rPr>
              <w:t>✅ Résultat net positif de 4.693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-12.13%</w:t>
            </w:r>
          </w:p>
        </w:tc>
        <w:tc>
          <w:tcPr>
            <w:tcW w:type="dxa" w:w="5669"/>
            <w:shd w:fill="FFFFFF" w:val="clear"/>
          </w:tcPr>
          <w:p>
            <w:r>
              <w:rPr>
                <w:sz w:val="15"/>
              </w:rPr>
              <w:t>❌ Recul marqué de 12.1%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22.88%</w:t>
            </w:r>
          </w:p>
        </w:tc>
        <w:tc>
          <w:tcPr>
            <w:tcW w:type="dxa" w:w="5669"/>
            <w:shd w:fill="FFFFFF" w:val="clear"/>
          </w:tcPr>
          <w:p>
            <w:r>
              <w:rPr>
                <w:sz w:val="15"/>
              </w:rPr>
              <w:t>✅ Autonomie financière correcte (22.9%)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23.07%</w:t>
            </w:r>
          </w:p>
        </w:tc>
        <w:tc>
          <w:tcPr>
            <w:tcW w:type="dxa" w:w="5669"/>
            <w:shd w:fill="FFFFFF" w:val="clear"/>
          </w:tcPr>
          <w:p>
            <w:r>
              <w:rPr>
                <w:sz w:val="15"/>
              </w:rPr>
              <w:t>✅ Gearing de 23%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129.67%</w:t>
            </w:r>
          </w:p>
        </w:tc>
        <w:tc>
          <w:tcPr>
            <w:tcW w:type="dxa" w:w="5669"/>
            <w:shd w:fill="FFFFFF" w:val="clear"/>
          </w:tcPr>
          <w:p>
            <w:r>
              <w:rPr>
                <w:sz w:val="15"/>
              </w:rPr>
              <w:t>✅ Solvabilité satisfaisante (130%)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93.63%</w:t>
            </w:r>
          </w:p>
        </w:tc>
        <w:tc>
          <w:tcPr>
            <w:tcW w:type="dxa" w:w="5669"/>
            <w:shd w:fill="FFFFFF" w:val="clear"/>
          </w:tcPr>
          <w:p>
            <w:r>
              <w:rPr>
                <w:sz w:val="15"/>
              </w:rPr>
              <w:t>❌ Liquidité insuffisante (93.63x) — actif circulant ne couvre pas les dettes CT. Risque de défaut de paiement.</w:t>
            </w:r>
          </w:p>
        </w:tc>
      </w:tr>
      <w:tr>
        <w:tc>
          <w:tcPr>
            <w:tcW w:type="dxa" w:w="2268"/>
            <w:shd w:fill="EEF2F7" w:val="clear"/>
          </w:tcPr>
          <w:p>
            <w:r>
              <w:rPr>
                <w:b/>
                <w:sz w:val="15"/>
              </w:rPr>
              <w:t>Free Cash Flow</w:t>
            </w:r>
          </w:p>
        </w:tc>
        <w:tc>
          <w:tcPr>
            <w:tcW w:type="dxa" w:w="1984"/>
            <w:shd w:fill="FFC7CE" w:val="clear"/>
          </w:tcPr>
          <w:p>
            <w:r>
              <w:rPr>
                <w:b/>
                <w:color w:val="B40000"/>
                <w:sz w:val="17"/>
              </w:rPr>
              <w:t>-1.650 Mds FCFA</w:t>
            </w:r>
          </w:p>
        </w:tc>
        <w:tc>
          <w:tcPr>
            <w:tcW w:type="dxa" w:w="5669"/>
            <w:shd w:fill="FFFFFF" w:val="clear"/>
          </w:tcPr>
          <w:p>
            <w:r>
              <w:rPr>
                <w:sz w:val="15"/>
              </w:rPr>
              <w:t>❌ FCF négatif significatif (-1.650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4.96%</w:t>
            </w:r>
          </w:p>
        </w:tc>
        <w:tc>
          <w:tcPr>
            <w:tcW w:type="dxa" w:w="5669"/>
            <w:shd w:fill="FFFFFF" w:val="clear"/>
          </w:tcPr>
          <w:p>
            <w:r>
              <w:rPr>
                <w:sz w:val="15"/>
              </w:rPr>
              <w:t>⚠️ Marge opérationnelle faible (5.0%)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36.6 j</w:t>
            </w:r>
          </w:p>
        </w:tc>
        <w:tc>
          <w:tcPr>
            <w:tcW w:type="dxa" w:w="5669"/>
            <w:shd w:fill="FFFFFF" w:val="clear"/>
          </w:tcPr>
          <w:p>
            <w:r>
              <w:rPr>
                <w:sz w:val="15"/>
              </w:rPr>
              <w:t>✅ Délai standard (37 jours) — dans les normes commerciales habituelles.</w:t>
            </w:r>
          </w:p>
        </w:tc>
      </w:tr>
      <w:tr>
        <w:tc>
          <w:tcPr>
            <w:tcW w:type="dxa" w:w="2268"/>
            <w:shd w:fill="EEF2F7" w:val="clear"/>
          </w:tcPr>
          <w:p>
            <w:r>
              <w:rPr>
                <w:b/>
                <w:sz w:val="15"/>
              </w:rPr>
              <w:t>Durée stockage</w:t>
            </w:r>
          </w:p>
        </w:tc>
        <w:tc>
          <w:tcPr>
            <w:tcW w:type="dxa" w:w="1984"/>
            <w:shd w:fill="FFEB9C" w:val="clear"/>
          </w:tcPr>
          <w:p>
            <w:r>
              <w:rPr>
                <w:b/>
                <w:color w:val="007800"/>
                <w:sz w:val="17"/>
              </w:rPr>
              <w:t>88.3 j</w:t>
            </w:r>
          </w:p>
        </w:tc>
        <w:tc>
          <w:tcPr>
            <w:tcW w:type="dxa" w:w="5669"/>
            <w:shd w:fill="FFFFFF" w:val="clear"/>
          </w:tcPr>
          <w:p>
            <w:r>
              <w:rPr>
                <w:sz w:val="15"/>
              </w:rPr>
              <w:t>⚠️ Stock lent (88 jours) — immobilisation de capital importante. Risque d'obsolescence.</w:t>
            </w:r>
          </w:p>
        </w:tc>
      </w:tr>
    </w:tbl>
    <w:p/>
    <w:p>
      <w:pPr>
        <w:spacing w:before="160"/>
      </w:pPr>
      <w:r>
        <w:rPr>
          <w:b/>
          <w:color w:val="003366"/>
          <w:sz w:val="20"/>
        </w:rPr>
        <w:t xml:space="preserve">▶ LNBB — LNBB - LOTERIE NATIONALE DU BENIN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21.05%</w:t>
            </w:r>
          </w:p>
        </w:tc>
        <w:tc>
          <w:tcPr>
            <w:tcW w:type="dxa" w:w="5669"/>
            <w:shd w:fill="FFFFFF" w:val="clear"/>
          </w:tcPr>
          <w:p>
            <w:r>
              <w:rPr>
                <w:sz w:val="15"/>
              </w:rPr>
              <w:t>✅ ROE de 21.1%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14.17%</w:t>
            </w:r>
          </w:p>
        </w:tc>
        <w:tc>
          <w:tcPr>
            <w:tcW w:type="dxa" w:w="5669"/>
            <w:shd w:fill="FFFFFF" w:val="clear"/>
          </w:tcPr>
          <w:p>
            <w:r>
              <w:rPr>
                <w:sz w:val="15"/>
              </w:rPr>
              <w:t>✅ ROA de 14.17%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FFEB9C" w:val="clear"/>
          </w:tcPr>
          <w:p>
            <w:r>
              <w:rPr>
                <w:b/>
                <w:color w:val="007800"/>
                <w:sz w:val="17"/>
              </w:rPr>
              <w:t>4.69%</w:t>
            </w:r>
          </w:p>
        </w:tc>
        <w:tc>
          <w:tcPr>
            <w:tcW w:type="dxa" w:w="5669"/>
            <w:shd w:fill="FFFFFF" w:val="clear"/>
          </w:tcPr>
          <w:p>
            <w:r>
              <w:rPr>
                <w:sz w:val="15"/>
              </w:rPr>
              <w:t>⚠️ Marge nette de 4.7%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4.622 Mds FCFA</w:t>
            </w:r>
          </w:p>
        </w:tc>
        <w:tc>
          <w:tcPr>
            <w:tcW w:type="dxa" w:w="5669"/>
            <w:shd w:fill="FFFFFF" w:val="clear"/>
          </w:tcPr>
          <w:p>
            <w:r>
              <w:rPr>
                <w:sz w:val="15"/>
              </w:rPr>
              <w:t>✅ Résultat net positif de 4.622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-3.85%</w:t>
            </w:r>
          </w:p>
        </w:tc>
        <w:tc>
          <w:tcPr>
            <w:tcW w:type="dxa" w:w="5669"/>
            <w:shd w:fill="FFFFFF" w:val="clear"/>
          </w:tcPr>
          <w:p>
            <w:r>
              <w:rPr>
                <w:sz w:val="15"/>
              </w:rPr>
              <w:t>⚠️ Légère baisse (-3.8%) — contraction modérée du revenu principal.</w:t>
            </w:r>
          </w:p>
        </w:tc>
      </w:tr>
      <w:tr>
        <w:tc>
          <w:tcPr>
            <w:tcW w:type="dxa" w:w="2268"/>
            <w:shd w:fill="EEF2F7" w:val="clear"/>
          </w:tcPr>
          <w:p>
            <w:r>
              <w:rPr>
                <w:b/>
                <w:sz w:val="15"/>
              </w:rPr>
              <w:t>Autonomie financière</w:t>
            </w:r>
          </w:p>
        </w:tc>
        <w:tc>
          <w:tcPr>
            <w:tcW w:type="dxa" w:w="1984"/>
            <w:shd w:fill="C6EFCE" w:val="clear"/>
          </w:tcPr>
          <w:p>
            <w:r>
              <w:rPr>
                <w:b/>
                <w:color w:val="007800"/>
                <w:sz w:val="17"/>
              </w:rPr>
              <w:t>67.32%</w:t>
            </w:r>
          </w:p>
        </w:tc>
        <w:tc>
          <w:tcPr>
            <w:tcW w:type="dxa" w:w="5669"/>
            <w:shd w:fill="FFFFFF" w:val="clear"/>
          </w:tcPr>
          <w:p>
            <w:r>
              <w:rPr>
                <w:sz w:val="15"/>
              </w:rPr>
              <w:t>✅ Autonomie financière de 67.3%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2.57%</w:t>
            </w:r>
          </w:p>
        </w:tc>
        <w:tc>
          <w:tcPr>
            <w:tcW w:type="dxa" w:w="5669"/>
            <w:shd w:fill="FFFFFF" w:val="clear"/>
          </w:tcPr>
          <w:p>
            <w:r>
              <w:rPr>
                <w:sz w:val="15"/>
              </w:rPr>
              <w:t>✅ Gearing de 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306.04%</w:t>
            </w:r>
          </w:p>
        </w:tc>
        <w:tc>
          <w:tcPr>
            <w:tcW w:type="dxa" w:w="5669"/>
            <w:shd w:fill="FFFFFF" w:val="clear"/>
          </w:tcPr>
          <w:p>
            <w:r>
              <w:rPr>
                <w:sz w:val="15"/>
              </w:rPr>
              <w:t>✅ Solvabilité de 306%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184.84%</w:t>
            </w:r>
          </w:p>
        </w:tc>
        <w:tc>
          <w:tcPr>
            <w:tcW w:type="dxa" w:w="5669"/>
            <w:shd w:fill="FFFFFF" w:val="clear"/>
          </w:tcPr>
          <w:p>
            <w:r>
              <w:rPr>
                <w:sz w:val="15"/>
              </w:rPr>
              <w:t>✅ Liquidité générale de 184.84x — bonne capacité à honorer les obligations CT.</w:t>
            </w:r>
          </w:p>
        </w:tc>
      </w:tr>
      <w:tr>
        <w:tc>
          <w:tcPr>
            <w:tcW w:type="dxa" w:w="2268"/>
            <w:shd w:fill="EEF2F7" w:val="clear"/>
          </w:tcPr>
          <w:p>
            <w:r>
              <w:rPr>
                <w:b/>
                <w:sz w:val="15"/>
              </w:rPr>
              <w:t>Marge opérationnelle</w:t>
            </w:r>
          </w:p>
        </w:tc>
        <w:tc>
          <w:tcPr>
            <w:tcW w:type="dxa" w:w="1984"/>
            <w:shd w:fill="FFEB9C" w:val="clear"/>
          </w:tcPr>
          <w:p>
            <w:r>
              <w:rPr>
                <w:b/>
                <w:color w:val="007800"/>
                <w:sz w:val="17"/>
              </w:rPr>
              <w:t>6.47%</w:t>
            </w:r>
          </w:p>
        </w:tc>
        <w:tc>
          <w:tcPr>
            <w:tcW w:type="dxa" w:w="5669"/>
            <w:shd w:fill="FFFFFF" w:val="clear"/>
          </w:tcPr>
          <w:p>
            <w:r>
              <w:rPr>
                <w:sz w:val="15"/>
              </w:rPr>
              <w:t>⚠️ Marge opérationnelle faible (6.5%)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4.8 j</w:t>
            </w:r>
          </w:p>
        </w:tc>
        <w:tc>
          <w:tcPr>
            <w:tcW w:type="dxa" w:w="5669"/>
            <w:shd w:fill="FFFFFF" w:val="clear"/>
          </w:tcPr>
          <w:p>
            <w:r>
              <w:rPr>
                <w:sz w:val="15"/>
              </w:rPr>
              <w:t>✅ Délai clients de 5 jours — recouvrement rapide. Trésorerie peu sollicitée par les créances clients.</w:t>
            </w:r>
          </w:p>
        </w:tc>
      </w:tr>
      <w:tr>
        <w:tc>
          <w:tcPr>
            <w:tcW w:type="dxa" w:w="2268"/>
            <w:shd w:fill="EEF2F7" w:val="clear"/>
          </w:tcPr>
          <w:p>
            <w:r>
              <w:rPr>
                <w:b/>
                <w:sz w:val="15"/>
              </w:rPr>
              <w:t>Durée stockage</w:t>
            </w:r>
          </w:p>
        </w:tc>
        <w:tc>
          <w:tcPr>
            <w:tcW w:type="dxa" w:w="1984"/>
            <w:shd w:fill="C6EFCE" w:val="clear"/>
          </w:tcPr>
          <w:p>
            <w:r>
              <w:rPr>
                <w:b/>
                <w:color w:val="007800"/>
                <w:sz w:val="17"/>
              </w:rPr>
              <w:t>1.6 j</w:t>
            </w:r>
          </w:p>
        </w:tc>
        <w:tc>
          <w:tcPr>
            <w:tcW w:type="dxa" w:w="5669"/>
            <w:shd w:fill="FFFFFF" w:val="clear"/>
          </w:tcPr>
          <w:p>
            <w:r>
              <w:rPr>
                <w:sz w:val="15"/>
              </w:rPr>
              <w:t>✅ Stock écoulé en 2 jours — rotation excellente, capital peu immobilisé.</w:t>
            </w:r>
          </w:p>
        </w:tc>
      </w:tr>
    </w:tbl>
    <w:p/>
    <w:p>
      <w:pPr>
        <w:spacing w:before="160"/>
      </w:pPr>
      <w:r>
        <w:rPr>
          <w:b/>
          <w:color w:val="003366"/>
          <w:sz w:val="20"/>
        </w:rPr>
        <w:t xml:space="preserve">▶ NEIC — NEIC - NEI-CEDA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35.39%</w:t>
            </w:r>
          </w:p>
        </w:tc>
        <w:tc>
          <w:tcPr>
            <w:tcW w:type="dxa" w:w="5669"/>
            <w:shd w:fill="FFFFFF" w:val="clear"/>
          </w:tcPr>
          <w:p>
            <w:r>
              <w:rPr>
                <w:sz w:val="15"/>
              </w:rPr>
              <w:t>✅ ROE de 35.4%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27.25%</w:t>
            </w:r>
          </w:p>
        </w:tc>
        <w:tc>
          <w:tcPr>
            <w:tcW w:type="dxa" w:w="5669"/>
            <w:shd w:fill="FFFFFF" w:val="clear"/>
          </w:tcPr>
          <w:p>
            <w:r>
              <w:rPr>
                <w:sz w:val="15"/>
              </w:rPr>
              <w:t>✅ ROA de 27.25%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39.63%</w:t>
            </w:r>
          </w:p>
        </w:tc>
        <w:tc>
          <w:tcPr>
            <w:tcW w:type="dxa" w:w="5669"/>
            <w:shd w:fill="FFFFFF" w:val="clear"/>
          </w:tcPr>
          <w:p>
            <w:r>
              <w:rPr>
                <w:sz w:val="15"/>
              </w:rPr>
              <w:t>✅ Marge nette de 39.6%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2.037 Mds FCFA</w:t>
            </w:r>
          </w:p>
        </w:tc>
        <w:tc>
          <w:tcPr>
            <w:tcW w:type="dxa" w:w="5669"/>
            <w:shd w:fill="FFFFFF" w:val="clear"/>
          </w:tcPr>
          <w:p>
            <w:r>
              <w:rPr>
                <w:sz w:val="15"/>
              </w:rPr>
              <w:t>✅ Résultat net positif de 2.037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-23.80%</w:t>
            </w:r>
          </w:p>
        </w:tc>
        <w:tc>
          <w:tcPr>
            <w:tcW w:type="dxa" w:w="5669"/>
            <w:shd w:fill="FFFFFF" w:val="clear"/>
          </w:tcPr>
          <w:p>
            <w:r>
              <w:rPr>
                <w:sz w:val="15"/>
              </w:rPr>
              <w:t>❌ Recul marqué de 23.8%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77.01%</w:t>
            </w:r>
          </w:p>
        </w:tc>
        <w:tc>
          <w:tcPr>
            <w:tcW w:type="dxa" w:w="5669"/>
            <w:shd w:fill="FFFFFF" w:val="clear"/>
          </w:tcPr>
          <w:p>
            <w:r>
              <w:rPr>
                <w:sz w:val="15"/>
              </w:rPr>
              <w:t>✅ Autonomie financière de 77.0% — société très peu dépendante des créanciers. Capacité élevée à absorber les chocs.</w:t>
            </w:r>
          </w:p>
        </w:tc>
      </w:tr>
      <w:tr>
        <w:tc>
          <w:tcPr>
            <w:tcW w:type="dxa" w:w="2268"/>
            <w:shd w:fill="EEF2F7" w:val="clear"/>
          </w:tcPr>
          <w:p>
            <w:r>
              <w:rPr>
                <w:b/>
                <w:sz w:val="15"/>
              </w:rPr>
              <w:t>Solvabilité générale</w:t>
            </w:r>
          </w:p>
        </w:tc>
        <w:tc>
          <w:tcPr>
            <w:tcW w:type="dxa" w:w="1984"/>
            <w:shd w:fill="C6EFCE" w:val="clear"/>
          </w:tcPr>
          <w:p>
            <w:r>
              <w:rPr>
                <w:b/>
                <w:color w:val="007800"/>
                <w:sz w:val="17"/>
              </w:rPr>
              <w:t>435.02%</w:t>
            </w:r>
          </w:p>
        </w:tc>
        <w:tc>
          <w:tcPr>
            <w:tcW w:type="dxa" w:w="5669"/>
            <w:shd w:fill="FFFFFF" w:val="clear"/>
          </w:tcPr>
          <w:p>
            <w:r>
              <w:rPr>
                <w:sz w:val="15"/>
              </w:rPr>
              <w:t>✅ Solvabilité de 435%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448.86%</w:t>
            </w:r>
          </w:p>
        </w:tc>
        <w:tc>
          <w:tcPr>
            <w:tcW w:type="dxa" w:w="5669"/>
            <w:shd w:fill="FFFFFF" w:val="clear"/>
          </w:tcPr>
          <w:p>
            <w:r>
              <w:rPr>
                <w:sz w:val="15"/>
              </w:rPr>
              <w:t>✅ Liquidité générale de 449x — actif circulant deux fois supérieur aux dettes CT. Trésorerie très confortable.</w:t>
            </w:r>
          </w:p>
        </w:tc>
      </w:tr>
      <w:tr>
        <w:tc>
          <w:tcPr>
            <w:tcW w:type="dxa" w:w="2268"/>
            <w:shd w:fill="EEF2F7" w:val="clear"/>
          </w:tcPr>
          <w:p>
            <w:r>
              <w:rPr>
                <w:b/>
                <w:sz w:val="15"/>
              </w:rPr>
              <w:t>Free Cash Flow</w:t>
            </w:r>
          </w:p>
        </w:tc>
        <w:tc>
          <w:tcPr>
            <w:tcW w:type="dxa" w:w="1984"/>
            <w:shd w:fill="FFC7CE" w:val="clear"/>
          </w:tcPr>
          <w:p>
            <w:r>
              <w:rPr>
                <w:b/>
                <w:color w:val="B40000"/>
                <w:sz w:val="17"/>
              </w:rPr>
              <w:t>-565.91 M FCFA</w:t>
            </w:r>
          </w:p>
        </w:tc>
        <w:tc>
          <w:tcPr>
            <w:tcW w:type="dxa" w:w="5669"/>
            <w:shd w:fill="FFFFFF" w:val="clear"/>
          </w:tcPr>
          <w:p>
            <w:r>
              <w:rPr>
                <w:sz w:val="15"/>
              </w:rPr>
              <w:t>❌ FCF négatif significatif (-565.91 M FCFA) — la société consomme de la trésorerie. Risque si la situation perdure.</w:t>
            </w:r>
          </w:p>
        </w:tc>
      </w:tr>
      <w:tr>
        <w:tc>
          <w:tcPr>
            <w:tcW w:type="dxa" w:w="2268"/>
            <w:shd w:fill="EEF2F7" w:val="clear"/>
          </w:tcPr>
          <w:p>
            <w:r>
              <w:rPr>
                <w:b/>
                <w:sz w:val="15"/>
              </w:rPr>
              <w:t>Marge opérationnelle</w:t>
            </w:r>
          </w:p>
        </w:tc>
        <w:tc>
          <w:tcPr>
            <w:tcW w:type="dxa" w:w="1984"/>
            <w:shd w:fill="C6EFCE" w:val="clear"/>
          </w:tcPr>
          <w:p>
            <w:r>
              <w:rPr>
                <w:b/>
                <w:color w:val="007800"/>
                <w:sz w:val="17"/>
              </w:rPr>
              <w:t>23.60%</w:t>
            </w:r>
          </w:p>
        </w:tc>
        <w:tc>
          <w:tcPr>
            <w:tcW w:type="dxa" w:w="5669"/>
            <w:shd w:fill="FFFFFF" w:val="clear"/>
          </w:tcPr>
          <w:p>
            <w:r>
              <w:rPr>
                <w:sz w:val="15"/>
              </w:rPr>
              <w:t>✅ Marge opérationnelle de 23.6% — excellente efficacité de l'exploitation principale.</w:t>
            </w:r>
          </w:p>
        </w:tc>
      </w:tr>
      <w:tr>
        <w:tc>
          <w:tcPr>
            <w:tcW w:type="dxa" w:w="2268"/>
            <w:shd w:fill="EEF2F7" w:val="clear"/>
          </w:tcPr>
          <w:p>
            <w:r>
              <w:rPr>
                <w:b/>
                <w:sz w:val="15"/>
              </w:rPr>
              <w:t>Délai clients</w:t>
            </w:r>
          </w:p>
        </w:tc>
        <w:tc>
          <w:tcPr>
            <w:tcW w:type="dxa" w:w="1984"/>
            <w:shd w:fill="FFC7CE" w:val="clear"/>
          </w:tcPr>
          <w:p>
            <w:r>
              <w:rPr>
                <w:b/>
                <w:color w:val="007800"/>
                <w:sz w:val="17"/>
              </w:rPr>
              <w:t>154.7 j</w:t>
            </w:r>
          </w:p>
        </w:tc>
        <w:tc>
          <w:tcPr>
            <w:tcW w:type="dxa" w:w="5669"/>
            <w:shd w:fill="FFFFFF" w:val="clear"/>
          </w:tcPr>
          <w:p>
            <w:r>
              <w:rPr>
                <w:sz w:val="15"/>
              </w:rPr>
              <w:t>❌ Délai critique de 155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54.5 j</w:t>
            </w:r>
          </w:p>
        </w:tc>
        <w:tc>
          <w:tcPr>
            <w:tcW w:type="dxa" w:w="5669"/>
            <w:shd w:fill="FFFFFF" w:val="clear"/>
          </w:tcPr>
          <w:p>
            <w:r>
              <w:rPr>
                <w:sz w:val="15"/>
              </w:rPr>
              <w:t>✅ Durée de stockage standard (54 jours).</w:t>
            </w:r>
          </w:p>
        </w:tc>
      </w:tr>
    </w:tbl>
    <w:p/>
    <w:p>
      <w:pPr>
        <w:spacing w:before="160"/>
      </w:pPr>
      <w:r>
        <w:rPr>
          <w:b/>
          <w:color w:val="003366"/>
          <w:sz w:val="20"/>
        </w:rPr>
        <w:t xml:space="preserve">▶ PRSC — PRSC - TRACTAFRIC MOTORS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20.53%</w:t>
            </w:r>
          </w:p>
        </w:tc>
        <w:tc>
          <w:tcPr>
            <w:tcW w:type="dxa" w:w="5669"/>
            <w:shd w:fill="FFFFFF" w:val="clear"/>
          </w:tcPr>
          <w:p>
            <w:r>
              <w:rPr>
                <w:sz w:val="15"/>
              </w:rPr>
              <w:t>✅ ROE de 20.5%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4.95%</w:t>
            </w:r>
          </w:p>
        </w:tc>
        <w:tc>
          <w:tcPr>
            <w:tcW w:type="dxa" w:w="5669"/>
            <w:shd w:fill="FFFFFF" w:val="clear"/>
          </w:tcPr>
          <w:p>
            <w:r>
              <w:rPr>
                <w:sz w:val="15"/>
              </w:rPr>
              <w:t>⚠️ ROA de 4.95%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2.92%</w:t>
            </w:r>
          </w:p>
        </w:tc>
        <w:tc>
          <w:tcPr>
            <w:tcW w:type="dxa" w:w="5669"/>
            <w:shd w:fill="FFFFFF" w:val="clear"/>
          </w:tcPr>
          <w:p>
            <w:r>
              <w:rPr>
                <w:sz w:val="15"/>
              </w:rPr>
              <w:t>⚠️ Marge nette de 2.9%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2.367 Mds FCFA</w:t>
            </w:r>
          </w:p>
        </w:tc>
        <w:tc>
          <w:tcPr>
            <w:tcW w:type="dxa" w:w="5669"/>
            <w:shd w:fill="FFFFFF" w:val="clear"/>
          </w:tcPr>
          <w:p>
            <w:r>
              <w:rPr>
                <w:sz w:val="15"/>
              </w:rPr>
              <w:t>✅ Résultat net positif de 2.367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8.64%</w:t>
            </w:r>
          </w:p>
        </w:tc>
        <w:tc>
          <w:tcPr>
            <w:tcW w:type="dxa" w:w="5669"/>
            <w:shd w:fill="FFFFFF" w:val="clear"/>
          </w:tcPr>
          <w:p>
            <w:r>
              <w:rPr>
                <w:sz w:val="15"/>
              </w:rPr>
              <w:t>✅ Croissance de 8.6%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24.10%</w:t>
            </w:r>
          </w:p>
        </w:tc>
        <w:tc>
          <w:tcPr>
            <w:tcW w:type="dxa" w:w="5669"/>
            <w:shd w:fill="FFFFFF" w:val="clear"/>
          </w:tcPr>
          <w:p>
            <w:r>
              <w:rPr>
                <w:sz w:val="15"/>
              </w:rPr>
              <w:t>✅ Autonomie financière correcte (24.1%) — équilibre sain entre fonds propres et dettes.</w:t>
            </w:r>
          </w:p>
        </w:tc>
      </w:tr>
      <w:tr>
        <w:tc>
          <w:tcPr>
            <w:tcW w:type="dxa" w:w="2268"/>
            <w:shd w:fill="EEF2F7" w:val="clear"/>
          </w:tcPr>
          <w:p>
            <w:r>
              <w:rPr>
                <w:b/>
                <w:sz w:val="15"/>
              </w:rPr>
              <w:t>Ratio endettement</w:t>
            </w:r>
          </w:p>
        </w:tc>
        <w:tc>
          <w:tcPr>
            <w:tcW w:type="dxa" w:w="1984"/>
            <w:shd w:fill="FFC7CE" w:val="clear"/>
          </w:tcPr>
          <w:p>
            <w:r>
              <w:rPr>
                <w:b/>
                <w:color w:val="007800"/>
                <w:sz w:val="17"/>
              </w:rPr>
              <w:t>314.86%</w:t>
            </w:r>
          </w:p>
        </w:tc>
        <w:tc>
          <w:tcPr>
            <w:tcW w:type="dxa" w:w="5669"/>
            <w:shd w:fill="FFFFFF" w:val="clear"/>
          </w:tcPr>
          <w:p>
            <w:r>
              <w:rPr>
                <w:sz w:val="15"/>
              </w:rPr>
              <w:t>❌ Gearing de 315% — sur-endettement critique. Risque de défaillance financière si les revenus baissent.</w:t>
            </w:r>
          </w:p>
        </w:tc>
      </w:tr>
      <w:tr>
        <w:tc>
          <w:tcPr>
            <w:tcW w:type="dxa" w:w="2268"/>
            <w:shd w:fill="EEF2F7" w:val="clear"/>
          </w:tcPr>
          <w:p>
            <w:r>
              <w:rPr>
                <w:b/>
                <w:sz w:val="15"/>
              </w:rPr>
              <w:t>Solvabilité générale</w:t>
            </w:r>
          </w:p>
        </w:tc>
        <w:tc>
          <w:tcPr>
            <w:tcW w:type="dxa" w:w="1984"/>
            <w:shd w:fill="C6EFCE" w:val="clear"/>
          </w:tcPr>
          <w:p>
            <w:r>
              <w:rPr>
                <w:b/>
                <w:color w:val="007800"/>
                <w:sz w:val="17"/>
              </w:rPr>
              <w:t>131.76%</w:t>
            </w:r>
          </w:p>
        </w:tc>
        <w:tc>
          <w:tcPr>
            <w:tcW w:type="dxa" w:w="5669"/>
            <w:shd w:fill="FFFFFF" w:val="clear"/>
          </w:tcPr>
          <w:p>
            <w:r>
              <w:rPr>
                <w:sz w:val="15"/>
              </w:rPr>
              <w:t>✅ Solvabilité satisfaisante (132%)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120.87%</w:t>
            </w:r>
          </w:p>
        </w:tc>
        <w:tc>
          <w:tcPr>
            <w:tcW w:type="dxa" w:w="5669"/>
            <w:shd w:fill="FFFFFF" w:val="clear"/>
          </w:tcPr>
          <w:p>
            <w:r>
              <w:rPr>
                <w:sz w:val="15"/>
              </w:rPr>
              <w:t>✅ Liquidité générale de 120.87x — bonne capacité à honorer les obligations CT.</w:t>
            </w:r>
          </w:p>
        </w:tc>
      </w:tr>
      <w:tr>
        <w:tc>
          <w:tcPr>
            <w:tcW w:type="dxa" w:w="2268"/>
            <w:shd w:fill="EEF2F7" w:val="clear"/>
          </w:tcPr>
          <w:p>
            <w:r>
              <w:rPr>
                <w:b/>
                <w:sz w:val="15"/>
              </w:rPr>
              <w:t>Free Cash Flow</w:t>
            </w:r>
          </w:p>
        </w:tc>
        <w:tc>
          <w:tcPr>
            <w:tcW w:type="dxa" w:w="1984"/>
            <w:shd w:fill="FFC7CE" w:val="clear"/>
          </w:tcPr>
          <w:p>
            <w:r>
              <w:rPr>
                <w:b/>
                <w:color w:val="B40000"/>
                <w:sz w:val="17"/>
              </w:rPr>
              <w:t>-2.616 Mds FCFA</w:t>
            </w:r>
          </w:p>
        </w:tc>
        <w:tc>
          <w:tcPr>
            <w:tcW w:type="dxa" w:w="5669"/>
            <w:shd w:fill="FFFFFF" w:val="clear"/>
          </w:tcPr>
          <w:p>
            <w:r>
              <w:rPr>
                <w:sz w:val="15"/>
              </w:rPr>
              <w:t>❌ FCF négatif significatif (-2.616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5.23%</w:t>
            </w:r>
          </w:p>
        </w:tc>
        <w:tc>
          <w:tcPr>
            <w:tcW w:type="dxa" w:w="5669"/>
            <w:shd w:fill="FFFFFF" w:val="clear"/>
          </w:tcPr>
          <w:p>
            <w:r>
              <w:rPr>
                <w:sz w:val="15"/>
              </w:rPr>
              <w:t>⚠️ Marge opérationnelle faible (5.2%)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46.0 j</w:t>
            </w:r>
          </w:p>
        </w:tc>
        <w:tc>
          <w:tcPr>
            <w:tcW w:type="dxa" w:w="5669"/>
            <w:shd w:fill="FFFFFF" w:val="clear"/>
          </w:tcPr>
          <w:p>
            <w:r>
              <w:rPr>
                <w:sz w:val="15"/>
              </w:rPr>
              <w:t>✅ Délai standard (46 jours) — dans les normes commerciales habituelles.</w:t>
            </w:r>
          </w:p>
        </w:tc>
      </w:tr>
      <w:tr>
        <w:tc>
          <w:tcPr>
            <w:tcW w:type="dxa" w:w="2268"/>
            <w:shd w:fill="EEF2F7" w:val="clear"/>
          </w:tcPr>
          <w:p>
            <w:r>
              <w:rPr>
                <w:b/>
                <w:sz w:val="15"/>
              </w:rPr>
              <w:t>Durée stockage</w:t>
            </w:r>
          </w:p>
        </w:tc>
        <w:tc>
          <w:tcPr>
            <w:tcW w:type="dxa" w:w="1984"/>
            <w:shd w:fill="FFC7CE" w:val="clear"/>
          </w:tcPr>
          <w:p>
            <w:r>
              <w:rPr>
                <w:b/>
                <w:color w:val="007800"/>
                <w:sz w:val="17"/>
              </w:rPr>
              <w:t>150.5 j</w:t>
            </w:r>
          </w:p>
        </w:tc>
        <w:tc>
          <w:tcPr>
            <w:tcW w:type="dxa" w:w="5669"/>
            <w:shd w:fill="FFFFFF" w:val="clear"/>
          </w:tcPr>
          <w:p>
            <w:r>
              <w:rPr>
                <w:sz w:val="15"/>
              </w:rPr>
              <w:t>❌ Stock quasi-bloqué (151 jours) — capital fortement immobilisé, risque d'obsolescence élevé.</w:t>
            </w:r>
          </w:p>
        </w:tc>
      </w:tr>
    </w:tbl>
    <w:p/>
    <w:p>
      <w:pPr>
        <w:spacing w:before="160"/>
      </w:pPr>
      <w:r>
        <w:rPr>
          <w:b/>
          <w:color w:val="003366"/>
          <w:sz w:val="20"/>
        </w:rPr>
        <w:t xml:space="preserve">▶ UNXC — UNXC - UNIWAX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-2.54%</w:t>
            </w:r>
          </w:p>
        </w:tc>
        <w:tc>
          <w:tcPr>
            <w:tcW w:type="dxa" w:w="5669"/>
            <w:shd w:fill="FFFFFF" w:val="clear"/>
          </w:tcPr>
          <w:p>
            <w:r>
              <w:rPr>
                <w:sz w:val="15"/>
              </w:rPr>
              <w:t>❌ ROE négatif (-2.5%)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-1.97%</w:t>
            </w:r>
          </w:p>
        </w:tc>
        <w:tc>
          <w:tcPr>
            <w:tcW w:type="dxa" w:w="5669"/>
            <w:shd w:fill="FFFFFF" w:val="clear"/>
          </w:tcPr>
          <w:p>
            <w:r>
              <w:rPr>
                <w:sz w:val="15"/>
              </w:rPr>
              <w:t>❌ ROA négatif (-1.97%) — actifs non rentables.</w:t>
            </w:r>
          </w:p>
        </w:tc>
      </w:tr>
      <w:tr>
        <w:tc>
          <w:tcPr>
            <w:tcW w:type="dxa" w:w="2268"/>
            <w:shd w:fill="EEF2F7" w:val="clear"/>
          </w:tcPr>
          <w:p>
            <w:r>
              <w:rPr>
                <w:b/>
                <w:sz w:val="15"/>
              </w:rPr>
              <w:t>Marge nette</w:t>
            </w:r>
          </w:p>
        </w:tc>
        <w:tc>
          <w:tcPr>
            <w:tcW w:type="dxa" w:w="1984"/>
            <w:shd w:fill="FFC7CE" w:val="clear"/>
          </w:tcPr>
          <w:p>
            <w:r>
              <w:rPr>
                <w:b/>
                <w:color w:val="B40000"/>
                <w:sz w:val="17"/>
              </w:rPr>
              <w:t>-2.15%</w:t>
            </w:r>
          </w:p>
        </w:tc>
        <w:tc>
          <w:tcPr>
            <w:tcW w:type="dxa" w:w="5669"/>
            <w:shd w:fill="FFFFFF" w:val="clear"/>
          </w:tcPr>
          <w:p>
            <w:r>
              <w:rPr>
                <w:sz w:val="15"/>
              </w:rPr>
              <w:t>❌ Marge nette négative (-2.1%)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-624.11 M FCFA</w:t>
            </w:r>
          </w:p>
        </w:tc>
        <w:tc>
          <w:tcPr>
            <w:tcW w:type="dxa" w:w="5669"/>
            <w:shd w:fill="FFFFFF" w:val="clear"/>
          </w:tcPr>
          <w:p>
            <w:r>
              <w:rPr>
                <w:sz w:val="15"/>
              </w:rPr>
              <w:t>❌ Perte nette de 624.11 M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C6EFCE" w:val="clear"/>
          </w:tcPr>
          <w:p>
            <w:r>
              <w:rPr>
                <w:b/>
                <w:color w:val="007800"/>
                <w:sz w:val="17"/>
              </w:rPr>
              <w:t>6.21%</w:t>
            </w:r>
          </w:p>
        </w:tc>
        <w:tc>
          <w:tcPr>
            <w:tcW w:type="dxa" w:w="5669"/>
            <w:shd w:fill="FFFFFF" w:val="clear"/>
          </w:tcPr>
          <w:p>
            <w:r>
              <w:rPr>
                <w:sz w:val="15"/>
              </w:rPr>
              <w:t>✅ Croissance de 6.2%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77.58%</w:t>
            </w:r>
          </w:p>
        </w:tc>
        <w:tc>
          <w:tcPr>
            <w:tcW w:type="dxa" w:w="5669"/>
            <w:shd w:fill="FFFFFF" w:val="clear"/>
          </w:tcPr>
          <w:p>
            <w:r>
              <w:rPr>
                <w:sz w:val="15"/>
              </w:rPr>
              <w:t>✅ Autonomie financière de 77.6%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1.50%</w:t>
            </w:r>
          </w:p>
        </w:tc>
        <w:tc>
          <w:tcPr>
            <w:tcW w:type="dxa" w:w="5669"/>
            <w:shd w:fill="FFFFFF" w:val="clear"/>
          </w:tcPr>
          <w:p>
            <w:r>
              <w:rPr>
                <w:sz w:val="15"/>
              </w:rPr>
              <w:t>✅ Gearing de 1%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445.93%</w:t>
            </w:r>
          </w:p>
        </w:tc>
        <w:tc>
          <w:tcPr>
            <w:tcW w:type="dxa" w:w="5669"/>
            <w:shd w:fill="FFFFFF" w:val="clear"/>
          </w:tcPr>
          <w:p>
            <w:r>
              <w:rPr>
                <w:sz w:val="15"/>
              </w:rPr>
              <w:t>✅ Solvabilité de 446%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346.19%</w:t>
            </w:r>
          </w:p>
        </w:tc>
        <w:tc>
          <w:tcPr>
            <w:tcW w:type="dxa" w:w="5669"/>
            <w:shd w:fill="FFFFFF" w:val="clear"/>
          </w:tcPr>
          <w:p>
            <w:r>
              <w:rPr>
                <w:sz w:val="15"/>
              </w:rPr>
              <w:t>✅ Liquidité générale de 346x — actif circulant deux fois supérieur aux dettes CT. Trésorerie très confortable.</w:t>
            </w:r>
          </w:p>
        </w:tc>
      </w:tr>
      <w:tr>
        <w:tc>
          <w:tcPr>
            <w:tcW w:type="dxa" w:w="2268"/>
            <w:shd w:fill="EEF2F7" w:val="clear"/>
          </w:tcPr>
          <w:p>
            <w:r>
              <w:rPr>
                <w:b/>
                <w:sz w:val="15"/>
              </w:rPr>
              <w:t>Free Cash Flow</w:t>
            </w:r>
          </w:p>
        </w:tc>
        <w:tc>
          <w:tcPr>
            <w:tcW w:type="dxa" w:w="1984"/>
            <w:shd w:fill="FFC7CE" w:val="clear"/>
          </w:tcPr>
          <w:p>
            <w:r>
              <w:rPr>
                <w:b/>
                <w:color w:val="B40000"/>
                <w:sz w:val="17"/>
              </w:rPr>
              <w:t>-8.239 Mds FCFA</w:t>
            </w:r>
          </w:p>
        </w:tc>
        <w:tc>
          <w:tcPr>
            <w:tcW w:type="dxa" w:w="5669"/>
            <w:shd w:fill="FFFFFF" w:val="clear"/>
          </w:tcPr>
          <w:p>
            <w:r>
              <w:rPr>
                <w:sz w:val="15"/>
              </w:rPr>
              <w:t>❌ FCF négatif significatif (-8.239 Mds FCFA) — la société consomme de la trésorerie. Risque si la situation perdure.</w:t>
            </w:r>
          </w:p>
        </w:tc>
      </w:tr>
      <w:tr>
        <w:tc>
          <w:tcPr>
            <w:tcW w:type="dxa" w:w="2268"/>
            <w:shd w:fill="EEF2F7" w:val="clear"/>
          </w:tcPr>
          <w:p>
            <w:r>
              <w:rPr>
                <w:b/>
                <w:sz w:val="15"/>
              </w:rPr>
              <w:t>Marge opérationnelle</w:t>
            </w:r>
          </w:p>
        </w:tc>
        <w:tc>
          <w:tcPr>
            <w:tcW w:type="dxa" w:w="1984"/>
            <w:shd w:fill="FFC7CE" w:val="clear"/>
          </w:tcPr>
          <w:p>
            <w:r>
              <w:rPr>
                <w:b/>
                <w:color w:val="B40000"/>
                <w:sz w:val="17"/>
              </w:rPr>
              <w:t>-1.46%</w:t>
            </w:r>
          </w:p>
        </w:tc>
        <w:tc>
          <w:tcPr>
            <w:tcW w:type="dxa" w:w="5669"/>
            <w:shd w:fill="FFFFFF" w:val="clear"/>
          </w:tcPr>
          <w:p>
            <w:r>
              <w:rPr>
                <w:sz w:val="15"/>
              </w:rPr>
              <w:t>❌ Marge opérationnelle négative (-1.5%) — l'activité principale est déficitaire.</w:t>
            </w:r>
          </w:p>
        </w:tc>
      </w:tr>
      <w:tr>
        <w:tc>
          <w:tcPr>
            <w:tcW w:type="dxa" w:w="2268"/>
            <w:shd w:fill="EEF2F7" w:val="clear"/>
          </w:tcPr>
          <w:p>
            <w:r>
              <w:rPr>
                <w:b/>
                <w:sz w:val="15"/>
              </w:rPr>
              <w:t>Délai clients</w:t>
            </w:r>
          </w:p>
        </w:tc>
        <w:tc>
          <w:tcPr>
            <w:tcW w:type="dxa" w:w="1984"/>
            <w:shd w:fill="C6EFCE" w:val="clear"/>
          </w:tcPr>
          <w:p>
            <w:r>
              <w:rPr>
                <w:b/>
                <w:color w:val="007800"/>
                <w:sz w:val="17"/>
              </w:rPr>
              <w:t>45.8 j</w:t>
            </w:r>
          </w:p>
        </w:tc>
        <w:tc>
          <w:tcPr>
            <w:tcW w:type="dxa" w:w="5669"/>
            <w:shd w:fill="FFFFFF" w:val="clear"/>
          </w:tcPr>
          <w:p>
            <w:r>
              <w:rPr>
                <w:sz w:val="15"/>
              </w:rPr>
              <w:t>✅ Délai standard (46 jours) — dans les normes commerciales habituelles.</w:t>
            </w:r>
          </w:p>
        </w:tc>
      </w:tr>
      <w:tr>
        <w:tc>
          <w:tcPr>
            <w:tcW w:type="dxa" w:w="2268"/>
            <w:shd w:fill="EEF2F7" w:val="clear"/>
          </w:tcPr>
          <w:p>
            <w:r>
              <w:rPr>
                <w:b/>
                <w:sz w:val="15"/>
              </w:rPr>
              <w:t>Durée stockage</w:t>
            </w:r>
          </w:p>
        </w:tc>
        <w:tc>
          <w:tcPr>
            <w:tcW w:type="dxa" w:w="1984"/>
            <w:shd w:fill="FFC7CE" w:val="clear"/>
          </w:tcPr>
          <w:p>
            <w:r>
              <w:rPr>
                <w:b/>
                <w:color w:val="007800"/>
                <w:sz w:val="17"/>
              </w:rPr>
              <w:t>325.0 j</w:t>
            </w:r>
          </w:p>
        </w:tc>
        <w:tc>
          <w:tcPr>
            <w:tcW w:type="dxa" w:w="5669"/>
            <w:shd w:fill="FFFFFF" w:val="clear"/>
          </w:tcPr>
          <w:p>
            <w:r>
              <w:rPr>
                <w:sz w:val="15"/>
              </w:rPr>
              <w:t>❌ Stock quasi-bloqué (325 jours) — capital fortement immobilisé, risque d'obsolescence élevé.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NEIC</w:t>
            </w:r>
          </w:p>
        </w:tc>
        <w:tc>
          <w:tcPr>
            <w:tcW w:type="dxa" w:w="1728"/>
            <w:shd w:fill="C6EFCE" w:val="clear"/>
          </w:tcPr>
          <w:p>
            <w:r>
              <w:rPr>
                <w:color w:val="006400"/>
                <w:sz w:val="16"/>
              </w:rPr>
              <w:t>35.39%</w:t>
            </w:r>
          </w:p>
        </w:tc>
        <w:tc>
          <w:tcPr>
            <w:tcW w:type="dxa" w:w="1728"/>
            <w:shd w:fill="FFC7CE" w:val="clear"/>
          </w:tcPr>
          <w:p>
            <w:r>
              <w:rPr>
                <w:b/>
                <w:color w:val="B40000"/>
                <w:sz w:val="16"/>
              </w:rPr>
              <w:t>UNXC</w:t>
            </w:r>
          </w:p>
        </w:tc>
        <w:tc>
          <w:tcPr>
            <w:tcW w:type="dxa" w:w="1728"/>
            <w:shd w:fill="FFC7CE" w:val="clear"/>
          </w:tcPr>
          <w:p>
            <w:r>
              <w:rPr>
                <w:color w:val="B40000"/>
                <w:sz w:val="16"/>
              </w:rPr>
              <w:t>-2.54%</w:t>
            </w:r>
          </w:p>
        </w:tc>
      </w:tr>
      <w:tr>
        <w:tc>
          <w:tcPr>
            <w:tcW w:type="dxa" w:w="1728"/>
            <w:shd w:fill="EEF2F7" w:val="clear"/>
          </w:tcPr>
          <w:p>
            <w:r>
              <w:rPr>
                <w:b/>
                <w:sz w:val="16"/>
              </w:rPr>
              <w:t>Marge nette</w:t>
            </w:r>
          </w:p>
        </w:tc>
        <w:tc>
          <w:tcPr>
            <w:tcW w:type="dxa" w:w="1728"/>
            <w:shd w:fill="C6EFCE" w:val="clear"/>
          </w:tcPr>
          <w:p>
            <w:r>
              <w:rPr>
                <w:b/>
                <w:color w:val="006400"/>
                <w:sz w:val="16"/>
              </w:rPr>
              <w:t>NEIC</w:t>
            </w:r>
          </w:p>
        </w:tc>
        <w:tc>
          <w:tcPr>
            <w:tcW w:type="dxa" w:w="1728"/>
            <w:shd w:fill="C6EFCE" w:val="clear"/>
          </w:tcPr>
          <w:p>
            <w:r>
              <w:rPr>
                <w:color w:val="006400"/>
                <w:sz w:val="16"/>
              </w:rPr>
              <w:t>39.63%</w:t>
            </w:r>
          </w:p>
        </w:tc>
        <w:tc>
          <w:tcPr>
            <w:tcW w:type="dxa" w:w="1728"/>
            <w:shd w:fill="FFC7CE" w:val="clear"/>
          </w:tcPr>
          <w:p>
            <w:r>
              <w:rPr>
                <w:b/>
                <w:color w:val="B40000"/>
                <w:sz w:val="16"/>
              </w:rPr>
              <w:t>UNXC</w:t>
            </w:r>
          </w:p>
        </w:tc>
        <w:tc>
          <w:tcPr>
            <w:tcW w:type="dxa" w:w="1728"/>
            <w:shd w:fill="FFC7CE" w:val="clear"/>
          </w:tcPr>
          <w:p>
            <w:r>
              <w:rPr>
                <w:color w:val="B40000"/>
                <w:sz w:val="16"/>
              </w:rPr>
              <w:t>-2.15%</w:t>
            </w:r>
          </w:p>
        </w:tc>
      </w:tr>
      <w:tr>
        <w:tc>
          <w:tcPr>
            <w:tcW w:type="dxa" w:w="1728"/>
            <w:shd w:fill="EEF2F7" w:val="clear"/>
          </w:tcPr>
          <w:p>
            <w:r>
              <w:rPr>
                <w:b/>
                <w:sz w:val="16"/>
              </w:rPr>
              <w:t>Croissance CA/PNB</w:t>
            </w:r>
          </w:p>
        </w:tc>
        <w:tc>
          <w:tcPr>
            <w:tcW w:type="dxa" w:w="1728"/>
            <w:shd w:fill="C6EFCE" w:val="clear"/>
          </w:tcPr>
          <w:p>
            <w:r>
              <w:rPr>
                <w:b/>
                <w:color w:val="006400"/>
                <w:sz w:val="16"/>
              </w:rPr>
              <w:t>PRSC</w:t>
            </w:r>
          </w:p>
        </w:tc>
        <w:tc>
          <w:tcPr>
            <w:tcW w:type="dxa" w:w="1728"/>
            <w:shd w:fill="C6EFCE" w:val="clear"/>
          </w:tcPr>
          <w:p>
            <w:r>
              <w:rPr>
                <w:color w:val="006400"/>
                <w:sz w:val="16"/>
              </w:rPr>
              <w:t>8.64%</w:t>
            </w:r>
          </w:p>
        </w:tc>
        <w:tc>
          <w:tcPr>
            <w:tcW w:type="dxa" w:w="1728"/>
            <w:shd w:fill="FFC7CE" w:val="clear"/>
          </w:tcPr>
          <w:p>
            <w:r>
              <w:rPr>
                <w:b/>
                <w:color w:val="B40000"/>
                <w:sz w:val="16"/>
              </w:rPr>
              <w:t>NEIC</w:t>
            </w:r>
          </w:p>
        </w:tc>
        <w:tc>
          <w:tcPr>
            <w:tcW w:type="dxa" w:w="1728"/>
            <w:shd w:fill="FFC7CE" w:val="clear"/>
          </w:tcPr>
          <w:p>
            <w:r>
              <w:rPr>
                <w:color w:val="B40000"/>
                <w:sz w:val="16"/>
              </w:rPr>
              <w:t>-23.80%</w:t>
            </w:r>
          </w:p>
        </w:tc>
      </w:tr>
      <w:tr>
        <w:tc>
          <w:tcPr>
            <w:tcW w:type="dxa" w:w="1728"/>
            <w:shd w:fill="EEF2F7" w:val="clear"/>
          </w:tcPr>
          <w:p>
            <w:r>
              <w:rPr>
                <w:b/>
                <w:sz w:val="16"/>
              </w:rPr>
              <w:t>Autonomie fin.</w:t>
            </w:r>
          </w:p>
        </w:tc>
        <w:tc>
          <w:tcPr>
            <w:tcW w:type="dxa" w:w="1728"/>
            <w:shd w:fill="C6EFCE" w:val="clear"/>
          </w:tcPr>
          <w:p>
            <w:r>
              <w:rPr>
                <w:b/>
                <w:color w:val="006400"/>
                <w:sz w:val="16"/>
              </w:rPr>
              <w:t>UNXC</w:t>
            </w:r>
          </w:p>
        </w:tc>
        <w:tc>
          <w:tcPr>
            <w:tcW w:type="dxa" w:w="1728"/>
            <w:shd w:fill="C6EFCE" w:val="clear"/>
          </w:tcPr>
          <w:p>
            <w:r>
              <w:rPr>
                <w:color w:val="006400"/>
                <w:sz w:val="16"/>
              </w:rPr>
              <w:t>77.58%</w:t>
            </w:r>
          </w:p>
        </w:tc>
        <w:tc>
          <w:tcPr>
            <w:tcW w:type="dxa" w:w="1728"/>
            <w:shd w:fill="FFC7CE" w:val="clear"/>
          </w:tcPr>
          <w:p>
            <w:r>
              <w:rPr>
                <w:b/>
                <w:color w:val="B40000"/>
                <w:sz w:val="16"/>
              </w:rPr>
              <w:t>CFAC</w:t>
            </w:r>
          </w:p>
        </w:tc>
        <w:tc>
          <w:tcPr>
            <w:tcW w:type="dxa" w:w="1728"/>
            <w:shd w:fill="FFC7CE" w:val="clear"/>
          </w:tcPr>
          <w:p>
            <w:r>
              <w:rPr>
                <w:color w:val="B40000"/>
                <w:sz w:val="16"/>
              </w:rPr>
              <w:t>22.88%</w:t>
            </w:r>
          </w:p>
        </w:tc>
      </w:tr>
      <w:tr>
        <w:tc>
          <w:tcPr>
            <w:tcW w:type="dxa" w:w="1728"/>
            <w:shd w:fill="EEF2F7" w:val="clear"/>
          </w:tcPr>
          <w:p>
            <w:r>
              <w:rPr>
                <w:b/>
                <w:sz w:val="16"/>
              </w:rPr>
              <w:t>Liquidité gén.</w:t>
            </w:r>
          </w:p>
        </w:tc>
        <w:tc>
          <w:tcPr>
            <w:tcW w:type="dxa" w:w="1728"/>
            <w:shd w:fill="C6EFCE" w:val="clear"/>
          </w:tcPr>
          <w:p>
            <w:r>
              <w:rPr>
                <w:b/>
                <w:color w:val="006400"/>
                <w:sz w:val="16"/>
              </w:rPr>
              <w:t>NEIC</w:t>
            </w:r>
          </w:p>
        </w:tc>
        <w:tc>
          <w:tcPr>
            <w:tcW w:type="dxa" w:w="1728"/>
            <w:shd w:fill="C6EFCE" w:val="clear"/>
          </w:tcPr>
          <w:p>
            <w:r>
              <w:rPr>
                <w:color w:val="006400"/>
                <w:sz w:val="16"/>
              </w:rPr>
              <w:t>448.86%</w:t>
            </w:r>
          </w:p>
        </w:tc>
        <w:tc>
          <w:tcPr>
            <w:tcW w:type="dxa" w:w="1728"/>
            <w:shd w:fill="FFC7CE" w:val="clear"/>
          </w:tcPr>
          <w:p>
            <w:r>
              <w:rPr>
                <w:b/>
                <w:color w:val="B40000"/>
                <w:sz w:val="16"/>
              </w:rPr>
              <w:t>CFAC</w:t>
            </w:r>
          </w:p>
        </w:tc>
        <w:tc>
          <w:tcPr>
            <w:tcW w:type="dxa" w:w="1728"/>
            <w:shd w:fill="FFC7CE" w:val="clear"/>
          </w:tcPr>
          <w:p>
            <w:r>
              <w:rPr>
                <w:color w:val="B40000"/>
                <w:sz w:val="16"/>
              </w:rPr>
              <w:t>93.63%</w:t>
            </w:r>
          </w:p>
        </w:tc>
      </w:tr>
      <w:tr>
        <w:tc>
          <w:tcPr>
            <w:tcW w:type="dxa" w:w="1728"/>
            <w:shd w:fill="EEF2F7" w:val="clear"/>
          </w:tcPr>
          <w:p>
            <w:r>
              <w:rPr>
                <w:b/>
                <w:sz w:val="16"/>
              </w:rPr>
              <w:t>FCF</w:t>
            </w:r>
          </w:p>
        </w:tc>
        <w:tc>
          <w:tcPr>
            <w:tcW w:type="dxa" w:w="1728"/>
            <w:shd w:fill="C6EFCE" w:val="clear"/>
          </w:tcPr>
          <w:p>
            <w:r>
              <w:rPr>
                <w:b/>
                <w:color w:val="006400"/>
                <w:sz w:val="16"/>
              </w:rPr>
              <w:t>ABJC</w:t>
            </w:r>
          </w:p>
        </w:tc>
        <w:tc>
          <w:tcPr>
            <w:tcW w:type="dxa" w:w="1728"/>
            <w:shd w:fill="C6EFCE" w:val="clear"/>
          </w:tcPr>
          <w:p>
            <w:r>
              <w:rPr>
                <w:color w:val="006400"/>
                <w:sz w:val="16"/>
              </w:rPr>
              <w:t>619.83 M FCFA</w:t>
            </w:r>
          </w:p>
        </w:tc>
        <w:tc>
          <w:tcPr>
            <w:tcW w:type="dxa" w:w="1728"/>
            <w:shd w:fill="FFC7CE" w:val="clear"/>
          </w:tcPr>
          <w:p>
            <w:r>
              <w:rPr>
                <w:b/>
                <w:color w:val="B40000"/>
                <w:sz w:val="16"/>
              </w:rPr>
              <w:t>UNXC</w:t>
            </w:r>
          </w:p>
        </w:tc>
        <w:tc>
          <w:tcPr>
            <w:tcW w:type="dxa" w:w="1728"/>
            <w:shd w:fill="FFC7CE" w:val="clear"/>
          </w:tcPr>
          <w:p>
            <w:r>
              <w:rPr>
                <w:color w:val="B40000"/>
                <w:sz w:val="16"/>
              </w:rPr>
              <w:t>-8.239 Mds FCFA</w:t>
            </w:r>
          </w:p>
        </w:tc>
      </w:tr>
    </w:tbl>
    <w:p/>
    <w:p>
      <w:r>
        <w:br w:type="page"/>
      </w:r>
    </w:p>
    <w:p>
      <w:pPr>
        <w:pStyle w:val="Heading2"/>
      </w:pPr>
      <w:r>
        <w:rPr>
          <w:color w:val="003366"/>
        </w:rPr>
        <w:t>📂 Secteur : ENERGIE</w:t>
      </w:r>
    </w:p>
    <w:p>
      <w:r>
        <w:rPr>
          <w:sz w:val="18"/>
        </w:rPr>
        <w:t>4 société(s) avec données financières sur 4 cotée(s) dans ce secteur. Exercice(s) analysé(s) :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551"/>
            <w:shd w:fill="1F4E79" w:val="clear"/>
          </w:tcPr>
          <w:p>
            <w:r>
              <w:rPr>
                <w:b/>
                <w:color w:val="FFFFFF"/>
                <w:sz w:val="16"/>
              </w:rPr>
              <w:t>Indicateur</w:t>
            </w:r>
          </w:p>
        </w:tc>
        <w:tc>
          <w:tcPr>
            <w:tcW w:type="dxa" w:w="1843"/>
            <w:shd w:fill="1F4E79" w:val="clear"/>
          </w:tcPr>
          <w:p>
            <w:r>
              <w:rPr>
                <w:b/>
                <w:color w:val="FFFFFF"/>
                <w:sz w:val="15"/>
              </w:rPr>
              <w:t>SHEC (2025)</w:t>
            </w:r>
          </w:p>
        </w:tc>
        <w:tc>
          <w:tcPr>
            <w:tcW w:type="dxa" w:w="1843"/>
            <w:shd w:fill="1F4E79" w:val="clear"/>
          </w:tcPr>
          <w:p>
            <w:r>
              <w:rPr>
                <w:b/>
                <w:color w:val="FFFFFF"/>
                <w:sz w:val="15"/>
              </w:rPr>
              <w:t>SMBC (2025)</w:t>
            </w:r>
          </w:p>
        </w:tc>
        <w:tc>
          <w:tcPr>
            <w:tcW w:type="dxa" w:w="1843"/>
            <w:shd w:fill="1F4E79" w:val="clear"/>
          </w:tcPr>
          <w:p>
            <w:r>
              <w:rPr>
                <w:b/>
                <w:color w:val="FFFFFF"/>
                <w:sz w:val="15"/>
              </w:rPr>
              <w:t>TTLC (2025)</w:t>
            </w:r>
          </w:p>
        </w:tc>
        <w:tc>
          <w:tcPr>
            <w:tcW w:type="dxa" w:w="1843"/>
            <w:shd w:fill="1F4E79" w:val="clear"/>
          </w:tcPr>
          <w:p>
            <w:r>
              <w:rPr>
                <w:b/>
                <w:color w:val="FFFFFF"/>
                <w:sz w:val="15"/>
              </w:rPr>
              <w:t>TTLS (2025)</w:t>
            </w:r>
          </w:p>
        </w:tc>
      </w:tr>
      <w:tr>
        <w:tc>
          <w:tcPr>
            <w:tcW w:type="dxa" w:w="2551"/>
            <w:shd w:fill="EEF2F7" w:val="clear"/>
          </w:tcPr>
          <w:p>
            <w:r>
              <w:rPr>
                <w:b/>
                <w:sz w:val="15"/>
              </w:rPr>
              <w:t>ROE</w:t>
            </w:r>
          </w:p>
        </w:tc>
        <w:tc>
          <w:tcPr>
            <w:tcW w:type="dxa" w:w="1843"/>
            <w:shd w:fill="FFC7CE" w:val="clear"/>
          </w:tcPr>
          <w:p>
            <w:r>
              <w:rPr>
                <w:b/>
                <w:color w:val="B40000"/>
                <w:sz w:val="16"/>
              </w:rPr>
              <w:t>22.20%</w:t>
            </w:r>
          </w:p>
        </w:tc>
        <w:tc>
          <w:tcPr>
            <w:tcW w:type="dxa" w:w="1843"/>
            <w:shd w:fill="C6EFCE" w:val="clear"/>
          </w:tcPr>
          <w:p>
            <w:r>
              <w:rPr>
                <w:b/>
                <w:color w:val="006400"/>
                <w:sz w:val="16"/>
              </w:rPr>
              <w:t>30.47%</w:t>
            </w:r>
          </w:p>
        </w:tc>
        <w:tc>
          <w:tcPr>
            <w:tcW w:type="dxa" w:w="1843"/>
            <w:shd w:fill="FFFFFF" w:val="clear"/>
          </w:tcPr>
          <w:p>
            <w:r>
              <w:rPr>
                <w:b/>
                <w:color w:val="000000"/>
                <w:sz w:val="16"/>
              </w:rPr>
              <w:t>25.10%</w:t>
            </w:r>
          </w:p>
        </w:tc>
        <w:tc>
          <w:tcPr>
            <w:tcW w:type="dxa" w:w="1843"/>
            <w:shd w:fill="FFFFFF" w:val="clear"/>
          </w:tcPr>
          <w:p>
            <w:r>
              <w:rPr>
                <w:b/>
                <w:color w:val="000000"/>
                <w:sz w:val="16"/>
              </w:rPr>
              <w:t>24.01%</w:t>
            </w:r>
          </w:p>
        </w:tc>
      </w:tr>
      <w:tr>
        <w:tc>
          <w:tcPr>
            <w:tcW w:type="dxa" w:w="2551"/>
            <w:shd w:fill="EEF2F7" w:val="clear"/>
          </w:tcPr>
          <w:p>
            <w:r>
              <w:rPr>
                <w:b/>
                <w:sz w:val="15"/>
              </w:rPr>
              <w:t>ROA</w:t>
            </w:r>
          </w:p>
        </w:tc>
        <w:tc>
          <w:tcPr>
            <w:tcW w:type="dxa" w:w="1843"/>
            <w:shd w:fill="FFC7CE" w:val="clear"/>
          </w:tcPr>
          <w:p>
            <w:r>
              <w:rPr>
                <w:b/>
                <w:color w:val="B40000"/>
                <w:sz w:val="16"/>
              </w:rPr>
              <w:t>3.11%</w:t>
            </w:r>
          </w:p>
        </w:tc>
        <w:tc>
          <w:tcPr>
            <w:tcW w:type="dxa" w:w="1843"/>
            <w:shd w:fill="C6EFCE" w:val="clear"/>
          </w:tcPr>
          <w:p>
            <w:r>
              <w:rPr>
                <w:b/>
                <w:color w:val="006400"/>
                <w:sz w:val="16"/>
              </w:rPr>
              <w:t>7.26%</w:t>
            </w:r>
          </w:p>
        </w:tc>
        <w:tc>
          <w:tcPr>
            <w:tcW w:type="dxa" w:w="1843"/>
            <w:shd w:fill="FFFFFF" w:val="clear"/>
          </w:tcPr>
          <w:p>
            <w:r>
              <w:rPr>
                <w:b/>
                <w:color w:val="000000"/>
                <w:sz w:val="16"/>
              </w:rPr>
              <w:t>4.82%</w:t>
            </w:r>
          </w:p>
        </w:tc>
        <w:tc>
          <w:tcPr>
            <w:tcW w:type="dxa" w:w="1843"/>
            <w:shd w:fill="FFFFFF" w:val="clear"/>
          </w:tcPr>
          <w:p>
            <w:r>
              <w:rPr>
                <w:b/>
                <w:color w:val="000000"/>
                <w:sz w:val="16"/>
              </w:rPr>
              <w:t>3.95%</w:t>
            </w:r>
          </w:p>
        </w:tc>
      </w:tr>
      <w:tr>
        <w:tc>
          <w:tcPr>
            <w:tcW w:type="dxa" w:w="2551"/>
            <w:shd w:fill="EEF2F7" w:val="clear"/>
          </w:tcPr>
          <w:p>
            <w:r>
              <w:rPr>
                <w:b/>
                <w:sz w:val="15"/>
              </w:rPr>
              <w:t>Marge nette</w:t>
            </w:r>
          </w:p>
        </w:tc>
        <w:tc>
          <w:tcPr>
            <w:tcW w:type="dxa" w:w="1843"/>
            <w:shd w:fill="FFC7CE" w:val="clear"/>
          </w:tcPr>
          <w:p>
            <w:r>
              <w:rPr>
                <w:b/>
                <w:color w:val="B40000"/>
                <w:sz w:val="16"/>
              </w:rPr>
              <w:t>1.00%</w:t>
            </w:r>
          </w:p>
        </w:tc>
        <w:tc>
          <w:tcPr>
            <w:tcW w:type="dxa" w:w="1843"/>
            <w:shd w:fill="C6EFCE" w:val="clear"/>
          </w:tcPr>
          <w:p>
            <w:r>
              <w:rPr>
                <w:b/>
                <w:color w:val="006400"/>
                <w:sz w:val="16"/>
              </w:rPr>
              <w:t>6.32%</w:t>
            </w:r>
          </w:p>
        </w:tc>
        <w:tc>
          <w:tcPr>
            <w:tcW w:type="dxa" w:w="1843"/>
            <w:shd w:fill="FFFFFF" w:val="clear"/>
          </w:tcPr>
          <w:p>
            <w:r>
              <w:rPr>
                <w:b/>
                <w:color w:val="000000"/>
                <w:sz w:val="16"/>
              </w:rPr>
              <w:t>1.54%</w:t>
            </w:r>
          </w:p>
        </w:tc>
        <w:tc>
          <w:tcPr>
            <w:tcW w:type="dxa" w:w="1843"/>
            <w:shd w:fill="FFFFFF" w:val="clear"/>
          </w:tcPr>
          <w:p>
            <w:r>
              <w:rPr>
                <w:b/>
                <w:color w:val="000000"/>
                <w:sz w:val="16"/>
              </w:rPr>
              <w:t>1.49%</w:t>
            </w:r>
          </w:p>
        </w:tc>
      </w:tr>
      <w:tr>
        <w:tc>
          <w:tcPr>
            <w:tcW w:type="dxa" w:w="2551"/>
            <w:shd w:fill="EEF2F7" w:val="clear"/>
          </w:tcPr>
          <w:p>
            <w:r>
              <w:rPr>
                <w:b/>
                <w:sz w:val="15"/>
              </w:rPr>
              <w:t>Résultat net</w:t>
            </w:r>
          </w:p>
        </w:tc>
        <w:tc>
          <w:tcPr>
            <w:tcW w:type="dxa" w:w="1843"/>
            <w:shd w:fill="FFC7CE" w:val="clear"/>
          </w:tcPr>
          <w:p>
            <w:r>
              <w:rPr>
                <w:b/>
                <w:color w:val="B40000"/>
                <w:sz w:val="16"/>
              </w:rPr>
              <w:t>6.028 Mds FCFA</w:t>
            </w:r>
          </w:p>
        </w:tc>
        <w:tc>
          <w:tcPr>
            <w:tcW w:type="dxa" w:w="1843"/>
            <w:shd w:fill="C6EFCE" w:val="clear"/>
          </w:tcPr>
          <w:p>
            <w:r>
              <w:rPr>
                <w:b/>
                <w:color w:val="006400"/>
                <w:sz w:val="16"/>
              </w:rPr>
              <w:t>13.075 Mds FCFA</w:t>
            </w:r>
          </w:p>
        </w:tc>
        <w:tc>
          <w:tcPr>
            <w:tcW w:type="dxa" w:w="1843"/>
            <w:shd w:fill="FFFFFF" w:val="clear"/>
          </w:tcPr>
          <w:p>
            <w:r>
              <w:rPr>
                <w:b/>
                <w:color w:val="000000"/>
                <w:sz w:val="16"/>
              </w:rPr>
              <w:t>9.087 Mds FCFA</w:t>
            </w:r>
          </w:p>
        </w:tc>
        <w:tc>
          <w:tcPr>
            <w:tcW w:type="dxa" w:w="1843"/>
            <w:shd w:fill="FFFFFF" w:val="clear"/>
          </w:tcPr>
          <w:p>
            <w:r>
              <w:rPr>
                <w:b/>
                <w:color w:val="000000"/>
                <w:sz w:val="16"/>
              </w:rPr>
              <w:t>6.779 Mds FCFA</w:t>
            </w:r>
          </w:p>
        </w:tc>
      </w:tr>
      <w:tr>
        <w:tc>
          <w:tcPr>
            <w:tcW w:type="dxa" w:w="2551"/>
            <w:shd w:fill="EEF2F7" w:val="clear"/>
          </w:tcPr>
          <w:p>
            <w:r>
              <w:rPr>
                <w:b/>
                <w:sz w:val="15"/>
              </w:rPr>
              <w:t>Taux croissance CA/PNB</w:t>
            </w:r>
          </w:p>
        </w:tc>
        <w:tc>
          <w:tcPr>
            <w:tcW w:type="dxa" w:w="1843"/>
            <w:shd w:fill="C6EFCE" w:val="clear"/>
          </w:tcPr>
          <w:p>
            <w:r>
              <w:rPr>
                <w:b/>
                <w:color w:val="006400"/>
                <w:sz w:val="16"/>
              </w:rPr>
              <w:t>0.71%</w:t>
            </w:r>
          </w:p>
        </w:tc>
        <w:tc>
          <w:tcPr>
            <w:tcW w:type="dxa" w:w="1843"/>
            <w:shd w:fill="FFC7CE" w:val="clear"/>
          </w:tcPr>
          <w:p>
            <w:r>
              <w:rPr>
                <w:b/>
                <w:color w:val="B40000"/>
                <w:sz w:val="16"/>
              </w:rPr>
              <w:t>-9.74%</w:t>
            </w:r>
          </w:p>
        </w:tc>
        <w:tc>
          <w:tcPr>
            <w:tcW w:type="dxa" w:w="1843"/>
            <w:shd w:fill="FFFFFF" w:val="clear"/>
          </w:tcPr>
          <w:p>
            <w:r>
              <w:rPr>
                <w:b/>
                <w:color w:val="000000"/>
                <w:sz w:val="16"/>
              </w:rPr>
              <w:t>-5.21%</w:t>
            </w:r>
          </w:p>
        </w:tc>
        <w:tc>
          <w:tcPr>
            <w:tcW w:type="dxa" w:w="1843"/>
            <w:shd w:fill="FFFFFF" w:val="clear"/>
          </w:tcPr>
          <w:p>
            <w:r>
              <w:rPr>
                <w:b/>
                <w:color w:val="000000"/>
                <w:sz w:val="16"/>
              </w:rPr>
              <w:t>-6.13%</w:t>
            </w:r>
          </w:p>
        </w:tc>
      </w:tr>
      <w:tr>
        <w:tc>
          <w:tcPr>
            <w:tcW w:type="dxa" w:w="2551"/>
            <w:shd w:fill="EEF2F7" w:val="clear"/>
          </w:tcPr>
          <w:p>
            <w:r>
              <w:rPr>
                <w:b/>
                <w:sz w:val="15"/>
              </w:rPr>
              <w:t>Autonomie financière</w:t>
            </w:r>
          </w:p>
        </w:tc>
        <w:tc>
          <w:tcPr>
            <w:tcW w:type="dxa" w:w="1843"/>
            <w:shd w:fill="FFC7CE" w:val="clear"/>
          </w:tcPr>
          <w:p>
            <w:r>
              <w:rPr>
                <w:b/>
                <w:color w:val="B40000"/>
                <w:sz w:val="16"/>
              </w:rPr>
              <w:t>14.03%</w:t>
            </w:r>
          </w:p>
        </w:tc>
        <w:tc>
          <w:tcPr>
            <w:tcW w:type="dxa" w:w="1843"/>
            <w:shd w:fill="C6EFCE" w:val="clear"/>
          </w:tcPr>
          <w:p>
            <w:r>
              <w:rPr>
                <w:b/>
                <w:color w:val="006400"/>
                <w:sz w:val="16"/>
              </w:rPr>
              <w:t>23.84%</w:t>
            </w:r>
          </w:p>
        </w:tc>
        <w:tc>
          <w:tcPr>
            <w:tcW w:type="dxa" w:w="1843"/>
            <w:shd w:fill="FFFFFF" w:val="clear"/>
          </w:tcPr>
          <w:p>
            <w:r>
              <w:rPr>
                <w:b/>
                <w:color w:val="000000"/>
                <w:sz w:val="16"/>
              </w:rPr>
              <w:t>19.21%</w:t>
            </w:r>
          </w:p>
        </w:tc>
        <w:tc>
          <w:tcPr>
            <w:tcW w:type="dxa" w:w="1843"/>
            <w:shd w:fill="FFFFFF" w:val="clear"/>
          </w:tcPr>
          <w:p>
            <w:r>
              <w:rPr>
                <w:b/>
                <w:color w:val="000000"/>
                <w:sz w:val="16"/>
              </w:rPr>
              <w:t>16.44%</w:t>
            </w:r>
          </w:p>
        </w:tc>
      </w:tr>
      <w:tr>
        <w:tc>
          <w:tcPr>
            <w:tcW w:type="dxa" w:w="2551"/>
            <w:shd w:fill="EEF2F7" w:val="clear"/>
          </w:tcPr>
          <w:p>
            <w:r>
              <w:rPr>
                <w:b/>
                <w:sz w:val="15"/>
              </w:rPr>
              <w:t>Ratio endettement</w:t>
            </w:r>
          </w:p>
        </w:tc>
        <w:tc>
          <w:tcPr>
            <w:tcW w:type="dxa" w:w="1843"/>
            <w:shd w:fill="C6EFCE" w:val="clear"/>
          </w:tcPr>
          <w:p>
            <w:r>
              <w:rPr>
                <w:b/>
                <w:color w:val="006400"/>
                <w:sz w:val="16"/>
              </w:rPr>
              <w:t>43.95%</w:t>
            </w:r>
          </w:p>
        </w:tc>
        <w:tc>
          <w:tcPr>
            <w:tcW w:type="dxa" w:w="1843"/>
            <w:shd w:fill="FFFFFF" w:val="clear"/>
          </w:tcPr>
          <w:p>
            <w:r>
              <w:rPr>
                <w:b/>
                <w:color w:val="000000"/>
                <w:sz w:val="16"/>
              </w:rPr>
              <w:t>76.16%</w:t>
            </w:r>
          </w:p>
        </w:tc>
        <w:tc>
          <w:tcPr>
            <w:tcW w:type="dxa" w:w="1843"/>
            <w:shd w:fill="FFC7CE" w:val="clear"/>
          </w:tcPr>
          <w:p>
            <w:r>
              <w:rPr>
                <w:b/>
                <w:color w:val="B40000"/>
                <w:sz w:val="16"/>
              </w:rPr>
              <w:t>90.23%</w:t>
            </w:r>
          </w:p>
        </w:tc>
        <w:tc>
          <w:tcPr>
            <w:tcW w:type="dxa" w:w="1843"/>
            <w:shd w:fill="FFFFFF" w:val="clear"/>
          </w:tcPr>
          <w:p>
            <w:r>
              <w:rPr>
                <w:b/>
                <w:color w:val="000000"/>
                <w:sz w:val="16"/>
              </w:rPr>
              <w:t>52.16%</w:t>
            </w:r>
          </w:p>
        </w:tc>
      </w:tr>
      <w:tr>
        <w:tc>
          <w:tcPr>
            <w:tcW w:type="dxa" w:w="2551"/>
            <w:shd w:fill="EEF2F7" w:val="clear"/>
          </w:tcPr>
          <w:p>
            <w:r>
              <w:rPr>
                <w:b/>
                <w:sz w:val="15"/>
              </w:rPr>
              <w:t>Solvabilité générale</w:t>
            </w:r>
          </w:p>
        </w:tc>
        <w:tc>
          <w:tcPr>
            <w:tcW w:type="dxa" w:w="1843"/>
            <w:shd w:fill="FFC7CE" w:val="clear"/>
          </w:tcPr>
          <w:p>
            <w:r>
              <w:rPr>
                <w:b/>
                <w:color w:val="B40000"/>
                <w:sz w:val="16"/>
              </w:rPr>
              <w:t>116.32%</w:t>
            </w:r>
          </w:p>
        </w:tc>
        <w:tc>
          <w:tcPr>
            <w:tcW w:type="dxa" w:w="1843"/>
            <w:shd w:fill="C6EFCE" w:val="clear"/>
          </w:tcPr>
          <w:p>
            <w:r>
              <w:rPr>
                <w:b/>
                <w:color w:val="006400"/>
                <w:sz w:val="16"/>
              </w:rPr>
              <w:t>131.30%</w:t>
            </w:r>
          </w:p>
        </w:tc>
        <w:tc>
          <w:tcPr>
            <w:tcW w:type="dxa" w:w="1843"/>
            <w:shd w:fill="FFFFFF" w:val="clear"/>
          </w:tcPr>
          <w:p>
            <w:r>
              <w:rPr>
                <w:b/>
                <w:color w:val="000000"/>
                <w:sz w:val="16"/>
              </w:rPr>
              <w:t>123.77%</w:t>
            </w:r>
          </w:p>
        </w:tc>
        <w:tc>
          <w:tcPr>
            <w:tcW w:type="dxa" w:w="1843"/>
            <w:shd w:fill="FFFFFF" w:val="clear"/>
          </w:tcPr>
          <w:p>
            <w:r>
              <w:rPr>
                <w:b/>
                <w:color w:val="000000"/>
                <w:sz w:val="16"/>
              </w:rPr>
              <w:t>119.67%</w:t>
            </w:r>
          </w:p>
        </w:tc>
      </w:tr>
      <w:tr>
        <w:tc>
          <w:tcPr>
            <w:tcW w:type="dxa" w:w="2551"/>
            <w:shd w:fill="EEF2F7" w:val="clear"/>
          </w:tcPr>
          <w:p>
            <w:r>
              <w:rPr>
                <w:b/>
                <w:sz w:val="15"/>
              </w:rPr>
              <w:t>Liquidité générale</w:t>
            </w:r>
          </w:p>
        </w:tc>
        <w:tc>
          <w:tcPr>
            <w:tcW w:type="dxa" w:w="1843"/>
            <w:shd w:fill="FFFFFF" w:val="clear"/>
          </w:tcPr>
          <w:p>
            <w:r>
              <w:rPr>
                <w:b/>
                <w:color w:val="000000"/>
                <w:sz w:val="16"/>
              </w:rPr>
              <w:t>118.17%</w:t>
            </w:r>
          </w:p>
        </w:tc>
        <w:tc>
          <w:tcPr>
            <w:tcW w:type="dxa" w:w="1843"/>
            <w:shd w:fill="C6EFCE" w:val="clear"/>
          </w:tcPr>
          <w:p>
            <w:r>
              <w:rPr>
                <w:b/>
                <w:color w:val="006400"/>
                <w:sz w:val="16"/>
              </w:rPr>
              <w:t>120.18%</w:t>
            </w:r>
          </w:p>
        </w:tc>
        <w:tc>
          <w:tcPr>
            <w:tcW w:type="dxa" w:w="1843"/>
            <w:shd w:fill="FFC7CE" w:val="clear"/>
          </w:tcPr>
          <w:p>
            <w:r>
              <w:rPr>
                <w:b/>
                <w:color w:val="B40000"/>
                <w:sz w:val="16"/>
              </w:rPr>
              <w:t>78.77%</w:t>
            </w:r>
          </w:p>
        </w:tc>
        <w:tc>
          <w:tcPr>
            <w:tcW w:type="dxa" w:w="1843"/>
            <w:shd w:fill="FFFFFF" w:val="clear"/>
          </w:tcPr>
          <w:p>
            <w:r>
              <w:rPr>
                <w:b/>
                <w:color w:val="000000"/>
                <w:sz w:val="16"/>
              </w:rPr>
              <w:t>93.50%</w:t>
            </w:r>
          </w:p>
        </w:tc>
      </w:tr>
      <w:tr>
        <w:tc>
          <w:tcPr>
            <w:tcW w:type="dxa" w:w="2551"/>
            <w:shd w:fill="EEF2F7" w:val="clear"/>
          </w:tcPr>
          <w:p>
            <w:r>
              <w:rPr>
                <w:b/>
                <w:sz w:val="15"/>
              </w:rPr>
              <w:t>Free Cash Flow</w:t>
            </w:r>
          </w:p>
        </w:tc>
        <w:tc>
          <w:tcPr>
            <w:tcW w:type="dxa" w:w="1843"/>
            <w:shd w:fill="FFC7CE" w:val="clear"/>
          </w:tcPr>
          <w:p>
            <w:r>
              <w:rPr>
                <w:b/>
                <w:color w:val="B40000"/>
                <w:sz w:val="16"/>
              </w:rPr>
              <w:t>-1.538 Mds FCFA</w:t>
            </w:r>
          </w:p>
        </w:tc>
        <w:tc>
          <w:tcPr>
            <w:tcW w:type="dxa" w:w="1843"/>
            <w:shd w:fill="C6EFCE" w:val="clear"/>
          </w:tcPr>
          <w:p>
            <w:r>
              <w:rPr>
                <w:b/>
                <w:color w:val="006400"/>
                <w:sz w:val="16"/>
              </w:rPr>
              <w:t>20.642 Mds FCFA</w:t>
            </w:r>
          </w:p>
        </w:tc>
        <w:tc>
          <w:tcPr>
            <w:tcW w:type="dxa" w:w="1843"/>
            <w:shd w:fill="FFFFFF" w:val="clear"/>
          </w:tcPr>
          <w:p>
            <w:r>
              <w:rPr>
                <w:b/>
                <w:color w:val="000000"/>
                <w:sz w:val="16"/>
              </w:rPr>
              <w:t>72.00 M FCFA</w:t>
            </w:r>
          </w:p>
        </w:tc>
        <w:tc>
          <w:tcPr>
            <w:tcW w:type="dxa" w:w="1843"/>
            <w:shd w:fill="FFFFFF" w:val="clear"/>
          </w:tcPr>
          <w:p>
            <w:r>
              <w:rPr>
                <w:b/>
                <w:color w:val="000000"/>
                <w:sz w:val="16"/>
              </w:rPr>
              <w:t>17.483 Mds FCFA</w:t>
            </w:r>
          </w:p>
        </w:tc>
      </w:tr>
      <w:tr>
        <w:tc>
          <w:tcPr>
            <w:tcW w:type="dxa" w:w="2551"/>
            <w:shd w:fill="EEF2F7" w:val="clear"/>
          </w:tcPr>
          <w:p>
            <w:r>
              <w:rPr>
                <w:b/>
                <w:sz w:val="15"/>
              </w:rPr>
              <w:t>Marge opérationnelle</w:t>
            </w:r>
          </w:p>
        </w:tc>
        <w:tc>
          <w:tcPr>
            <w:tcW w:type="dxa" w:w="1843"/>
            <w:shd w:fill="FFFFFF" w:val="clear"/>
          </w:tcPr>
          <w:p>
            <w:r>
              <w:rPr>
                <w:b/>
                <w:color w:val="000000"/>
                <w:sz w:val="16"/>
              </w:rPr>
              <w:t>1.93%</w:t>
            </w:r>
          </w:p>
        </w:tc>
        <w:tc>
          <w:tcPr>
            <w:tcW w:type="dxa" w:w="1843"/>
            <w:shd w:fill="C6EFCE" w:val="clear"/>
          </w:tcPr>
          <w:p>
            <w:r>
              <w:rPr>
                <w:b/>
                <w:color w:val="006400"/>
                <w:sz w:val="16"/>
              </w:rPr>
              <w:t>8.62%</w:t>
            </w:r>
          </w:p>
        </w:tc>
        <w:tc>
          <w:tcPr>
            <w:tcW w:type="dxa" w:w="1843"/>
            <w:shd w:fill="FFFFFF" w:val="clear"/>
          </w:tcPr>
          <w:p>
            <w:r>
              <w:rPr>
                <w:b/>
                <w:color w:val="000000"/>
                <w:sz w:val="16"/>
              </w:rPr>
              <w:t>2.09%</w:t>
            </w:r>
          </w:p>
        </w:tc>
        <w:tc>
          <w:tcPr>
            <w:tcW w:type="dxa" w:w="1843"/>
            <w:shd w:fill="FFC7CE" w:val="clear"/>
          </w:tcPr>
          <w:p>
            <w:r>
              <w:rPr>
                <w:b/>
                <w:color w:val="B40000"/>
                <w:sz w:val="16"/>
              </w:rPr>
              <w:t>1.91%</w:t>
            </w:r>
          </w:p>
        </w:tc>
      </w:tr>
      <w:tr>
        <w:tc>
          <w:tcPr>
            <w:tcW w:type="dxa" w:w="2551"/>
            <w:shd w:fill="EEF2F7" w:val="clear"/>
          </w:tcPr>
          <w:p>
            <w:r>
              <w:rPr>
                <w:b/>
                <w:sz w:val="15"/>
              </w:rPr>
              <w:t>Délai clients</w:t>
            </w:r>
          </w:p>
        </w:tc>
        <w:tc>
          <w:tcPr>
            <w:tcW w:type="dxa" w:w="1843"/>
            <w:shd w:fill="C6EFCE" w:val="clear"/>
          </w:tcPr>
          <w:p>
            <w:r>
              <w:rPr>
                <w:b/>
                <w:color w:val="006400"/>
                <w:sz w:val="16"/>
              </w:rPr>
              <w:t>23.3 j</w:t>
            </w:r>
          </w:p>
        </w:tc>
        <w:tc>
          <w:tcPr>
            <w:tcW w:type="dxa" w:w="1843"/>
            <w:shd w:fill="FFC7CE" w:val="clear"/>
          </w:tcPr>
          <w:p>
            <w:r>
              <w:rPr>
                <w:b/>
                <w:color w:val="B40000"/>
                <w:sz w:val="16"/>
              </w:rPr>
              <w:t>193.8 j</w:t>
            </w:r>
          </w:p>
        </w:tc>
        <w:tc>
          <w:tcPr>
            <w:tcW w:type="dxa" w:w="1843"/>
            <w:shd w:fill="F2F2F2" w:val="clear"/>
          </w:tcPr>
          <w:p>
            <w:r>
              <w:rPr>
                <w:b/>
                <w:sz w:val="16"/>
              </w:rPr>
              <w:t>N/D</w:t>
            </w:r>
          </w:p>
        </w:tc>
        <w:tc>
          <w:tcPr>
            <w:tcW w:type="dxa" w:w="1843"/>
            <w:shd w:fill="FFFFFF" w:val="clear"/>
          </w:tcPr>
          <w:p>
            <w:r>
              <w:rPr>
                <w:b/>
                <w:color w:val="000000"/>
                <w:sz w:val="16"/>
              </w:rPr>
              <w:t>47.4 j</w:t>
            </w:r>
          </w:p>
        </w:tc>
      </w:tr>
      <w:tr>
        <w:tc>
          <w:tcPr>
            <w:tcW w:type="dxa" w:w="2551"/>
            <w:shd w:fill="EEF2F7" w:val="clear"/>
          </w:tcPr>
          <w:p>
            <w:r>
              <w:rPr>
                <w:b/>
                <w:sz w:val="15"/>
              </w:rPr>
              <w:t>Durée stockage</w:t>
            </w:r>
          </w:p>
        </w:tc>
        <w:tc>
          <w:tcPr>
            <w:tcW w:type="dxa" w:w="1843"/>
            <w:shd w:fill="C6EFCE" w:val="clear"/>
          </w:tcPr>
          <w:p>
            <w:r>
              <w:rPr>
                <w:b/>
                <w:color w:val="006400"/>
                <w:sz w:val="16"/>
              </w:rPr>
              <w:t>7.5 j</w:t>
            </w:r>
          </w:p>
        </w:tc>
        <w:tc>
          <w:tcPr>
            <w:tcW w:type="dxa" w:w="1843"/>
            <w:shd w:fill="FFC7CE" w:val="clear"/>
          </w:tcPr>
          <w:p>
            <w:r>
              <w:rPr>
                <w:b/>
                <w:color w:val="B40000"/>
                <w:sz w:val="16"/>
              </w:rPr>
              <w:t>38.1 j</w:t>
            </w:r>
          </w:p>
        </w:tc>
        <w:tc>
          <w:tcPr>
            <w:tcW w:type="dxa" w:w="1843"/>
            <w:shd w:fill="FFFFFF" w:val="clear"/>
          </w:tcPr>
          <w:p>
            <w:r>
              <w:rPr>
                <w:b/>
                <w:color w:val="000000"/>
                <w:sz w:val="16"/>
              </w:rPr>
              <w:t>13.8 j</w:t>
            </w:r>
          </w:p>
        </w:tc>
        <w:tc>
          <w:tcPr>
            <w:tcW w:type="dxa" w:w="1843"/>
            <w:shd w:fill="FFFFFF" w:val="clear"/>
          </w:tcPr>
          <w:p>
            <w:r>
              <w:rPr>
                <w:b/>
                <w:color w:val="000000"/>
                <w:sz w:val="16"/>
              </w:rPr>
              <w:t>17.6 j</w:t>
            </w:r>
          </w:p>
        </w:tc>
      </w:tr>
    </w:tbl>
    <w:p/>
    <w:p>
      <w:pPr>
        <w:pStyle w:val="Heading3"/>
      </w:pPr>
      <w:r>
        <w:t>🔍 Analyse détaillée par société</w:t>
      </w:r>
    </w:p>
    <w:p>
      <w:pPr>
        <w:spacing w:before="160"/>
      </w:pPr>
      <w:r>
        <w:rPr>
          <w:b/>
          <w:color w:val="003366"/>
          <w:sz w:val="20"/>
        </w:rPr>
        <w:t xml:space="preserve">▶ SHEC — SHEC - VIVO ENERGY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22.20%</w:t>
            </w:r>
          </w:p>
        </w:tc>
        <w:tc>
          <w:tcPr>
            <w:tcW w:type="dxa" w:w="5669"/>
            <w:shd w:fill="FFFFFF" w:val="clear"/>
          </w:tcPr>
          <w:p>
            <w:r>
              <w:rPr>
                <w:sz w:val="15"/>
              </w:rPr>
              <w:t>✅ ROE de 22.2%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3.11%</w:t>
            </w:r>
          </w:p>
        </w:tc>
        <w:tc>
          <w:tcPr>
            <w:tcW w:type="dxa" w:w="5669"/>
            <w:shd w:fill="FFFFFF" w:val="clear"/>
          </w:tcPr>
          <w:p>
            <w:r>
              <w:rPr>
                <w:sz w:val="15"/>
              </w:rPr>
              <w:t>⚠️ ROA de 3.11%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1.00%</w:t>
            </w:r>
          </w:p>
        </w:tc>
        <w:tc>
          <w:tcPr>
            <w:tcW w:type="dxa" w:w="5669"/>
            <w:shd w:fill="FFFFFF" w:val="clear"/>
          </w:tcPr>
          <w:p>
            <w:r>
              <w:rPr>
                <w:sz w:val="15"/>
              </w:rPr>
              <w:t>⚠️ Marge nette quasi-nulle (1.00%) — activité à peine bénéficiaire.</w:t>
            </w:r>
          </w:p>
        </w:tc>
      </w:tr>
      <w:tr>
        <w:tc>
          <w:tcPr>
            <w:tcW w:type="dxa" w:w="2268"/>
            <w:shd w:fill="EEF2F7" w:val="clear"/>
          </w:tcPr>
          <w:p>
            <w:r>
              <w:rPr>
                <w:b/>
                <w:sz w:val="15"/>
              </w:rPr>
              <w:t>Résultat net</w:t>
            </w:r>
          </w:p>
        </w:tc>
        <w:tc>
          <w:tcPr>
            <w:tcW w:type="dxa" w:w="1984"/>
            <w:shd w:fill="C6EFCE" w:val="clear"/>
          </w:tcPr>
          <w:p>
            <w:r>
              <w:rPr>
                <w:b/>
                <w:color w:val="007800"/>
                <w:sz w:val="17"/>
              </w:rPr>
              <w:t>6.028 Mds FCFA</w:t>
            </w:r>
          </w:p>
        </w:tc>
        <w:tc>
          <w:tcPr>
            <w:tcW w:type="dxa" w:w="5669"/>
            <w:shd w:fill="FFFFFF" w:val="clear"/>
          </w:tcPr>
          <w:p>
            <w:r>
              <w:rPr>
                <w:sz w:val="15"/>
              </w:rPr>
              <w:t>✅ Résultat net positif de 6.028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0.71%</w:t>
            </w:r>
          </w:p>
        </w:tc>
        <w:tc>
          <w:tcPr>
            <w:tcW w:type="dxa" w:w="5669"/>
            <w:shd w:fill="FFFFFF" w:val="clear"/>
          </w:tcPr>
          <w:p>
            <w:r>
              <w:rPr>
                <w:sz w:val="15"/>
              </w:rPr>
              <w:t>⚠️ Croissance faible (0.7%)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14.03%</w:t>
            </w:r>
          </w:p>
        </w:tc>
        <w:tc>
          <w:tcPr>
            <w:tcW w:type="dxa" w:w="5669"/>
            <w:shd w:fill="FFFFFF" w:val="clear"/>
          </w:tcPr>
          <w:p>
            <w:r>
              <w:rPr>
                <w:sz w:val="15"/>
              </w:rPr>
              <w:t>⚠️ Autonomie limitée (14.0%)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43.95%</w:t>
            </w:r>
          </w:p>
        </w:tc>
        <w:tc>
          <w:tcPr>
            <w:tcW w:type="dxa" w:w="5669"/>
            <w:shd w:fill="FFFFFF" w:val="clear"/>
          </w:tcPr>
          <w:p>
            <w:r>
              <w:rPr>
                <w:sz w:val="15"/>
              </w:rPr>
              <w:t>✅ Gearing de 44%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116.32%</w:t>
            </w:r>
          </w:p>
        </w:tc>
        <w:tc>
          <w:tcPr>
            <w:tcW w:type="dxa" w:w="5669"/>
            <w:shd w:fill="FFFFFF" w:val="clear"/>
          </w:tcPr>
          <w:p>
            <w:r>
              <w:rPr>
                <w:sz w:val="15"/>
              </w:rPr>
              <w:t>⚠️ Solvabilité limite (116%)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118.17%</w:t>
            </w:r>
          </w:p>
        </w:tc>
        <w:tc>
          <w:tcPr>
            <w:tcW w:type="dxa" w:w="5669"/>
            <w:shd w:fill="FFFFFF" w:val="clear"/>
          </w:tcPr>
          <w:p>
            <w:r>
              <w:rPr>
                <w:sz w:val="15"/>
              </w:rPr>
              <w:t>⚠️ Liquidité générale limite (118.17x) — couverture juste suffisante.</w:t>
            </w:r>
          </w:p>
        </w:tc>
      </w:tr>
      <w:tr>
        <w:tc>
          <w:tcPr>
            <w:tcW w:type="dxa" w:w="2268"/>
            <w:shd w:fill="EEF2F7" w:val="clear"/>
          </w:tcPr>
          <w:p>
            <w:r>
              <w:rPr>
                <w:b/>
                <w:sz w:val="15"/>
              </w:rPr>
              <w:t>Free Cash Flow</w:t>
            </w:r>
          </w:p>
        </w:tc>
        <w:tc>
          <w:tcPr>
            <w:tcW w:type="dxa" w:w="1984"/>
            <w:shd w:fill="FFC7CE" w:val="clear"/>
          </w:tcPr>
          <w:p>
            <w:r>
              <w:rPr>
                <w:b/>
                <w:color w:val="B40000"/>
                <w:sz w:val="17"/>
              </w:rPr>
              <w:t>-1.538 Mds FCFA</w:t>
            </w:r>
          </w:p>
        </w:tc>
        <w:tc>
          <w:tcPr>
            <w:tcW w:type="dxa" w:w="5669"/>
            <w:shd w:fill="FFFFFF" w:val="clear"/>
          </w:tcPr>
          <w:p>
            <w:r>
              <w:rPr>
                <w:sz w:val="15"/>
              </w:rPr>
              <w:t>❌ FCF négatif significatif (-1.538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1.93%</w:t>
            </w:r>
          </w:p>
        </w:tc>
        <w:tc>
          <w:tcPr>
            <w:tcW w:type="dxa" w:w="5669"/>
            <w:shd w:fill="FFFFFF" w:val="clear"/>
          </w:tcPr>
          <w:p>
            <w:r>
              <w:rPr>
                <w:sz w:val="15"/>
              </w:rPr>
              <w:t>⚠️ Marge opérationnelle faible (1.9%)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23.3 j</w:t>
            </w:r>
          </w:p>
        </w:tc>
        <w:tc>
          <w:tcPr>
            <w:tcW w:type="dxa" w:w="5669"/>
            <w:shd w:fill="FFFFFF" w:val="clear"/>
          </w:tcPr>
          <w:p>
            <w:r>
              <w:rPr>
                <w:sz w:val="15"/>
              </w:rPr>
              <w:t>✅ Délai clients de 23 jours — recouvrement rapide. Trésorerie peu sollicitée par les créances clients.</w:t>
            </w:r>
          </w:p>
        </w:tc>
      </w:tr>
      <w:tr>
        <w:tc>
          <w:tcPr>
            <w:tcW w:type="dxa" w:w="2268"/>
            <w:shd w:fill="EEF2F7" w:val="clear"/>
          </w:tcPr>
          <w:p>
            <w:r>
              <w:rPr>
                <w:b/>
                <w:sz w:val="15"/>
              </w:rPr>
              <w:t>Durée stockage</w:t>
            </w:r>
          </w:p>
        </w:tc>
        <w:tc>
          <w:tcPr>
            <w:tcW w:type="dxa" w:w="1984"/>
            <w:shd w:fill="C6EFCE" w:val="clear"/>
          </w:tcPr>
          <w:p>
            <w:r>
              <w:rPr>
                <w:b/>
                <w:color w:val="007800"/>
                <w:sz w:val="17"/>
              </w:rPr>
              <w:t>7.5 j</w:t>
            </w:r>
          </w:p>
        </w:tc>
        <w:tc>
          <w:tcPr>
            <w:tcW w:type="dxa" w:w="5669"/>
            <w:shd w:fill="FFFFFF" w:val="clear"/>
          </w:tcPr>
          <w:p>
            <w:r>
              <w:rPr>
                <w:sz w:val="15"/>
              </w:rPr>
              <w:t>✅ Stock écoulé en 7 jours — rotation excellente, capital peu immobilisé.</w:t>
            </w:r>
          </w:p>
        </w:tc>
      </w:tr>
    </w:tbl>
    <w:p/>
    <w:p>
      <w:pPr>
        <w:spacing w:before="160"/>
      </w:pPr>
      <w:r>
        <w:rPr>
          <w:b/>
          <w:color w:val="003366"/>
          <w:sz w:val="20"/>
        </w:rPr>
        <w:t xml:space="preserve">▶ SMBC — SMBC - Société Multinationale de Bitumes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30.47%</w:t>
            </w:r>
          </w:p>
        </w:tc>
        <w:tc>
          <w:tcPr>
            <w:tcW w:type="dxa" w:w="5669"/>
            <w:shd w:fill="FFFFFF" w:val="clear"/>
          </w:tcPr>
          <w:p>
            <w:r>
              <w:rPr>
                <w:sz w:val="15"/>
              </w:rPr>
              <w:t>✅ ROE de 30.5%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7.26%</w:t>
            </w:r>
          </w:p>
        </w:tc>
        <w:tc>
          <w:tcPr>
            <w:tcW w:type="dxa" w:w="5669"/>
            <w:shd w:fill="FFFFFF" w:val="clear"/>
          </w:tcPr>
          <w:p>
            <w:r>
              <w:rPr>
                <w:sz w:val="15"/>
              </w:rPr>
              <w:t>✅ ROA de 7.26%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6.32%</w:t>
            </w:r>
          </w:p>
        </w:tc>
        <w:tc>
          <w:tcPr>
            <w:tcW w:type="dxa" w:w="5669"/>
            <w:shd w:fill="FFFFFF" w:val="clear"/>
          </w:tcPr>
          <w:p>
            <w:r>
              <w:rPr>
                <w:sz w:val="15"/>
              </w:rPr>
              <w:t>✅ Marge nette de 6.3%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13.075 Mds FCFA</w:t>
            </w:r>
          </w:p>
        </w:tc>
        <w:tc>
          <w:tcPr>
            <w:tcW w:type="dxa" w:w="5669"/>
            <w:shd w:fill="FFFFFF" w:val="clear"/>
          </w:tcPr>
          <w:p>
            <w:r>
              <w:rPr>
                <w:sz w:val="15"/>
              </w:rPr>
              <w:t>✅ Résultat net positif de 13.075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-9.74%</w:t>
            </w:r>
          </w:p>
        </w:tc>
        <w:tc>
          <w:tcPr>
            <w:tcW w:type="dxa" w:w="5669"/>
            <w:shd w:fill="FFFFFF" w:val="clear"/>
          </w:tcPr>
          <w:p>
            <w:r>
              <w:rPr>
                <w:sz w:val="15"/>
              </w:rPr>
              <w:t>❌ Recul marqué de 9.7%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23.84%</w:t>
            </w:r>
          </w:p>
        </w:tc>
        <w:tc>
          <w:tcPr>
            <w:tcW w:type="dxa" w:w="5669"/>
            <w:shd w:fill="FFFFFF" w:val="clear"/>
          </w:tcPr>
          <w:p>
            <w:r>
              <w:rPr>
                <w:sz w:val="15"/>
              </w:rPr>
              <w:t>✅ Autonomie financière correcte (23.8%)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76.16%</w:t>
            </w:r>
          </w:p>
        </w:tc>
        <w:tc>
          <w:tcPr>
            <w:tcW w:type="dxa" w:w="5669"/>
            <w:shd w:fill="FFFFFF" w:val="clear"/>
          </w:tcPr>
          <w:p>
            <w:r>
              <w:rPr>
                <w:sz w:val="15"/>
              </w:rPr>
              <w:t>✅ Gearing de 76%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131.30%</w:t>
            </w:r>
          </w:p>
        </w:tc>
        <w:tc>
          <w:tcPr>
            <w:tcW w:type="dxa" w:w="5669"/>
            <w:shd w:fill="FFFFFF" w:val="clear"/>
          </w:tcPr>
          <w:p>
            <w:r>
              <w:rPr>
                <w:sz w:val="15"/>
              </w:rPr>
              <w:t>✅ Solvabilité satisfaisante (131%)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120.18%</w:t>
            </w:r>
          </w:p>
        </w:tc>
        <w:tc>
          <w:tcPr>
            <w:tcW w:type="dxa" w:w="5669"/>
            <w:shd w:fill="FFFFFF" w:val="clear"/>
          </w:tcPr>
          <w:p>
            <w:r>
              <w:rPr>
                <w:sz w:val="15"/>
              </w:rPr>
              <w:t>✅ Liquidité générale de 120.18x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20.642 Mds FCFA</w:t>
            </w:r>
          </w:p>
        </w:tc>
        <w:tc>
          <w:tcPr>
            <w:tcW w:type="dxa" w:w="5669"/>
            <w:shd w:fill="FFFFFF" w:val="clear"/>
          </w:tcPr>
          <w:p>
            <w:r>
              <w:rPr>
                <w:sz w:val="15"/>
              </w:rPr>
              <w:t>✅ FCF positif de 20.642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8.62%</w:t>
            </w:r>
          </w:p>
        </w:tc>
        <w:tc>
          <w:tcPr>
            <w:tcW w:type="dxa" w:w="5669"/>
            <w:shd w:fill="FFFFFF" w:val="clear"/>
          </w:tcPr>
          <w:p>
            <w:r>
              <w:rPr>
                <w:sz w:val="15"/>
              </w:rPr>
              <w:t>✅ Marge opérationnelle correcte (8.6%).</w:t>
            </w:r>
          </w:p>
        </w:tc>
      </w:tr>
      <w:tr>
        <w:tc>
          <w:tcPr>
            <w:tcW w:type="dxa" w:w="2268"/>
            <w:shd w:fill="EEF2F7" w:val="clear"/>
          </w:tcPr>
          <w:p>
            <w:r>
              <w:rPr>
                <w:b/>
                <w:sz w:val="15"/>
              </w:rPr>
              <w:t>Délai clients</w:t>
            </w:r>
          </w:p>
        </w:tc>
        <w:tc>
          <w:tcPr>
            <w:tcW w:type="dxa" w:w="1984"/>
            <w:shd w:fill="FFC7CE" w:val="clear"/>
          </w:tcPr>
          <w:p>
            <w:r>
              <w:rPr>
                <w:b/>
                <w:color w:val="007800"/>
                <w:sz w:val="17"/>
              </w:rPr>
              <w:t>193.8 j</w:t>
            </w:r>
          </w:p>
        </w:tc>
        <w:tc>
          <w:tcPr>
            <w:tcW w:type="dxa" w:w="5669"/>
            <w:shd w:fill="FFFFFF" w:val="clear"/>
          </w:tcPr>
          <w:p>
            <w:r>
              <w:rPr>
                <w:sz w:val="15"/>
              </w:rPr>
              <w:t>❌ Délai critique de 194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38.1 j</w:t>
            </w:r>
          </w:p>
        </w:tc>
        <w:tc>
          <w:tcPr>
            <w:tcW w:type="dxa" w:w="5669"/>
            <w:shd w:fill="FFFFFF" w:val="clear"/>
          </w:tcPr>
          <w:p>
            <w:r>
              <w:rPr>
                <w:sz w:val="15"/>
              </w:rPr>
              <w:t>✅ Durée de stockage standard (38 jours).</w:t>
            </w:r>
          </w:p>
        </w:tc>
      </w:tr>
    </w:tbl>
    <w:p/>
    <w:p>
      <w:pPr>
        <w:spacing w:before="160"/>
      </w:pPr>
      <w:r>
        <w:rPr>
          <w:b/>
          <w:color w:val="003366"/>
          <w:sz w:val="20"/>
        </w:rPr>
        <w:t xml:space="preserve">▶ TTLC — TTLC - TOTAL ENERGIES MARKETING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25.10%</w:t>
            </w:r>
          </w:p>
        </w:tc>
        <w:tc>
          <w:tcPr>
            <w:tcW w:type="dxa" w:w="5669"/>
            <w:shd w:fill="FFFFFF" w:val="clear"/>
          </w:tcPr>
          <w:p>
            <w:r>
              <w:rPr>
                <w:sz w:val="15"/>
              </w:rPr>
              <w:t>✅ ROE de 25.1%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4.82%</w:t>
            </w:r>
          </w:p>
        </w:tc>
        <w:tc>
          <w:tcPr>
            <w:tcW w:type="dxa" w:w="5669"/>
            <w:shd w:fill="FFFFFF" w:val="clear"/>
          </w:tcPr>
          <w:p>
            <w:r>
              <w:rPr>
                <w:sz w:val="15"/>
              </w:rPr>
              <w:t>⚠️ ROA de 4.82%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1.54%</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9.087 Mds FCFA</w:t>
            </w:r>
          </w:p>
        </w:tc>
        <w:tc>
          <w:tcPr>
            <w:tcW w:type="dxa" w:w="5669"/>
            <w:shd w:fill="FFFFFF" w:val="clear"/>
          </w:tcPr>
          <w:p>
            <w:r>
              <w:rPr>
                <w:sz w:val="15"/>
              </w:rPr>
              <w:t>✅ Résultat net positif de 9.087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-5.21%</w:t>
            </w:r>
          </w:p>
        </w:tc>
        <w:tc>
          <w:tcPr>
            <w:tcW w:type="dxa" w:w="5669"/>
            <w:shd w:fill="FFFFFF" w:val="clear"/>
          </w:tcPr>
          <w:p>
            <w:r>
              <w:rPr>
                <w:sz w:val="15"/>
              </w:rPr>
              <w:t>❌ Recul marqué de 5.2%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19.21%</w:t>
            </w:r>
          </w:p>
        </w:tc>
        <w:tc>
          <w:tcPr>
            <w:tcW w:type="dxa" w:w="5669"/>
            <w:shd w:fill="FFFFFF" w:val="clear"/>
          </w:tcPr>
          <w:p>
            <w:r>
              <w:rPr>
                <w:sz w:val="15"/>
              </w:rPr>
              <w:t>⚠️ Autonomie limitée (19.2%)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90.23%</w:t>
            </w:r>
          </w:p>
        </w:tc>
        <w:tc>
          <w:tcPr>
            <w:tcW w:type="dxa" w:w="5669"/>
            <w:shd w:fill="FFFFFF" w:val="clear"/>
          </w:tcPr>
          <w:p>
            <w:r>
              <w:rPr>
                <w:sz w:val="15"/>
              </w:rPr>
              <w:t>✅ Gearing de 90%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123.77%</w:t>
            </w:r>
          </w:p>
        </w:tc>
        <w:tc>
          <w:tcPr>
            <w:tcW w:type="dxa" w:w="5669"/>
            <w:shd w:fill="FFFFFF" w:val="clear"/>
          </w:tcPr>
          <w:p>
            <w:r>
              <w:rPr>
                <w:sz w:val="15"/>
              </w:rPr>
              <w:t>✅ Solvabilité satisfaisante (124%)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78.77%</w:t>
            </w:r>
          </w:p>
        </w:tc>
        <w:tc>
          <w:tcPr>
            <w:tcW w:type="dxa" w:w="5669"/>
            <w:shd w:fill="FFFFFF" w:val="clear"/>
          </w:tcPr>
          <w:p>
            <w:r>
              <w:rPr>
                <w:sz w:val="15"/>
              </w:rPr>
              <w:t>❌ Liquidité insuffisante (78.77x)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72.00 M FCFA</w:t>
            </w:r>
          </w:p>
        </w:tc>
        <w:tc>
          <w:tcPr>
            <w:tcW w:type="dxa" w:w="5669"/>
            <w:shd w:fill="FFFFFF" w:val="clear"/>
          </w:tcPr>
          <w:p>
            <w:r>
              <w:rPr>
                <w:sz w:val="15"/>
              </w:rPr>
              <w:t>✅ FCF positif de 72.00 M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2.09%</w:t>
            </w:r>
          </w:p>
        </w:tc>
        <w:tc>
          <w:tcPr>
            <w:tcW w:type="dxa" w:w="5669"/>
            <w:shd w:fill="FFFFFF" w:val="clear"/>
          </w:tcPr>
          <w:p>
            <w:r>
              <w:rPr>
                <w:sz w:val="15"/>
              </w:rPr>
              <w:t>⚠️ Marge opérationnelle faible (2.1%) — l'exploitation laisse peu de bénéfice avant charges financières.</w:t>
            </w:r>
          </w:p>
        </w:tc>
      </w:tr>
      <w:tr>
        <w:tc>
          <w:tcPr>
            <w:tcW w:type="dxa" w:w="2268"/>
            <w:shd w:fill="EEF2F7" w:val="clear"/>
          </w:tcPr>
          <w:p>
            <w:r>
              <w:rPr>
                <w:b/>
                <w:sz w:val="15"/>
              </w:rPr>
              <w:t>Durée stockage</w:t>
            </w:r>
          </w:p>
        </w:tc>
        <w:tc>
          <w:tcPr>
            <w:tcW w:type="dxa" w:w="1984"/>
            <w:shd w:fill="C6EFCE" w:val="clear"/>
          </w:tcPr>
          <w:p>
            <w:r>
              <w:rPr>
                <w:b/>
                <w:color w:val="007800"/>
                <w:sz w:val="17"/>
              </w:rPr>
              <w:t>13.8 j</w:t>
            </w:r>
          </w:p>
        </w:tc>
        <w:tc>
          <w:tcPr>
            <w:tcW w:type="dxa" w:w="5669"/>
            <w:shd w:fill="FFFFFF" w:val="clear"/>
          </w:tcPr>
          <w:p>
            <w:r>
              <w:rPr>
                <w:sz w:val="15"/>
              </w:rPr>
              <w:t>✅ Stock écoulé en 14 jours — rotation excellente, capital peu immobilisé.</w:t>
            </w:r>
          </w:p>
        </w:tc>
      </w:tr>
    </w:tbl>
    <w:p/>
    <w:p>
      <w:pPr>
        <w:spacing w:before="160"/>
      </w:pPr>
      <w:r>
        <w:rPr>
          <w:b/>
          <w:color w:val="003366"/>
          <w:sz w:val="20"/>
        </w:rPr>
        <w:t xml:space="preserve">▶ TTLS — TTLS - TOTAL ENERGIES MARKETING SENEGAL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24.01%</w:t>
            </w:r>
          </w:p>
        </w:tc>
        <w:tc>
          <w:tcPr>
            <w:tcW w:type="dxa" w:w="5669"/>
            <w:shd w:fill="FFFFFF" w:val="clear"/>
          </w:tcPr>
          <w:p>
            <w:r>
              <w:rPr>
                <w:sz w:val="15"/>
              </w:rPr>
              <w:t>✅ ROE de 24.0%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3.95%</w:t>
            </w:r>
          </w:p>
        </w:tc>
        <w:tc>
          <w:tcPr>
            <w:tcW w:type="dxa" w:w="5669"/>
            <w:shd w:fill="FFFFFF" w:val="clear"/>
          </w:tcPr>
          <w:p>
            <w:r>
              <w:rPr>
                <w:sz w:val="15"/>
              </w:rPr>
              <w:t>⚠️ ROA de 3.95%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1.49%</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6.779 Mds FCFA</w:t>
            </w:r>
          </w:p>
        </w:tc>
        <w:tc>
          <w:tcPr>
            <w:tcW w:type="dxa" w:w="5669"/>
            <w:shd w:fill="FFFFFF" w:val="clear"/>
          </w:tcPr>
          <w:p>
            <w:r>
              <w:rPr>
                <w:sz w:val="15"/>
              </w:rPr>
              <w:t>✅ Résultat net positif de 6.779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-6.13%</w:t>
            </w:r>
          </w:p>
        </w:tc>
        <w:tc>
          <w:tcPr>
            <w:tcW w:type="dxa" w:w="5669"/>
            <w:shd w:fill="FFFFFF" w:val="clear"/>
          </w:tcPr>
          <w:p>
            <w:r>
              <w:rPr>
                <w:sz w:val="15"/>
              </w:rPr>
              <w:t>❌ Recul marqué de 6.1%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16.44%</w:t>
            </w:r>
          </w:p>
        </w:tc>
        <w:tc>
          <w:tcPr>
            <w:tcW w:type="dxa" w:w="5669"/>
            <w:shd w:fill="FFFFFF" w:val="clear"/>
          </w:tcPr>
          <w:p>
            <w:r>
              <w:rPr>
                <w:sz w:val="15"/>
              </w:rPr>
              <w:t>⚠️ Autonomie limitée (16.4%)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52.16%</w:t>
            </w:r>
          </w:p>
        </w:tc>
        <w:tc>
          <w:tcPr>
            <w:tcW w:type="dxa" w:w="5669"/>
            <w:shd w:fill="FFFFFF" w:val="clear"/>
          </w:tcPr>
          <w:p>
            <w:r>
              <w:rPr>
                <w:sz w:val="15"/>
              </w:rPr>
              <w:t>✅ Gearing de 52%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119.67%</w:t>
            </w:r>
          </w:p>
        </w:tc>
        <w:tc>
          <w:tcPr>
            <w:tcW w:type="dxa" w:w="5669"/>
            <w:shd w:fill="FFFFFF" w:val="clear"/>
          </w:tcPr>
          <w:p>
            <w:r>
              <w:rPr>
                <w:sz w:val="15"/>
              </w:rPr>
              <w:t>⚠️ Solvabilité limite (120%)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93.50%</w:t>
            </w:r>
          </w:p>
        </w:tc>
        <w:tc>
          <w:tcPr>
            <w:tcW w:type="dxa" w:w="5669"/>
            <w:shd w:fill="FFFFFF" w:val="clear"/>
          </w:tcPr>
          <w:p>
            <w:r>
              <w:rPr>
                <w:sz w:val="15"/>
              </w:rPr>
              <w:t>❌ Liquidité insuffisante (93.50x)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17.483 Mds FCFA</w:t>
            </w:r>
          </w:p>
        </w:tc>
        <w:tc>
          <w:tcPr>
            <w:tcW w:type="dxa" w:w="5669"/>
            <w:shd w:fill="FFFFFF" w:val="clear"/>
          </w:tcPr>
          <w:p>
            <w:r>
              <w:rPr>
                <w:sz w:val="15"/>
              </w:rPr>
              <w:t>✅ FCF positif de 17.483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1.91%</w:t>
            </w:r>
          </w:p>
        </w:tc>
        <w:tc>
          <w:tcPr>
            <w:tcW w:type="dxa" w:w="5669"/>
            <w:shd w:fill="FFFFFF" w:val="clear"/>
          </w:tcPr>
          <w:p>
            <w:r>
              <w:rPr>
                <w:sz w:val="15"/>
              </w:rPr>
              <w:t>⚠️ Marge opérationnelle faible (1.9%)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47.4 j</w:t>
            </w:r>
          </w:p>
        </w:tc>
        <w:tc>
          <w:tcPr>
            <w:tcW w:type="dxa" w:w="5669"/>
            <w:shd w:fill="FFFFFF" w:val="clear"/>
          </w:tcPr>
          <w:p>
            <w:r>
              <w:rPr>
                <w:sz w:val="15"/>
              </w:rPr>
              <w:t>✅ Délai standard (47 jours) — dans les normes commerciales habituelles.</w:t>
            </w:r>
          </w:p>
        </w:tc>
      </w:tr>
      <w:tr>
        <w:tc>
          <w:tcPr>
            <w:tcW w:type="dxa" w:w="2268"/>
            <w:shd w:fill="EEF2F7" w:val="clear"/>
          </w:tcPr>
          <w:p>
            <w:r>
              <w:rPr>
                <w:b/>
                <w:sz w:val="15"/>
              </w:rPr>
              <w:t>Durée stockage</w:t>
            </w:r>
          </w:p>
        </w:tc>
        <w:tc>
          <w:tcPr>
            <w:tcW w:type="dxa" w:w="1984"/>
            <w:shd w:fill="C6EFCE" w:val="clear"/>
          </w:tcPr>
          <w:p>
            <w:r>
              <w:rPr>
                <w:b/>
                <w:color w:val="007800"/>
                <w:sz w:val="17"/>
              </w:rPr>
              <w:t>17.6 j</w:t>
            </w:r>
          </w:p>
        </w:tc>
        <w:tc>
          <w:tcPr>
            <w:tcW w:type="dxa" w:w="5669"/>
            <w:shd w:fill="FFFFFF" w:val="clear"/>
          </w:tcPr>
          <w:p>
            <w:r>
              <w:rPr>
                <w:sz w:val="15"/>
              </w:rPr>
              <w:t>✅ Stock écoulé en 18 jours — rotation excellente, capital peu immobilisé.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SMBC</w:t>
            </w:r>
          </w:p>
        </w:tc>
        <w:tc>
          <w:tcPr>
            <w:tcW w:type="dxa" w:w="1728"/>
            <w:shd w:fill="C6EFCE" w:val="clear"/>
          </w:tcPr>
          <w:p>
            <w:r>
              <w:rPr>
                <w:color w:val="006400"/>
                <w:sz w:val="16"/>
              </w:rPr>
              <w:t>30.47%</w:t>
            </w:r>
          </w:p>
        </w:tc>
        <w:tc>
          <w:tcPr>
            <w:tcW w:type="dxa" w:w="1728"/>
            <w:shd w:fill="FFC7CE" w:val="clear"/>
          </w:tcPr>
          <w:p>
            <w:r>
              <w:rPr>
                <w:b/>
                <w:color w:val="B40000"/>
                <w:sz w:val="16"/>
              </w:rPr>
              <w:t>SHEC</w:t>
            </w:r>
          </w:p>
        </w:tc>
        <w:tc>
          <w:tcPr>
            <w:tcW w:type="dxa" w:w="1728"/>
            <w:shd w:fill="FFC7CE" w:val="clear"/>
          </w:tcPr>
          <w:p>
            <w:r>
              <w:rPr>
                <w:color w:val="B40000"/>
                <w:sz w:val="16"/>
              </w:rPr>
              <w:t>22.20%</w:t>
            </w:r>
          </w:p>
        </w:tc>
      </w:tr>
      <w:tr>
        <w:tc>
          <w:tcPr>
            <w:tcW w:type="dxa" w:w="1728"/>
            <w:shd w:fill="EEF2F7" w:val="clear"/>
          </w:tcPr>
          <w:p>
            <w:r>
              <w:rPr>
                <w:b/>
                <w:sz w:val="16"/>
              </w:rPr>
              <w:t>Marge nette</w:t>
            </w:r>
          </w:p>
        </w:tc>
        <w:tc>
          <w:tcPr>
            <w:tcW w:type="dxa" w:w="1728"/>
            <w:shd w:fill="C6EFCE" w:val="clear"/>
          </w:tcPr>
          <w:p>
            <w:r>
              <w:rPr>
                <w:b/>
                <w:color w:val="006400"/>
                <w:sz w:val="16"/>
              </w:rPr>
              <w:t>SMBC</w:t>
            </w:r>
          </w:p>
        </w:tc>
        <w:tc>
          <w:tcPr>
            <w:tcW w:type="dxa" w:w="1728"/>
            <w:shd w:fill="C6EFCE" w:val="clear"/>
          </w:tcPr>
          <w:p>
            <w:r>
              <w:rPr>
                <w:color w:val="006400"/>
                <w:sz w:val="16"/>
              </w:rPr>
              <w:t>6.32%</w:t>
            </w:r>
          </w:p>
        </w:tc>
        <w:tc>
          <w:tcPr>
            <w:tcW w:type="dxa" w:w="1728"/>
            <w:shd w:fill="FFC7CE" w:val="clear"/>
          </w:tcPr>
          <w:p>
            <w:r>
              <w:rPr>
                <w:b/>
                <w:color w:val="B40000"/>
                <w:sz w:val="16"/>
              </w:rPr>
              <w:t>SHEC</w:t>
            </w:r>
          </w:p>
        </w:tc>
        <w:tc>
          <w:tcPr>
            <w:tcW w:type="dxa" w:w="1728"/>
            <w:shd w:fill="FFC7CE" w:val="clear"/>
          </w:tcPr>
          <w:p>
            <w:r>
              <w:rPr>
                <w:color w:val="B40000"/>
                <w:sz w:val="16"/>
              </w:rPr>
              <w:t>1.00%</w:t>
            </w:r>
          </w:p>
        </w:tc>
      </w:tr>
      <w:tr>
        <w:tc>
          <w:tcPr>
            <w:tcW w:type="dxa" w:w="1728"/>
            <w:shd w:fill="EEF2F7" w:val="clear"/>
          </w:tcPr>
          <w:p>
            <w:r>
              <w:rPr>
                <w:b/>
                <w:sz w:val="16"/>
              </w:rPr>
              <w:t>Croissance CA/PNB</w:t>
            </w:r>
          </w:p>
        </w:tc>
        <w:tc>
          <w:tcPr>
            <w:tcW w:type="dxa" w:w="1728"/>
            <w:shd w:fill="C6EFCE" w:val="clear"/>
          </w:tcPr>
          <w:p>
            <w:r>
              <w:rPr>
                <w:b/>
                <w:color w:val="006400"/>
                <w:sz w:val="16"/>
              </w:rPr>
              <w:t>SHEC</w:t>
            </w:r>
          </w:p>
        </w:tc>
        <w:tc>
          <w:tcPr>
            <w:tcW w:type="dxa" w:w="1728"/>
            <w:shd w:fill="C6EFCE" w:val="clear"/>
          </w:tcPr>
          <w:p>
            <w:r>
              <w:rPr>
                <w:color w:val="006400"/>
                <w:sz w:val="16"/>
              </w:rPr>
              <w:t>0.71%</w:t>
            </w:r>
          </w:p>
        </w:tc>
        <w:tc>
          <w:tcPr>
            <w:tcW w:type="dxa" w:w="1728"/>
            <w:shd w:fill="FFC7CE" w:val="clear"/>
          </w:tcPr>
          <w:p>
            <w:r>
              <w:rPr>
                <w:b/>
                <w:color w:val="B40000"/>
                <w:sz w:val="16"/>
              </w:rPr>
              <w:t>SMBC</w:t>
            </w:r>
          </w:p>
        </w:tc>
        <w:tc>
          <w:tcPr>
            <w:tcW w:type="dxa" w:w="1728"/>
            <w:shd w:fill="FFC7CE" w:val="clear"/>
          </w:tcPr>
          <w:p>
            <w:r>
              <w:rPr>
                <w:color w:val="B40000"/>
                <w:sz w:val="16"/>
              </w:rPr>
              <w:t>-9.74%</w:t>
            </w:r>
          </w:p>
        </w:tc>
      </w:tr>
      <w:tr>
        <w:tc>
          <w:tcPr>
            <w:tcW w:type="dxa" w:w="1728"/>
            <w:shd w:fill="EEF2F7" w:val="clear"/>
          </w:tcPr>
          <w:p>
            <w:r>
              <w:rPr>
                <w:b/>
                <w:sz w:val="16"/>
              </w:rPr>
              <w:t>Autonomie fin.</w:t>
            </w:r>
          </w:p>
        </w:tc>
        <w:tc>
          <w:tcPr>
            <w:tcW w:type="dxa" w:w="1728"/>
            <w:shd w:fill="C6EFCE" w:val="clear"/>
          </w:tcPr>
          <w:p>
            <w:r>
              <w:rPr>
                <w:b/>
                <w:color w:val="006400"/>
                <w:sz w:val="16"/>
              </w:rPr>
              <w:t>SMBC</w:t>
            </w:r>
          </w:p>
        </w:tc>
        <w:tc>
          <w:tcPr>
            <w:tcW w:type="dxa" w:w="1728"/>
            <w:shd w:fill="C6EFCE" w:val="clear"/>
          </w:tcPr>
          <w:p>
            <w:r>
              <w:rPr>
                <w:color w:val="006400"/>
                <w:sz w:val="16"/>
              </w:rPr>
              <w:t>23.84%</w:t>
            </w:r>
          </w:p>
        </w:tc>
        <w:tc>
          <w:tcPr>
            <w:tcW w:type="dxa" w:w="1728"/>
            <w:shd w:fill="FFC7CE" w:val="clear"/>
          </w:tcPr>
          <w:p>
            <w:r>
              <w:rPr>
                <w:b/>
                <w:color w:val="B40000"/>
                <w:sz w:val="16"/>
              </w:rPr>
              <w:t>SHEC</w:t>
            </w:r>
          </w:p>
        </w:tc>
        <w:tc>
          <w:tcPr>
            <w:tcW w:type="dxa" w:w="1728"/>
            <w:shd w:fill="FFC7CE" w:val="clear"/>
          </w:tcPr>
          <w:p>
            <w:r>
              <w:rPr>
                <w:color w:val="B40000"/>
                <w:sz w:val="16"/>
              </w:rPr>
              <w:t>14.03%</w:t>
            </w:r>
          </w:p>
        </w:tc>
      </w:tr>
      <w:tr>
        <w:tc>
          <w:tcPr>
            <w:tcW w:type="dxa" w:w="1728"/>
            <w:shd w:fill="EEF2F7" w:val="clear"/>
          </w:tcPr>
          <w:p>
            <w:r>
              <w:rPr>
                <w:b/>
                <w:sz w:val="16"/>
              </w:rPr>
              <w:t>Liquidité gén.</w:t>
            </w:r>
          </w:p>
        </w:tc>
        <w:tc>
          <w:tcPr>
            <w:tcW w:type="dxa" w:w="1728"/>
            <w:shd w:fill="C6EFCE" w:val="clear"/>
          </w:tcPr>
          <w:p>
            <w:r>
              <w:rPr>
                <w:b/>
                <w:color w:val="006400"/>
                <w:sz w:val="16"/>
              </w:rPr>
              <w:t>SMBC</w:t>
            </w:r>
          </w:p>
        </w:tc>
        <w:tc>
          <w:tcPr>
            <w:tcW w:type="dxa" w:w="1728"/>
            <w:shd w:fill="C6EFCE" w:val="clear"/>
          </w:tcPr>
          <w:p>
            <w:r>
              <w:rPr>
                <w:color w:val="006400"/>
                <w:sz w:val="16"/>
              </w:rPr>
              <w:t>120.18%</w:t>
            </w:r>
          </w:p>
        </w:tc>
        <w:tc>
          <w:tcPr>
            <w:tcW w:type="dxa" w:w="1728"/>
            <w:shd w:fill="FFC7CE" w:val="clear"/>
          </w:tcPr>
          <w:p>
            <w:r>
              <w:rPr>
                <w:b/>
                <w:color w:val="B40000"/>
                <w:sz w:val="16"/>
              </w:rPr>
              <w:t>TTLC</w:t>
            </w:r>
          </w:p>
        </w:tc>
        <w:tc>
          <w:tcPr>
            <w:tcW w:type="dxa" w:w="1728"/>
            <w:shd w:fill="FFC7CE" w:val="clear"/>
          </w:tcPr>
          <w:p>
            <w:r>
              <w:rPr>
                <w:color w:val="B40000"/>
                <w:sz w:val="16"/>
              </w:rPr>
              <w:t>78.77%</w:t>
            </w:r>
          </w:p>
        </w:tc>
      </w:tr>
      <w:tr>
        <w:tc>
          <w:tcPr>
            <w:tcW w:type="dxa" w:w="1728"/>
            <w:shd w:fill="EEF2F7" w:val="clear"/>
          </w:tcPr>
          <w:p>
            <w:r>
              <w:rPr>
                <w:b/>
                <w:sz w:val="16"/>
              </w:rPr>
              <w:t>FCF</w:t>
            </w:r>
          </w:p>
        </w:tc>
        <w:tc>
          <w:tcPr>
            <w:tcW w:type="dxa" w:w="1728"/>
            <w:shd w:fill="C6EFCE" w:val="clear"/>
          </w:tcPr>
          <w:p>
            <w:r>
              <w:rPr>
                <w:b/>
                <w:color w:val="006400"/>
                <w:sz w:val="16"/>
              </w:rPr>
              <w:t>SMBC</w:t>
            </w:r>
          </w:p>
        </w:tc>
        <w:tc>
          <w:tcPr>
            <w:tcW w:type="dxa" w:w="1728"/>
            <w:shd w:fill="C6EFCE" w:val="clear"/>
          </w:tcPr>
          <w:p>
            <w:r>
              <w:rPr>
                <w:color w:val="006400"/>
                <w:sz w:val="16"/>
              </w:rPr>
              <w:t>20.642 Mds FCFA</w:t>
            </w:r>
          </w:p>
        </w:tc>
        <w:tc>
          <w:tcPr>
            <w:tcW w:type="dxa" w:w="1728"/>
            <w:shd w:fill="FFC7CE" w:val="clear"/>
          </w:tcPr>
          <w:p>
            <w:r>
              <w:rPr>
                <w:b/>
                <w:color w:val="B40000"/>
                <w:sz w:val="16"/>
              </w:rPr>
              <w:t>SHEC</w:t>
            </w:r>
          </w:p>
        </w:tc>
        <w:tc>
          <w:tcPr>
            <w:tcW w:type="dxa" w:w="1728"/>
            <w:shd w:fill="FFC7CE" w:val="clear"/>
          </w:tcPr>
          <w:p>
            <w:r>
              <w:rPr>
                <w:color w:val="B40000"/>
                <w:sz w:val="16"/>
              </w:rPr>
              <w:t>-1.538 Mds FCFA</w:t>
            </w:r>
          </w:p>
        </w:tc>
      </w:tr>
    </w:tbl>
    <w:p/>
    <w:p>
      <w:r>
        <w:br w:type="page"/>
      </w:r>
    </w:p>
    <w:p>
      <w:pPr>
        <w:pStyle w:val="Heading2"/>
      </w:pPr>
      <w:r>
        <w:rPr>
          <w:color w:val="003366"/>
        </w:rPr>
        <w:t>📂 Secteur : INDUSTRIELS</w:t>
      </w:r>
    </w:p>
    <w:p>
      <w:r>
        <w:rPr>
          <w:sz w:val="18"/>
        </w:rPr>
        <w:t>5 société(s) avec données financières sur 6 cotée(s) dans ce secteur. Exercice(s) analysé(s) : 2025,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2551"/>
            <w:shd w:fill="1F4E79" w:val="clear"/>
          </w:tcPr>
          <w:p>
            <w:r>
              <w:rPr>
                <w:b/>
                <w:color w:val="FFFFFF"/>
                <w:sz w:val="16"/>
              </w:rPr>
              <w:t>Indicateur</w:t>
            </w:r>
          </w:p>
        </w:tc>
        <w:tc>
          <w:tcPr>
            <w:tcW w:type="dxa" w:w="1474"/>
            <w:shd w:fill="1F4E79" w:val="clear"/>
          </w:tcPr>
          <w:p>
            <w:r>
              <w:rPr>
                <w:b/>
                <w:color w:val="FFFFFF"/>
                <w:sz w:val="15"/>
              </w:rPr>
              <w:t>CABC (2025)</w:t>
            </w:r>
          </w:p>
        </w:tc>
        <w:tc>
          <w:tcPr>
            <w:tcW w:type="dxa" w:w="1474"/>
            <w:shd w:fill="1F4E79" w:val="clear"/>
          </w:tcPr>
          <w:p>
            <w:r>
              <w:rPr>
                <w:b/>
                <w:color w:val="FFFFFF"/>
                <w:sz w:val="15"/>
              </w:rPr>
              <w:t>FTSC (2025)</w:t>
            </w:r>
          </w:p>
        </w:tc>
        <w:tc>
          <w:tcPr>
            <w:tcW w:type="dxa" w:w="1474"/>
            <w:shd w:fill="1F4E79" w:val="clear"/>
          </w:tcPr>
          <w:p>
            <w:r>
              <w:rPr>
                <w:b/>
                <w:color w:val="FFFFFF"/>
                <w:sz w:val="15"/>
              </w:rPr>
              <w:t>SDSC (2025)</w:t>
            </w:r>
          </w:p>
        </w:tc>
        <w:tc>
          <w:tcPr>
            <w:tcW w:type="dxa" w:w="1474"/>
            <w:shd w:fill="1F4E79" w:val="clear"/>
          </w:tcPr>
          <w:p>
            <w:r>
              <w:rPr>
                <w:b/>
                <w:color w:val="FFFFFF"/>
                <w:sz w:val="15"/>
              </w:rPr>
              <w:t>SIVC (2025)</w:t>
            </w:r>
          </w:p>
        </w:tc>
        <w:tc>
          <w:tcPr>
            <w:tcW w:type="dxa" w:w="1474"/>
            <w:shd w:fill="1F4E79" w:val="clear"/>
          </w:tcPr>
          <w:p>
            <w:r>
              <w:rPr>
                <w:b/>
                <w:color w:val="FFFFFF"/>
                <w:sz w:val="15"/>
              </w:rPr>
              <w:t>STAC (2025)</w:t>
            </w:r>
          </w:p>
        </w:tc>
      </w:tr>
      <w:tr>
        <w:tc>
          <w:tcPr>
            <w:tcW w:type="dxa" w:w="2551"/>
            <w:shd w:fill="EEF2F7" w:val="clear"/>
          </w:tcPr>
          <w:p>
            <w:r>
              <w:rPr>
                <w:b/>
                <w:sz w:val="15"/>
              </w:rPr>
              <w:t>ROE</w:t>
            </w:r>
          </w:p>
        </w:tc>
        <w:tc>
          <w:tcPr>
            <w:tcW w:type="dxa" w:w="1474"/>
            <w:shd w:fill="C6EFCE" w:val="clear"/>
          </w:tcPr>
          <w:p>
            <w:r>
              <w:rPr>
                <w:b/>
                <w:color w:val="006400"/>
                <w:sz w:val="16"/>
              </w:rPr>
              <w:t>15.40%</w:t>
            </w:r>
          </w:p>
        </w:tc>
        <w:tc>
          <w:tcPr>
            <w:tcW w:type="dxa" w:w="1474"/>
            <w:shd w:fill="FFFFFF" w:val="clear"/>
          </w:tcPr>
          <w:p>
            <w:r>
              <w:rPr>
                <w:b/>
                <w:color w:val="000000"/>
                <w:sz w:val="16"/>
              </w:rPr>
              <w:t>2.97%</w:t>
            </w:r>
          </w:p>
        </w:tc>
        <w:tc>
          <w:tcPr>
            <w:tcW w:type="dxa" w:w="1474"/>
            <w:shd w:fill="FFFFFF" w:val="clear"/>
          </w:tcPr>
          <w:p>
            <w:r>
              <w:rPr>
                <w:b/>
                <w:color w:val="000000"/>
                <w:sz w:val="16"/>
              </w:rPr>
              <w:t>1.07%</w:t>
            </w:r>
          </w:p>
        </w:tc>
        <w:tc>
          <w:tcPr>
            <w:tcW w:type="dxa" w:w="1474"/>
            <w:shd w:fill="FFFFFF" w:val="clear"/>
          </w:tcPr>
          <w:p>
            <w:r>
              <w:rPr>
                <w:b/>
                <w:color w:val="000000"/>
                <w:sz w:val="16"/>
              </w:rPr>
              <w:t>7.10%</w:t>
            </w:r>
          </w:p>
        </w:tc>
        <w:tc>
          <w:tcPr>
            <w:tcW w:type="dxa" w:w="1474"/>
            <w:shd w:fill="FFC7CE" w:val="clear"/>
          </w:tcPr>
          <w:p>
            <w:r>
              <w:rPr>
                <w:b/>
                <w:color w:val="B40000"/>
                <w:sz w:val="16"/>
              </w:rPr>
              <w:t>-27.07%</w:t>
            </w:r>
          </w:p>
        </w:tc>
      </w:tr>
      <w:tr>
        <w:tc>
          <w:tcPr>
            <w:tcW w:type="dxa" w:w="2551"/>
            <w:shd w:fill="EEF2F7" w:val="clear"/>
          </w:tcPr>
          <w:p>
            <w:r>
              <w:rPr>
                <w:b/>
                <w:sz w:val="15"/>
              </w:rPr>
              <w:t>ROA</w:t>
            </w:r>
          </w:p>
        </w:tc>
        <w:tc>
          <w:tcPr>
            <w:tcW w:type="dxa" w:w="1474"/>
            <w:shd w:fill="C6EFCE" w:val="clear"/>
          </w:tcPr>
          <w:p>
            <w:r>
              <w:rPr>
                <w:b/>
                <w:color w:val="006400"/>
                <w:sz w:val="16"/>
              </w:rPr>
              <w:t>6.10%</w:t>
            </w:r>
          </w:p>
        </w:tc>
        <w:tc>
          <w:tcPr>
            <w:tcW w:type="dxa" w:w="1474"/>
            <w:shd w:fill="FFFFFF" w:val="clear"/>
          </w:tcPr>
          <w:p>
            <w:r>
              <w:rPr>
                <w:b/>
                <w:color w:val="000000"/>
                <w:sz w:val="16"/>
              </w:rPr>
              <w:t>1.19%</w:t>
            </w:r>
          </w:p>
        </w:tc>
        <w:tc>
          <w:tcPr>
            <w:tcW w:type="dxa" w:w="1474"/>
            <w:shd w:fill="FFFFFF" w:val="clear"/>
          </w:tcPr>
          <w:p>
            <w:r>
              <w:rPr>
                <w:b/>
                <w:color w:val="000000"/>
                <w:sz w:val="16"/>
              </w:rPr>
              <w:t>0.30%</w:t>
            </w:r>
          </w:p>
        </w:tc>
        <w:tc>
          <w:tcPr>
            <w:tcW w:type="dxa" w:w="1474"/>
            <w:shd w:fill="FFFFFF" w:val="clear"/>
          </w:tcPr>
          <w:p>
            <w:r>
              <w:rPr>
                <w:b/>
                <w:color w:val="000000"/>
                <w:sz w:val="16"/>
              </w:rPr>
              <w:t>1.23%</w:t>
            </w:r>
          </w:p>
        </w:tc>
        <w:tc>
          <w:tcPr>
            <w:tcW w:type="dxa" w:w="1474"/>
            <w:shd w:fill="FFC7CE" w:val="clear"/>
          </w:tcPr>
          <w:p>
            <w:r>
              <w:rPr>
                <w:b/>
                <w:color w:val="B40000"/>
                <w:sz w:val="16"/>
              </w:rPr>
              <w:t>-1.77%</w:t>
            </w:r>
          </w:p>
        </w:tc>
      </w:tr>
      <w:tr>
        <w:tc>
          <w:tcPr>
            <w:tcW w:type="dxa" w:w="2551"/>
            <w:shd w:fill="EEF2F7" w:val="clear"/>
          </w:tcPr>
          <w:p>
            <w:r>
              <w:rPr>
                <w:b/>
                <w:sz w:val="15"/>
              </w:rPr>
              <w:t>Marge nette</w:t>
            </w:r>
          </w:p>
        </w:tc>
        <w:tc>
          <w:tcPr>
            <w:tcW w:type="dxa" w:w="1474"/>
            <w:shd w:fill="C6EFCE" w:val="clear"/>
          </w:tcPr>
          <w:p>
            <w:r>
              <w:rPr>
                <w:b/>
                <w:color w:val="006400"/>
                <w:sz w:val="16"/>
              </w:rPr>
              <w:t>6.77%</w:t>
            </w:r>
          </w:p>
        </w:tc>
        <w:tc>
          <w:tcPr>
            <w:tcW w:type="dxa" w:w="1474"/>
            <w:shd w:fill="FFFFFF" w:val="clear"/>
          </w:tcPr>
          <w:p>
            <w:r>
              <w:rPr>
                <w:b/>
                <w:color w:val="000000"/>
                <w:sz w:val="16"/>
              </w:rPr>
              <w:t>1.45%</w:t>
            </w:r>
          </w:p>
        </w:tc>
        <w:tc>
          <w:tcPr>
            <w:tcW w:type="dxa" w:w="1474"/>
            <w:shd w:fill="FFFFFF" w:val="clear"/>
          </w:tcPr>
          <w:p>
            <w:r>
              <w:rPr>
                <w:b/>
                <w:color w:val="000000"/>
                <w:sz w:val="16"/>
              </w:rPr>
              <w:t>0.85%</w:t>
            </w:r>
          </w:p>
        </w:tc>
        <w:tc>
          <w:tcPr>
            <w:tcW w:type="dxa" w:w="1474"/>
            <w:shd w:fill="FFFFFF" w:val="clear"/>
          </w:tcPr>
          <w:p>
            <w:r>
              <w:rPr>
                <w:b/>
                <w:color w:val="000000"/>
                <w:sz w:val="16"/>
              </w:rPr>
              <w:t>1.78%</w:t>
            </w:r>
          </w:p>
        </w:tc>
        <w:tc>
          <w:tcPr>
            <w:tcW w:type="dxa" w:w="1474"/>
            <w:shd w:fill="FFC7CE" w:val="clear"/>
          </w:tcPr>
          <w:p>
            <w:r>
              <w:rPr>
                <w:b/>
                <w:color w:val="B40000"/>
                <w:sz w:val="16"/>
              </w:rPr>
              <w:t>-2.49%</w:t>
            </w:r>
          </w:p>
        </w:tc>
      </w:tr>
      <w:tr>
        <w:tc>
          <w:tcPr>
            <w:tcW w:type="dxa" w:w="2551"/>
            <w:shd w:fill="EEF2F7" w:val="clear"/>
          </w:tcPr>
          <w:p>
            <w:r>
              <w:rPr>
                <w:b/>
                <w:sz w:val="15"/>
              </w:rPr>
              <w:t>Résultat net</w:t>
            </w:r>
          </w:p>
        </w:tc>
        <w:tc>
          <w:tcPr>
            <w:tcW w:type="dxa" w:w="1474"/>
            <w:shd w:fill="C6EFCE" w:val="clear"/>
          </w:tcPr>
          <w:p>
            <w:r>
              <w:rPr>
                <w:b/>
                <w:color w:val="006400"/>
                <w:sz w:val="16"/>
              </w:rPr>
              <w:t>1.439 Mds FCFA</w:t>
            </w:r>
          </w:p>
        </w:tc>
        <w:tc>
          <w:tcPr>
            <w:tcW w:type="dxa" w:w="1474"/>
            <w:shd w:fill="FFFFFF" w:val="clear"/>
          </w:tcPr>
          <w:p>
            <w:r>
              <w:rPr>
                <w:b/>
                <w:color w:val="000000"/>
                <w:sz w:val="16"/>
              </w:rPr>
              <w:t>465.98 M FCFA</w:t>
            </w:r>
          </w:p>
        </w:tc>
        <w:tc>
          <w:tcPr>
            <w:tcW w:type="dxa" w:w="1474"/>
            <w:shd w:fill="FFFFFF" w:val="clear"/>
          </w:tcPr>
          <w:p>
            <w:r>
              <w:rPr>
                <w:b/>
                <w:color w:val="000000"/>
                <w:sz w:val="16"/>
              </w:rPr>
              <w:t>784.97 M FCFA</w:t>
            </w:r>
          </w:p>
        </w:tc>
        <w:tc>
          <w:tcPr>
            <w:tcW w:type="dxa" w:w="1474"/>
            <w:shd w:fill="FFFFFF" w:val="clear"/>
          </w:tcPr>
          <w:p>
            <w:r>
              <w:rPr>
                <w:b/>
                <w:color w:val="000000"/>
                <w:sz w:val="16"/>
              </w:rPr>
              <w:t>179.29 M FCFA</w:t>
            </w:r>
          </w:p>
        </w:tc>
        <w:tc>
          <w:tcPr>
            <w:tcW w:type="dxa" w:w="1474"/>
            <w:shd w:fill="FFC7CE" w:val="clear"/>
          </w:tcPr>
          <w:p>
            <w:r>
              <w:rPr>
                <w:b/>
                <w:color w:val="B40000"/>
                <w:sz w:val="16"/>
              </w:rPr>
              <w:t>-96.56 M FCFA</w:t>
            </w:r>
          </w:p>
        </w:tc>
      </w:tr>
      <w:tr>
        <w:tc>
          <w:tcPr>
            <w:tcW w:type="dxa" w:w="2551"/>
            <w:shd w:fill="EEF2F7" w:val="clear"/>
          </w:tcPr>
          <w:p>
            <w:r>
              <w:rPr>
                <w:b/>
                <w:sz w:val="15"/>
              </w:rPr>
              <w:t>Taux croissance CA/PNB</w:t>
            </w:r>
          </w:p>
        </w:tc>
        <w:tc>
          <w:tcPr>
            <w:tcW w:type="dxa" w:w="1474"/>
            <w:shd w:fill="FFFFFF" w:val="clear"/>
          </w:tcPr>
          <w:p>
            <w:r>
              <w:rPr>
                <w:b/>
                <w:color w:val="000000"/>
                <w:sz w:val="16"/>
              </w:rPr>
              <w:t>11.18%</w:t>
            </w:r>
          </w:p>
        </w:tc>
        <w:tc>
          <w:tcPr>
            <w:tcW w:type="dxa" w:w="1474"/>
            <w:shd w:fill="FFC7CE" w:val="clear"/>
          </w:tcPr>
          <w:p>
            <w:r>
              <w:rPr>
                <w:b/>
                <w:color w:val="B40000"/>
                <w:sz w:val="16"/>
              </w:rPr>
              <w:t>4.61%</w:t>
            </w:r>
          </w:p>
        </w:tc>
        <w:tc>
          <w:tcPr>
            <w:tcW w:type="dxa" w:w="1474"/>
            <w:shd w:fill="FFFFFF" w:val="clear"/>
          </w:tcPr>
          <w:p>
            <w:r>
              <w:rPr>
                <w:b/>
                <w:color w:val="000000"/>
                <w:sz w:val="16"/>
              </w:rPr>
              <w:t>7.43%</w:t>
            </w:r>
          </w:p>
        </w:tc>
        <w:tc>
          <w:tcPr>
            <w:tcW w:type="dxa" w:w="1474"/>
            <w:shd w:fill="FFFFFF" w:val="clear"/>
          </w:tcPr>
          <w:p>
            <w:r>
              <w:rPr>
                <w:b/>
                <w:color w:val="000000"/>
                <w:sz w:val="16"/>
              </w:rPr>
              <w:t>8.53%</w:t>
            </w:r>
          </w:p>
        </w:tc>
        <w:tc>
          <w:tcPr>
            <w:tcW w:type="dxa" w:w="1474"/>
            <w:shd w:fill="C6EFCE" w:val="clear"/>
          </w:tcPr>
          <w:p>
            <w:r>
              <w:rPr>
                <w:b/>
                <w:color w:val="006400"/>
                <w:sz w:val="16"/>
              </w:rPr>
              <w:t>116.26%</w:t>
            </w:r>
          </w:p>
        </w:tc>
      </w:tr>
      <w:tr>
        <w:tc>
          <w:tcPr>
            <w:tcW w:type="dxa" w:w="2551"/>
            <w:shd w:fill="EEF2F7" w:val="clear"/>
          </w:tcPr>
          <w:p>
            <w:r>
              <w:rPr>
                <w:b/>
                <w:sz w:val="15"/>
              </w:rPr>
              <w:t>Autonomie financière</w:t>
            </w:r>
          </w:p>
        </w:tc>
        <w:tc>
          <w:tcPr>
            <w:tcW w:type="dxa" w:w="1474"/>
            <w:shd w:fill="FFFFFF" w:val="clear"/>
          </w:tcPr>
          <w:p>
            <w:r>
              <w:rPr>
                <w:b/>
                <w:color w:val="000000"/>
                <w:sz w:val="16"/>
              </w:rPr>
              <w:t>39.58%</w:t>
            </w:r>
          </w:p>
        </w:tc>
        <w:tc>
          <w:tcPr>
            <w:tcW w:type="dxa" w:w="1474"/>
            <w:shd w:fill="C6EFCE" w:val="clear"/>
          </w:tcPr>
          <w:p>
            <w:r>
              <w:rPr>
                <w:b/>
                <w:color w:val="006400"/>
                <w:sz w:val="16"/>
              </w:rPr>
              <w:t>40.11%</w:t>
            </w:r>
          </w:p>
        </w:tc>
        <w:tc>
          <w:tcPr>
            <w:tcW w:type="dxa" w:w="1474"/>
            <w:shd w:fill="FFFFFF" w:val="clear"/>
          </w:tcPr>
          <w:p>
            <w:r>
              <w:rPr>
                <w:b/>
                <w:color w:val="000000"/>
                <w:sz w:val="16"/>
              </w:rPr>
              <w:t>28.35%</w:t>
            </w:r>
          </w:p>
        </w:tc>
        <w:tc>
          <w:tcPr>
            <w:tcW w:type="dxa" w:w="1474"/>
            <w:shd w:fill="FFFFFF" w:val="clear"/>
          </w:tcPr>
          <w:p>
            <w:r>
              <w:rPr>
                <w:b/>
                <w:color w:val="000000"/>
                <w:sz w:val="16"/>
              </w:rPr>
              <w:t>17.29%</w:t>
            </w:r>
          </w:p>
        </w:tc>
        <w:tc>
          <w:tcPr>
            <w:tcW w:type="dxa" w:w="1474"/>
            <w:shd w:fill="FFC7CE" w:val="clear"/>
          </w:tcPr>
          <w:p>
            <w:r>
              <w:rPr>
                <w:b/>
                <w:color w:val="B40000"/>
                <w:sz w:val="16"/>
              </w:rPr>
              <w:t>6.55%</w:t>
            </w:r>
          </w:p>
        </w:tc>
      </w:tr>
      <w:tr>
        <w:tc>
          <w:tcPr>
            <w:tcW w:type="dxa" w:w="2551"/>
            <w:shd w:fill="EEF2F7" w:val="clear"/>
          </w:tcPr>
          <w:p>
            <w:r>
              <w:rPr>
                <w:b/>
                <w:sz w:val="15"/>
              </w:rPr>
              <w:t>Ratio endettement</w:t>
            </w:r>
          </w:p>
        </w:tc>
        <w:tc>
          <w:tcPr>
            <w:tcW w:type="dxa" w:w="1474"/>
            <w:shd w:fill="FFFFFF" w:val="clear"/>
          </w:tcPr>
          <w:p>
            <w:r>
              <w:rPr>
                <w:b/>
                <w:color w:val="000000"/>
                <w:sz w:val="16"/>
              </w:rPr>
              <w:t>60.42%</w:t>
            </w:r>
          </w:p>
        </w:tc>
        <w:tc>
          <w:tcPr>
            <w:tcW w:type="dxa" w:w="1474"/>
            <w:shd w:fill="FFFFFF" w:val="clear"/>
          </w:tcPr>
          <w:p>
            <w:r>
              <w:rPr>
                <w:b/>
                <w:color w:val="000000"/>
                <w:sz w:val="16"/>
              </w:rPr>
              <w:t>97.60%</w:t>
            </w:r>
          </w:p>
        </w:tc>
        <w:tc>
          <w:tcPr>
            <w:tcW w:type="dxa" w:w="1474"/>
            <w:shd w:fill="C6EFCE" w:val="clear"/>
          </w:tcPr>
          <w:p>
            <w:r>
              <w:rPr>
                <w:b/>
                <w:color w:val="006400"/>
                <w:sz w:val="16"/>
              </w:rPr>
              <w:t>13.91%</w:t>
            </w:r>
          </w:p>
        </w:tc>
        <w:tc>
          <w:tcPr>
            <w:tcW w:type="dxa" w:w="1474"/>
            <w:shd w:fill="FFC7CE" w:val="clear"/>
          </w:tcPr>
          <w:p>
            <w:r>
              <w:rPr>
                <w:b/>
                <w:color w:val="B40000"/>
                <w:sz w:val="16"/>
              </w:rPr>
              <w:t>228.41%</w:t>
            </w:r>
          </w:p>
        </w:tc>
        <w:tc>
          <w:tcPr>
            <w:tcW w:type="dxa" w:w="1474"/>
            <w:shd w:fill="FFFFFF" w:val="clear"/>
          </w:tcPr>
          <w:p>
            <w:r>
              <w:rPr>
                <w:b/>
                <w:color w:val="000000"/>
                <w:sz w:val="16"/>
              </w:rPr>
              <w:t>93.45%</w:t>
            </w:r>
          </w:p>
        </w:tc>
      </w:tr>
      <w:tr>
        <w:tc>
          <w:tcPr>
            <w:tcW w:type="dxa" w:w="2551"/>
            <w:shd w:fill="EEF2F7" w:val="clear"/>
          </w:tcPr>
          <w:p>
            <w:r>
              <w:rPr>
                <w:b/>
                <w:sz w:val="15"/>
              </w:rPr>
              <w:t>Solvabilité générale</w:t>
            </w:r>
          </w:p>
        </w:tc>
        <w:tc>
          <w:tcPr>
            <w:tcW w:type="dxa" w:w="1474"/>
            <w:shd w:fill="FFFFFF" w:val="clear"/>
          </w:tcPr>
          <w:p>
            <w:r>
              <w:rPr>
                <w:b/>
                <w:color w:val="000000"/>
                <w:sz w:val="16"/>
              </w:rPr>
              <w:t>165.52%</w:t>
            </w:r>
          </w:p>
        </w:tc>
        <w:tc>
          <w:tcPr>
            <w:tcW w:type="dxa" w:w="1474"/>
            <w:shd w:fill="C6EFCE" w:val="clear"/>
          </w:tcPr>
          <w:p>
            <w:r>
              <w:rPr>
                <w:b/>
                <w:color w:val="006400"/>
                <w:sz w:val="16"/>
              </w:rPr>
              <w:t>166.98%</w:t>
            </w:r>
          </w:p>
        </w:tc>
        <w:tc>
          <w:tcPr>
            <w:tcW w:type="dxa" w:w="1474"/>
            <w:shd w:fill="FFFFFF" w:val="clear"/>
          </w:tcPr>
          <w:p>
            <w:r>
              <w:rPr>
                <w:b/>
                <w:color w:val="000000"/>
                <w:sz w:val="16"/>
              </w:rPr>
              <w:t>139.57%</w:t>
            </w:r>
          </w:p>
        </w:tc>
        <w:tc>
          <w:tcPr>
            <w:tcW w:type="dxa" w:w="1474"/>
            <w:shd w:fill="FFFFFF" w:val="clear"/>
          </w:tcPr>
          <w:p>
            <w:r>
              <w:rPr>
                <w:b/>
                <w:color w:val="000000"/>
                <w:sz w:val="16"/>
              </w:rPr>
              <w:t>120.91%</w:t>
            </w:r>
          </w:p>
        </w:tc>
        <w:tc>
          <w:tcPr>
            <w:tcW w:type="dxa" w:w="1474"/>
            <w:shd w:fill="FFC7CE" w:val="clear"/>
          </w:tcPr>
          <w:p>
            <w:r>
              <w:rPr>
                <w:b/>
                <w:color w:val="B40000"/>
                <w:sz w:val="16"/>
              </w:rPr>
              <w:t>107.01%</w:t>
            </w:r>
          </w:p>
        </w:tc>
      </w:tr>
      <w:tr>
        <w:tc>
          <w:tcPr>
            <w:tcW w:type="dxa" w:w="2551"/>
            <w:shd w:fill="EEF2F7" w:val="clear"/>
          </w:tcPr>
          <w:p>
            <w:r>
              <w:rPr>
                <w:b/>
                <w:sz w:val="15"/>
              </w:rPr>
              <w:t>Liquidité générale</w:t>
            </w:r>
          </w:p>
        </w:tc>
        <w:tc>
          <w:tcPr>
            <w:tcW w:type="dxa" w:w="1474"/>
            <w:shd w:fill="C6EFCE" w:val="clear"/>
          </w:tcPr>
          <w:p>
            <w:r>
              <w:rPr>
                <w:b/>
                <w:color w:val="006400"/>
                <w:sz w:val="16"/>
              </w:rPr>
              <w:t>242.60%</w:t>
            </w:r>
          </w:p>
        </w:tc>
        <w:tc>
          <w:tcPr>
            <w:tcW w:type="dxa" w:w="1474"/>
            <w:shd w:fill="FFFFFF" w:val="clear"/>
          </w:tcPr>
          <w:p>
            <w:r>
              <w:rPr>
                <w:b/>
                <w:color w:val="000000"/>
                <w:sz w:val="16"/>
              </w:rPr>
              <w:t>158.64%</w:t>
            </w:r>
          </w:p>
        </w:tc>
        <w:tc>
          <w:tcPr>
            <w:tcW w:type="dxa" w:w="1474"/>
            <w:shd w:fill="FFFFFF" w:val="clear"/>
          </w:tcPr>
          <w:p>
            <w:r>
              <w:rPr>
                <w:b/>
                <w:color w:val="000000"/>
                <w:sz w:val="16"/>
              </w:rPr>
              <w:t>109.82%</w:t>
            </w:r>
          </w:p>
        </w:tc>
        <w:tc>
          <w:tcPr>
            <w:tcW w:type="dxa" w:w="1474"/>
            <w:shd w:fill="FFC7CE" w:val="clear"/>
          </w:tcPr>
          <w:p>
            <w:r>
              <w:rPr>
                <w:b/>
                <w:color w:val="B40000"/>
                <w:sz w:val="16"/>
              </w:rPr>
              <w:t>73.09%</w:t>
            </w:r>
          </w:p>
        </w:tc>
        <w:tc>
          <w:tcPr>
            <w:tcW w:type="dxa" w:w="1474"/>
            <w:shd w:fill="FFFFFF" w:val="clear"/>
          </w:tcPr>
          <w:p>
            <w:r>
              <w:rPr>
                <w:b/>
                <w:color w:val="000000"/>
                <w:sz w:val="16"/>
              </w:rPr>
              <w:t>108.64%</w:t>
            </w:r>
          </w:p>
        </w:tc>
      </w:tr>
      <w:tr>
        <w:tc>
          <w:tcPr>
            <w:tcW w:type="dxa" w:w="2551"/>
            <w:shd w:fill="EEF2F7" w:val="clear"/>
          </w:tcPr>
          <w:p>
            <w:r>
              <w:rPr>
                <w:b/>
                <w:sz w:val="15"/>
              </w:rPr>
              <w:t>Free Cash Flow</w:t>
            </w:r>
          </w:p>
        </w:tc>
        <w:tc>
          <w:tcPr>
            <w:tcW w:type="dxa" w:w="1474"/>
            <w:shd w:fill="FFC7CE" w:val="clear"/>
          </w:tcPr>
          <w:p>
            <w:r>
              <w:rPr>
                <w:b/>
                <w:color w:val="B40000"/>
                <w:sz w:val="16"/>
              </w:rPr>
              <w:t>-982.71 M FCFA</w:t>
            </w:r>
          </w:p>
        </w:tc>
        <w:tc>
          <w:tcPr>
            <w:tcW w:type="dxa" w:w="1474"/>
            <w:shd w:fill="FFFFFF" w:val="clear"/>
          </w:tcPr>
          <w:p>
            <w:r>
              <w:rPr>
                <w:b/>
                <w:color w:val="000000"/>
                <w:sz w:val="16"/>
              </w:rPr>
              <w:t>577.83 M FCFA</w:t>
            </w:r>
          </w:p>
        </w:tc>
        <w:tc>
          <w:tcPr>
            <w:tcW w:type="dxa" w:w="1474"/>
            <w:shd w:fill="C6EFCE" w:val="clear"/>
          </w:tcPr>
          <w:p>
            <w:r>
              <w:rPr>
                <w:b/>
                <w:color w:val="006400"/>
                <w:sz w:val="16"/>
              </w:rPr>
              <w:t>55.471 Mds FCFA</w:t>
            </w:r>
          </w:p>
        </w:tc>
        <w:tc>
          <w:tcPr>
            <w:tcW w:type="dxa" w:w="1474"/>
            <w:shd w:fill="FFFFFF" w:val="clear"/>
          </w:tcPr>
          <w:p>
            <w:r>
              <w:rPr>
                <w:b/>
                <w:color w:val="000000"/>
                <w:sz w:val="16"/>
              </w:rPr>
              <w:t>-935.89 M FCFA</w:t>
            </w:r>
          </w:p>
        </w:tc>
        <w:tc>
          <w:tcPr>
            <w:tcW w:type="dxa" w:w="1474"/>
            <w:shd w:fill="F2F2F2" w:val="clear"/>
          </w:tcPr>
          <w:p>
            <w:r>
              <w:rPr>
                <w:b/>
                <w:sz w:val="16"/>
              </w:rPr>
              <w:t>N/D</w:t>
            </w:r>
          </w:p>
        </w:tc>
      </w:tr>
      <w:tr>
        <w:tc>
          <w:tcPr>
            <w:tcW w:type="dxa" w:w="2551"/>
            <w:shd w:fill="EEF2F7" w:val="clear"/>
          </w:tcPr>
          <w:p>
            <w:r>
              <w:rPr>
                <w:b/>
                <w:sz w:val="15"/>
              </w:rPr>
              <w:t>Marge opérationnelle</w:t>
            </w:r>
          </w:p>
        </w:tc>
        <w:tc>
          <w:tcPr>
            <w:tcW w:type="dxa" w:w="1474"/>
            <w:shd w:fill="C6EFCE" w:val="clear"/>
          </w:tcPr>
          <w:p>
            <w:r>
              <w:rPr>
                <w:b/>
                <w:color w:val="006400"/>
                <w:sz w:val="16"/>
              </w:rPr>
              <w:t>9.82%</w:t>
            </w:r>
          </w:p>
        </w:tc>
        <w:tc>
          <w:tcPr>
            <w:tcW w:type="dxa" w:w="1474"/>
            <w:shd w:fill="FFFFFF" w:val="clear"/>
          </w:tcPr>
          <w:p>
            <w:r>
              <w:rPr>
                <w:b/>
                <w:color w:val="000000"/>
                <w:sz w:val="16"/>
              </w:rPr>
              <w:t>0.86%</w:t>
            </w:r>
          </w:p>
        </w:tc>
        <w:tc>
          <w:tcPr>
            <w:tcW w:type="dxa" w:w="1474"/>
            <w:shd w:fill="FFFFFF" w:val="clear"/>
          </w:tcPr>
          <w:p>
            <w:r>
              <w:rPr>
                <w:b/>
                <w:color w:val="000000"/>
                <w:sz w:val="16"/>
              </w:rPr>
              <w:t>-2.47%</w:t>
            </w:r>
          </w:p>
        </w:tc>
        <w:tc>
          <w:tcPr>
            <w:tcW w:type="dxa" w:w="1474"/>
            <w:shd w:fill="FFFFFF" w:val="clear"/>
          </w:tcPr>
          <w:p>
            <w:r>
              <w:rPr>
                <w:b/>
                <w:color w:val="000000"/>
                <w:sz w:val="16"/>
              </w:rPr>
              <w:t>8.60%</w:t>
            </w:r>
          </w:p>
        </w:tc>
        <w:tc>
          <w:tcPr>
            <w:tcW w:type="dxa" w:w="1474"/>
            <w:shd w:fill="FFC7CE" w:val="clear"/>
          </w:tcPr>
          <w:p>
            <w:r>
              <w:rPr>
                <w:b/>
                <w:color w:val="B40000"/>
                <w:sz w:val="16"/>
              </w:rPr>
              <w:t>-19.90%</w:t>
            </w:r>
          </w:p>
        </w:tc>
      </w:tr>
      <w:tr>
        <w:tc>
          <w:tcPr>
            <w:tcW w:type="dxa" w:w="2551"/>
            <w:shd w:fill="EEF2F7" w:val="clear"/>
          </w:tcPr>
          <w:p>
            <w:r>
              <w:rPr>
                <w:b/>
                <w:sz w:val="15"/>
              </w:rPr>
              <w:t>Délai clients</w:t>
            </w:r>
          </w:p>
        </w:tc>
        <w:tc>
          <w:tcPr>
            <w:tcW w:type="dxa" w:w="1474"/>
            <w:shd w:fill="FFFFFF" w:val="clear"/>
          </w:tcPr>
          <w:p>
            <w:r>
              <w:rPr>
                <w:b/>
                <w:color w:val="000000"/>
                <w:sz w:val="16"/>
              </w:rPr>
              <w:t>144.7 j</w:t>
            </w:r>
          </w:p>
        </w:tc>
        <w:tc>
          <w:tcPr>
            <w:tcW w:type="dxa" w:w="1474"/>
            <w:shd w:fill="FFC7CE" w:val="clear"/>
          </w:tcPr>
          <w:p>
            <w:r>
              <w:rPr>
                <w:b/>
                <w:color w:val="B40000"/>
                <w:sz w:val="16"/>
              </w:rPr>
              <w:t>213.7 j</w:t>
            </w:r>
          </w:p>
        </w:tc>
        <w:tc>
          <w:tcPr>
            <w:tcW w:type="dxa" w:w="1474"/>
            <w:shd w:fill="F2F2F2" w:val="clear"/>
          </w:tcPr>
          <w:p>
            <w:r>
              <w:rPr>
                <w:b/>
                <w:sz w:val="16"/>
              </w:rPr>
              <w:t>N/D</w:t>
            </w:r>
          </w:p>
        </w:tc>
        <w:tc>
          <w:tcPr>
            <w:tcW w:type="dxa" w:w="1474"/>
            <w:shd w:fill="C6EFCE" w:val="clear"/>
          </w:tcPr>
          <w:p>
            <w:r>
              <w:rPr>
                <w:b/>
                <w:color w:val="006400"/>
                <w:sz w:val="16"/>
              </w:rPr>
              <w:t>79.3 j</w:t>
            </w:r>
          </w:p>
        </w:tc>
        <w:tc>
          <w:tcPr>
            <w:tcW w:type="dxa" w:w="1474"/>
            <w:shd w:fill="F2F2F2" w:val="clear"/>
          </w:tcPr>
          <w:p>
            <w:r>
              <w:rPr>
                <w:b/>
                <w:sz w:val="16"/>
              </w:rPr>
              <w:t>N/D</w:t>
            </w:r>
          </w:p>
        </w:tc>
      </w:tr>
      <w:tr>
        <w:tc>
          <w:tcPr>
            <w:tcW w:type="dxa" w:w="2551"/>
            <w:shd w:fill="EEF2F7" w:val="clear"/>
          </w:tcPr>
          <w:p>
            <w:r>
              <w:rPr>
                <w:b/>
                <w:sz w:val="15"/>
              </w:rPr>
              <w:t>Durée stockage</w:t>
            </w:r>
          </w:p>
        </w:tc>
        <w:tc>
          <w:tcPr>
            <w:tcW w:type="dxa" w:w="1474"/>
            <w:shd w:fill="C6EFCE" w:val="clear"/>
          </w:tcPr>
          <w:p>
            <w:r>
              <w:rPr>
                <w:b/>
                <w:color w:val="006400"/>
                <w:sz w:val="16"/>
              </w:rPr>
              <w:t>152.1 j</w:t>
            </w:r>
          </w:p>
        </w:tc>
        <w:tc>
          <w:tcPr>
            <w:tcW w:type="dxa" w:w="1474"/>
            <w:shd w:fill="FFC7CE" w:val="clear"/>
          </w:tcPr>
          <w:p>
            <w:r>
              <w:rPr>
                <w:b/>
                <w:color w:val="B40000"/>
                <w:sz w:val="16"/>
              </w:rPr>
              <w:t>214.7 j</w:t>
            </w:r>
          </w:p>
        </w:tc>
        <w:tc>
          <w:tcPr>
            <w:tcW w:type="dxa" w:w="1474"/>
            <w:shd w:fill="F2F2F2" w:val="clear"/>
          </w:tcPr>
          <w:p>
            <w:r>
              <w:rPr>
                <w:b/>
                <w:sz w:val="16"/>
              </w:rPr>
              <w:t>N/D</w:t>
            </w:r>
          </w:p>
        </w:tc>
        <w:tc>
          <w:tcPr>
            <w:tcW w:type="dxa" w:w="1474"/>
            <w:shd w:fill="FFFFFF" w:val="clear"/>
          </w:tcPr>
          <w:p>
            <w:r>
              <w:rPr>
                <w:b/>
                <w:color w:val="000000"/>
                <w:sz w:val="16"/>
              </w:rPr>
              <w:t>189.3 j</w:t>
            </w:r>
          </w:p>
        </w:tc>
        <w:tc>
          <w:tcPr>
            <w:tcW w:type="dxa" w:w="1474"/>
            <w:shd w:fill="F2F2F2" w:val="clear"/>
          </w:tcPr>
          <w:p>
            <w:r>
              <w:rPr>
                <w:b/>
                <w:sz w:val="16"/>
              </w:rPr>
              <w:t>N/D</w:t>
            </w:r>
          </w:p>
        </w:tc>
      </w:tr>
    </w:tbl>
    <w:p/>
    <w:p>
      <w:pPr>
        <w:pStyle w:val="Heading3"/>
      </w:pPr>
      <w:r>
        <w:t>🔍 Analyse détaillée par société</w:t>
      </w:r>
    </w:p>
    <w:p>
      <w:pPr>
        <w:spacing w:before="160"/>
      </w:pPr>
      <w:r>
        <w:rPr>
          <w:b/>
          <w:color w:val="003366"/>
          <w:sz w:val="20"/>
        </w:rPr>
        <w:t xml:space="preserve">▶ CABC — CABC - SICABLE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15.40%</w:t>
            </w:r>
          </w:p>
        </w:tc>
        <w:tc>
          <w:tcPr>
            <w:tcW w:type="dxa" w:w="5669"/>
            <w:shd w:fill="FFFFFF" w:val="clear"/>
          </w:tcPr>
          <w:p>
            <w:r>
              <w:rPr>
                <w:sz w:val="15"/>
              </w:rPr>
              <w:t>✅ ROE de 15.4%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6.10%</w:t>
            </w:r>
          </w:p>
        </w:tc>
        <w:tc>
          <w:tcPr>
            <w:tcW w:type="dxa" w:w="5669"/>
            <w:shd w:fill="FFFFFF" w:val="clear"/>
          </w:tcPr>
          <w:p>
            <w:r>
              <w:rPr>
                <w:sz w:val="15"/>
              </w:rPr>
              <w:t>✅ ROA de 6.10%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6.77%</w:t>
            </w:r>
          </w:p>
        </w:tc>
        <w:tc>
          <w:tcPr>
            <w:tcW w:type="dxa" w:w="5669"/>
            <w:shd w:fill="FFFFFF" w:val="clear"/>
          </w:tcPr>
          <w:p>
            <w:r>
              <w:rPr>
                <w:sz w:val="15"/>
              </w:rPr>
              <w:t>✅ Marge nette de 6.8%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1.439 Mds FCFA</w:t>
            </w:r>
          </w:p>
        </w:tc>
        <w:tc>
          <w:tcPr>
            <w:tcW w:type="dxa" w:w="5669"/>
            <w:shd w:fill="FFFFFF" w:val="clear"/>
          </w:tcPr>
          <w:p>
            <w:r>
              <w:rPr>
                <w:sz w:val="15"/>
              </w:rPr>
              <w:t>✅ Résultat net positif de 1.439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11.18%</w:t>
            </w:r>
          </w:p>
        </w:tc>
        <w:tc>
          <w:tcPr>
            <w:tcW w:type="dxa" w:w="5669"/>
            <w:shd w:fill="FFFFFF" w:val="clear"/>
          </w:tcPr>
          <w:p>
            <w:r>
              <w:rPr>
                <w:sz w:val="15"/>
              </w:rPr>
              <w:t>✅ Croissance de 11.2%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39.58%</w:t>
            </w:r>
          </w:p>
        </w:tc>
        <w:tc>
          <w:tcPr>
            <w:tcW w:type="dxa" w:w="5669"/>
            <w:shd w:fill="FFFFFF" w:val="clear"/>
          </w:tcPr>
          <w:p>
            <w:r>
              <w:rPr>
                <w:sz w:val="15"/>
              </w:rPr>
              <w:t>✅ Autonomie financière correcte (39.6%)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60.42%</w:t>
            </w:r>
          </w:p>
        </w:tc>
        <w:tc>
          <w:tcPr>
            <w:tcW w:type="dxa" w:w="5669"/>
            <w:shd w:fill="FFFFFF" w:val="clear"/>
          </w:tcPr>
          <w:p>
            <w:r>
              <w:rPr>
                <w:sz w:val="15"/>
              </w:rPr>
              <w:t>✅ Gearing de 60%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165.52%</w:t>
            </w:r>
          </w:p>
        </w:tc>
        <w:tc>
          <w:tcPr>
            <w:tcW w:type="dxa" w:w="5669"/>
            <w:shd w:fill="FFFFFF" w:val="clear"/>
          </w:tcPr>
          <w:p>
            <w:r>
              <w:rPr>
                <w:sz w:val="15"/>
              </w:rPr>
              <w:t>✅ Solvabilité satisfaisante (166%)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242.60%</w:t>
            </w:r>
          </w:p>
        </w:tc>
        <w:tc>
          <w:tcPr>
            <w:tcW w:type="dxa" w:w="5669"/>
            <w:shd w:fill="FFFFFF" w:val="clear"/>
          </w:tcPr>
          <w:p>
            <w:r>
              <w:rPr>
                <w:sz w:val="15"/>
              </w:rPr>
              <w:t>✅ Liquidité générale de 243x — actif circulant deux fois supérieur aux dettes CT. Trésorerie très confortable.</w:t>
            </w:r>
          </w:p>
        </w:tc>
      </w:tr>
      <w:tr>
        <w:tc>
          <w:tcPr>
            <w:tcW w:type="dxa" w:w="2268"/>
            <w:shd w:fill="EEF2F7" w:val="clear"/>
          </w:tcPr>
          <w:p>
            <w:r>
              <w:rPr>
                <w:b/>
                <w:sz w:val="15"/>
              </w:rPr>
              <w:t>Free Cash Flow</w:t>
            </w:r>
          </w:p>
        </w:tc>
        <w:tc>
          <w:tcPr>
            <w:tcW w:type="dxa" w:w="1984"/>
            <w:shd w:fill="FFC7CE" w:val="clear"/>
          </w:tcPr>
          <w:p>
            <w:r>
              <w:rPr>
                <w:b/>
                <w:color w:val="B40000"/>
                <w:sz w:val="17"/>
              </w:rPr>
              <w:t>-982.71 M FCFA</w:t>
            </w:r>
          </w:p>
        </w:tc>
        <w:tc>
          <w:tcPr>
            <w:tcW w:type="dxa" w:w="5669"/>
            <w:shd w:fill="FFFFFF" w:val="clear"/>
          </w:tcPr>
          <w:p>
            <w:r>
              <w:rPr>
                <w:sz w:val="15"/>
              </w:rPr>
              <w:t>❌ FCF négatif significatif (-982.71 M FCFA) — la société consomme de la trésorerie. Risque si la situation perdure.</w:t>
            </w:r>
          </w:p>
        </w:tc>
      </w:tr>
      <w:tr>
        <w:tc>
          <w:tcPr>
            <w:tcW w:type="dxa" w:w="2268"/>
            <w:shd w:fill="EEF2F7" w:val="clear"/>
          </w:tcPr>
          <w:p>
            <w:r>
              <w:rPr>
                <w:b/>
                <w:sz w:val="15"/>
              </w:rPr>
              <w:t>Marge opérationnelle</w:t>
            </w:r>
          </w:p>
        </w:tc>
        <w:tc>
          <w:tcPr>
            <w:tcW w:type="dxa" w:w="1984"/>
            <w:shd w:fill="C6EFCE" w:val="clear"/>
          </w:tcPr>
          <w:p>
            <w:r>
              <w:rPr>
                <w:b/>
                <w:color w:val="007800"/>
                <w:sz w:val="17"/>
              </w:rPr>
              <w:t>9.82%</w:t>
            </w:r>
          </w:p>
        </w:tc>
        <w:tc>
          <w:tcPr>
            <w:tcW w:type="dxa" w:w="5669"/>
            <w:shd w:fill="FFFFFF" w:val="clear"/>
          </w:tcPr>
          <w:p>
            <w:r>
              <w:rPr>
                <w:sz w:val="15"/>
              </w:rPr>
              <w:t>✅ Marge opérationnelle correcte (9.8%).</w:t>
            </w:r>
          </w:p>
        </w:tc>
      </w:tr>
      <w:tr>
        <w:tc>
          <w:tcPr>
            <w:tcW w:type="dxa" w:w="2268"/>
            <w:shd w:fill="EEF2F7" w:val="clear"/>
          </w:tcPr>
          <w:p>
            <w:r>
              <w:rPr>
                <w:b/>
                <w:sz w:val="15"/>
              </w:rPr>
              <w:t>Délai clients</w:t>
            </w:r>
          </w:p>
        </w:tc>
        <w:tc>
          <w:tcPr>
            <w:tcW w:type="dxa" w:w="1984"/>
            <w:shd w:fill="FFC7CE" w:val="clear"/>
          </w:tcPr>
          <w:p>
            <w:r>
              <w:rPr>
                <w:b/>
                <w:color w:val="007800"/>
                <w:sz w:val="17"/>
              </w:rPr>
              <w:t>144.7 j</w:t>
            </w:r>
          </w:p>
        </w:tc>
        <w:tc>
          <w:tcPr>
            <w:tcW w:type="dxa" w:w="5669"/>
            <w:shd w:fill="FFFFFF" w:val="clear"/>
          </w:tcPr>
          <w:p>
            <w:r>
              <w:rPr>
                <w:sz w:val="15"/>
              </w:rPr>
              <w:t>❌ Délai critique de 145 jours — process de recouvrement à revoir. Immobilisation de capital excessive.</w:t>
            </w:r>
          </w:p>
        </w:tc>
      </w:tr>
      <w:tr>
        <w:tc>
          <w:tcPr>
            <w:tcW w:type="dxa" w:w="2268"/>
            <w:shd w:fill="EEF2F7" w:val="clear"/>
          </w:tcPr>
          <w:p>
            <w:r>
              <w:rPr>
                <w:b/>
                <w:sz w:val="15"/>
              </w:rPr>
              <w:t>Durée stockage</w:t>
            </w:r>
          </w:p>
        </w:tc>
        <w:tc>
          <w:tcPr>
            <w:tcW w:type="dxa" w:w="1984"/>
            <w:shd w:fill="FFC7CE" w:val="clear"/>
          </w:tcPr>
          <w:p>
            <w:r>
              <w:rPr>
                <w:b/>
                <w:color w:val="007800"/>
                <w:sz w:val="17"/>
              </w:rPr>
              <w:t>152.1 j</w:t>
            </w:r>
          </w:p>
        </w:tc>
        <w:tc>
          <w:tcPr>
            <w:tcW w:type="dxa" w:w="5669"/>
            <w:shd w:fill="FFFFFF" w:val="clear"/>
          </w:tcPr>
          <w:p>
            <w:r>
              <w:rPr>
                <w:sz w:val="15"/>
              </w:rPr>
              <w:t>❌ Stock quasi-bloqué (152 jours) — capital fortement immobilisé, risque d'obsolescence élevé.</w:t>
            </w:r>
          </w:p>
        </w:tc>
      </w:tr>
    </w:tbl>
    <w:p/>
    <w:p>
      <w:pPr>
        <w:spacing w:before="160"/>
      </w:pPr>
      <w:r>
        <w:rPr>
          <w:b/>
          <w:color w:val="003366"/>
          <w:sz w:val="20"/>
        </w:rPr>
        <w:t xml:space="preserve">▶ FTSC — FTSC - FILTISAC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2.97%</w:t>
            </w:r>
          </w:p>
        </w:tc>
        <w:tc>
          <w:tcPr>
            <w:tcW w:type="dxa" w:w="5669"/>
            <w:shd w:fill="FFFFFF" w:val="clear"/>
          </w:tcPr>
          <w:p>
            <w:r>
              <w:rPr>
                <w:sz w:val="15"/>
              </w:rPr>
              <w:t>⚠️ ROE de 3.0%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1.19%</w:t>
            </w:r>
          </w:p>
        </w:tc>
        <w:tc>
          <w:tcPr>
            <w:tcW w:type="dxa" w:w="5669"/>
            <w:shd w:fill="FFFFFF" w:val="clear"/>
          </w:tcPr>
          <w:p>
            <w:r>
              <w:rPr>
                <w:sz w:val="15"/>
              </w:rPr>
              <w:t>⚠️ ROA de 1.19%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1.45%</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465.98 M FCFA</w:t>
            </w:r>
          </w:p>
        </w:tc>
        <w:tc>
          <w:tcPr>
            <w:tcW w:type="dxa" w:w="5669"/>
            <w:shd w:fill="FFFFFF" w:val="clear"/>
          </w:tcPr>
          <w:p>
            <w:r>
              <w:rPr>
                <w:sz w:val="15"/>
              </w:rPr>
              <w:t>✅ Résultat net positif de 465.98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4.61%</w:t>
            </w:r>
          </w:p>
        </w:tc>
        <w:tc>
          <w:tcPr>
            <w:tcW w:type="dxa" w:w="5669"/>
            <w:shd w:fill="FFFFFF" w:val="clear"/>
          </w:tcPr>
          <w:p>
            <w:r>
              <w:rPr>
                <w:sz w:val="15"/>
              </w:rPr>
              <w:t>⚠️ Croissance faible (4.6%) — activité quasi-stagnante. Risque de perte de compétitivité en termes réels.</w:t>
            </w:r>
          </w:p>
        </w:tc>
      </w:tr>
      <w:tr>
        <w:tc>
          <w:tcPr>
            <w:tcW w:type="dxa" w:w="2268"/>
            <w:shd w:fill="EEF2F7" w:val="clear"/>
          </w:tcPr>
          <w:p>
            <w:r>
              <w:rPr>
                <w:b/>
                <w:sz w:val="15"/>
              </w:rPr>
              <w:t>Autonomie financière</w:t>
            </w:r>
          </w:p>
        </w:tc>
        <w:tc>
          <w:tcPr>
            <w:tcW w:type="dxa" w:w="1984"/>
            <w:shd w:fill="C6EFCE" w:val="clear"/>
          </w:tcPr>
          <w:p>
            <w:r>
              <w:rPr>
                <w:b/>
                <w:color w:val="007800"/>
                <w:sz w:val="17"/>
              </w:rPr>
              <w:t>40.11%</w:t>
            </w:r>
          </w:p>
        </w:tc>
        <w:tc>
          <w:tcPr>
            <w:tcW w:type="dxa" w:w="5669"/>
            <w:shd w:fill="FFFFFF" w:val="clear"/>
          </w:tcPr>
          <w:p>
            <w:r>
              <w:rPr>
                <w:sz w:val="15"/>
              </w:rPr>
              <w:t>✅ Autonomie financière de 40.1%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97.60%</w:t>
            </w:r>
          </w:p>
        </w:tc>
        <w:tc>
          <w:tcPr>
            <w:tcW w:type="dxa" w:w="5669"/>
            <w:shd w:fill="FFFFFF" w:val="clear"/>
          </w:tcPr>
          <w:p>
            <w:r>
              <w:rPr>
                <w:sz w:val="15"/>
              </w:rPr>
              <w:t>✅ Gearing de 98%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166.98%</w:t>
            </w:r>
          </w:p>
        </w:tc>
        <w:tc>
          <w:tcPr>
            <w:tcW w:type="dxa" w:w="5669"/>
            <w:shd w:fill="FFFFFF" w:val="clear"/>
          </w:tcPr>
          <w:p>
            <w:r>
              <w:rPr>
                <w:sz w:val="15"/>
              </w:rPr>
              <w:t>✅ Solvabilité satisfaisante (167%)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158.64%</w:t>
            </w:r>
          </w:p>
        </w:tc>
        <w:tc>
          <w:tcPr>
            <w:tcW w:type="dxa" w:w="5669"/>
            <w:shd w:fill="FFFFFF" w:val="clear"/>
          </w:tcPr>
          <w:p>
            <w:r>
              <w:rPr>
                <w:sz w:val="15"/>
              </w:rPr>
              <w:t>✅ Liquidité générale de 158.64x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577.83 M FCFA</w:t>
            </w:r>
          </w:p>
        </w:tc>
        <w:tc>
          <w:tcPr>
            <w:tcW w:type="dxa" w:w="5669"/>
            <w:shd w:fill="FFFFFF" w:val="clear"/>
          </w:tcPr>
          <w:p>
            <w:r>
              <w:rPr>
                <w:sz w:val="15"/>
              </w:rPr>
              <w:t>✅ FCF positif de 577.83 M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0.86%</w:t>
            </w:r>
          </w:p>
        </w:tc>
        <w:tc>
          <w:tcPr>
            <w:tcW w:type="dxa" w:w="5669"/>
            <w:shd w:fill="FFFFFF" w:val="clear"/>
          </w:tcPr>
          <w:p>
            <w:r>
              <w:rPr>
                <w:sz w:val="15"/>
              </w:rPr>
              <w:t>⚠️ Marge opérationnelle faible (0.9%)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213.7 j</w:t>
            </w:r>
          </w:p>
        </w:tc>
        <w:tc>
          <w:tcPr>
            <w:tcW w:type="dxa" w:w="5669"/>
            <w:shd w:fill="FFFFFF" w:val="clear"/>
          </w:tcPr>
          <w:p>
            <w:r>
              <w:rPr>
                <w:sz w:val="15"/>
              </w:rPr>
              <w:t>❌ Délai critique de 214 jours — process de recouvrement à revoir. Immobilisation de capital excessive.</w:t>
            </w:r>
          </w:p>
        </w:tc>
      </w:tr>
      <w:tr>
        <w:tc>
          <w:tcPr>
            <w:tcW w:type="dxa" w:w="2268"/>
            <w:shd w:fill="EEF2F7" w:val="clear"/>
          </w:tcPr>
          <w:p>
            <w:r>
              <w:rPr>
                <w:b/>
                <w:sz w:val="15"/>
              </w:rPr>
              <w:t>Durée stockage</w:t>
            </w:r>
          </w:p>
        </w:tc>
        <w:tc>
          <w:tcPr>
            <w:tcW w:type="dxa" w:w="1984"/>
            <w:shd w:fill="FFC7CE" w:val="clear"/>
          </w:tcPr>
          <w:p>
            <w:r>
              <w:rPr>
                <w:b/>
                <w:color w:val="007800"/>
                <w:sz w:val="17"/>
              </w:rPr>
              <w:t>214.7 j</w:t>
            </w:r>
          </w:p>
        </w:tc>
        <w:tc>
          <w:tcPr>
            <w:tcW w:type="dxa" w:w="5669"/>
            <w:shd w:fill="FFFFFF" w:val="clear"/>
          </w:tcPr>
          <w:p>
            <w:r>
              <w:rPr>
                <w:sz w:val="15"/>
              </w:rPr>
              <w:t>❌ Stock quasi-bloqué (215 jours) — capital fortement immobilisé, risque d'obsolescence élevé.</w:t>
            </w:r>
          </w:p>
        </w:tc>
      </w:tr>
    </w:tbl>
    <w:p/>
    <w:p>
      <w:pPr>
        <w:spacing w:before="160"/>
      </w:pPr>
      <w:r>
        <w:rPr>
          <w:b/>
          <w:color w:val="003366"/>
          <w:sz w:val="20"/>
        </w:rPr>
        <w:t xml:space="preserve">▶ SDSC — SDSC - AFRICA GLOBAL LOGISTICS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1.07%</w:t>
            </w:r>
          </w:p>
        </w:tc>
        <w:tc>
          <w:tcPr>
            <w:tcW w:type="dxa" w:w="5669"/>
            <w:shd w:fill="FFFFFF" w:val="clear"/>
          </w:tcPr>
          <w:p>
            <w:r>
              <w:rPr>
                <w:sz w:val="15"/>
              </w:rPr>
              <w:t>⚠️ ROE de 1.1%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0.30%</w:t>
            </w:r>
          </w:p>
        </w:tc>
        <w:tc>
          <w:tcPr>
            <w:tcW w:type="dxa" w:w="5669"/>
            <w:shd w:fill="FFFFFF" w:val="clear"/>
          </w:tcPr>
          <w:p>
            <w:r>
              <w:rPr>
                <w:sz w:val="15"/>
              </w:rPr>
              <w:t>⚠️ ROA de 0.30%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0.85%</w:t>
            </w:r>
          </w:p>
        </w:tc>
        <w:tc>
          <w:tcPr>
            <w:tcW w:type="dxa" w:w="5669"/>
            <w:shd w:fill="FFFFFF" w:val="clear"/>
          </w:tcPr>
          <w:p>
            <w:r>
              <w:rPr>
                <w:sz w:val="15"/>
              </w:rPr>
              <w:t>⚠️ Marge nette quasi-nulle (0.85%) — activité à peine bénéficiaire.</w:t>
            </w:r>
          </w:p>
        </w:tc>
      </w:tr>
      <w:tr>
        <w:tc>
          <w:tcPr>
            <w:tcW w:type="dxa" w:w="2268"/>
            <w:shd w:fill="EEF2F7" w:val="clear"/>
          </w:tcPr>
          <w:p>
            <w:r>
              <w:rPr>
                <w:b/>
                <w:sz w:val="15"/>
              </w:rPr>
              <w:t>Résultat net</w:t>
            </w:r>
          </w:p>
        </w:tc>
        <w:tc>
          <w:tcPr>
            <w:tcW w:type="dxa" w:w="1984"/>
            <w:shd w:fill="C6EFCE" w:val="clear"/>
          </w:tcPr>
          <w:p>
            <w:r>
              <w:rPr>
                <w:b/>
                <w:color w:val="007800"/>
                <w:sz w:val="17"/>
              </w:rPr>
              <w:t>784.97 M FCFA</w:t>
            </w:r>
          </w:p>
        </w:tc>
        <w:tc>
          <w:tcPr>
            <w:tcW w:type="dxa" w:w="5669"/>
            <w:shd w:fill="FFFFFF" w:val="clear"/>
          </w:tcPr>
          <w:p>
            <w:r>
              <w:rPr>
                <w:sz w:val="15"/>
              </w:rPr>
              <w:t>✅ Résultat net positif de 784.97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7.43%</w:t>
            </w:r>
          </w:p>
        </w:tc>
        <w:tc>
          <w:tcPr>
            <w:tcW w:type="dxa" w:w="5669"/>
            <w:shd w:fill="FFFFFF" w:val="clear"/>
          </w:tcPr>
          <w:p>
            <w:r>
              <w:rPr>
                <w:sz w:val="15"/>
              </w:rPr>
              <w:t>✅ Croissance de 7.4%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28.35%</w:t>
            </w:r>
          </w:p>
        </w:tc>
        <w:tc>
          <w:tcPr>
            <w:tcW w:type="dxa" w:w="5669"/>
            <w:shd w:fill="FFFFFF" w:val="clear"/>
          </w:tcPr>
          <w:p>
            <w:r>
              <w:rPr>
                <w:sz w:val="15"/>
              </w:rPr>
              <w:t>✅ Autonomie financière correcte (28.3%)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13.91%</w:t>
            </w:r>
          </w:p>
        </w:tc>
        <w:tc>
          <w:tcPr>
            <w:tcW w:type="dxa" w:w="5669"/>
            <w:shd w:fill="FFFFFF" w:val="clear"/>
          </w:tcPr>
          <w:p>
            <w:r>
              <w:rPr>
                <w:sz w:val="15"/>
              </w:rPr>
              <w:t>✅ Gearing de 14%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139.57%</w:t>
            </w:r>
          </w:p>
        </w:tc>
        <w:tc>
          <w:tcPr>
            <w:tcW w:type="dxa" w:w="5669"/>
            <w:shd w:fill="FFFFFF" w:val="clear"/>
          </w:tcPr>
          <w:p>
            <w:r>
              <w:rPr>
                <w:sz w:val="15"/>
              </w:rPr>
              <w:t>✅ Solvabilité satisfaisante (140%) — les actifs couvrent bien les dettes.</w:t>
            </w:r>
          </w:p>
        </w:tc>
      </w:tr>
      <w:tr>
        <w:tc>
          <w:tcPr>
            <w:tcW w:type="dxa" w:w="2268"/>
            <w:shd w:fill="EEF2F7" w:val="clear"/>
          </w:tcPr>
          <w:p>
            <w:r>
              <w:rPr>
                <w:b/>
                <w:sz w:val="15"/>
              </w:rPr>
              <w:t>Liquidité générale</w:t>
            </w:r>
          </w:p>
        </w:tc>
        <w:tc>
          <w:tcPr>
            <w:tcW w:type="dxa" w:w="1984"/>
            <w:shd w:fill="FFEB9C" w:val="clear"/>
          </w:tcPr>
          <w:p>
            <w:r>
              <w:rPr>
                <w:b/>
                <w:color w:val="007800"/>
                <w:sz w:val="17"/>
              </w:rPr>
              <w:t>109.82%</w:t>
            </w:r>
          </w:p>
        </w:tc>
        <w:tc>
          <w:tcPr>
            <w:tcW w:type="dxa" w:w="5669"/>
            <w:shd w:fill="FFFFFF" w:val="clear"/>
          </w:tcPr>
          <w:p>
            <w:r>
              <w:rPr>
                <w:sz w:val="15"/>
              </w:rPr>
              <w:t>⚠️ Liquidité générale limite (109.82x) — couverture juste suffisante.</w:t>
            </w:r>
          </w:p>
        </w:tc>
      </w:tr>
      <w:tr>
        <w:tc>
          <w:tcPr>
            <w:tcW w:type="dxa" w:w="2268"/>
            <w:shd w:fill="EEF2F7" w:val="clear"/>
          </w:tcPr>
          <w:p>
            <w:r>
              <w:rPr>
                <w:b/>
                <w:sz w:val="15"/>
              </w:rPr>
              <w:t>Free Cash Flow</w:t>
            </w:r>
          </w:p>
        </w:tc>
        <w:tc>
          <w:tcPr>
            <w:tcW w:type="dxa" w:w="1984"/>
            <w:shd w:fill="C6EFCE" w:val="clear"/>
          </w:tcPr>
          <w:p>
            <w:r>
              <w:rPr>
                <w:b/>
                <w:color w:val="007800"/>
                <w:sz w:val="17"/>
              </w:rPr>
              <w:t>55.471 Mds FCFA</w:t>
            </w:r>
          </w:p>
        </w:tc>
        <w:tc>
          <w:tcPr>
            <w:tcW w:type="dxa" w:w="5669"/>
            <w:shd w:fill="FFFFFF" w:val="clear"/>
          </w:tcPr>
          <w:p>
            <w:r>
              <w:rPr>
                <w:sz w:val="15"/>
              </w:rPr>
              <w:t>✅ FCF positif de 55.471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C7CE" w:val="clear"/>
          </w:tcPr>
          <w:p>
            <w:r>
              <w:rPr>
                <w:b/>
                <w:color w:val="B40000"/>
                <w:sz w:val="17"/>
              </w:rPr>
              <w:t>-2.47%</w:t>
            </w:r>
          </w:p>
        </w:tc>
        <w:tc>
          <w:tcPr>
            <w:tcW w:type="dxa" w:w="5669"/>
            <w:shd w:fill="FFFFFF" w:val="clear"/>
          </w:tcPr>
          <w:p>
            <w:r>
              <w:rPr>
                <w:sz w:val="15"/>
              </w:rPr>
              <w:t>❌ Marge opérationnelle négative (-2.5%) — l'activité principale est déficitaire.</w:t>
            </w:r>
          </w:p>
        </w:tc>
      </w:tr>
    </w:tbl>
    <w:p/>
    <w:p>
      <w:pPr>
        <w:spacing w:before="160"/>
      </w:pPr>
      <w:r>
        <w:rPr>
          <w:b/>
          <w:color w:val="003366"/>
          <w:sz w:val="20"/>
        </w:rPr>
        <w:t xml:space="preserve">▶ SIVC — SIVC - ERIUM CI (Ex AIR LIQUIDECI)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7.10%</w:t>
            </w:r>
          </w:p>
        </w:tc>
        <w:tc>
          <w:tcPr>
            <w:tcW w:type="dxa" w:w="5669"/>
            <w:shd w:fill="FFFFFF" w:val="clear"/>
          </w:tcPr>
          <w:p>
            <w:r>
              <w:rPr>
                <w:sz w:val="15"/>
              </w:rPr>
              <w:t>⚠️ ROE de 7.1%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FFEB9C" w:val="clear"/>
          </w:tcPr>
          <w:p>
            <w:r>
              <w:rPr>
                <w:b/>
                <w:color w:val="007800"/>
                <w:sz w:val="17"/>
              </w:rPr>
              <w:t>1.23%</w:t>
            </w:r>
          </w:p>
        </w:tc>
        <w:tc>
          <w:tcPr>
            <w:tcW w:type="dxa" w:w="5669"/>
            <w:shd w:fill="FFFFFF" w:val="clear"/>
          </w:tcPr>
          <w:p>
            <w:r>
              <w:rPr>
                <w:sz w:val="15"/>
              </w:rPr>
              <w:t>⚠️ ROA de 1.23%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1.78%</w:t>
            </w:r>
          </w:p>
        </w:tc>
        <w:tc>
          <w:tcPr>
            <w:tcW w:type="dxa" w:w="5669"/>
            <w:shd w:fill="FFFFFF" w:val="clear"/>
          </w:tcPr>
          <w:p>
            <w:r>
              <w:rPr>
                <w:sz w:val="15"/>
              </w:rPr>
              <w:t>⚠️ Marge nette de 1.8%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179.29 M FCFA</w:t>
            </w:r>
          </w:p>
        </w:tc>
        <w:tc>
          <w:tcPr>
            <w:tcW w:type="dxa" w:w="5669"/>
            <w:shd w:fill="FFFFFF" w:val="clear"/>
          </w:tcPr>
          <w:p>
            <w:r>
              <w:rPr>
                <w:sz w:val="15"/>
              </w:rPr>
              <w:t>✅ Résultat net positif de 179.29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8.53%</w:t>
            </w:r>
          </w:p>
        </w:tc>
        <w:tc>
          <w:tcPr>
            <w:tcW w:type="dxa" w:w="5669"/>
            <w:shd w:fill="FFFFFF" w:val="clear"/>
          </w:tcPr>
          <w:p>
            <w:r>
              <w:rPr>
                <w:sz w:val="15"/>
              </w:rPr>
              <w:t>✅ Croissance de 8.5%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17.29%</w:t>
            </w:r>
          </w:p>
        </w:tc>
        <w:tc>
          <w:tcPr>
            <w:tcW w:type="dxa" w:w="5669"/>
            <w:shd w:fill="FFFFFF" w:val="clear"/>
          </w:tcPr>
          <w:p>
            <w:r>
              <w:rPr>
                <w:sz w:val="15"/>
              </w:rPr>
              <w:t>⚠️ Autonomie limitée (17.3%)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FFEB9C" w:val="clear"/>
          </w:tcPr>
          <w:p>
            <w:r>
              <w:rPr>
                <w:b/>
                <w:color w:val="007800"/>
                <w:sz w:val="17"/>
              </w:rPr>
              <w:t>228.41%</w:t>
            </w:r>
          </w:p>
        </w:tc>
        <w:tc>
          <w:tcPr>
            <w:tcW w:type="dxa" w:w="5669"/>
            <w:shd w:fill="FFFFFF" w:val="clear"/>
          </w:tcPr>
          <w:p>
            <w:r>
              <w:rPr>
                <w:sz w:val="15"/>
              </w:rPr>
              <w:t>⚠️ Gearing de 228%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C6EFCE" w:val="clear"/>
          </w:tcPr>
          <w:p>
            <w:r>
              <w:rPr>
                <w:b/>
                <w:color w:val="007800"/>
                <w:sz w:val="17"/>
              </w:rPr>
              <w:t>120.91%</w:t>
            </w:r>
          </w:p>
        </w:tc>
        <w:tc>
          <w:tcPr>
            <w:tcW w:type="dxa" w:w="5669"/>
            <w:shd w:fill="FFFFFF" w:val="clear"/>
          </w:tcPr>
          <w:p>
            <w:r>
              <w:rPr>
                <w:sz w:val="15"/>
              </w:rPr>
              <w:t>✅ Solvabilité satisfaisante (121%)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73.09%</w:t>
            </w:r>
          </w:p>
        </w:tc>
        <w:tc>
          <w:tcPr>
            <w:tcW w:type="dxa" w:w="5669"/>
            <w:shd w:fill="FFFFFF" w:val="clear"/>
          </w:tcPr>
          <w:p>
            <w:r>
              <w:rPr>
                <w:sz w:val="15"/>
              </w:rPr>
              <w:t>❌ Liquidité insuffisante (73.09x) — actif circulant ne couvre pas les dettes CT. Risque de défaut de paiement.</w:t>
            </w:r>
          </w:p>
        </w:tc>
      </w:tr>
      <w:tr>
        <w:tc>
          <w:tcPr>
            <w:tcW w:type="dxa" w:w="2268"/>
            <w:shd w:fill="EEF2F7" w:val="clear"/>
          </w:tcPr>
          <w:p>
            <w:r>
              <w:rPr>
                <w:b/>
                <w:sz w:val="15"/>
              </w:rPr>
              <w:t>Free Cash Flow</w:t>
            </w:r>
          </w:p>
        </w:tc>
        <w:tc>
          <w:tcPr>
            <w:tcW w:type="dxa" w:w="1984"/>
            <w:shd w:fill="FFC7CE" w:val="clear"/>
          </w:tcPr>
          <w:p>
            <w:r>
              <w:rPr>
                <w:b/>
                <w:color w:val="B40000"/>
                <w:sz w:val="17"/>
              </w:rPr>
              <w:t>-935.89 M FCFA</w:t>
            </w:r>
          </w:p>
        </w:tc>
        <w:tc>
          <w:tcPr>
            <w:tcW w:type="dxa" w:w="5669"/>
            <w:shd w:fill="FFFFFF" w:val="clear"/>
          </w:tcPr>
          <w:p>
            <w:r>
              <w:rPr>
                <w:sz w:val="15"/>
              </w:rPr>
              <w:t>❌ FCF négatif significatif (-935.89 M FCFA) — la société consomme de la trésorerie. Risque si la situation perdure.</w:t>
            </w:r>
          </w:p>
        </w:tc>
      </w:tr>
      <w:tr>
        <w:tc>
          <w:tcPr>
            <w:tcW w:type="dxa" w:w="2268"/>
            <w:shd w:fill="EEF2F7" w:val="clear"/>
          </w:tcPr>
          <w:p>
            <w:r>
              <w:rPr>
                <w:b/>
                <w:sz w:val="15"/>
              </w:rPr>
              <w:t>Marge opérationnelle</w:t>
            </w:r>
          </w:p>
        </w:tc>
        <w:tc>
          <w:tcPr>
            <w:tcW w:type="dxa" w:w="1984"/>
            <w:shd w:fill="C6EFCE" w:val="clear"/>
          </w:tcPr>
          <w:p>
            <w:r>
              <w:rPr>
                <w:b/>
                <w:color w:val="007800"/>
                <w:sz w:val="17"/>
              </w:rPr>
              <w:t>8.60%</w:t>
            </w:r>
          </w:p>
        </w:tc>
        <w:tc>
          <w:tcPr>
            <w:tcW w:type="dxa" w:w="5669"/>
            <w:shd w:fill="FFFFFF" w:val="clear"/>
          </w:tcPr>
          <w:p>
            <w:r>
              <w:rPr>
                <w:sz w:val="15"/>
              </w:rPr>
              <w:t>✅ Marge opérationnelle correcte (8.6%).</w:t>
            </w:r>
          </w:p>
        </w:tc>
      </w:tr>
      <w:tr>
        <w:tc>
          <w:tcPr>
            <w:tcW w:type="dxa" w:w="2268"/>
            <w:shd w:fill="EEF2F7" w:val="clear"/>
          </w:tcPr>
          <w:p>
            <w:r>
              <w:rPr>
                <w:b/>
                <w:sz w:val="15"/>
              </w:rPr>
              <w:t>Délai clients</w:t>
            </w:r>
          </w:p>
        </w:tc>
        <w:tc>
          <w:tcPr>
            <w:tcW w:type="dxa" w:w="1984"/>
            <w:shd w:fill="FFEB9C" w:val="clear"/>
          </w:tcPr>
          <w:p>
            <w:r>
              <w:rPr>
                <w:b/>
                <w:color w:val="007800"/>
                <w:sz w:val="17"/>
              </w:rPr>
              <w:t>79.3 j</w:t>
            </w:r>
          </w:p>
        </w:tc>
        <w:tc>
          <w:tcPr>
            <w:tcW w:type="dxa" w:w="5669"/>
            <w:shd w:fill="FFFFFF" w:val="clear"/>
          </w:tcPr>
          <w:p>
            <w:r>
              <w:rPr>
                <w:sz w:val="15"/>
              </w:rPr>
              <w:t>⚠️ Délai long (79 jours) — risque d'impayés accru, pression sur la trésorerie CT.</w:t>
            </w:r>
          </w:p>
        </w:tc>
      </w:tr>
      <w:tr>
        <w:tc>
          <w:tcPr>
            <w:tcW w:type="dxa" w:w="2268"/>
            <w:shd w:fill="EEF2F7" w:val="clear"/>
          </w:tcPr>
          <w:p>
            <w:r>
              <w:rPr>
                <w:b/>
                <w:sz w:val="15"/>
              </w:rPr>
              <w:t>Durée stockage</w:t>
            </w:r>
          </w:p>
        </w:tc>
        <w:tc>
          <w:tcPr>
            <w:tcW w:type="dxa" w:w="1984"/>
            <w:shd w:fill="FFC7CE" w:val="clear"/>
          </w:tcPr>
          <w:p>
            <w:r>
              <w:rPr>
                <w:b/>
                <w:color w:val="007800"/>
                <w:sz w:val="17"/>
              </w:rPr>
              <w:t>189.3 j</w:t>
            </w:r>
          </w:p>
        </w:tc>
        <w:tc>
          <w:tcPr>
            <w:tcW w:type="dxa" w:w="5669"/>
            <w:shd w:fill="FFFFFF" w:val="clear"/>
          </w:tcPr>
          <w:p>
            <w:r>
              <w:rPr>
                <w:sz w:val="15"/>
              </w:rPr>
              <w:t>❌ Stock quasi-bloqué (189 jours) — capital fortement immobilisé, risque d'obsolescence élevé.</w:t>
            </w:r>
          </w:p>
        </w:tc>
      </w:tr>
    </w:tbl>
    <w:p/>
    <w:p>
      <w:pPr>
        <w:spacing w:before="160"/>
      </w:pPr>
      <w:r>
        <w:rPr>
          <w:b/>
          <w:color w:val="003366"/>
          <w:sz w:val="20"/>
        </w:rPr>
        <w:t xml:space="preserve">▶ STAC — STAC - SETAO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-27.07%</w:t>
            </w:r>
          </w:p>
        </w:tc>
        <w:tc>
          <w:tcPr>
            <w:tcW w:type="dxa" w:w="5669"/>
            <w:shd w:fill="FFFFFF" w:val="clear"/>
          </w:tcPr>
          <w:p>
            <w:r>
              <w:rPr>
                <w:sz w:val="15"/>
              </w:rPr>
              <w:t>❌ ROE négatif (-27.1%)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-1.77%</w:t>
            </w:r>
          </w:p>
        </w:tc>
        <w:tc>
          <w:tcPr>
            <w:tcW w:type="dxa" w:w="5669"/>
            <w:shd w:fill="FFFFFF" w:val="clear"/>
          </w:tcPr>
          <w:p>
            <w:r>
              <w:rPr>
                <w:sz w:val="15"/>
              </w:rPr>
              <w:t>❌ ROA négatif (-1.77%) — actifs non rentables.</w:t>
            </w:r>
          </w:p>
        </w:tc>
      </w:tr>
      <w:tr>
        <w:tc>
          <w:tcPr>
            <w:tcW w:type="dxa" w:w="2268"/>
            <w:shd w:fill="EEF2F7" w:val="clear"/>
          </w:tcPr>
          <w:p>
            <w:r>
              <w:rPr>
                <w:b/>
                <w:sz w:val="15"/>
              </w:rPr>
              <w:t>Marge nette</w:t>
            </w:r>
          </w:p>
        </w:tc>
        <w:tc>
          <w:tcPr>
            <w:tcW w:type="dxa" w:w="1984"/>
            <w:shd w:fill="FFC7CE" w:val="clear"/>
          </w:tcPr>
          <w:p>
            <w:r>
              <w:rPr>
                <w:b/>
                <w:color w:val="B40000"/>
                <w:sz w:val="17"/>
              </w:rPr>
              <w:t>-2.49%</w:t>
            </w:r>
          </w:p>
        </w:tc>
        <w:tc>
          <w:tcPr>
            <w:tcW w:type="dxa" w:w="5669"/>
            <w:shd w:fill="FFFFFF" w:val="clear"/>
          </w:tcPr>
          <w:p>
            <w:r>
              <w:rPr>
                <w:sz w:val="15"/>
              </w:rPr>
              <w:t>❌ Marge nette négative (-2.5%)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-96.56 M FCFA</w:t>
            </w:r>
          </w:p>
        </w:tc>
        <w:tc>
          <w:tcPr>
            <w:tcW w:type="dxa" w:w="5669"/>
            <w:shd w:fill="FFFFFF" w:val="clear"/>
          </w:tcPr>
          <w:p>
            <w:r>
              <w:rPr>
                <w:sz w:val="15"/>
              </w:rPr>
              <w:t>❌ Perte nette de 96.56 M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C6EFCE" w:val="clear"/>
          </w:tcPr>
          <w:p>
            <w:r>
              <w:rPr>
                <w:b/>
                <w:color w:val="007800"/>
                <w:sz w:val="17"/>
              </w:rPr>
              <w:t>116.26%</w:t>
            </w:r>
          </w:p>
        </w:tc>
        <w:tc>
          <w:tcPr>
            <w:tcW w:type="dxa" w:w="5669"/>
            <w:shd w:fill="FFFFFF" w:val="clear"/>
          </w:tcPr>
          <w:p>
            <w:r>
              <w:rPr>
                <w:sz w:val="15"/>
              </w:rPr>
              <w:t>✅ Croissance de 116.3%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6.55%</w:t>
            </w:r>
          </w:p>
        </w:tc>
        <w:tc>
          <w:tcPr>
            <w:tcW w:type="dxa" w:w="5669"/>
            <w:shd w:fill="FFFFFF" w:val="clear"/>
          </w:tcPr>
          <w:p>
            <w:r>
              <w:rPr>
                <w:sz w:val="15"/>
              </w:rPr>
              <w:t>❌ Autonomie très faible (6.6%)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93.45%</w:t>
            </w:r>
          </w:p>
        </w:tc>
        <w:tc>
          <w:tcPr>
            <w:tcW w:type="dxa" w:w="5669"/>
            <w:shd w:fill="FFFFFF" w:val="clear"/>
          </w:tcPr>
          <w:p>
            <w:r>
              <w:rPr>
                <w:sz w:val="15"/>
              </w:rPr>
              <w:t>✅ Gearing de 93%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107.01%</w:t>
            </w:r>
          </w:p>
        </w:tc>
        <w:tc>
          <w:tcPr>
            <w:tcW w:type="dxa" w:w="5669"/>
            <w:shd w:fill="FFFFFF" w:val="clear"/>
          </w:tcPr>
          <w:p>
            <w:r>
              <w:rPr>
                <w:sz w:val="15"/>
              </w:rPr>
              <w:t>⚠️ Solvabilité limite (107%)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108.64%</w:t>
            </w:r>
          </w:p>
        </w:tc>
        <w:tc>
          <w:tcPr>
            <w:tcW w:type="dxa" w:w="5669"/>
            <w:shd w:fill="FFFFFF" w:val="clear"/>
          </w:tcPr>
          <w:p>
            <w:r>
              <w:rPr>
                <w:sz w:val="15"/>
              </w:rPr>
              <w:t>⚠️ Liquidité générale limite (108.64x) — couverture juste suffisante.</w:t>
            </w:r>
          </w:p>
        </w:tc>
      </w:tr>
      <w:tr>
        <w:tc>
          <w:tcPr>
            <w:tcW w:type="dxa" w:w="2268"/>
            <w:shd w:fill="EEF2F7" w:val="clear"/>
          </w:tcPr>
          <w:p>
            <w:r>
              <w:rPr>
                <w:b/>
                <w:sz w:val="15"/>
              </w:rPr>
              <w:t>Marge opérationnelle</w:t>
            </w:r>
          </w:p>
        </w:tc>
        <w:tc>
          <w:tcPr>
            <w:tcW w:type="dxa" w:w="1984"/>
            <w:shd w:fill="FFC7CE" w:val="clear"/>
          </w:tcPr>
          <w:p>
            <w:r>
              <w:rPr>
                <w:b/>
                <w:color w:val="B40000"/>
                <w:sz w:val="17"/>
              </w:rPr>
              <w:t>-19.90%</w:t>
            </w:r>
          </w:p>
        </w:tc>
        <w:tc>
          <w:tcPr>
            <w:tcW w:type="dxa" w:w="5669"/>
            <w:shd w:fill="FFFFFF" w:val="clear"/>
          </w:tcPr>
          <w:p>
            <w:r>
              <w:rPr>
                <w:sz w:val="15"/>
              </w:rPr>
              <w:t>❌ Marge opérationnelle négative (-19.9%) — l'activité principale est déficitaire.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CABC</w:t>
            </w:r>
          </w:p>
        </w:tc>
        <w:tc>
          <w:tcPr>
            <w:tcW w:type="dxa" w:w="1728"/>
            <w:shd w:fill="C6EFCE" w:val="clear"/>
          </w:tcPr>
          <w:p>
            <w:r>
              <w:rPr>
                <w:color w:val="006400"/>
                <w:sz w:val="16"/>
              </w:rPr>
              <w:t>15.40%</w:t>
            </w:r>
          </w:p>
        </w:tc>
        <w:tc>
          <w:tcPr>
            <w:tcW w:type="dxa" w:w="1728"/>
            <w:shd w:fill="FFC7CE" w:val="clear"/>
          </w:tcPr>
          <w:p>
            <w:r>
              <w:rPr>
                <w:b/>
                <w:color w:val="B40000"/>
                <w:sz w:val="16"/>
              </w:rPr>
              <w:t>STAC</w:t>
            </w:r>
          </w:p>
        </w:tc>
        <w:tc>
          <w:tcPr>
            <w:tcW w:type="dxa" w:w="1728"/>
            <w:shd w:fill="FFC7CE" w:val="clear"/>
          </w:tcPr>
          <w:p>
            <w:r>
              <w:rPr>
                <w:color w:val="B40000"/>
                <w:sz w:val="16"/>
              </w:rPr>
              <w:t>-27.07%</w:t>
            </w:r>
          </w:p>
        </w:tc>
      </w:tr>
      <w:tr>
        <w:tc>
          <w:tcPr>
            <w:tcW w:type="dxa" w:w="1728"/>
            <w:shd w:fill="EEF2F7" w:val="clear"/>
          </w:tcPr>
          <w:p>
            <w:r>
              <w:rPr>
                <w:b/>
                <w:sz w:val="16"/>
              </w:rPr>
              <w:t>Marge nette</w:t>
            </w:r>
          </w:p>
        </w:tc>
        <w:tc>
          <w:tcPr>
            <w:tcW w:type="dxa" w:w="1728"/>
            <w:shd w:fill="C6EFCE" w:val="clear"/>
          </w:tcPr>
          <w:p>
            <w:r>
              <w:rPr>
                <w:b/>
                <w:color w:val="006400"/>
                <w:sz w:val="16"/>
              </w:rPr>
              <w:t>CABC</w:t>
            </w:r>
          </w:p>
        </w:tc>
        <w:tc>
          <w:tcPr>
            <w:tcW w:type="dxa" w:w="1728"/>
            <w:shd w:fill="C6EFCE" w:val="clear"/>
          </w:tcPr>
          <w:p>
            <w:r>
              <w:rPr>
                <w:color w:val="006400"/>
                <w:sz w:val="16"/>
              </w:rPr>
              <w:t>6.77%</w:t>
            </w:r>
          </w:p>
        </w:tc>
        <w:tc>
          <w:tcPr>
            <w:tcW w:type="dxa" w:w="1728"/>
            <w:shd w:fill="FFC7CE" w:val="clear"/>
          </w:tcPr>
          <w:p>
            <w:r>
              <w:rPr>
                <w:b/>
                <w:color w:val="B40000"/>
                <w:sz w:val="16"/>
              </w:rPr>
              <w:t>STAC</w:t>
            </w:r>
          </w:p>
        </w:tc>
        <w:tc>
          <w:tcPr>
            <w:tcW w:type="dxa" w:w="1728"/>
            <w:shd w:fill="FFC7CE" w:val="clear"/>
          </w:tcPr>
          <w:p>
            <w:r>
              <w:rPr>
                <w:color w:val="B40000"/>
                <w:sz w:val="16"/>
              </w:rPr>
              <w:t>-2.49%</w:t>
            </w:r>
          </w:p>
        </w:tc>
      </w:tr>
      <w:tr>
        <w:tc>
          <w:tcPr>
            <w:tcW w:type="dxa" w:w="1728"/>
            <w:shd w:fill="EEF2F7" w:val="clear"/>
          </w:tcPr>
          <w:p>
            <w:r>
              <w:rPr>
                <w:b/>
                <w:sz w:val="16"/>
              </w:rPr>
              <w:t>Croissance CA/PNB</w:t>
            </w:r>
          </w:p>
        </w:tc>
        <w:tc>
          <w:tcPr>
            <w:tcW w:type="dxa" w:w="1728"/>
            <w:shd w:fill="C6EFCE" w:val="clear"/>
          </w:tcPr>
          <w:p>
            <w:r>
              <w:rPr>
                <w:b/>
                <w:color w:val="006400"/>
                <w:sz w:val="16"/>
              </w:rPr>
              <w:t>STAC</w:t>
            </w:r>
          </w:p>
        </w:tc>
        <w:tc>
          <w:tcPr>
            <w:tcW w:type="dxa" w:w="1728"/>
            <w:shd w:fill="C6EFCE" w:val="clear"/>
          </w:tcPr>
          <w:p>
            <w:r>
              <w:rPr>
                <w:color w:val="006400"/>
                <w:sz w:val="16"/>
              </w:rPr>
              <w:t>116.26%</w:t>
            </w:r>
          </w:p>
        </w:tc>
        <w:tc>
          <w:tcPr>
            <w:tcW w:type="dxa" w:w="1728"/>
            <w:shd w:fill="FFC7CE" w:val="clear"/>
          </w:tcPr>
          <w:p>
            <w:r>
              <w:rPr>
                <w:b/>
                <w:color w:val="B40000"/>
                <w:sz w:val="16"/>
              </w:rPr>
              <w:t>FTSC</w:t>
            </w:r>
          </w:p>
        </w:tc>
        <w:tc>
          <w:tcPr>
            <w:tcW w:type="dxa" w:w="1728"/>
            <w:shd w:fill="FFC7CE" w:val="clear"/>
          </w:tcPr>
          <w:p>
            <w:r>
              <w:rPr>
                <w:color w:val="B40000"/>
                <w:sz w:val="16"/>
              </w:rPr>
              <w:t>4.61%</w:t>
            </w:r>
          </w:p>
        </w:tc>
      </w:tr>
      <w:tr>
        <w:tc>
          <w:tcPr>
            <w:tcW w:type="dxa" w:w="1728"/>
            <w:shd w:fill="EEF2F7" w:val="clear"/>
          </w:tcPr>
          <w:p>
            <w:r>
              <w:rPr>
                <w:b/>
                <w:sz w:val="16"/>
              </w:rPr>
              <w:t>Autonomie fin.</w:t>
            </w:r>
          </w:p>
        </w:tc>
        <w:tc>
          <w:tcPr>
            <w:tcW w:type="dxa" w:w="1728"/>
            <w:shd w:fill="C6EFCE" w:val="clear"/>
          </w:tcPr>
          <w:p>
            <w:r>
              <w:rPr>
                <w:b/>
                <w:color w:val="006400"/>
                <w:sz w:val="16"/>
              </w:rPr>
              <w:t>FTSC</w:t>
            </w:r>
          </w:p>
        </w:tc>
        <w:tc>
          <w:tcPr>
            <w:tcW w:type="dxa" w:w="1728"/>
            <w:shd w:fill="C6EFCE" w:val="clear"/>
          </w:tcPr>
          <w:p>
            <w:r>
              <w:rPr>
                <w:color w:val="006400"/>
                <w:sz w:val="16"/>
              </w:rPr>
              <w:t>40.11%</w:t>
            </w:r>
          </w:p>
        </w:tc>
        <w:tc>
          <w:tcPr>
            <w:tcW w:type="dxa" w:w="1728"/>
            <w:shd w:fill="FFC7CE" w:val="clear"/>
          </w:tcPr>
          <w:p>
            <w:r>
              <w:rPr>
                <w:b/>
                <w:color w:val="B40000"/>
                <w:sz w:val="16"/>
              </w:rPr>
              <w:t>STAC</w:t>
            </w:r>
          </w:p>
        </w:tc>
        <w:tc>
          <w:tcPr>
            <w:tcW w:type="dxa" w:w="1728"/>
            <w:shd w:fill="FFC7CE" w:val="clear"/>
          </w:tcPr>
          <w:p>
            <w:r>
              <w:rPr>
                <w:color w:val="B40000"/>
                <w:sz w:val="16"/>
              </w:rPr>
              <w:t>6.55%</w:t>
            </w:r>
          </w:p>
        </w:tc>
      </w:tr>
      <w:tr>
        <w:tc>
          <w:tcPr>
            <w:tcW w:type="dxa" w:w="1728"/>
            <w:shd w:fill="EEF2F7" w:val="clear"/>
          </w:tcPr>
          <w:p>
            <w:r>
              <w:rPr>
                <w:b/>
                <w:sz w:val="16"/>
              </w:rPr>
              <w:t>Liquidité gén.</w:t>
            </w:r>
          </w:p>
        </w:tc>
        <w:tc>
          <w:tcPr>
            <w:tcW w:type="dxa" w:w="1728"/>
            <w:shd w:fill="C6EFCE" w:val="clear"/>
          </w:tcPr>
          <w:p>
            <w:r>
              <w:rPr>
                <w:b/>
                <w:color w:val="006400"/>
                <w:sz w:val="16"/>
              </w:rPr>
              <w:t>CABC</w:t>
            </w:r>
          </w:p>
        </w:tc>
        <w:tc>
          <w:tcPr>
            <w:tcW w:type="dxa" w:w="1728"/>
            <w:shd w:fill="C6EFCE" w:val="clear"/>
          </w:tcPr>
          <w:p>
            <w:r>
              <w:rPr>
                <w:color w:val="006400"/>
                <w:sz w:val="16"/>
              </w:rPr>
              <w:t>242.60%</w:t>
            </w:r>
          </w:p>
        </w:tc>
        <w:tc>
          <w:tcPr>
            <w:tcW w:type="dxa" w:w="1728"/>
            <w:shd w:fill="FFC7CE" w:val="clear"/>
          </w:tcPr>
          <w:p>
            <w:r>
              <w:rPr>
                <w:b/>
                <w:color w:val="B40000"/>
                <w:sz w:val="16"/>
              </w:rPr>
              <w:t>SIVC</w:t>
            </w:r>
          </w:p>
        </w:tc>
        <w:tc>
          <w:tcPr>
            <w:tcW w:type="dxa" w:w="1728"/>
            <w:shd w:fill="FFC7CE" w:val="clear"/>
          </w:tcPr>
          <w:p>
            <w:r>
              <w:rPr>
                <w:color w:val="B40000"/>
                <w:sz w:val="16"/>
              </w:rPr>
              <w:t>73.09%</w:t>
            </w:r>
          </w:p>
        </w:tc>
      </w:tr>
      <w:tr>
        <w:tc>
          <w:tcPr>
            <w:tcW w:type="dxa" w:w="1728"/>
            <w:shd w:fill="EEF2F7" w:val="clear"/>
          </w:tcPr>
          <w:p>
            <w:r>
              <w:rPr>
                <w:b/>
                <w:sz w:val="16"/>
              </w:rPr>
              <w:t>FCF</w:t>
            </w:r>
          </w:p>
        </w:tc>
        <w:tc>
          <w:tcPr>
            <w:tcW w:type="dxa" w:w="1728"/>
            <w:shd w:fill="C6EFCE" w:val="clear"/>
          </w:tcPr>
          <w:p>
            <w:r>
              <w:rPr>
                <w:b/>
                <w:color w:val="006400"/>
                <w:sz w:val="16"/>
              </w:rPr>
              <w:t>SDSC</w:t>
            </w:r>
          </w:p>
        </w:tc>
        <w:tc>
          <w:tcPr>
            <w:tcW w:type="dxa" w:w="1728"/>
            <w:shd w:fill="C6EFCE" w:val="clear"/>
          </w:tcPr>
          <w:p>
            <w:r>
              <w:rPr>
                <w:color w:val="006400"/>
                <w:sz w:val="16"/>
              </w:rPr>
              <w:t>55.471 Mds FCFA</w:t>
            </w:r>
          </w:p>
        </w:tc>
        <w:tc>
          <w:tcPr>
            <w:tcW w:type="dxa" w:w="1728"/>
            <w:shd w:fill="FFC7CE" w:val="clear"/>
          </w:tcPr>
          <w:p>
            <w:r>
              <w:rPr>
                <w:b/>
                <w:color w:val="B40000"/>
                <w:sz w:val="16"/>
              </w:rPr>
              <w:t>CABC</w:t>
            </w:r>
          </w:p>
        </w:tc>
        <w:tc>
          <w:tcPr>
            <w:tcW w:type="dxa" w:w="1728"/>
            <w:shd w:fill="FFC7CE" w:val="clear"/>
          </w:tcPr>
          <w:p>
            <w:r>
              <w:rPr>
                <w:color w:val="B40000"/>
                <w:sz w:val="16"/>
              </w:rPr>
              <w:t>-982.71 M FCFA</w:t>
            </w:r>
          </w:p>
        </w:tc>
      </w:tr>
    </w:tbl>
    <w:p/>
    <w:p>
      <w:r>
        <w:br w:type="page"/>
      </w:r>
    </w:p>
    <w:p>
      <w:pPr>
        <w:pStyle w:val="Heading2"/>
      </w:pPr>
      <w:r>
        <w:rPr>
          <w:color w:val="003366"/>
        </w:rPr>
        <w:t>📂 Secteur : SERVICES FINANCIERS</w:t>
      </w:r>
    </w:p>
    <w:p>
      <w:r>
        <w:rPr>
          <w:sz w:val="18"/>
        </w:rPr>
        <w:t>16 société(s) avec données financières sur 16 cotée(s) dans ce secteur. Exercice(s) analysé(s) : 2025, 2025, 2025, 2025, 2025, 2025, 2025, 2025, 2025, 2025, 2025, 2025,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2551"/>
            <w:shd w:fill="1F4E79" w:val="clear"/>
          </w:tcPr>
          <w:p>
            <w:r>
              <w:rPr>
                <w:b/>
                <w:color w:val="FFFFFF"/>
                <w:sz w:val="16"/>
              </w:rPr>
              <w:t>Indicateur</w:t>
            </w:r>
          </w:p>
        </w:tc>
        <w:tc>
          <w:tcPr>
            <w:tcW w:type="dxa" w:w="461"/>
            <w:shd w:fill="1F4E79" w:val="clear"/>
          </w:tcPr>
          <w:p>
            <w:r>
              <w:rPr>
                <w:b/>
                <w:color w:val="FFFFFF"/>
                <w:sz w:val="15"/>
              </w:rPr>
              <w:t>BICB (2025)</w:t>
            </w:r>
          </w:p>
        </w:tc>
        <w:tc>
          <w:tcPr>
            <w:tcW w:type="dxa" w:w="461"/>
            <w:shd w:fill="1F4E79" w:val="clear"/>
          </w:tcPr>
          <w:p>
            <w:r>
              <w:rPr>
                <w:b/>
                <w:color w:val="FFFFFF"/>
                <w:sz w:val="15"/>
              </w:rPr>
              <w:t>BICC (2025)</w:t>
            </w:r>
          </w:p>
        </w:tc>
        <w:tc>
          <w:tcPr>
            <w:tcW w:type="dxa" w:w="461"/>
            <w:shd w:fill="1F4E79" w:val="clear"/>
          </w:tcPr>
          <w:p>
            <w:r>
              <w:rPr>
                <w:b/>
                <w:color w:val="FFFFFF"/>
                <w:sz w:val="15"/>
              </w:rPr>
              <w:t>BOAB (2025)</w:t>
            </w:r>
          </w:p>
        </w:tc>
        <w:tc>
          <w:tcPr>
            <w:tcW w:type="dxa" w:w="461"/>
            <w:shd w:fill="1F4E79" w:val="clear"/>
          </w:tcPr>
          <w:p>
            <w:r>
              <w:rPr>
                <w:b/>
                <w:color w:val="FFFFFF"/>
                <w:sz w:val="15"/>
              </w:rPr>
              <w:t>BOABF (2025)</w:t>
            </w:r>
          </w:p>
        </w:tc>
        <w:tc>
          <w:tcPr>
            <w:tcW w:type="dxa" w:w="461"/>
            <w:shd w:fill="1F4E79" w:val="clear"/>
          </w:tcPr>
          <w:p>
            <w:r>
              <w:rPr>
                <w:b/>
                <w:color w:val="FFFFFF"/>
                <w:sz w:val="15"/>
              </w:rPr>
              <w:t>BOAC (2025)</w:t>
            </w:r>
          </w:p>
        </w:tc>
        <w:tc>
          <w:tcPr>
            <w:tcW w:type="dxa" w:w="461"/>
            <w:shd w:fill="1F4E79" w:val="clear"/>
          </w:tcPr>
          <w:p>
            <w:r>
              <w:rPr>
                <w:b/>
                <w:color w:val="FFFFFF"/>
                <w:sz w:val="15"/>
              </w:rPr>
              <w:t>BOAM (2025)</w:t>
            </w:r>
          </w:p>
        </w:tc>
        <w:tc>
          <w:tcPr>
            <w:tcW w:type="dxa" w:w="461"/>
            <w:shd w:fill="1F4E79" w:val="clear"/>
          </w:tcPr>
          <w:p>
            <w:r>
              <w:rPr>
                <w:b/>
                <w:color w:val="FFFFFF"/>
                <w:sz w:val="15"/>
              </w:rPr>
              <w:t>BOAN (2025)</w:t>
            </w:r>
          </w:p>
        </w:tc>
        <w:tc>
          <w:tcPr>
            <w:tcW w:type="dxa" w:w="461"/>
            <w:shd w:fill="1F4E79" w:val="clear"/>
          </w:tcPr>
          <w:p>
            <w:r>
              <w:rPr>
                <w:b/>
                <w:color w:val="FFFFFF"/>
                <w:sz w:val="15"/>
              </w:rPr>
              <w:t>BOAS (2025)</w:t>
            </w:r>
          </w:p>
        </w:tc>
        <w:tc>
          <w:tcPr>
            <w:tcW w:type="dxa" w:w="461"/>
            <w:shd w:fill="1F4E79" w:val="clear"/>
          </w:tcPr>
          <w:p>
            <w:r>
              <w:rPr>
                <w:b/>
                <w:color w:val="FFFFFF"/>
                <w:sz w:val="15"/>
              </w:rPr>
              <w:t>CBIBF (2025)</w:t>
            </w:r>
          </w:p>
        </w:tc>
        <w:tc>
          <w:tcPr>
            <w:tcW w:type="dxa" w:w="461"/>
            <w:shd w:fill="1F4E79" w:val="clear"/>
          </w:tcPr>
          <w:p>
            <w:r>
              <w:rPr>
                <w:b/>
                <w:color w:val="FFFFFF"/>
                <w:sz w:val="15"/>
              </w:rPr>
              <w:t>ECOC (2025)</w:t>
            </w:r>
          </w:p>
        </w:tc>
        <w:tc>
          <w:tcPr>
            <w:tcW w:type="dxa" w:w="461"/>
            <w:shd w:fill="1F4E79" w:val="clear"/>
          </w:tcPr>
          <w:p>
            <w:r>
              <w:rPr>
                <w:b/>
                <w:color w:val="FFFFFF"/>
                <w:sz w:val="15"/>
              </w:rPr>
              <w:t>ETIT (2025)</w:t>
            </w:r>
          </w:p>
        </w:tc>
        <w:tc>
          <w:tcPr>
            <w:tcW w:type="dxa" w:w="461"/>
            <w:shd w:fill="1F4E79" w:val="clear"/>
          </w:tcPr>
          <w:p>
            <w:r>
              <w:rPr>
                <w:b/>
                <w:color w:val="FFFFFF"/>
                <w:sz w:val="15"/>
              </w:rPr>
              <w:t>NSBC (2025)</w:t>
            </w:r>
          </w:p>
        </w:tc>
        <w:tc>
          <w:tcPr>
            <w:tcW w:type="dxa" w:w="461"/>
            <w:shd w:fill="1F4E79" w:val="clear"/>
          </w:tcPr>
          <w:p>
            <w:r>
              <w:rPr>
                <w:b/>
                <w:color w:val="FFFFFF"/>
                <w:sz w:val="15"/>
              </w:rPr>
              <w:t>ORGT (2025)</w:t>
            </w:r>
          </w:p>
        </w:tc>
        <w:tc>
          <w:tcPr>
            <w:tcW w:type="dxa" w:w="461"/>
            <w:shd w:fill="1F4E79" w:val="clear"/>
          </w:tcPr>
          <w:p>
            <w:r>
              <w:rPr>
                <w:b/>
                <w:color w:val="FFFFFF"/>
                <w:sz w:val="15"/>
              </w:rPr>
              <w:t>SAFC (2025)</w:t>
            </w:r>
          </w:p>
        </w:tc>
        <w:tc>
          <w:tcPr>
            <w:tcW w:type="dxa" w:w="461"/>
            <w:shd w:fill="1F4E79" w:val="clear"/>
          </w:tcPr>
          <w:p>
            <w:r>
              <w:rPr>
                <w:b/>
                <w:color w:val="FFFFFF"/>
                <w:sz w:val="15"/>
              </w:rPr>
              <w:t>SGBC (2025)</w:t>
            </w:r>
          </w:p>
        </w:tc>
        <w:tc>
          <w:tcPr>
            <w:tcW w:type="dxa" w:w="461"/>
            <w:shd w:fill="1F4E79" w:val="clear"/>
          </w:tcPr>
          <w:p>
            <w:r>
              <w:rPr>
                <w:b/>
                <w:color w:val="FFFFFF"/>
                <w:sz w:val="15"/>
              </w:rPr>
              <w:t>SIBC (2025)</w:t>
            </w:r>
          </w:p>
        </w:tc>
      </w:tr>
      <w:tr>
        <w:tc>
          <w:tcPr>
            <w:tcW w:type="dxa" w:w="2551"/>
            <w:shd w:fill="EEF2F7" w:val="clear"/>
          </w:tcPr>
          <w:p>
            <w:r>
              <w:rPr>
                <w:b/>
                <w:sz w:val="15"/>
              </w:rPr>
              <w:t>ROE</w:t>
            </w:r>
          </w:p>
        </w:tc>
        <w:tc>
          <w:tcPr>
            <w:tcW w:type="dxa" w:w="461"/>
            <w:shd w:fill="FFFFFF" w:val="clear"/>
          </w:tcPr>
          <w:p>
            <w:r>
              <w:rPr>
                <w:b/>
                <w:color w:val="000000"/>
                <w:sz w:val="16"/>
              </w:rPr>
              <w:t>26.82%</w:t>
            </w:r>
          </w:p>
        </w:tc>
        <w:tc>
          <w:tcPr>
            <w:tcW w:type="dxa" w:w="461"/>
            <w:shd w:fill="C6EFCE" w:val="clear"/>
          </w:tcPr>
          <w:p>
            <w:r>
              <w:rPr>
                <w:b/>
                <w:color w:val="006400"/>
                <w:sz w:val="16"/>
              </w:rPr>
              <w:t>30.29%</w:t>
            </w:r>
          </w:p>
        </w:tc>
        <w:tc>
          <w:tcPr>
            <w:tcW w:type="dxa" w:w="461"/>
            <w:shd w:fill="FFFFFF" w:val="clear"/>
          </w:tcPr>
          <w:p>
            <w:r>
              <w:rPr>
                <w:b/>
                <w:color w:val="000000"/>
                <w:sz w:val="16"/>
              </w:rPr>
              <w:t>17.11%</w:t>
            </w:r>
          </w:p>
        </w:tc>
        <w:tc>
          <w:tcPr>
            <w:tcW w:type="dxa" w:w="461"/>
            <w:shd w:fill="FFFFFF" w:val="clear"/>
          </w:tcPr>
          <w:p>
            <w:r>
              <w:rPr>
                <w:b/>
                <w:color w:val="000000"/>
                <w:sz w:val="16"/>
              </w:rPr>
              <w:t>15.22%</w:t>
            </w:r>
          </w:p>
        </w:tc>
        <w:tc>
          <w:tcPr>
            <w:tcW w:type="dxa" w:w="461"/>
            <w:shd w:fill="FFFFFF" w:val="clear"/>
          </w:tcPr>
          <w:p>
            <w:r>
              <w:rPr>
                <w:b/>
                <w:color w:val="000000"/>
                <w:sz w:val="16"/>
              </w:rPr>
              <w:t>27.91%</w:t>
            </w:r>
          </w:p>
        </w:tc>
        <w:tc>
          <w:tcPr>
            <w:tcW w:type="dxa" w:w="461"/>
            <w:shd w:fill="FFFFFF" w:val="clear"/>
          </w:tcPr>
          <w:p>
            <w:r>
              <w:rPr>
                <w:b/>
                <w:color w:val="000000"/>
                <w:sz w:val="16"/>
              </w:rPr>
              <w:t>22.24%</w:t>
            </w:r>
          </w:p>
        </w:tc>
        <w:tc>
          <w:tcPr>
            <w:tcW w:type="dxa" w:w="461"/>
            <w:shd w:fill="FFC7CE" w:val="clear"/>
          </w:tcPr>
          <w:p>
            <w:r>
              <w:rPr>
                <w:b/>
                <w:color w:val="B40000"/>
                <w:sz w:val="16"/>
              </w:rPr>
              <w:t>1.13%</w:t>
            </w:r>
          </w:p>
        </w:tc>
        <w:tc>
          <w:tcPr>
            <w:tcW w:type="dxa" w:w="461"/>
            <w:shd w:fill="FFFFFF" w:val="clear"/>
          </w:tcPr>
          <w:p>
            <w:r>
              <w:rPr>
                <w:b/>
                <w:color w:val="000000"/>
                <w:sz w:val="16"/>
              </w:rPr>
              <w:t>22.69%</w:t>
            </w:r>
          </w:p>
        </w:tc>
        <w:tc>
          <w:tcPr>
            <w:tcW w:type="dxa" w:w="461"/>
            <w:shd w:fill="F2F2F2" w:val="clear"/>
          </w:tcPr>
          <w:p>
            <w:r>
              <w:rPr>
                <w:b/>
                <w:sz w:val="16"/>
              </w:rPr>
              <w:t>N/D</w:t>
            </w:r>
          </w:p>
        </w:tc>
        <w:tc>
          <w:tcPr>
            <w:tcW w:type="dxa" w:w="461"/>
            <w:shd w:fill="FFFFFF" w:val="clear"/>
          </w:tcPr>
          <w:p>
            <w:r>
              <w:rPr>
                <w:b/>
                <w:color w:val="000000"/>
                <w:sz w:val="16"/>
              </w:rPr>
              <w:t>29.04%</w:t>
            </w:r>
          </w:p>
        </w:tc>
        <w:tc>
          <w:tcPr>
            <w:tcW w:type="dxa" w:w="461"/>
            <w:shd w:fill="FFFFFF" w:val="clear"/>
          </w:tcPr>
          <w:p>
            <w:r>
              <w:rPr>
                <w:b/>
                <w:color w:val="000000"/>
                <w:sz w:val="16"/>
              </w:rPr>
              <w:t>21.62%</w:t>
            </w:r>
          </w:p>
        </w:tc>
        <w:tc>
          <w:tcPr>
            <w:tcW w:type="dxa" w:w="461"/>
            <w:shd w:fill="FFFFFF" w:val="clear"/>
          </w:tcPr>
          <w:p>
            <w:r>
              <w:rPr>
                <w:b/>
                <w:color w:val="000000"/>
                <w:sz w:val="16"/>
              </w:rPr>
              <w:t>17.45%</w:t>
            </w:r>
          </w:p>
        </w:tc>
        <w:tc>
          <w:tcPr>
            <w:tcW w:type="dxa" w:w="461"/>
            <w:shd w:fill="FFFFFF" w:val="clear"/>
          </w:tcPr>
          <w:p>
            <w:r>
              <w:rPr>
                <w:b/>
                <w:color w:val="000000"/>
                <w:sz w:val="16"/>
              </w:rPr>
              <w:t>19.13%</w:t>
            </w:r>
          </w:p>
        </w:tc>
        <w:tc>
          <w:tcPr>
            <w:tcW w:type="dxa" w:w="461"/>
            <w:shd w:fill="FFFFFF" w:val="clear"/>
          </w:tcPr>
          <w:p>
            <w:r>
              <w:rPr>
                <w:b/>
                <w:color w:val="000000"/>
                <w:sz w:val="16"/>
              </w:rPr>
              <w:t>11.85%</w:t>
            </w:r>
          </w:p>
        </w:tc>
        <w:tc>
          <w:tcPr>
            <w:tcW w:type="dxa" w:w="461"/>
            <w:shd w:fill="FFFFFF" w:val="clear"/>
          </w:tcPr>
          <w:p>
            <w:r>
              <w:rPr>
                <w:b/>
                <w:color w:val="000000"/>
                <w:sz w:val="16"/>
              </w:rPr>
              <w:t>20.47%</w:t>
            </w:r>
          </w:p>
        </w:tc>
        <w:tc>
          <w:tcPr>
            <w:tcW w:type="dxa" w:w="461"/>
            <w:shd w:fill="FFFFFF" w:val="clear"/>
          </w:tcPr>
          <w:p>
            <w:r>
              <w:rPr>
                <w:b/>
                <w:color w:val="000000"/>
                <w:sz w:val="16"/>
              </w:rPr>
              <w:t>27.16%</w:t>
            </w:r>
          </w:p>
        </w:tc>
      </w:tr>
      <w:tr>
        <w:tc>
          <w:tcPr>
            <w:tcW w:type="dxa" w:w="2551"/>
            <w:shd w:fill="EEF2F7" w:val="clear"/>
          </w:tcPr>
          <w:p>
            <w:r>
              <w:rPr>
                <w:b/>
                <w:sz w:val="15"/>
              </w:rPr>
              <w:t>ROA</w:t>
            </w:r>
          </w:p>
        </w:tc>
        <w:tc>
          <w:tcPr>
            <w:tcW w:type="dxa" w:w="461"/>
            <w:shd w:fill="FFFFFF" w:val="clear"/>
          </w:tcPr>
          <w:p>
            <w:r>
              <w:rPr>
                <w:b/>
                <w:color w:val="000000"/>
                <w:sz w:val="16"/>
              </w:rPr>
              <w:t>1.96%</w:t>
            </w:r>
          </w:p>
        </w:tc>
        <w:tc>
          <w:tcPr>
            <w:tcW w:type="dxa" w:w="461"/>
            <w:shd w:fill="C6EFCE" w:val="clear"/>
          </w:tcPr>
          <w:p>
            <w:r>
              <w:rPr>
                <w:b/>
                <w:color w:val="006400"/>
                <w:sz w:val="16"/>
              </w:rPr>
              <w:t>3.24%</w:t>
            </w:r>
          </w:p>
        </w:tc>
        <w:tc>
          <w:tcPr>
            <w:tcW w:type="dxa" w:w="461"/>
            <w:shd w:fill="FFFFFF" w:val="clear"/>
          </w:tcPr>
          <w:p>
            <w:r>
              <w:rPr>
                <w:b/>
                <w:color w:val="000000"/>
                <w:sz w:val="16"/>
              </w:rPr>
              <w:t>2.08%</w:t>
            </w:r>
          </w:p>
        </w:tc>
        <w:tc>
          <w:tcPr>
            <w:tcW w:type="dxa" w:w="461"/>
            <w:shd w:fill="FFFFFF" w:val="clear"/>
          </w:tcPr>
          <w:p>
            <w:r>
              <w:rPr>
                <w:b/>
                <w:color w:val="000000"/>
                <w:sz w:val="16"/>
              </w:rPr>
              <w:t>1.68%</w:t>
            </w:r>
          </w:p>
        </w:tc>
        <w:tc>
          <w:tcPr>
            <w:tcW w:type="dxa" w:w="461"/>
            <w:shd w:fill="FFFFFF" w:val="clear"/>
          </w:tcPr>
          <w:p>
            <w:r>
              <w:rPr>
                <w:b/>
                <w:color w:val="000000"/>
                <w:sz w:val="16"/>
              </w:rPr>
              <w:t>3.22%</w:t>
            </w:r>
          </w:p>
        </w:tc>
        <w:tc>
          <w:tcPr>
            <w:tcW w:type="dxa" w:w="461"/>
            <w:shd w:fill="FFFFFF" w:val="clear"/>
          </w:tcPr>
          <w:p>
            <w:r>
              <w:rPr>
                <w:b/>
                <w:color w:val="000000"/>
                <w:sz w:val="16"/>
              </w:rPr>
              <w:t>1.87%</w:t>
            </w:r>
          </w:p>
        </w:tc>
        <w:tc>
          <w:tcPr>
            <w:tcW w:type="dxa" w:w="461"/>
            <w:shd w:fill="FFC7CE" w:val="clear"/>
          </w:tcPr>
          <w:p>
            <w:r>
              <w:rPr>
                <w:b/>
                <w:color w:val="B40000"/>
                <w:sz w:val="16"/>
              </w:rPr>
              <w:t>0.14%</w:t>
            </w:r>
          </w:p>
        </w:tc>
        <w:tc>
          <w:tcPr>
            <w:tcW w:type="dxa" w:w="461"/>
            <w:shd w:fill="FFFFFF" w:val="clear"/>
          </w:tcPr>
          <w:p>
            <w:r>
              <w:rPr>
                <w:b/>
                <w:color w:val="000000"/>
                <w:sz w:val="16"/>
              </w:rPr>
              <w:t>2.62%</w:t>
            </w:r>
          </w:p>
        </w:tc>
        <w:tc>
          <w:tcPr>
            <w:tcW w:type="dxa" w:w="461"/>
            <w:shd w:fill="FFFFFF" w:val="clear"/>
          </w:tcPr>
          <w:p>
            <w:r>
              <w:rPr>
                <w:b/>
                <w:color w:val="000000"/>
                <w:sz w:val="16"/>
              </w:rPr>
              <w:t>2.18%</w:t>
            </w:r>
          </w:p>
        </w:tc>
        <w:tc>
          <w:tcPr>
            <w:tcW w:type="dxa" w:w="461"/>
            <w:shd w:fill="FFFFFF" w:val="clear"/>
          </w:tcPr>
          <w:p>
            <w:r>
              <w:rPr>
                <w:b/>
                <w:color w:val="000000"/>
                <w:sz w:val="16"/>
              </w:rPr>
              <w:t>3.09%</w:t>
            </w:r>
          </w:p>
        </w:tc>
        <w:tc>
          <w:tcPr>
            <w:tcW w:type="dxa" w:w="461"/>
            <w:shd w:fill="FFFFFF" w:val="clear"/>
          </w:tcPr>
          <w:p>
            <w:r>
              <w:rPr>
                <w:b/>
                <w:color w:val="000000"/>
                <w:sz w:val="16"/>
              </w:rPr>
              <w:t>1.80%</w:t>
            </w:r>
          </w:p>
        </w:tc>
        <w:tc>
          <w:tcPr>
            <w:tcW w:type="dxa" w:w="461"/>
            <w:shd w:fill="FFFFFF" w:val="clear"/>
          </w:tcPr>
          <w:p>
            <w:r>
              <w:rPr>
                <w:b/>
                <w:color w:val="000000"/>
                <w:sz w:val="16"/>
              </w:rPr>
              <w:t>1.32%</w:t>
            </w:r>
          </w:p>
        </w:tc>
        <w:tc>
          <w:tcPr>
            <w:tcW w:type="dxa" w:w="461"/>
            <w:shd w:fill="FFFFFF" w:val="clear"/>
          </w:tcPr>
          <w:p>
            <w:r>
              <w:rPr>
                <w:b/>
                <w:color w:val="000000"/>
                <w:sz w:val="16"/>
              </w:rPr>
              <w:t>0.54%</w:t>
            </w:r>
          </w:p>
        </w:tc>
        <w:tc>
          <w:tcPr>
            <w:tcW w:type="dxa" w:w="461"/>
            <w:shd w:fill="FFFFFF" w:val="clear"/>
          </w:tcPr>
          <w:p>
            <w:r>
              <w:rPr>
                <w:b/>
                <w:color w:val="000000"/>
                <w:sz w:val="16"/>
              </w:rPr>
              <w:t>0.88%</w:t>
            </w:r>
          </w:p>
        </w:tc>
        <w:tc>
          <w:tcPr>
            <w:tcW w:type="dxa" w:w="461"/>
            <w:shd w:fill="FFFFFF" w:val="clear"/>
          </w:tcPr>
          <w:p>
            <w:r>
              <w:rPr>
                <w:b/>
                <w:color w:val="000000"/>
                <w:sz w:val="16"/>
              </w:rPr>
              <w:t>2.69%</w:t>
            </w:r>
          </w:p>
        </w:tc>
        <w:tc>
          <w:tcPr>
            <w:tcW w:type="dxa" w:w="461"/>
            <w:shd w:fill="FFFFFF" w:val="clear"/>
          </w:tcPr>
          <w:p>
            <w:r>
              <w:rPr>
                <w:b/>
                <w:color w:val="000000"/>
                <w:sz w:val="16"/>
              </w:rPr>
              <w:t>2.96%</w:t>
            </w:r>
          </w:p>
        </w:tc>
      </w:tr>
      <w:tr>
        <w:tc>
          <w:tcPr>
            <w:tcW w:type="dxa" w:w="2551"/>
            <w:shd w:fill="EEF2F7" w:val="clear"/>
          </w:tcPr>
          <w:p>
            <w:r>
              <w:rPr>
                <w:b/>
                <w:sz w:val="15"/>
              </w:rPr>
              <w:t>Marge nette</w:t>
            </w:r>
          </w:p>
        </w:tc>
        <w:tc>
          <w:tcPr>
            <w:tcW w:type="dxa" w:w="461"/>
            <w:shd w:fill="C6EFCE" w:val="clear"/>
          </w:tcPr>
          <w:p>
            <w:r>
              <w:rPr>
                <w:b/>
                <w:color w:val="006400"/>
                <w:sz w:val="16"/>
              </w:rPr>
              <w:t>68.62%</w:t>
            </w:r>
          </w:p>
        </w:tc>
        <w:tc>
          <w:tcPr>
            <w:tcW w:type="dxa" w:w="461"/>
            <w:shd w:fill="FFFFFF" w:val="clear"/>
          </w:tcPr>
          <w:p>
            <w:r>
              <w:rPr>
                <w:b/>
                <w:color w:val="000000"/>
                <w:sz w:val="16"/>
              </w:rPr>
              <w:t>45.90%</w:t>
            </w:r>
          </w:p>
        </w:tc>
        <w:tc>
          <w:tcPr>
            <w:tcW w:type="dxa" w:w="461"/>
            <w:shd w:fill="FFFFFF" w:val="clear"/>
          </w:tcPr>
          <w:p>
            <w:r>
              <w:rPr>
                <w:b/>
                <w:color w:val="000000"/>
                <w:sz w:val="16"/>
              </w:rPr>
              <w:t>39.22%</w:t>
            </w:r>
          </w:p>
        </w:tc>
        <w:tc>
          <w:tcPr>
            <w:tcW w:type="dxa" w:w="461"/>
            <w:shd w:fill="FFFFFF" w:val="clear"/>
          </w:tcPr>
          <w:p>
            <w:r>
              <w:rPr>
                <w:b/>
                <w:color w:val="000000"/>
                <w:sz w:val="16"/>
              </w:rPr>
              <w:t>33.30%</w:t>
            </w:r>
          </w:p>
        </w:tc>
        <w:tc>
          <w:tcPr>
            <w:tcW w:type="dxa" w:w="461"/>
            <w:shd w:fill="FFFFFF" w:val="clear"/>
          </w:tcPr>
          <w:p>
            <w:r>
              <w:rPr>
                <w:b/>
                <w:color w:val="000000"/>
                <w:sz w:val="16"/>
              </w:rPr>
              <w:t>48.32%</w:t>
            </w:r>
          </w:p>
        </w:tc>
        <w:tc>
          <w:tcPr>
            <w:tcW w:type="dxa" w:w="461"/>
            <w:shd w:fill="FFFFFF" w:val="clear"/>
          </w:tcPr>
          <w:p>
            <w:r>
              <w:rPr>
                <w:b/>
                <w:color w:val="000000"/>
                <w:sz w:val="16"/>
              </w:rPr>
              <w:t>29.16%</w:t>
            </w:r>
          </w:p>
        </w:tc>
        <w:tc>
          <w:tcPr>
            <w:tcW w:type="dxa" w:w="461"/>
            <w:shd w:fill="FFC7CE" w:val="clear"/>
          </w:tcPr>
          <w:p>
            <w:r>
              <w:rPr>
                <w:b/>
                <w:color w:val="B40000"/>
                <w:sz w:val="16"/>
              </w:rPr>
              <w:t>1.94%</w:t>
            </w:r>
          </w:p>
        </w:tc>
        <w:tc>
          <w:tcPr>
            <w:tcW w:type="dxa" w:w="461"/>
            <w:shd w:fill="FFFFFF" w:val="clear"/>
          </w:tcPr>
          <w:p>
            <w:r>
              <w:rPr>
                <w:b/>
                <w:color w:val="000000"/>
                <w:sz w:val="16"/>
              </w:rPr>
              <w:t>42.19%</w:t>
            </w:r>
          </w:p>
        </w:tc>
        <w:tc>
          <w:tcPr>
            <w:tcW w:type="dxa" w:w="461"/>
            <w:shd w:fill="FFFFFF" w:val="clear"/>
          </w:tcPr>
          <w:p>
            <w:r>
              <w:rPr>
                <w:b/>
                <w:color w:val="000000"/>
                <w:sz w:val="16"/>
              </w:rPr>
              <w:t>47.12%</w:t>
            </w:r>
          </w:p>
        </w:tc>
        <w:tc>
          <w:tcPr>
            <w:tcW w:type="dxa" w:w="461"/>
            <w:shd w:fill="FFFFFF" w:val="clear"/>
          </w:tcPr>
          <w:p>
            <w:r>
              <w:rPr>
                <w:b/>
                <w:color w:val="000000"/>
                <w:sz w:val="16"/>
              </w:rPr>
              <w:t>47.83%</w:t>
            </w:r>
          </w:p>
        </w:tc>
        <w:tc>
          <w:tcPr>
            <w:tcW w:type="dxa" w:w="461"/>
            <w:shd w:fill="FFFFFF" w:val="clear"/>
          </w:tcPr>
          <w:p>
            <w:r>
              <w:rPr>
                <w:b/>
                <w:color w:val="000000"/>
                <w:sz w:val="16"/>
              </w:rPr>
              <w:t>24.26%</w:t>
            </w:r>
          </w:p>
        </w:tc>
        <w:tc>
          <w:tcPr>
            <w:tcW w:type="dxa" w:w="461"/>
            <w:shd w:fill="FFFFFF" w:val="clear"/>
          </w:tcPr>
          <w:p>
            <w:r>
              <w:rPr>
                <w:b/>
                <w:color w:val="000000"/>
                <w:sz w:val="16"/>
              </w:rPr>
              <w:t>36.05%</w:t>
            </w:r>
          </w:p>
        </w:tc>
        <w:tc>
          <w:tcPr>
            <w:tcW w:type="dxa" w:w="461"/>
            <w:shd w:fill="FFFFFF" w:val="clear"/>
          </w:tcPr>
          <w:p>
            <w:r>
              <w:rPr>
                <w:b/>
                <w:color w:val="000000"/>
                <w:sz w:val="16"/>
              </w:rPr>
              <w:t>11.60%</w:t>
            </w:r>
          </w:p>
        </w:tc>
        <w:tc>
          <w:tcPr>
            <w:tcW w:type="dxa" w:w="461"/>
            <w:shd w:fill="FFFFFF" w:val="clear"/>
          </w:tcPr>
          <w:p>
            <w:r>
              <w:rPr>
                <w:b/>
                <w:color w:val="000000"/>
                <w:sz w:val="16"/>
              </w:rPr>
              <w:t>12.22%</w:t>
            </w:r>
          </w:p>
        </w:tc>
        <w:tc>
          <w:tcPr>
            <w:tcW w:type="dxa" w:w="461"/>
            <w:shd w:fill="FFFFFF" w:val="clear"/>
          </w:tcPr>
          <w:p>
            <w:r>
              <w:rPr>
                <w:b/>
                <w:color w:val="000000"/>
                <w:sz w:val="16"/>
              </w:rPr>
              <w:t>36.72%</w:t>
            </w:r>
          </w:p>
        </w:tc>
        <w:tc>
          <w:tcPr>
            <w:tcW w:type="dxa" w:w="461"/>
            <w:shd w:fill="FFFFFF" w:val="clear"/>
          </w:tcPr>
          <w:p>
            <w:r>
              <w:rPr>
                <w:b/>
                <w:color w:val="000000"/>
                <w:sz w:val="16"/>
              </w:rPr>
              <w:t>51.19%</w:t>
            </w:r>
          </w:p>
        </w:tc>
      </w:tr>
      <w:tr>
        <w:tc>
          <w:tcPr>
            <w:tcW w:type="dxa" w:w="2551"/>
            <w:shd w:fill="EEF2F7" w:val="clear"/>
          </w:tcPr>
          <w:p>
            <w:r>
              <w:rPr>
                <w:b/>
                <w:sz w:val="15"/>
              </w:rPr>
              <w:t>Résultat net</w:t>
            </w:r>
          </w:p>
        </w:tc>
        <w:tc>
          <w:tcPr>
            <w:tcW w:type="dxa" w:w="461"/>
            <w:shd w:fill="FFFFFF" w:val="clear"/>
          </w:tcPr>
          <w:p>
            <w:r>
              <w:rPr>
                <w:b/>
                <w:color w:val="000000"/>
                <w:sz w:val="16"/>
              </w:rPr>
              <w:t>36.237 Mds FCFA</w:t>
            </w:r>
          </w:p>
        </w:tc>
        <w:tc>
          <w:tcPr>
            <w:tcW w:type="dxa" w:w="461"/>
            <w:shd w:fill="FFFFFF" w:val="clear"/>
          </w:tcPr>
          <w:p>
            <w:r>
              <w:rPr>
                <w:b/>
                <w:color w:val="000000"/>
                <w:sz w:val="16"/>
              </w:rPr>
              <w:t>36.520 Mds FCFA</w:t>
            </w:r>
          </w:p>
        </w:tc>
        <w:tc>
          <w:tcPr>
            <w:tcW w:type="dxa" w:w="461"/>
            <w:shd w:fill="FFFFFF" w:val="clear"/>
          </w:tcPr>
          <w:p>
            <w:r>
              <w:rPr>
                <w:b/>
                <w:color w:val="000000"/>
                <w:sz w:val="16"/>
              </w:rPr>
              <w:t>20.107 Mds FCFA</w:t>
            </w:r>
          </w:p>
        </w:tc>
        <w:tc>
          <w:tcPr>
            <w:tcW w:type="dxa" w:w="461"/>
            <w:shd w:fill="FFFFFF" w:val="clear"/>
          </w:tcPr>
          <w:p>
            <w:r>
              <w:rPr>
                <w:b/>
                <w:color w:val="000000"/>
                <w:sz w:val="16"/>
              </w:rPr>
              <w:t>19.252 Mds FCFA</w:t>
            </w:r>
          </w:p>
        </w:tc>
        <w:tc>
          <w:tcPr>
            <w:tcW w:type="dxa" w:w="461"/>
            <w:shd w:fill="FFFFFF" w:val="clear"/>
          </w:tcPr>
          <w:p>
            <w:r>
              <w:rPr>
                <w:b/>
                <w:color w:val="000000"/>
                <w:sz w:val="16"/>
              </w:rPr>
              <w:t>35.540 Mds FCFA</w:t>
            </w:r>
          </w:p>
        </w:tc>
        <w:tc>
          <w:tcPr>
            <w:tcW w:type="dxa" w:w="461"/>
            <w:shd w:fill="FFFFFF" w:val="clear"/>
          </w:tcPr>
          <w:p>
            <w:r>
              <w:rPr>
                <w:b/>
                <w:color w:val="000000"/>
                <w:sz w:val="16"/>
              </w:rPr>
              <w:t>11.081 Mds FCFA</w:t>
            </w:r>
          </w:p>
        </w:tc>
        <w:tc>
          <w:tcPr>
            <w:tcW w:type="dxa" w:w="461"/>
            <w:shd w:fill="FFC7CE" w:val="clear"/>
          </w:tcPr>
          <w:p>
            <w:r>
              <w:rPr>
                <w:b/>
                <w:color w:val="B40000"/>
                <w:sz w:val="16"/>
              </w:rPr>
              <w:t>409.00 M FCFA</w:t>
            </w:r>
          </w:p>
        </w:tc>
        <w:tc>
          <w:tcPr>
            <w:tcW w:type="dxa" w:w="461"/>
            <w:shd w:fill="FFFFFF" w:val="clear"/>
          </w:tcPr>
          <w:p>
            <w:r>
              <w:rPr>
                <w:b/>
                <w:color w:val="000000"/>
                <w:sz w:val="16"/>
              </w:rPr>
              <w:t>21.905 Mds FCFA</w:t>
            </w:r>
          </w:p>
        </w:tc>
        <w:tc>
          <w:tcPr>
            <w:tcW w:type="dxa" w:w="461"/>
            <w:shd w:fill="FFFFFF" w:val="clear"/>
          </w:tcPr>
          <w:p>
            <w:r>
              <w:rPr>
                <w:b/>
                <w:color w:val="000000"/>
                <w:sz w:val="16"/>
              </w:rPr>
              <w:t>65.495 Mds FCFA</w:t>
            </w:r>
          </w:p>
        </w:tc>
        <w:tc>
          <w:tcPr>
            <w:tcW w:type="dxa" w:w="461"/>
            <w:shd w:fill="FFFFFF" w:val="clear"/>
          </w:tcPr>
          <w:p>
            <w:r>
              <w:rPr>
                <w:b/>
                <w:color w:val="000000"/>
                <w:sz w:val="16"/>
              </w:rPr>
              <w:t>63.482 Mds FCFA</w:t>
            </w:r>
          </w:p>
        </w:tc>
        <w:tc>
          <w:tcPr>
            <w:tcW w:type="dxa" w:w="461"/>
            <w:shd w:fill="C6EFCE" w:val="clear"/>
          </w:tcPr>
          <w:p>
            <w:r>
              <w:rPr>
                <w:b/>
                <w:color w:val="006400"/>
                <w:sz w:val="16"/>
              </w:rPr>
              <w:t>345.523 Mds FCFA</w:t>
            </w:r>
          </w:p>
        </w:tc>
        <w:tc>
          <w:tcPr>
            <w:tcW w:type="dxa" w:w="461"/>
            <w:shd w:fill="FFFFFF" w:val="clear"/>
          </w:tcPr>
          <w:p>
            <w:r>
              <w:rPr>
                <w:b/>
                <w:color w:val="000000"/>
                <w:sz w:val="16"/>
              </w:rPr>
              <w:t>40.712 Mds FCFA</w:t>
            </w:r>
          </w:p>
        </w:tc>
        <w:tc>
          <w:tcPr>
            <w:tcW w:type="dxa" w:w="461"/>
            <w:shd w:fill="FFFFFF" w:val="clear"/>
          </w:tcPr>
          <w:p>
            <w:r>
              <w:rPr>
                <w:b/>
                <w:color w:val="000000"/>
                <w:sz w:val="16"/>
              </w:rPr>
              <w:t>21.643 Mds FCFA</w:t>
            </w:r>
          </w:p>
        </w:tc>
        <w:tc>
          <w:tcPr>
            <w:tcW w:type="dxa" w:w="461"/>
            <w:shd w:fill="FFFFFF" w:val="clear"/>
          </w:tcPr>
          <w:p>
            <w:r>
              <w:rPr>
                <w:b/>
                <w:color w:val="000000"/>
                <w:sz w:val="16"/>
              </w:rPr>
              <w:t>701.00 M FCFA</w:t>
            </w:r>
          </w:p>
        </w:tc>
        <w:tc>
          <w:tcPr>
            <w:tcW w:type="dxa" w:w="461"/>
            <w:shd w:fill="FFFFFF" w:val="clear"/>
          </w:tcPr>
          <w:p>
            <w:r>
              <w:rPr>
                <w:b/>
                <w:color w:val="000000"/>
                <w:sz w:val="16"/>
              </w:rPr>
              <w:t>101.352 Mds FCFA</w:t>
            </w:r>
          </w:p>
        </w:tc>
        <w:tc>
          <w:tcPr>
            <w:tcW w:type="dxa" w:w="461"/>
            <w:shd w:fill="FFFFFF" w:val="clear"/>
          </w:tcPr>
          <w:p>
            <w:r>
              <w:rPr>
                <w:b/>
                <w:color w:val="000000"/>
                <w:sz w:val="16"/>
              </w:rPr>
              <w:t>55.623 Mds FCFA</w:t>
            </w:r>
          </w:p>
        </w:tc>
      </w:tr>
      <w:tr>
        <w:tc>
          <w:tcPr>
            <w:tcW w:type="dxa" w:w="2551"/>
            <w:shd w:fill="EEF2F7" w:val="clear"/>
          </w:tcPr>
          <w:p>
            <w:r>
              <w:rPr>
                <w:b/>
                <w:sz w:val="15"/>
              </w:rPr>
              <w:t>Taux croissance CA/PNB</w:t>
            </w:r>
          </w:p>
        </w:tc>
        <w:tc>
          <w:tcPr>
            <w:tcW w:type="dxa" w:w="461"/>
            <w:shd w:fill="FFFFFF" w:val="clear"/>
          </w:tcPr>
          <w:p>
            <w:r>
              <w:rPr>
                <w:b/>
                <w:color w:val="000000"/>
                <w:sz w:val="16"/>
              </w:rPr>
              <w:t>16.49%</w:t>
            </w:r>
          </w:p>
        </w:tc>
        <w:tc>
          <w:tcPr>
            <w:tcW w:type="dxa" w:w="461"/>
            <w:shd w:fill="FFFFFF" w:val="clear"/>
          </w:tcPr>
          <w:p>
            <w:r>
              <w:rPr>
                <w:b/>
                <w:color w:val="000000"/>
                <w:sz w:val="16"/>
              </w:rPr>
              <w:t>16.90%</w:t>
            </w:r>
          </w:p>
        </w:tc>
        <w:tc>
          <w:tcPr>
            <w:tcW w:type="dxa" w:w="461"/>
            <w:shd w:fill="FFFFFF" w:val="clear"/>
          </w:tcPr>
          <w:p>
            <w:r>
              <w:rPr>
                <w:b/>
                <w:color w:val="000000"/>
                <w:sz w:val="16"/>
              </w:rPr>
              <w:t>10.20%</w:t>
            </w:r>
          </w:p>
        </w:tc>
        <w:tc>
          <w:tcPr>
            <w:tcW w:type="dxa" w:w="461"/>
            <w:shd w:fill="FFFFFF" w:val="clear"/>
          </w:tcPr>
          <w:p>
            <w:r>
              <w:rPr>
                <w:b/>
                <w:color w:val="000000"/>
                <w:sz w:val="16"/>
              </w:rPr>
              <w:t>0.57%</w:t>
            </w:r>
          </w:p>
        </w:tc>
        <w:tc>
          <w:tcPr>
            <w:tcW w:type="dxa" w:w="461"/>
            <w:shd w:fill="FFFFFF" w:val="clear"/>
          </w:tcPr>
          <w:p>
            <w:r>
              <w:rPr>
                <w:b/>
                <w:color w:val="000000"/>
                <w:sz w:val="16"/>
              </w:rPr>
              <w:t>1.13%</w:t>
            </w:r>
          </w:p>
        </w:tc>
        <w:tc>
          <w:tcPr>
            <w:tcW w:type="dxa" w:w="461"/>
            <w:shd w:fill="FFFFFF" w:val="clear"/>
          </w:tcPr>
          <w:p>
            <w:r>
              <w:rPr>
                <w:b/>
                <w:color w:val="000000"/>
                <w:sz w:val="16"/>
              </w:rPr>
              <w:t>5.08%</w:t>
            </w:r>
          </w:p>
        </w:tc>
        <w:tc>
          <w:tcPr>
            <w:tcW w:type="dxa" w:w="461"/>
            <w:shd w:fill="FFFFFF" w:val="clear"/>
          </w:tcPr>
          <w:p>
            <w:r>
              <w:rPr>
                <w:b/>
                <w:color w:val="000000"/>
                <w:sz w:val="16"/>
              </w:rPr>
              <w:t>-1.19%</w:t>
            </w:r>
          </w:p>
        </w:tc>
        <w:tc>
          <w:tcPr>
            <w:tcW w:type="dxa" w:w="461"/>
            <w:shd w:fill="FFFFFF" w:val="clear"/>
          </w:tcPr>
          <w:p>
            <w:r>
              <w:rPr>
                <w:b/>
                <w:color w:val="000000"/>
                <w:sz w:val="16"/>
              </w:rPr>
              <w:t>4.55%</w:t>
            </w:r>
          </w:p>
        </w:tc>
        <w:tc>
          <w:tcPr>
            <w:tcW w:type="dxa" w:w="461"/>
            <w:shd w:fill="FFFFFF" w:val="clear"/>
          </w:tcPr>
          <w:p>
            <w:r>
              <w:rPr>
                <w:b/>
                <w:color w:val="000000"/>
                <w:sz w:val="16"/>
              </w:rPr>
              <w:t>6.11%</w:t>
            </w:r>
          </w:p>
        </w:tc>
        <w:tc>
          <w:tcPr>
            <w:tcW w:type="dxa" w:w="461"/>
            <w:shd w:fill="FFFFFF" w:val="clear"/>
          </w:tcPr>
          <w:p>
            <w:r>
              <w:rPr>
                <w:b/>
                <w:color w:val="000000"/>
                <w:sz w:val="16"/>
              </w:rPr>
              <w:t>8.51%</w:t>
            </w:r>
          </w:p>
        </w:tc>
        <w:tc>
          <w:tcPr>
            <w:tcW w:type="dxa" w:w="461"/>
            <w:shd w:fill="FFFFFF" w:val="clear"/>
          </w:tcPr>
          <w:p>
            <w:r>
              <w:rPr>
                <w:b/>
                <w:color w:val="000000"/>
                <w:sz w:val="16"/>
              </w:rPr>
              <w:t>12.45%</w:t>
            </w:r>
          </w:p>
        </w:tc>
        <w:tc>
          <w:tcPr>
            <w:tcW w:type="dxa" w:w="461"/>
            <w:shd w:fill="FFFFFF" w:val="clear"/>
          </w:tcPr>
          <w:p>
            <w:r>
              <w:rPr>
                <w:b/>
                <w:color w:val="000000"/>
                <w:sz w:val="16"/>
              </w:rPr>
              <w:t>15.45%</w:t>
            </w:r>
          </w:p>
        </w:tc>
        <w:tc>
          <w:tcPr>
            <w:tcW w:type="dxa" w:w="461"/>
            <w:shd w:fill="FFC7CE" w:val="clear"/>
          </w:tcPr>
          <w:p>
            <w:r>
              <w:rPr>
                <w:b/>
                <w:color w:val="B40000"/>
                <w:sz w:val="16"/>
              </w:rPr>
              <w:t>-4.52%</w:t>
            </w:r>
          </w:p>
        </w:tc>
        <w:tc>
          <w:tcPr>
            <w:tcW w:type="dxa" w:w="461"/>
            <w:shd w:fill="C6EFCE" w:val="clear"/>
          </w:tcPr>
          <w:p>
            <w:r>
              <w:rPr>
                <w:b/>
                <w:color w:val="006400"/>
                <w:sz w:val="16"/>
              </w:rPr>
              <w:t>44.10%</w:t>
            </w:r>
          </w:p>
        </w:tc>
        <w:tc>
          <w:tcPr>
            <w:tcW w:type="dxa" w:w="461"/>
            <w:shd w:fill="FFFFFF" w:val="clear"/>
          </w:tcPr>
          <w:p>
            <w:r>
              <w:rPr>
                <w:b/>
                <w:color w:val="000000"/>
                <w:sz w:val="16"/>
              </w:rPr>
              <w:t>4.88%</w:t>
            </w:r>
          </w:p>
        </w:tc>
        <w:tc>
          <w:tcPr>
            <w:tcW w:type="dxa" w:w="461"/>
            <w:shd w:fill="FFFFFF" w:val="clear"/>
          </w:tcPr>
          <w:p>
            <w:r>
              <w:rPr>
                <w:b/>
                <w:color w:val="000000"/>
                <w:sz w:val="16"/>
              </w:rPr>
              <w:t>5.74%</w:t>
            </w:r>
          </w:p>
        </w:tc>
      </w:tr>
      <w:tr>
        <w:tc>
          <w:tcPr>
            <w:tcW w:type="dxa" w:w="2551"/>
            <w:shd w:fill="EEF2F7" w:val="clear"/>
          </w:tcPr>
          <w:p>
            <w:r>
              <w:rPr>
                <w:b/>
                <w:sz w:val="15"/>
              </w:rPr>
              <w:t>Autonomie financière</w:t>
            </w:r>
          </w:p>
        </w:tc>
        <w:tc>
          <w:tcPr>
            <w:tcW w:type="dxa" w:w="461"/>
            <w:shd w:fill="FFFFFF" w:val="clear"/>
          </w:tcPr>
          <w:p>
            <w:r>
              <w:rPr>
                <w:b/>
                <w:color w:val="000000"/>
                <w:sz w:val="16"/>
              </w:rPr>
              <w:t>7.33%</w:t>
            </w:r>
          </w:p>
        </w:tc>
        <w:tc>
          <w:tcPr>
            <w:tcW w:type="dxa" w:w="461"/>
            <w:shd w:fill="FFFFFF" w:val="clear"/>
          </w:tcPr>
          <w:p>
            <w:r>
              <w:rPr>
                <w:b/>
                <w:color w:val="000000"/>
                <w:sz w:val="16"/>
              </w:rPr>
              <w:t>10.71%</w:t>
            </w:r>
          </w:p>
        </w:tc>
        <w:tc>
          <w:tcPr>
            <w:tcW w:type="dxa" w:w="461"/>
            <w:shd w:fill="FFFFFF" w:val="clear"/>
          </w:tcPr>
          <w:p>
            <w:r>
              <w:rPr>
                <w:b/>
                <w:color w:val="000000"/>
                <w:sz w:val="16"/>
              </w:rPr>
              <w:t>12.18%</w:t>
            </w:r>
          </w:p>
        </w:tc>
        <w:tc>
          <w:tcPr>
            <w:tcW w:type="dxa" w:w="461"/>
            <w:shd w:fill="FFFFFF" w:val="clear"/>
          </w:tcPr>
          <w:p>
            <w:r>
              <w:rPr>
                <w:b/>
                <w:color w:val="000000"/>
                <w:sz w:val="16"/>
              </w:rPr>
              <w:t>11.01%</w:t>
            </w:r>
          </w:p>
        </w:tc>
        <w:tc>
          <w:tcPr>
            <w:tcW w:type="dxa" w:w="461"/>
            <w:shd w:fill="FFFFFF" w:val="clear"/>
          </w:tcPr>
          <w:p>
            <w:r>
              <w:rPr>
                <w:b/>
                <w:color w:val="000000"/>
                <w:sz w:val="16"/>
              </w:rPr>
              <w:t>11.54%</w:t>
            </w:r>
          </w:p>
        </w:tc>
        <w:tc>
          <w:tcPr>
            <w:tcW w:type="dxa" w:w="461"/>
            <w:shd w:fill="FFFFFF" w:val="clear"/>
          </w:tcPr>
          <w:p>
            <w:r>
              <w:rPr>
                <w:b/>
                <w:color w:val="000000"/>
                <w:sz w:val="16"/>
              </w:rPr>
              <w:t>8.39%</w:t>
            </w:r>
          </w:p>
        </w:tc>
        <w:tc>
          <w:tcPr>
            <w:tcW w:type="dxa" w:w="461"/>
            <w:shd w:fill="FFFFFF" w:val="clear"/>
          </w:tcPr>
          <w:p>
            <w:r>
              <w:rPr>
                <w:b/>
                <w:color w:val="000000"/>
                <w:sz w:val="16"/>
              </w:rPr>
              <w:t>12.36%</w:t>
            </w:r>
          </w:p>
        </w:tc>
        <w:tc>
          <w:tcPr>
            <w:tcW w:type="dxa" w:w="461"/>
            <w:shd w:fill="FFFFFF" w:val="clear"/>
          </w:tcPr>
          <w:p>
            <w:r>
              <w:rPr>
                <w:b/>
                <w:color w:val="000000"/>
                <w:sz w:val="16"/>
              </w:rPr>
              <w:t>11.54%</w:t>
            </w:r>
          </w:p>
        </w:tc>
        <w:tc>
          <w:tcPr>
            <w:tcW w:type="dxa" w:w="461"/>
            <w:shd w:fill="F2F2F2" w:val="clear"/>
          </w:tcPr>
          <w:p>
            <w:r>
              <w:rPr>
                <w:b/>
                <w:sz w:val="16"/>
              </w:rPr>
              <w:t>N/D</w:t>
            </w:r>
          </w:p>
        </w:tc>
        <w:tc>
          <w:tcPr>
            <w:tcW w:type="dxa" w:w="461"/>
            <w:shd w:fill="FFFFFF" w:val="clear"/>
          </w:tcPr>
          <w:p>
            <w:r>
              <w:rPr>
                <w:b/>
                <w:color w:val="000000"/>
                <w:sz w:val="16"/>
              </w:rPr>
              <w:t>10.64%</w:t>
            </w:r>
          </w:p>
        </w:tc>
        <w:tc>
          <w:tcPr>
            <w:tcW w:type="dxa" w:w="461"/>
            <w:shd w:fill="FFFFFF" w:val="clear"/>
          </w:tcPr>
          <w:p>
            <w:r>
              <w:rPr>
                <w:b/>
                <w:color w:val="000000"/>
                <w:sz w:val="16"/>
              </w:rPr>
              <w:t>8.30%</w:t>
            </w:r>
          </w:p>
        </w:tc>
        <w:tc>
          <w:tcPr>
            <w:tcW w:type="dxa" w:w="461"/>
            <w:shd w:fill="FFFFFF" w:val="clear"/>
          </w:tcPr>
          <w:p>
            <w:r>
              <w:rPr>
                <w:b/>
                <w:color w:val="000000"/>
                <w:sz w:val="16"/>
              </w:rPr>
              <w:t>7.59%</w:t>
            </w:r>
          </w:p>
        </w:tc>
        <w:tc>
          <w:tcPr>
            <w:tcW w:type="dxa" w:w="461"/>
            <w:shd w:fill="FFC7CE" w:val="clear"/>
          </w:tcPr>
          <w:p>
            <w:r>
              <w:rPr>
                <w:b/>
                <w:color w:val="B40000"/>
                <w:sz w:val="16"/>
              </w:rPr>
              <w:t>2.82%</w:t>
            </w:r>
          </w:p>
        </w:tc>
        <w:tc>
          <w:tcPr>
            <w:tcW w:type="dxa" w:w="461"/>
            <w:shd w:fill="FFFFFF" w:val="clear"/>
          </w:tcPr>
          <w:p>
            <w:r>
              <w:rPr>
                <w:b/>
                <w:color w:val="000000"/>
                <w:sz w:val="16"/>
              </w:rPr>
              <w:t>7.44%</w:t>
            </w:r>
          </w:p>
        </w:tc>
        <w:tc>
          <w:tcPr>
            <w:tcW w:type="dxa" w:w="461"/>
            <w:shd w:fill="C6EFCE" w:val="clear"/>
          </w:tcPr>
          <w:p>
            <w:r>
              <w:rPr>
                <w:b/>
                <w:color w:val="006400"/>
                <w:sz w:val="16"/>
              </w:rPr>
              <w:t>13.14%</w:t>
            </w:r>
          </w:p>
        </w:tc>
        <w:tc>
          <w:tcPr>
            <w:tcW w:type="dxa" w:w="461"/>
            <w:shd w:fill="FFFFFF" w:val="clear"/>
          </w:tcPr>
          <w:p>
            <w:r>
              <w:rPr>
                <w:b/>
                <w:color w:val="000000"/>
                <w:sz w:val="16"/>
              </w:rPr>
              <w:t>10.88%</w:t>
            </w:r>
          </w:p>
        </w:tc>
      </w:tr>
      <w:tr>
        <w:tc>
          <w:tcPr>
            <w:tcW w:type="dxa" w:w="2551"/>
            <w:shd w:fill="EEF2F7" w:val="clear"/>
          </w:tcPr>
          <w:p>
            <w:r>
              <w:rPr>
                <w:b/>
                <w:sz w:val="15"/>
              </w:rPr>
              <w:t>Ratio endettement</w:t>
            </w:r>
          </w:p>
        </w:tc>
        <w:tc>
          <w:tcPr>
            <w:tcW w:type="dxa" w:w="461"/>
            <w:shd w:fill="FFFFFF" w:val="clear"/>
          </w:tcPr>
          <w:p>
            <w:r>
              <w:rPr>
                <w:b/>
                <w:color w:val="000000"/>
                <w:sz w:val="16"/>
              </w:rPr>
              <w:t>22.46%</w:t>
            </w:r>
          </w:p>
        </w:tc>
        <w:tc>
          <w:tcPr>
            <w:tcW w:type="dxa" w:w="461"/>
            <w:shd w:fill="C6EFCE" w:val="clear"/>
          </w:tcPr>
          <w:p>
            <w:r>
              <w:rPr>
                <w:b/>
                <w:color w:val="006400"/>
                <w:sz w:val="16"/>
              </w:rPr>
              <w:t>14.05%</w:t>
            </w:r>
          </w:p>
        </w:tc>
        <w:tc>
          <w:tcPr>
            <w:tcW w:type="dxa" w:w="461"/>
            <w:shd w:fill="FFFFFF" w:val="clear"/>
          </w:tcPr>
          <w:p>
            <w:r>
              <w:rPr>
                <w:b/>
                <w:color w:val="000000"/>
                <w:sz w:val="16"/>
              </w:rPr>
              <w:t>98.77%</w:t>
            </w:r>
          </w:p>
        </w:tc>
        <w:tc>
          <w:tcPr>
            <w:tcW w:type="dxa" w:w="461"/>
            <w:shd w:fill="FFFFFF" w:val="clear"/>
          </w:tcPr>
          <w:p>
            <w:r>
              <w:rPr>
                <w:b/>
                <w:color w:val="000000"/>
                <w:sz w:val="16"/>
              </w:rPr>
              <w:t>96.61%</w:t>
            </w:r>
          </w:p>
        </w:tc>
        <w:tc>
          <w:tcPr>
            <w:tcW w:type="dxa" w:w="461"/>
            <w:shd w:fill="F2F2F2" w:val="clear"/>
          </w:tcPr>
          <w:p>
            <w:r>
              <w:rPr>
                <w:b/>
                <w:sz w:val="16"/>
              </w:rPr>
              <w:t>N/D</w:t>
            </w:r>
          </w:p>
        </w:tc>
        <w:tc>
          <w:tcPr>
            <w:tcW w:type="dxa" w:w="461"/>
            <w:shd w:fill="FFFFFF" w:val="clear"/>
          </w:tcPr>
          <w:p>
            <w:r>
              <w:rPr>
                <w:b/>
                <w:color w:val="000000"/>
                <w:sz w:val="16"/>
              </w:rPr>
              <w:t>55.33%</w:t>
            </w:r>
          </w:p>
        </w:tc>
        <w:tc>
          <w:tcPr>
            <w:tcW w:type="dxa" w:w="461"/>
            <w:shd w:fill="FFFFFF" w:val="clear"/>
          </w:tcPr>
          <w:p>
            <w:r>
              <w:rPr>
                <w:b/>
                <w:color w:val="000000"/>
                <w:sz w:val="16"/>
              </w:rPr>
              <w:t>178.61%</w:t>
            </w:r>
          </w:p>
        </w:tc>
        <w:tc>
          <w:tcPr>
            <w:tcW w:type="dxa" w:w="461"/>
            <w:shd w:fill="FFFFFF" w:val="clear"/>
          </w:tcPr>
          <w:p>
            <w:r>
              <w:rPr>
                <w:b/>
                <w:color w:val="000000"/>
                <w:sz w:val="16"/>
              </w:rPr>
              <w:t>39.37%</w:t>
            </w:r>
          </w:p>
        </w:tc>
        <w:tc>
          <w:tcPr>
            <w:tcW w:type="dxa" w:w="461"/>
            <w:shd w:fill="F2F2F2" w:val="clear"/>
          </w:tcPr>
          <w:p>
            <w:r>
              <w:rPr>
                <w:b/>
                <w:sz w:val="16"/>
              </w:rPr>
              <w:t>N/D</w:t>
            </w:r>
          </w:p>
        </w:tc>
        <w:tc>
          <w:tcPr>
            <w:tcW w:type="dxa" w:w="461"/>
            <w:shd w:fill="FFFFFF" w:val="clear"/>
          </w:tcPr>
          <w:p>
            <w:r>
              <w:rPr>
                <w:b/>
                <w:color w:val="000000"/>
                <w:sz w:val="16"/>
              </w:rPr>
              <w:t>69.63%</w:t>
            </w:r>
          </w:p>
        </w:tc>
        <w:tc>
          <w:tcPr>
            <w:tcW w:type="dxa" w:w="461"/>
            <w:shd w:fill="FFFFFF" w:val="clear"/>
          </w:tcPr>
          <w:p>
            <w:r>
              <w:rPr>
                <w:b/>
                <w:color w:val="000000"/>
                <w:sz w:val="16"/>
              </w:rPr>
              <w:t>154.06%</w:t>
            </w:r>
          </w:p>
        </w:tc>
        <w:tc>
          <w:tcPr>
            <w:tcW w:type="dxa" w:w="461"/>
            <w:shd w:fill="FFFFFF" w:val="clear"/>
          </w:tcPr>
          <w:p>
            <w:r>
              <w:rPr>
                <w:b/>
                <w:color w:val="000000"/>
                <w:sz w:val="16"/>
              </w:rPr>
              <w:t>227.90%</w:t>
            </w:r>
          </w:p>
        </w:tc>
        <w:tc>
          <w:tcPr>
            <w:tcW w:type="dxa" w:w="461"/>
            <w:shd w:fill="FFFFFF" w:val="clear"/>
          </w:tcPr>
          <w:p>
            <w:r>
              <w:rPr>
                <w:b/>
                <w:color w:val="000000"/>
                <w:sz w:val="16"/>
              </w:rPr>
              <w:t>444.94%</w:t>
            </w:r>
          </w:p>
        </w:tc>
        <w:tc>
          <w:tcPr>
            <w:tcW w:type="dxa" w:w="461"/>
            <w:shd w:fill="FFC7CE" w:val="clear"/>
          </w:tcPr>
          <w:p>
            <w:r>
              <w:rPr>
                <w:b/>
                <w:color w:val="B40000"/>
                <w:sz w:val="16"/>
              </w:rPr>
              <w:t>856.36%</w:t>
            </w:r>
          </w:p>
        </w:tc>
        <w:tc>
          <w:tcPr>
            <w:tcW w:type="dxa" w:w="461"/>
            <w:shd w:fill="FFFFFF" w:val="clear"/>
          </w:tcPr>
          <w:p>
            <w:r>
              <w:rPr>
                <w:b/>
                <w:color w:val="000000"/>
                <w:sz w:val="16"/>
              </w:rPr>
              <w:t>86.86%</w:t>
            </w:r>
          </w:p>
        </w:tc>
        <w:tc>
          <w:tcPr>
            <w:tcW w:type="dxa" w:w="461"/>
            <w:shd w:fill="FFFFFF" w:val="clear"/>
          </w:tcPr>
          <w:p>
            <w:r>
              <w:rPr>
                <w:b/>
                <w:color w:val="000000"/>
                <w:sz w:val="16"/>
              </w:rPr>
              <w:t>50.92%</w:t>
            </w:r>
          </w:p>
        </w:tc>
      </w:tr>
      <w:tr>
        <w:tc>
          <w:tcPr>
            <w:tcW w:type="dxa" w:w="2551"/>
            <w:shd w:fill="EEF2F7" w:val="clear"/>
          </w:tcPr>
          <w:p>
            <w:r>
              <w:rPr>
                <w:b/>
                <w:sz w:val="15"/>
              </w:rPr>
              <w:t>Solvabilité générale</w:t>
            </w:r>
          </w:p>
        </w:tc>
        <w:tc>
          <w:tcPr>
            <w:tcW w:type="dxa" w:w="461"/>
            <w:shd w:fill="FFFFFF" w:val="clear"/>
          </w:tcPr>
          <w:p>
            <w:r>
              <w:rPr>
                <w:b/>
                <w:color w:val="000000"/>
                <w:sz w:val="16"/>
              </w:rPr>
              <w:t>107.90%</w:t>
            </w:r>
          </w:p>
        </w:tc>
        <w:tc>
          <w:tcPr>
            <w:tcW w:type="dxa" w:w="461"/>
            <w:shd w:fill="FFFFFF" w:val="clear"/>
          </w:tcPr>
          <w:p>
            <w:r>
              <w:rPr>
                <w:b/>
                <w:color w:val="000000"/>
                <w:sz w:val="16"/>
              </w:rPr>
              <w:t>111.99%</w:t>
            </w:r>
          </w:p>
        </w:tc>
        <w:tc>
          <w:tcPr>
            <w:tcW w:type="dxa" w:w="461"/>
            <w:shd w:fill="FFFFFF" w:val="clear"/>
          </w:tcPr>
          <w:p>
            <w:r>
              <w:rPr>
                <w:b/>
                <w:color w:val="000000"/>
                <w:sz w:val="16"/>
              </w:rPr>
              <w:t>113.87%</w:t>
            </w:r>
          </w:p>
        </w:tc>
        <w:tc>
          <w:tcPr>
            <w:tcW w:type="dxa" w:w="461"/>
            <w:shd w:fill="FFFFFF" w:val="clear"/>
          </w:tcPr>
          <w:p>
            <w:r>
              <w:rPr>
                <w:b/>
                <w:color w:val="000000"/>
                <w:sz w:val="16"/>
              </w:rPr>
              <w:t>112.38%</w:t>
            </w:r>
          </w:p>
        </w:tc>
        <w:tc>
          <w:tcPr>
            <w:tcW w:type="dxa" w:w="461"/>
            <w:shd w:fill="FFFFFF" w:val="clear"/>
          </w:tcPr>
          <w:p>
            <w:r>
              <w:rPr>
                <w:b/>
                <w:color w:val="000000"/>
                <w:sz w:val="16"/>
              </w:rPr>
              <w:t>113.05%</w:t>
            </w:r>
          </w:p>
        </w:tc>
        <w:tc>
          <w:tcPr>
            <w:tcW w:type="dxa" w:w="461"/>
            <w:shd w:fill="FFFFFF" w:val="clear"/>
          </w:tcPr>
          <w:p>
            <w:r>
              <w:rPr>
                <w:b/>
                <w:color w:val="000000"/>
                <w:sz w:val="16"/>
              </w:rPr>
              <w:t>109.16%</w:t>
            </w:r>
          </w:p>
        </w:tc>
        <w:tc>
          <w:tcPr>
            <w:tcW w:type="dxa" w:w="461"/>
            <w:shd w:fill="FFFFFF" w:val="clear"/>
          </w:tcPr>
          <w:p>
            <w:r>
              <w:rPr>
                <w:b/>
                <w:color w:val="000000"/>
                <w:sz w:val="16"/>
              </w:rPr>
              <w:t>114.10%</w:t>
            </w:r>
          </w:p>
        </w:tc>
        <w:tc>
          <w:tcPr>
            <w:tcW w:type="dxa" w:w="461"/>
            <w:shd w:fill="FFFFFF" w:val="clear"/>
          </w:tcPr>
          <w:p>
            <w:r>
              <w:rPr>
                <w:b/>
                <w:color w:val="000000"/>
                <w:sz w:val="16"/>
              </w:rPr>
              <w:t>113.05%</w:t>
            </w:r>
          </w:p>
        </w:tc>
        <w:tc>
          <w:tcPr>
            <w:tcW w:type="dxa" w:w="461"/>
            <w:shd w:fill="F2F2F2" w:val="clear"/>
          </w:tcPr>
          <w:p>
            <w:r>
              <w:rPr>
                <w:b/>
                <w:sz w:val="16"/>
              </w:rPr>
              <w:t>N/D</w:t>
            </w:r>
          </w:p>
        </w:tc>
        <w:tc>
          <w:tcPr>
            <w:tcW w:type="dxa" w:w="461"/>
            <w:shd w:fill="FFFFFF" w:val="clear"/>
          </w:tcPr>
          <w:p>
            <w:r>
              <w:rPr>
                <w:b/>
                <w:color w:val="000000"/>
                <w:sz w:val="16"/>
              </w:rPr>
              <w:t>111.91%</w:t>
            </w:r>
          </w:p>
        </w:tc>
        <w:tc>
          <w:tcPr>
            <w:tcW w:type="dxa" w:w="461"/>
            <w:shd w:fill="FFFFFF" w:val="clear"/>
          </w:tcPr>
          <w:p>
            <w:r>
              <w:rPr>
                <w:b/>
                <w:color w:val="000000"/>
                <w:sz w:val="16"/>
              </w:rPr>
              <w:t>109.05%</w:t>
            </w:r>
          </w:p>
        </w:tc>
        <w:tc>
          <w:tcPr>
            <w:tcW w:type="dxa" w:w="461"/>
            <w:shd w:fill="FFFFFF" w:val="clear"/>
          </w:tcPr>
          <w:p>
            <w:r>
              <w:rPr>
                <w:b/>
                <w:color w:val="000000"/>
                <w:sz w:val="16"/>
              </w:rPr>
              <w:t>108.22%</w:t>
            </w:r>
          </w:p>
        </w:tc>
        <w:tc>
          <w:tcPr>
            <w:tcW w:type="dxa" w:w="461"/>
            <w:shd w:fill="FFC7CE" w:val="clear"/>
          </w:tcPr>
          <w:p>
            <w:r>
              <w:rPr>
                <w:b/>
                <w:color w:val="B40000"/>
                <w:sz w:val="16"/>
              </w:rPr>
              <w:t>102.90%</w:t>
            </w:r>
          </w:p>
        </w:tc>
        <w:tc>
          <w:tcPr>
            <w:tcW w:type="dxa" w:w="461"/>
            <w:shd w:fill="FFFFFF" w:val="clear"/>
          </w:tcPr>
          <w:p>
            <w:r>
              <w:rPr>
                <w:b/>
                <w:color w:val="000000"/>
                <w:sz w:val="16"/>
              </w:rPr>
              <w:t>108.03%</w:t>
            </w:r>
          </w:p>
        </w:tc>
        <w:tc>
          <w:tcPr>
            <w:tcW w:type="dxa" w:w="461"/>
            <w:shd w:fill="C6EFCE" w:val="clear"/>
          </w:tcPr>
          <w:p>
            <w:r>
              <w:rPr>
                <w:b/>
                <w:color w:val="006400"/>
                <w:sz w:val="16"/>
              </w:rPr>
              <w:t>115.12%</w:t>
            </w:r>
          </w:p>
        </w:tc>
        <w:tc>
          <w:tcPr>
            <w:tcW w:type="dxa" w:w="461"/>
            <w:shd w:fill="FFFFFF" w:val="clear"/>
          </w:tcPr>
          <w:p>
            <w:r>
              <w:rPr>
                <w:b/>
                <w:color w:val="000000"/>
                <w:sz w:val="16"/>
              </w:rPr>
              <w:t>112.21%</w:t>
            </w:r>
          </w:p>
        </w:tc>
      </w:tr>
      <w:tr>
        <w:tc>
          <w:tcPr>
            <w:tcW w:type="dxa" w:w="2551"/>
            <w:shd w:fill="EEF2F7" w:val="clear"/>
          </w:tcPr>
          <w:p>
            <w:r>
              <w:rPr>
                <w:b/>
                <w:sz w:val="15"/>
              </w:rPr>
              <w:t>Liquidité générale</w:t>
            </w:r>
          </w:p>
        </w:tc>
        <w:tc>
          <w:tcPr>
            <w:tcW w:type="dxa" w:w="461"/>
            <w:shd w:fill="C6EFCE" w:val="clear"/>
          </w:tcPr>
          <w:p>
            <w:r>
              <w:rPr>
                <w:b/>
                <w:color w:val="006400"/>
                <w:sz w:val="16"/>
              </w:rPr>
              <w:t>5646.45%</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FFFFF" w:val="clear"/>
          </w:tcPr>
          <w:p>
            <w:r>
              <w:rPr>
                <w:b/>
                <w:color w:val="000000"/>
                <w:sz w:val="16"/>
              </w:rPr>
              <w:t>3684.07%</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FC7CE" w:val="clear"/>
          </w:tcPr>
          <w:p>
            <w:r>
              <w:rPr>
                <w:b/>
                <w:color w:val="B40000"/>
                <w:sz w:val="16"/>
              </w:rPr>
              <w:t>537.55%</w:t>
            </w:r>
          </w:p>
        </w:tc>
        <w:tc>
          <w:tcPr>
            <w:tcW w:type="dxa" w:w="461"/>
            <w:shd w:fill="F2F2F2" w:val="clear"/>
          </w:tcPr>
          <w:p>
            <w:r>
              <w:rPr>
                <w:b/>
                <w:sz w:val="16"/>
              </w:rPr>
              <w:t>N/D</w:t>
            </w:r>
          </w:p>
        </w:tc>
        <w:tc>
          <w:tcPr>
            <w:tcW w:type="dxa" w:w="461"/>
            <w:shd w:fill="F2F2F2" w:val="clear"/>
          </w:tcPr>
          <w:p>
            <w:r>
              <w:rPr>
                <w:b/>
                <w:sz w:val="16"/>
              </w:rPr>
              <w:t>N/D</w:t>
            </w:r>
          </w:p>
        </w:tc>
      </w:tr>
      <w:tr>
        <w:tc>
          <w:tcPr>
            <w:tcW w:type="dxa" w:w="2551"/>
            <w:shd w:fill="EEF2F7" w:val="clear"/>
          </w:tcPr>
          <w:p>
            <w:r>
              <w:rPr>
                <w:b/>
                <w:sz w:val="15"/>
              </w:rPr>
              <w:t>Free Cash Flow</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C6EFCE" w:val="clear"/>
          </w:tcPr>
          <w:p>
            <w:r>
              <w:rPr>
                <w:b/>
                <w:color w:val="006400"/>
                <w:sz w:val="16"/>
              </w:rPr>
              <w:t>343.247 Mds FCFA</w:t>
            </w:r>
          </w:p>
        </w:tc>
        <w:tc>
          <w:tcPr>
            <w:tcW w:type="dxa" w:w="461"/>
            <w:shd w:fill="F2F2F2" w:val="clear"/>
          </w:tcPr>
          <w:p>
            <w:r>
              <w:rPr>
                <w:b/>
                <w:sz w:val="16"/>
              </w:rPr>
              <w:t>N/D</w:t>
            </w:r>
          </w:p>
        </w:tc>
        <w:tc>
          <w:tcPr>
            <w:tcW w:type="dxa" w:w="461"/>
            <w:shd w:fill="FFC7CE" w:val="clear"/>
          </w:tcPr>
          <w:p>
            <w:r>
              <w:rPr>
                <w:b/>
                <w:color w:val="B40000"/>
                <w:sz w:val="16"/>
              </w:rPr>
              <w:t>132.906 Mds FCFA</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r>
      <w:tr>
        <w:tc>
          <w:tcPr>
            <w:tcW w:type="dxa" w:w="2551"/>
            <w:shd w:fill="EEF2F7" w:val="clear"/>
          </w:tcPr>
          <w:p>
            <w:r>
              <w:rPr>
                <w:b/>
                <w:sz w:val="15"/>
              </w:rPr>
              <w:t>Coeff. exploitation</w:t>
            </w:r>
          </w:p>
        </w:tc>
        <w:tc>
          <w:tcPr>
            <w:tcW w:type="dxa" w:w="461"/>
            <w:shd w:fill="FFFFFF" w:val="clear"/>
          </w:tcPr>
          <w:p>
            <w:r>
              <w:rPr>
                <w:b/>
                <w:color w:val="000000"/>
                <w:sz w:val="16"/>
              </w:rPr>
              <w:t>31.12%</w:t>
            </w:r>
          </w:p>
        </w:tc>
        <w:tc>
          <w:tcPr>
            <w:tcW w:type="dxa" w:w="461"/>
            <w:shd w:fill="FFFFFF" w:val="clear"/>
          </w:tcPr>
          <w:p>
            <w:r>
              <w:rPr>
                <w:b/>
                <w:color w:val="000000"/>
                <w:sz w:val="16"/>
              </w:rPr>
              <w:t>50.83%</w:t>
            </w:r>
          </w:p>
        </w:tc>
        <w:tc>
          <w:tcPr>
            <w:tcW w:type="dxa" w:w="461"/>
            <w:shd w:fill="FFFFFF" w:val="clear"/>
          </w:tcPr>
          <w:p>
            <w:r>
              <w:rPr>
                <w:b/>
                <w:color w:val="000000"/>
                <w:sz w:val="16"/>
              </w:rPr>
              <w:t>49.53%</w:t>
            </w:r>
          </w:p>
        </w:tc>
        <w:tc>
          <w:tcPr>
            <w:tcW w:type="dxa" w:w="461"/>
            <w:shd w:fill="FFFFFF" w:val="clear"/>
          </w:tcPr>
          <w:p>
            <w:r>
              <w:rPr>
                <w:b/>
                <w:color w:val="000000"/>
                <w:sz w:val="16"/>
              </w:rPr>
              <w:t>47.19%</w:t>
            </w:r>
          </w:p>
        </w:tc>
        <w:tc>
          <w:tcPr>
            <w:tcW w:type="dxa" w:w="461"/>
            <w:shd w:fill="FFFFFF" w:val="clear"/>
          </w:tcPr>
          <w:p>
            <w:r>
              <w:rPr>
                <w:b/>
                <w:color w:val="000000"/>
                <w:sz w:val="16"/>
              </w:rPr>
              <w:t>36.70%</w:t>
            </w:r>
          </w:p>
        </w:tc>
        <w:tc>
          <w:tcPr>
            <w:tcW w:type="dxa" w:w="461"/>
            <w:shd w:fill="FFFFFF" w:val="clear"/>
          </w:tcPr>
          <w:p>
            <w:r>
              <w:rPr>
                <w:b/>
                <w:color w:val="000000"/>
                <w:sz w:val="16"/>
              </w:rPr>
              <w:t>63.14%</w:t>
            </w:r>
          </w:p>
        </w:tc>
        <w:tc>
          <w:tcPr>
            <w:tcW w:type="dxa" w:w="461"/>
            <w:shd w:fill="FFFFFF" w:val="clear"/>
          </w:tcPr>
          <w:p>
            <w:r>
              <w:rPr>
                <w:b/>
                <w:color w:val="000000"/>
                <w:sz w:val="16"/>
              </w:rPr>
              <w:t>74.37%</w:t>
            </w:r>
          </w:p>
        </w:tc>
        <w:tc>
          <w:tcPr>
            <w:tcW w:type="dxa" w:w="461"/>
            <w:shd w:fill="FFFFFF" w:val="clear"/>
          </w:tcPr>
          <w:p>
            <w:r>
              <w:rPr>
                <w:b/>
                <w:color w:val="000000"/>
                <w:sz w:val="16"/>
              </w:rPr>
              <w:t>44.02%</w:t>
            </w:r>
          </w:p>
        </w:tc>
        <w:tc>
          <w:tcPr>
            <w:tcW w:type="dxa" w:w="461"/>
            <w:shd w:fill="FFFFFF" w:val="clear"/>
          </w:tcPr>
          <w:p>
            <w:r>
              <w:rPr>
                <w:b/>
                <w:color w:val="000000"/>
                <w:sz w:val="16"/>
              </w:rPr>
              <w:t>36.39%</w:t>
            </w:r>
          </w:p>
        </w:tc>
        <w:tc>
          <w:tcPr>
            <w:tcW w:type="dxa" w:w="461"/>
            <w:shd w:fill="FFFFFF" w:val="clear"/>
          </w:tcPr>
          <w:p>
            <w:r>
              <w:rPr>
                <w:b/>
                <w:color w:val="000000"/>
                <w:sz w:val="16"/>
              </w:rPr>
              <w:t>42.89%</w:t>
            </w:r>
          </w:p>
        </w:tc>
        <w:tc>
          <w:tcPr>
            <w:tcW w:type="dxa" w:w="461"/>
            <w:shd w:fill="C6EFCE" w:val="clear"/>
          </w:tcPr>
          <w:p>
            <w:r>
              <w:rPr>
                <w:b/>
                <w:color w:val="006400"/>
                <w:sz w:val="16"/>
              </w:rPr>
              <w:t>27.35%</w:t>
            </w:r>
          </w:p>
        </w:tc>
        <w:tc>
          <w:tcPr>
            <w:tcW w:type="dxa" w:w="461"/>
            <w:shd w:fill="FFFFFF" w:val="clear"/>
          </w:tcPr>
          <w:p>
            <w:r>
              <w:rPr>
                <w:b/>
                <w:color w:val="000000"/>
                <w:sz w:val="16"/>
              </w:rPr>
              <w:t>54.59%</w:t>
            </w:r>
          </w:p>
        </w:tc>
        <w:tc>
          <w:tcPr>
            <w:tcW w:type="dxa" w:w="461"/>
            <w:shd w:fill="FFFFFF" w:val="clear"/>
          </w:tcPr>
          <w:p>
            <w:r>
              <w:rPr>
                <w:b/>
                <w:color w:val="000000"/>
                <w:sz w:val="16"/>
              </w:rPr>
              <w:t>42.85%</w:t>
            </w:r>
          </w:p>
        </w:tc>
        <w:tc>
          <w:tcPr>
            <w:tcW w:type="dxa" w:w="461"/>
            <w:shd w:fill="FFC7CE" w:val="clear"/>
          </w:tcPr>
          <w:p>
            <w:r>
              <w:rPr>
                <w:b/>
                <w:color w:val="B40000"/>
                <w:sz w:val="16"/>
              </w:rPr>
              <w:t>77.63%</w:t>
            </w:r>
          </w:p>
        </w:tc>
        <w:tc>
          <w:tcPr>
            <w:tcW w:type="dxa" w:w="461"/>
            <w:shd w:fill="FFFFFF" w:val="clear"/>
          </w:tcPr>
          <w:p>
            <w:r>
              <w:rPr>
                <w:b/>
                <w:color w:val="000000"/>
                <w:sz w:val="16"/>
              </w:rPr>
              <w:t>38.75%</w:t>
            </w:r>
          </w:p>
        </w:tc>
        <w:tc>
          <w:tcPr>
            <w:tcW w:type="dxa" w:w="461"/>
            <w:shd w:fill="FFFFFF" w:val="clear"/>
          </w:tcPr>
          <w:p>
            <w:r>
              <w:rPr>
                <w:b/>
                <w:color w:val="000000"/>
                <w:sz w:val="16"/>
              </w:rPr>
              <w:t>38.59%</w:t>
            </w:r>
          </w:p>
        </w:tc>
      </w:tr>
      <w:tr>
        <w:tc>
          <w:tcPr>
            <w:tcW w:type="dxa" w:w="2551"/>
            <w:shd w:fill="EEF2F7" w:val="clear"/>
          </w:tcPr>
          <w:p>
            <w:r>
              <w:rPr>
                <w:b/>
                <w:sz w:val="15"/>
              </w:rPr>
              <w:t>Marge opérationnelle</w:t>
            </w:r>
          </w:p>
        </w:tc>
        <w:tc>
          <w:tcPr>
            <w:tcW w:type="dxa" w:w="461"/>
            <w:shd w:fill="C6EFCE" w:val="clear"/>
          </w:tcPr>
          <w:p>
            <w:r>
              <w:rPr>
                <w:b/>
                <w:color w:val="006400"/>
                <w:sz w:val="16"/>
              </w:rPr>
              <w:t>78.49%</w:t>
            </w:r>
          </w:p>
        </w:tc>
        <w:tc>
          <w:tcPr>
            <w:tcW w:type="dxa" w:w="461"/>
            <w:shd w:fill="FFFFFF" w:val="clear"/>
          </w:tcPr>
          <w:p>
            <w:r>
              <w:rPr>
                <w:b/>
                <w:color w:val="000000"/>
                <w:sz w:val="16"/>
              </w:rPr>
              <w:t>51.05%</w:t>
            </w:r>
          </w:p>
        </w:tc>
        <w:tc>
          <w:tcPr>
            <w:tcW w:type="dxa" w:w="461"/>
            <w:shd w:fill="FFFFFF" w:val="clear"/>
          </w:tcPr>
          <w:p>
            <w:r>
              <w:rPr>
                <w:b/>
                <w:color w:val="000000"/>
                <w:sz w:val="16"/>
              </w:rPr>
              <w:t>41.33%</w:t>
            </w:r>
          </w:p>
        </w:tc>
        <w:tc>
          <w:tcPr>
            <w:tcW w:type="dxa" w:w="461"/>
            <w:shd w:fill="FFFFFF" w:val="clear"/>
          </w:tcPr>
          <w:p>
            <w:r>
              <w:rPr>
                <w:b/>
                <w:color w:val="000000"/>
                <w:sz w:val="16"/>
              </w:rPr>
              <w:t>38.36%</w:t>
            </w:r>
          </w:p>
        </w:tc>
        <w:tc>
          <w:tcPr>
            <w:tcW w:type="dxa" w:w="461"/>
            <w:shd w:fill="FFFFFF" w:val="clear"/>
          </w:tcPr>
          <w:p>
            <w:r>
              <w:rPr>
                <w:b/>
                <w:color w:val="000000"/>
                <w:sz w:val="16"/>
              </w:rPr>
              <w:t>56.64%</w:t>
            </w:r>
          </w:p>
        </w:tc>
        <w:tc>
          <w:tcPr>
            <w:tcW w:type="dxa" w:w="461"/>
            <w:shd w:fill="FFFFFF" w:val="clear"/>
          </w:tcPr>
          <w:p>
            <w:r>
              <w:rPr>
                <w:b/>
                <w:color w:val="000000"/>
                <w:sz w:val="16"/>
              </w:rPr>
              <w:t>24.78%</w:t>
            </w:r>
          </w:p>
        </w:tc>
        <w:tc>
          <w:tcPr>
            <w:tcW w:type="dxa" w:w="461"/>
            <w:shd w:fill="FFC7CE" w:val="clear"/>
          </w:tcPr>
          <w:p>
            <w:r>
              <w:rPr>
                <w:b/>
                <w:color w:val="B40000"/>
                <w:sz w:val="16"/>
              </w:rPr>
              <w:t>5.31%</w:t>
            </w:r>
          </w:p>
        </w:tc>
        <w:tc>
          <w:tcPr>
            <w:tcW w:type="dxa" w:w="461"/>
            <w:shd w:fill="FFFFFF" w:val="clear"/>
          </w:tcPr>
          <w:p>
            <w:r>
              <w:rPr>
                <w:b/>
                <w:color w:val="000000"/>
                <w:sz w:val="16"/>
              </w:rPr>
              <w:t>47.61%</w:t>
            </w:r>
          </w:p>
        </w:tc>
        <w:tc>
          <w:tcPr>
            <w:tcW w:type="dxa" w:w="461"/>
            <w:shd w:fill="FFFFFF" w:val="clear"/>
          </w:tcPr>
          <w:p>
            <w:r>
              <w:rPr>
                <w:b/>
                <w:color w:val="000000"/>
                <w:sz w:val="16"/>
              </w:rPr>
              <w:t>51.77%</w:t>
            </w:r>
          </w:p>
        </w:tc>
        <w:tc>
          <w:tcPr>
            <w:tcW w:type="dxa" w:w="461"/>
            <w:shd w:fill="FFFFFF" w:val="clear"/>
          </w:tcPr>
          <w:p>
            <w:r>
              <w:rPr>
                <w:b/>
                <w:color w:val="000000"/>
                <w:sz w:val="16"/>
              </w:rPr>
              <w:t>55.75%</w:t>
            </w:r>
          </w:p>
        </w:tc>
        <w:tc>
          <w:tcPr>
            <w:tcW w:type="dxa" w:w="461"/>
            <w:shd w:fill="FFFFFF" w:val="clear"/>
          </w:tcPr>
          <w:p>
            <w:r>
              <w:rPr>
                <w:b/>
                <w:color w:val="000000"/>
                <w:sz w:val="16"/>
              </w:rPr>
              <w:t>32.69%</w:t>
            </w:r>
          </w:p>
        </w:tc>
        <w:tc>
          <w:tcPr>
            <w:tcW w:type="dxa" w:w="461"/>
            <w:shd w:fill="FFFFFF" w:val="clear"/>
          </w:tcPr>
          <w:p>
            <w:r>
              <w:rPr>
                <w:b/>
                <w:color w:val="000000"/>
                <w:sz w:val="16"/>
              </w:rPr>
              <w:t>37.87%</w:t>
            </w:r>
          </w:p>
        </w:tc>
        <w:tc>
          <w:tcPr>
            <w:tcW w:type="dxa" w:w="461"/>
            <w:shd w:fill="FFFFFF" w:val="clear"/>
          </w:tcPr>
          <w:p>
            <w:r>
              <w:rPr>
                <w:b/>
                <w:color w:val="000000"/>
                <w:sz w:val="16"/>
              </w:rPr>
              <w:t>15.63%</w:t>
            </w:r>
          </w:p>
        </w:tc>
        <w:tc>
          <w:tcPr>
            <w:tcW w:type="dxa" w:w="461"/>
            <w:shd w:fill="FFFFFF" w:val="clear"/>
          </w:tcPr>
          <w:p>
            <w:r>
              <w:rPr>
                <w:b/>
                <w:color w:val="000000"/>
                <w:sz w:val="16"/>
              </w:rPr>
              <w:t>15.80%</w:t>
            </w:r>
          </w:p>
        </w:tc>
        <w:tc>
          <w:tcPr>
            <w:tcW w:type="dxa" w:w="461"/>
            <w:shd w:fill="FFFFFF" w:val="clear"/>
          </w:tcPr>
          <w:p>
            <w:r>
              <w:rPr>
                <w:b/>
                <w:color w:val="000000"/>
                <w:sz w:val="16"/>
              </w:rPr>
              <w:t>44.28%</w:t>
            </w:r>
          </w:p>
        </w:tc>
        <w:tc>
          <w:tcPr>
            <w:tcW w:type="dxa" w:w="461"/>
            <w:shd w:fill="FFFFFF" w:val="clear"/>
          </w:tcPr>
          <w:p>
            <w:r>
              <w:rPr>
                <w:b/>
                <w:color w:val="000000"/>
                <w:sz w:val="16"/>
              </w:rPr>
              <w:t>58.06%</w:t>
            </w:r>
          </w:p>
        </w:tc>
      </w:tr>
    </w:tbl>
    <w:p/>
    <w:p>
      <w:pPr>
        <w:pStyle w:val="Heading3"/>
      </w:pPr>
      <w:r>
        <w:t>🔍 Analyse détaillée par société</w:t>
      </w:r>
    </w:p>
    <w:p>
      <w:pPr>
        <w:spacing w:before="160"/>
      </w:pPr>
      <w:r>
        <w:rPr>
          <w:b/>
          <w:color w:val="003366"/>
          <w:sz w:val="20"/>
        </w:rPr>
        <w:t xml:space="preserve">▶ BICB — BIIC BN - Banque internationale pour le commerce du benin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26.82%</w:t>
            </w:r>
          </w:p>
        </w:tc>
        <w:tc>
          <w:tcPr>
            <w:tcW w:type="dxa" w:w="5669"/>
            <w:shd w:fill="FFFFFF" w:val="clear"/>
          </w:tcPr>
          <w:p>
            <w:r>
              <w:rPr>
                <w:sz w:val="15"/>
              </w:rPr>
              <w:t>✅ ROE de 26.8%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1.96%</w:t>
            </w:r>
          </w:p>
        </w:tc>
        <w:tc>
          <w:tcPr>
            <w:tcW w:type="dxa" w:w="5669"/>
            <w:shd w:fill="FFFFFF" w:val="clear"/>
          </w:tcPr>
          <w:p>
            <w:r>
              <w:rPr>
                <w:sz w:val="15"/>
              </w:rPr>
              <w:t>✅ ROA de 1.96%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68.62%</w:t>
            </w:r>
          </w:p>
        </w:tc>
        <w:tc>
          <w:tcPr>
            <w:tcW w:type="dxa" w:w="5669"/>
            <w:shd w:fill="FFFFFF" w:val="clear"/>
          </w:tcPr>
          <w:p>
            <w:r>
              <w:rPr>
                <w:sz w:val="15"/>
              </w:rPr>
              <w:t>✅ Marge nette de 68.6%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36.237 Mds FCFA</w:t>
            </w:r>
          </w:p>
        </w:tc>
        <w:tc>
          <w:tcPr>
            <w:tcW w:type="dxa" w:w="5669"/>
            <w:shd w:fill="FFFFFF" w:val="clear"/>
          </w:tcPr>
          <w:p>
            <w:r>
              <w:rPr>
                <w:sz w:val="15"/>
              </w:rPr>
              <w:t>✅ Résultat net positif de 36.237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16.49%</w:t>
            </w:r>
          </w:p>
        </w:tc>
        <w:tc>
          <w:tcPr>
            <w:tcW w:type="dxa" w:w="5669"/>
            <w:shd w:fill="FFFFFF" w:val="clear"/>
          </w:tcPr>
          <w:p>
            <w:r>
              <w:rPr>
                <w:sz w:val="15"/>
              </w:rPr>
              <w:t>✅ Croissance de 16.5%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7.33%</w:t>
            </w:r>
          </w:p>
        </w:tc>
        <w:tc>
          <w:tcPr>
            <w:tcW w:type="dxa" w:w="5669"/>
            <w:shd w:fill="FFFFFF" w:val="clear"/>
          </w:tcPr>
          <w:p>
            <w:r>
              <w:rPr>
                <w:sz w:val="15"/>
              </w:rPr>
              <w:t>❌ Autonomie très faible (7.3%)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22.46%</w:t>
            </w:r>
          </w:p>
        </w:tc>
        <w:tc>
          <w:tcPr>
            <w:tcW w:type="dxa" w:w="5669"/>
            <w:shd w:fill="FFFFFF" w:val="clear"/>
          </w:tcPr>
          <w:p>
            <w:r>
              <w:rPr>
                <w:sz w:val="15"/>
              </w:rPr>
              <w:t>✅ Gearing de 22%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107.90%</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5646.45%</w:t>
            </w:r>
          </w:p>
        </w:tc>
        <w:tc>
          <w:tcPr>
            <w:tcW w:type="dxa" w:w="5669"/>
            <w:shd w:fill="FFFFFF" w:val="clear"/>
          </w:tcPr>
          <w:p>
            <w:r>
              <w:rPr>
                <w:sz w:val="15"/>
              </w:rPr>
              <w:t>✅ Liquidité générale de 5646x — actif circulant deux fois supérieur aux dettes CT. Trésorerie très confortable.</w:t>
            </w:r>
          </w:p>
        </w:tc>
      </w:tr>
      <w:tr>
        <w:tc>
          <w:tcPr>
            <w:tcW w:type="dxa" w:w="2268"/>
            <w:shd w:fill="EEF2F7" w:val="clear"/>
          </w:tcPr>
          <w:p>
            <w:r>
              <w:rPr>
                <w:b/>
                <w:sz w:val="15"/>
              </w:rPr>
              <w:t>Coeff. exploitation</w:t>
            </w:r>
          </w:p>
        </w:tc>
        <w:tc>
          <w:tcPr>
            <w:tcW w:type="dxa" w:w="1984"/>
            <w:shd w:fill="C6EFCE" w:val="clear"/>
          </w:tcPr>
          <w:p>
            <w:r>
              <w:rPr>
                <w:b/>
                <w:color w:val="007800"/>
                <w:sz w:val="17"/>
              </w:rPr>
              <w:t>31.12%</w:t>
            </w:r>
          </w:p>
        </w:tc>
        <w:tc>
          <w:tcPr>
            <w:tcW w:type="dxa" w:w="5669"/>
            <w:shd w:fill="FFFFFF" w:val="clear"/>
          </w:tcPr>
          <w:p>
            <w:r>
              <w:rPr>
                <w:sz w:val="15"/>
              </w:rPr>
              <w:t>✅ Coeff. d'exploitation de 31.1%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78.49%</w:t>
            </w:r>
          </w:p>
        </w:tc>
        <w:tc>
          <w:tcPr>
            <w:tcW w:type="dxa" w:w="5669"/>
            <w:shd w:fill="FFFFFF" w:val="clear"/>
          </w:tcPr>
          <w:p>
            <w:r>
              <w:rPr>
                <w:sz w:val="15"/>
              </w:rPr>
              <w:t>✅ Marge opérationnelle de 78.5% — excellente efficacité de l'exploitation principale.</w:t>
            </w:r>
          </w:p>
        </w:tc>
      </w:tr>
    </w:tbl>
    <w:p/>
    <w:p>
      <w:pPr>
        <w:spacing w:before="160"/>
      </w:pPr>
      <w:r>
        <w:rPr>
          <w:b/>
          <w:color w:val="003366"/>
          <w:sz w:val="20"/>
        </w:rPr>
        <w:t xml:space="preserve">▶ BICC — BICI CI - Banque internationale pour le commerce et l'industrie de la Côte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30.29%</w:t>
            </w:r>
          </w:p>
        </w:tc>
        <w:tc>
          <w:tcPr>
            <w:tcW w:type="dxa" w:w="5669"/>
            <w:shd w:fill="FFFFFF" w:val="clear"/>
          </w:tcPr>
          <w:p>
            <w:r>
              <w:rPr>
                <w:sz w:val="15"/>
              </w:rPr>
              <w:t>✅ ROE de 30.3%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3.24%</w:t>
            </w:r>
          </w:p>
        </w:tc>
        <w:tc>
          <w:tcPr>
            <w:tcW w:type="dxa" w:w="5669"/>
            <w:shd w:fill="FFFFFF" w:val="clear"/>
          </w:tcPr>
          <w:p>
            <w:r>
              <w:rPr>
                <w:sz w:val="15"/>
              </w:rPr>
              <w:t>✅ ROA de 3.24%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45.90%</w:t>
            </w:r>
          </w:p>
        </w:tc>
        <w:tc>
          <w:tcPr>
            <w:tcW w:type="dxa" w:w="5669"/>
            <w:shd w:fill="FFFFFF" w:val="clear"/>
          </w:tcPr>
          <w:p>
            <w:r>
              <w:rPr>
                <w:sz w:val="15"/>
              </w:rPr>
              <w:t>✅ Marge nette de 45.9%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36.520 Mds FCFA</w:t>
            </w:r>
          </w:p>
        </w:tc>
        <w:tc>
          <w:tcPr>
            <w:tcW w:type="dxa" w:w="5669"/>
            <w:shd w:fill="FFFFFF" w:val="clear"/>
          </w:tcPr>
          <w:p>
            <w:r>
              <w:rPr>
                <w:sz w:val="15"/>
              </w:rPr>
              <w:t>✅ Résultat net positif de 36.520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16.90%</w:t>
            </w:r>
          </w:p>
        </w:tc>
        <w:tc>
          <w:tcPr>
            <w:tcW w:type="dxa" w:w="5669"/>
            <w:shd w:fill="FFFFFF" w:val="clear"/>
          </w:tcPr>
          <w:p>
            <w:r>
              <w:rPr>
                <w:sz w:val="15"/>
              </w:rPr>
              <w:t>✅ Croissance de 16.9%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EB9C" w:val="clear"/>
          </w:tcPr>
          <w:p>
            <w:r>
              <w:rPr>
                <w:b/>
                <w:color w:val="007800"/>
                <w:sz w:val="17"/>
              </w:rPr>
              <w:t>10.71%</w:t>
            </w:r>
          </w:p>
        </w:tc>
        <w:tc>
          <w:tcPr>
            <w:tcW w:type="dxa" w:w="5669"/>
            <w:shd w:fill="FFFFFF" w:val="clear"/>
          </w:tcPr>
          <w:p>
            <w:r>
              <w:rPr>
                <w:sz w:val="15"/>
              </w:rPr>
              <w:t>⚠️ Autonomie limitée (10.7%)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14.05%</w:t>
            </w:r>
          </w:p>
        </w:tc>
        <w:tc>
          <w:tcPr>
            <w:tcW w:type="dxa" w:w="5669"/>
            <w:shd w:fill="FFFFFF" w:val="clear"/>
          </w:tcPr>
          <w:p>
            <w:r>
              <w:rPr>
                <w:sz w:val="15"/>
              </w:rPr>
              <w:t>✅ Gearing de 14%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111.99%</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50.83%</w:t>
            </w:r>
          </w:p>
        </w:tc>
        <w:tc>
          <w:tcPr>
            <w:tcW w:type="dxa" w:w="5669"/>
            <w:shd w:fill="FFFFFF" w:val="clear"/>
          </w:tcPr>
          <w:p>
            <w:r>
              <w:rPr>
                <w:sz w:val="15"/>
              </w:rPr>
              <w:t>✅ Coeff. d'exploitation de 50.8%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51.05%</w:t>
            </w:r>
          </w:p>
        </w:tc>
        <w:tc>
          <w:tcPr>
            <w:tcW w:type="dxa" w:w="5669"/>
            <w:shd w:fill="FFFFFF" w:val="clear"/>
          </w:tcPr>
          <w:p>
            <w:r>
              <w:rPr>
                <w:sz w:val="15"/>
              </w:rPr>
              <w:t>✅ Marge opérationnelle de 51.1% — excellente efficacité de l'exploitation principale.</w:t>
            </w:r>
          </w:p>
        </w:tc>
      </w:tr>
    </w:tbl>
    <w:p/>
    <w:p>
      <w:pPr>
        <w:spacing w:before="160"/>
      </w:pPr>
      <w:r>
        <w:rPr>
          <w:b/>
          <w:color w:val="003366"/>
          <w:sz w:val="20"/>
        </w:rPr>
        <w:t xml:space="preserve">▶ BOAB — BANK OF AFRICA BENIN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17.11%</w:t>
            </w:r>
          </w:p>
        </w:tc>
        <w:tc>
          <w:tcPr>
            <w:tcW w:type="dxa" w:w="5669"/>
            <w:shd w:fill="FFFFFF" w:val="clear"/>
          </w:tcPr>
          <w:p>
            <w:r>
              <w:rPr>
                <w:sz w:val="15"/>
              </w:rPr>
              <w:t>✅ ROE de 17.1%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2.08%</w:t>
            </w:r>
          </w:p>
        </w:tc>
        <w:tc>
          <w:tcPr>
            <w:tcW w:type="dxa" w:w="5669"/>
            <w:shd w:fill="FFFFFF" w:val="clear"/>
          </w:tcPr>
          <w:p>
            <w:r>
              <w:rPr>
                <w:sz w:val="15"/>
              </w:rPr>
              <w:t>✅ ROA de 2.08%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39.22%</w:t>
            </w:r>
          </w:p>
        </w:tc>
        <w:tc>
          <w:tcPr>
            <w:tcW w:type="dxa" w:w="5669"/>
            <w:shd w:fill="FFFFFF" w:val="clear"/>
          </w:tcPr>
          <w:p>
            <w:r>
              <w:rPr>
                <w:sz w:val="15"/>
              </w:rPr>
              <w:t>✅ Marge nette de 39.2%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20.107 Mds FCFA</w:t>
            </w:r>
          </w:p>
        </w:tc>
        <w:tc>
          <w:tcPr>
            <w:tcW w:type="dxa" w:w="5669"/>
            <w:shd w:fill="FFFFFF" w:val="clear"/>
          </w:tcPr>
          <w:p>
            <w:r>
              <w:rPr>
                <w:sz w:val="15"/>
              </w:rPr>
              <w:t>✅ Résultat net positif de 20.107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10.20%</w:t>
            </w:r>
          </w:p>
        </w:tc>
        <w:tc>
          <w:tcPr>
            <w:tcW w:type="dxa" w:w="5669"/>
            <w:shd w:fill="FFFFFF" w:val="clear"/>
          </w:tcPr>
          <w:p>
            <w:r>
              <w:rPr>
                <w:sz w:val="15"/>
              </w:rPr>
              <w:t>✅ Croissance de 10.2%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12.18%</w:t>
            </w:r>
          </w:p>
        </w:tc>
        <w:tc>
          <w:tcPr>
            <w:tcW w:type="dxa" w:w="5669"/>
            <w:shd w:fill="FFFFFF" w:val="clear"/>
          </w:tcPr>
          <w:p>
            <w:r>
              <w:rPr>
                <w:sz w:val="15"/>
              </w:rPr>
              <w:t>⚠️ Autonomie limitée (12.2%)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98.77%</w:t>
            </w:r>
          </w:p>
        </w:tc>
        <w:tc>
          <w:tcPr>
            <w:tcW w:type="dxa" w:w="5669"/>
            <w:shd w:fill="FFFFFF" w:val="clear"/>
          </w:tcPr>
          <w:p>
            <w:r>
              <w:rPr>
                <w:sz w:val="15"/>
              </w:rPr>
              <w:t>✅ Gearing de 99%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113.87%</w:t>
            </w:r>
          </w:p>
        </w:tc>
        <w:tc>
          <w:tcPr>
            <w:tcW w:type="dxa" w:w="5669"/>
            <w:shd w:fill="FFFFFF" w:val="clear"/>
          </w:tcPr>
          <w:p>
            <w:r>
              <w:rPr>
                <w:sz w:val="15"/>
              </w:rPr>
              <w:t>⚠️ Solvabilité limite (114%)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49.53%</w:t>
            </w:r>
          </w:p>
        </w:tc>
        <w:tc>
          <w:tcPr>
            <w:tcW w:type="dxa" w:w="5669"/>
            <w:shd w:fill="FFFFFF" w:val="clear"/>
          </w:tcPr>
          <w:p>
            <w:r>
              <w:rPr>
                <w:sz w:val="15"/>
              </w:rPr>
              <w:t>✅ Coeff. d'exploitation de 49.5%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41.33%</w:t>
            </w:r>
          </w:p>
        </w:tc>
        <w:tc>
          <w:tcPr>
            <w:tcW w:type="dxa" w:w="5669"/>
            <w:shd w:fill="FFFFFF" w:val="clear"/>
          </w:tcPr>
          <w:p>
            <w:r>
              <w:rPr>
                <w:sz w:val="15"/>
              </w:rPr>
              <w:t>✅ Marge opérationnelle de 41.3% — excellente efficacité de l'exploitation principale.</w:t>
            </w:r>
          </w:p>
        </w:tc>
      </w:tr>
    </w:tbl>
    <w:p/>
    <w:p>
      <w:pPr>
        <w:spacing w:before="160"/>
      </w:pPr>
      <w:r>
        <w:rPr>
          <w:b/>
          <w:color w:val="003366"/>
          <w:sz w:val="20"/>
        </w:rPr>
        <w:t xml:space="preserve">▶ BOABF — BANK OF AFRICA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15.22%</w:t>
            </w:r>
          </w:p>
        </w:tc>
        <w:tc>
          <w:tcPr>
            <w:tcW w:type="dxa" w:w="5669"/>
            <w:shd w:fill="FFFFFF" w:val="clear"/>
          </w:tcPr>
          <w:p>
            <w:r>
              <w:rPr>
                <w:sz w:val="15"/>
              </w:rPr>
              <w:t>✅ ROE de 15.2%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1.68%</w:t>
            </w:r>
          </w:p>
        </w:tc>
        <w:tc>
          <w:tcPr>
            <w:tcW w:type="dxa" w:w="5669"/>
            <w:shd w:fill="FFFFFF" w:val="clear"/>
          </w:tcPr>
          <w:p>
            <w:r>
              <w:rPr>
                <w:sz w:val="15"/>
              </w:rPr>
              <w:t>✅ ROA de 1.68%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33.30%</w:t>
            </w:r>
          </w:p>
        </w:tc>
        <w:tc>
          <w:tcPr>
            <w:tcW w:type="dxa" w:w="5669"/>
            <w:shd w:fill="FFFFFF" w:val="clear"/>
          </w:tcPr>
          <w:p>
            <w:r>
              <w:rPr>
                <w:sz w:val="15"/>
              </w:rPr>
              <w:t>✅ Marge nette de 33.3%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19.252 Mds FCFA</w:t>
            </w:r>
          </w:p>
        </w:tc>
        <w:tc>
          <w:tcPr>
            <w:tcW w:type="dxa" w:w="5669"/>
            <w:shd w:fill="FFFFFF" w:val="clear"/>
          </w:tcPr>
          <w:p>
            <w:r>
              <w:rPr>
                <w:sz w:val="15"/>
              </w:rPr>
              <w:t>✅ Résultat net positif de 19.252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0.57%</w:t>
            </w:r>
          </w:p>
        </w:tc>
        <w:tc>
          <w:tcPr>
            <w:tcW w:type="dxa" w:w="5669"/>
            <w:shd w:fill="FFFFFF" w:val="clear"/>
          </w:tcPr>
          <w:p>
            <w:r>
              <w:rPr>
                <w:sz w:val="15"/>
              </w:rPr>
              <w:t>⚠️ Croissance faible (0.6%)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11.01%</w:t>
            </w:r>
          </w:p>
        </w:tc>
        <w:tc>
          <w:tcPr>
            <w:tcW w:type="dxa" w:w="5669"/>
            <w:shd w:fill="FFFFFF" w:val="clear"/>
          </w:tcPr>
          <w:p>
            <w:r>
              <w:rPr>
                <w:sz w:val="15"/>
              </w:rPr>
              <w:t>⚠️ Autonomie limitée (11.0%)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96.61%</w:t>
            </w:r>
          </w:p>
        </w:tc>
        <w:tc>
          <w:tcPr>
            <w:tcW w:type="dxa" w:w="5669"/>
            <w:shd w:fill="FFFFFF" w:val="clear"/>
          </w:tcPr>
          <w:p>
            <w:r>
              <w:rPr>
                <w:sz w:val="15"/>
              </w:rPr>
              <w:t>✅ Gearing de 97%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112.38%</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47.19%</w:t>
            </w:r>
          </w:p>
        </w:tc>
        <w:tc>
          <w:tcPr>
            <w:tcW w:type="dxa" w:w="5669"/>
            <w:shd w:fill="FFFFFF" w:val="clear"/>
          </w:tcPr>
          <w:p>
            <w:r>
              <w:rPr>
                <w:sz w:val="15"/>
              </w:rPr>
              <w:t>✅ Coeff. d'exploitation de 47.2%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38.36%</w:t>
            </w:r>
          </w:p>
        </w:tc>
        <w:tc>
          <w:tcPr>
            <w:tcW w:type="dxa" w:w="5669"/>
            <w:shd w:fill="FFFFFF" w:val="clear"/>
          </w:tcPr>
          <w:p>
            <w:r>
              <w:rPr>
                <w:sz w:val="15"/>
              </w:rPr>
              <w:t>✅ Marge opérationnelle de 38.4% — excellente efficacité de l'exploitation principale.</w:t>
            </w:r>
          </w:p>
        </w:tc>
      </w:tr>
    </w:tbl>
    <w:p/>
    <w:p>
      <w:pPr>
        <w:spacing w:before="160"/>
      </w:pPr>
      <w:r>
        <w:rPr>
          <w:b/>
          <w:color w:val="003366"/>
          <w:sz w:val="20"/>
        </w:rPr>
        <w:t xml:space="preserve">▶ BOAC — BANK OF AFRICA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27.91%</w:t>
            </w:r>
          </w:p>
        </w:tc>
        <w:tc>
          <w:tcPr>
            <w:tcW w:type="dxa" w:w="5669"/>
            <w:shd w:fill="FFFFFF" w:val="clear"/>
          </w:tcPr>
          <w:p>
            <w:r>
              <w:rPr>
                <w:sz w:val="15"/>
              </w:rPr>
              <w:t>✅ ROE de 27.9%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3.22%</w:t>
            </w:r>
          </w:p>
        </w:tc>
        <w:tc>
          <w:tcPr>
            <w:tcW w:type="dxa" w:w="5669"/>
            <w:shd w:fill="FFFFFF" w:val="clear"/>
          </w:tcPr>
          <w:p>
            <w:r>
              <w:rPr>
                <w:sz w:val="15"/>
              </w:rPr>
              <w:t>✅ ROA de 3.22%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48.32%</w:t>
            </w:r>
          </w:p>
        </w:tc>
        <w:tc>
          <w:tcPr>
            <w:tcW w:type="dxa" w:w="5669"/>
            <w:shd w:fill="FFFFFF" w:val="clear"/>
          </w:tcPr>
          <w:p>
            <w:r>
              <w:rPr>
                <w:sz w:val="15"/>
              </w:rPr>
              <w:t>✅ Marge nette de 48.3%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35.540 Mds FCFA</w:t>
            </w:r>
          </w:p>
        </w:tc>
        <w:tc>
          <w:tcPr>
            <w:tcW w:type="dxa" w:w="5669"/>
            <w:shd w:fill="FFFFFF" w:val="clear"/>
          </w:tcPr>
          <w:p>
            <w:r>
              <w:rPr>
                <w:sz w:val="15"/>
              </w:rPr>
              <w:t>✅ Résultat net positif de 35.540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1.13%</w:t>
            </w:r>
          </w:p>
        </w:tc>
        <w:tc>
          <w:tcPr>
            <w:tcW w:type="dxa" w:w="5669"/>
            <w:shd w:fill="FFFFFF" w:val="clear"/>
          </w:tcPr>
          <w:p>
            <w:r>
              <w:rPr>
                <w:sz w:val="15"/>
              </w:rPr>
              <w:t>⚠️ Croissance faible (1.1%)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11.54%</w:t>
            </w:r>
          </w:p>
        </w:tc>
        <w:tc>
          <w:tcPr>
            <w:tcW w:type="dxa" w:w="5669"/>
            <w:shd w:fill="FFFFFF" w:val="clear"/>
          </w:tcPr>
          <w:p>
            <w:r>
              <w:rPr>
                <w:sz w:val="15"/>
              </w:rPr>
              <w:t>⚠️ Autonomie limitée (11.5%) — dépendance significative aux financeurs externes. Risque accru en cas de resserrement du crédit.</w:t>
            </w:r>
          </w:p>
        </w:tc>
      </w:tr>
      <w:tr>
        <w:tc>
          <w:tcPr>
            <w:tcW w:type="dxa" w:w="2268"/>
            <w:shd w:fill="EEF2F7" w:val="clear"/>
          </w:tcPr>
          <w:p>
            <w:r>
              <w:rPr>
                <w:b/>
                <w:sz w:val="15"/>
              </w:rPr>
              <w:t>Solvabilité générale</w:t>
            </w:r>
          </w:p>
        </w:tc>
        <w:tc>
          <w:tcPr>
            <w:tcW w:type="dxa" w:w="1984"/>
            <w:shd w:fill="FFEB9C" w:val="clear"/>
          </w:tcPr>
          <w:p>
            <w:r>
              <w:rPr>
                <w:b/>
                <w:color w:val="007800"/>
                <w:sz w:val="17"/>
              </w:rPr>
              <w:t>113.05%</w:t>
            </w:r>
          </w:p>
        </w:tc>
        <w:tc>
          <w:tcPr>
            <w:tcW w:type="dxa" w:w="5669"/>
            <w:shd w:fill="FFFFFF" w:val="clear"/>
          </w:tcPr>
          <w:p>
            <w:r>
              <w:rPr>
                <w:sz w:val="15"/>
              </w:rPr>
              <w:t>⚠️ Solvabilité limite (113%)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3684.07%</w:t>
            </w:r>
          </w:p>
        </w:tc>
        <w:tc>
          <w:tcPr>
            <w:tcW w:type="dxa" w:w="5669"/>
            <w:shd w:fill="FFFFFF" w:val="clear"/>
          </w:tcPr>
          <w:p>
            <w:r>
              <w:rPr>
                <w:sz w:val="15"/>
              </w:rPr>
              <w:t>✅ Liquidité générale de 3684x — actif circulant deux fois supérieur aux dettes CT. Trésorerie très confortable.</w:t>
            </w:r>
          </w:p>
        </w:tc>
      </w:tr>
      <w:tr>
        <w:tc>
          <w:tcPr>
            <w:tcW w:type="dxa" w:w="2268"/>
            <w:shd w:fill="EEF2F7" w:val="clear"/>
          </w:tcPr>
          <w:p>
            <w:r>
              <w:rPr>
                <w:b/>
                <w:sz w:val="15"/>
              </w:rPr>
              <w:t>Coeff. exploitation</w:t>
            </w:r>
          </w:p>
        </w:tc>
        <w:tc>
          <w:tcPr>
            <w:tcW w:type="dxa" w:w="1984"/>
            <w:shd w:fill="C6EFCE" w:val="clear"/>
          </w:tcPr>
          <w:p>
            <w:r>
              <w:rPr>
                <w:b/>
                <w:color w:val="007800"/>
                <w:sz w:val="17"/>
              </w:rPr>
              <w:t>36.70%</w:t>
            </w:r>
          </w:p>
        </w:tc>
        <w:tc>
          <w:tcPr>
            <w:tcW w:type="dxa" w:w="5669"/>
            <w:shd w:fill="FFFFFF" w:val="clear"/>
          </w:tcPr>
          <w:p>
            <w:r>
              <w:rPr>
                <w:sz w:val="15"/>
              </w:rPr>
              <w:t>✅ Coeff. d'exploitation de 36.7%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56.64%</w:t>
            </w:r>
          </w:p>
        </w:tc>
        <w:tc>
          <w:tcPr>
            <w:tcW w:type="dxa" w:w="5669"/>
            <w:shd w:fill="FFFFFF" w:val="clear"/>
          </w:tcPr>
          <w:p>
            <w:r>
              <w:rPr>
                <w:sz w:val="15"/>
              </w:rPr>
              <w:t>✅ Marge opérationnelle de 56.6% — excellente efficacité de l'exploitation principale.</w:t>
            </w:r>
          </w:p>
        </w:tc>
      </w:tr>
    </w:tbl>
    <w:p/>
    <w:p>
      <w:pPr>
        <w:spacing w:before="160"/>
      </w:pPr>
      <w:r>
        <w:rPr>
          <w:b/>
          <w:color w:val="003366"/>
          <w:sz w:val="20"/>
        </w:rPr>
        <w:t xml:space="preserve">▶ BOAM — BANK OF AFRICA MALI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22.24%</w:t>
            </w:r>
          </w:p>
        </w:tc>
        <w:tc>
          <w:tcPr>
            <w:tcW w:type="dxa" w:w="5669"/>
            <w:shd w:fill="FFFFFF" w:val="clear"/>
          </w:tcPr>
          <w:p>
            <w:r>
              <w:rPr>
                <w:sz w:val="15"/>
              </w:rPr>
              <w:t>✅ ROE de 22.2%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1.87%</w:t>
            </w:r>
          </w:p>
        </w:tc>
        <w:tc>
          <w:tcPr>
            <w:tcW w:type="dxa" w:w="5669"/>
            <w:shd w:fill="FFFFFF" w:val="clear"/>
          </w:tcPr>
          <w:p>
            <w:r>
              <w:rPr>
                <w:sz w:val="15"/>
              </w:rPr>
              <w:t>✅ ROA de 1.87%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29.16%</w:t>
            </w:r>
          </w:p>
        </w:tc>
        <w:tc>
          <w:tcPr>
            <w:tcW w:type="dxa" w:w="5669"/>
            <w:shd w:fill="FFFFFF" w:val="clear"/>
          </w:tcPr>
          <w:p>
            <w:r>
              <w:rPr>
                <w:sz w:val="15"/>
              </w:rPr>
              <w:t>✅ Marge nette de 29.2%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11.081 Mds FCFA</w:t>
            </w:r>
          </w:p>
        </w:tc>
        <w:tc>
          <w:tcPr>
            <w:tcW w:type="dxa" w:w="5669"/>
            <w:shd w:fill="FFFFFF" w:val="clear"/>
          </w:tcPr>
          <w:p>
            <w:r>
              <w:rPr>
                <w:sz w:val="15"/>
              </w:rPr>
              <w:t>✅ Résultat net positif de 11.081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5.08%</w:t>
            </w:r>
          </w:p>
        </w:tc>
        <w:tc>
          <w:tcPr>
            <w:tcW w:type="dxa" w:w="5669"/>
            <w:shd w:fill="FFFFFF" w:val="clear"/>
          </w:tcPr>
          <w:p>
            <w:r>
              <w:rPr>
                <w:sz w:val="15"/>
              </w:rPr>
              <w:t>✅ Croissance de 5.1%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8.39%</w:t>
            </w:r>
          </w:p>
        </w:tc>
        <w:tc>
          <w:tcPr>
            <w:tcW w:type="dxa" w:w="5669"/>
            <w:shd w:fill="FFFFFF" w:val="clear"/>
          </w:tcPr>
          <w:p>
            <w:r>
              <w:rPr>
                <w:sz w:val="15"/>
              </w:rPr>
              <w:t>❌ Autonomie très faible (8.4%)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55.33%</w:t>
            </w:r>
          </w:p>
        </w:tc>
        <w:tc>
          <w:tcPr>
            <w:tcW w:type="dxa" w:w="5669"/>
            <w:shd w:fill="FFFFFF" w:val="clear"/>
          </w:tcPr>
          <w:p>
            <w:r>
              <w:rPr>
                <w:sz w:val="15"/>
              </w:rPr>
              <w:t>✅ Gearing de 55%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109.16%</w:t>
            </w:r>
          </w:p>
        </w:tc>
        <w:tc>
          <w:tcPr>
            <w:tcW w:type="dxa" w:w="5669"/>
            <w:shd w:fill="FFFFFF" w:val="clear"/>
          </w:tcPr>
          <w:p>
            <w:r>
              <w:rPr>
                <w:sz w:val="15"/>
              </w:rPr>
              <w:t>⚠️ Solvabilité limite (109%) — marge de sécurité faible pour les créanciers.</w:t>
            </w:r>
          </w:p>
        </w:tc>
      </w:tr>
      <w:tr>
        <w:tc>
          <w:tcPr>
            <w:tcW w:type="dxa" w:w="2268"/>
            <w:shd w:fill="EEF2F7" w:val="clear"/>
          </w:tcPr>
          <w:p>
            <w:r>
              <w:rPr>
                <w:b/>
                <w:sz w:val="15"/>
              </w:rPr>
              <w:t>Coeff. exploitation</w:t>
            </w:r>
          </w:p>
        </w:tc>
        <w:tc>
          <w:tcPr>
            <w:tcW w:type="dxa" w:w="1984"/>
            <w:shd w:fill="FFEB9C" w:val="clear"/>
          </w:tcPr>
          <w:p>
            <w:r>
              <w:rPr>
                <w:b/>
                <w:color w:val="007800"/>
                <w:sz w:val="17"/>
              </w:rPr>
              <w:t>63.14%</w:t>
            </w:r>
          </w:p>
        </w:tc>
        <w:tc>
          <w:tcPr>
            <w:tcW w:type="dxa" w:w="5669"/>
            <w:shd w:fill="FFFFFF" w:val="clear"/>
          </w:tcPr>
          <w:p>
            <w:r>
              <w:rPr>
                <w:sz w:val="15"/>
              </w:rPr>
              <w:t>⚠️ Coeff. d'exploitation de 63.1% — charges absorbant trop du PNB. Marge de progression nécessaire.</w:t>
            </w:r>
          </w:p>
        </w:tc>
      </w:tr>
      <w:tr>
        <w:tc>
          <w:tcPr>
            <w:tcW w:type="dxa" w:w="2268"/>
            <w:shd w:fill="EEF2F7" w:val="clear"/>
          </w:tcPr>
          <w:p>
            <w:r>
              <w:rPr>
                <w:b/>
                <w:sz w:val="15"/>
              </w:rPr>
              <w:t>Marge opérationnelle</w:t>
            </w:r>
          </w:p>
        </w:tc>
        <w:tc>
          <w:tcPr>
            <w:tcW w:type="dxa" w:w="1984"/>
            <w:shd w:fill="C6EFCE" w:val="clear"/>
          </w:tcPr>
          <w:p>
            <w:r>
              <w:rPr>
                <w:b/>
                <w:color w:val="007800"/>
                <w:sz w:val="17"/>
              </w:rPr>
              <w:t>24.78%</w:t>
            </w:r>
          </w:p>
        </w:tc>
        <w:tc>
          <w:tcPr>
            <w:tcW w:type="dxa" w:w="5669"/>
            <w:shd w:fill="FFFFFF" w:val="clear"/>
          </w:tcPr>
          <w:p>
            <w:r>
              <w:rPr>
                <w:sz w:val="15"/>
              </w:rPr>
              <w:t>✅ Marge opérationnelle de 24.8% — excellente efficacité de l'exploitation principale.</w:t>
            </w:r>
          </w:p>
        </w:tc>
      </w:tr>
    </w:tbl>
    <w:p/>
    <w:p>
      <w:pPr>
        <w:spacing w:before="160"/>
      </w:pPr>
      <w:r>
        <w:rPr>
          <w:b/>
          <w:color w:val="003366"/>
          <w:sz w:val="20"/>
        </w:rPr>
        <w:t xml:space="preserve">▶ BOAN — BANK OF AFRICA NIGER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1.13%</w:t>
            </w:r>
          </w:p>
        </w:tc>
        <w:tc>
          <w:tcPr>
            <w:tcW w:type="dxa" w:w="5669"/>
            <w:shd w:fill="FFFFFF" w:val="clear"/>
          </w:tcPr>
          <w:p>
            <w:r>
              <w:rPr>
                <w:sz w:val="15"/>
              </w:rPr>
              <w:t>⚠️ ROE de 1.1%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0.14%</w:t>
            </w:r>
          </w:p>
        </w:tc>
        <w:tc>
          <w:tcPr>
            <w:tcW w:type="dxa" w:w="5669"/>
            <w:shd w:fill="FFFFFF" w:val="clear"/>
          </w:tcPr>
          <w:p>
            <w:r>
              <w:rPr>
                <w:sz w:val="15"/>
              </w:rPr>
              <w:t>⚠️ ROA de 0.14%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1.94%</w:t>
            </w:r>
          </w:p>
        </w:tc>
        <w:tc>
          <w:tcPr>
            <w:tcW w:type="dxa" w:w="5669"/>
            <w:shd w:fill="FFFFFF" w:val="clear"/>
          </w:tcPr>
          <w:p>
            <w:r>
              <w:rPr>
                <w:sz w:val="15"/>
              </w:rPr>
              <w:t>⚠️ Marge nette de 1.9%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409.00 M FCFA</w:t>
            </w:r>
          </w:p>
        </w:tc>
        <w:tc>
          <w:tcPr>
            <w:tcW w:type="dxa" w:w="5669"/>
            <w:shd w:fill="FFFFFF" w:val="clear"/>
          </w:tcPr>
          <w:p>
            <w:r>
              <w:rPr>
                <w:sz w:val="15"/>
              </w:rPr>
              <w:t>✅ Résultat net positif de 409.00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-1.19%</w:t>
            </w:r>
          </w:p>
        </w:tc>
        <w:tc>
          <w:tcPr>
            <w:tcW w:type="dxa" w:w="5669"/>
            <w:shd w:fill="FFFFFF" w:val="clear"/>
          </w:tcPr>
          <w:p>
            <w:r>
              <w:rPr>
                <w:sz w:val="15"/>
              </w:rPr>
              <w:t>⚠️ Légère baisse (-1.2%) — contraction modérée du revenu principal.</w:t>
            </w:r>
          </w:p>
        </w:tc>
      </w:tr>
      <w:tr>
        <w:tc>
          <w:tcPr>
            <w:tcW w:type="dxa" w:w="2268"/>
            <w:shd w:fill="EEF2F7" w:val="clear"/>
          </w:tcPr>
          <w:p>
            <w:r>
              <w:rPr>
                <w:b/>
                <w:sz w:val="15"/>
              </w:rPr>
              <w:t>Autonomie financière</w:t>
            </w:r>
          </w:p>
        </w:tc>
        <w:tc>
          <w:tcPr>
            <w:tcW w:type="dxa" w:w="1984"/>
            <w:shd w:fill="FFEB9C" w:val="clear"/>
          </w:tcPr>
          <w:p>
            <w:r>
              <w:rPr>
                <w:b/>
                <w:color w:val="007800"/>
                <w:sz w:val="17"/>
              </w:rPr>
              <w:t>12.36%</w:t>
            </w:r>
          </w:p>
        </w:tc>
        <w:tc>
          <w:tcPr>
            <w:tcW w:type="dxa" w:w="5669"/>
            <w:shd w:fill="FFFFFF" w:val="clear"/>
          </w:tcPr>
          <w:p>
            <w:r>
              <w:rPr>
                <w:sz w:val="15"/>
              </w:rPr>
              <w:t>⚠️ Autonomie limitée (12.4%)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FFEB9C" w:val="clear"/>
          </w:tcPr>
          <w:p>
            <w:r>
              <w:rPr>
                <w:b/>
                <w:color w:val="007800"/>
                <w:sz w:val="17"/>
              </w:rPr>
              <w:t>178.61%</w:t>
            </w:r>
          </w:p>
        </w:tc>
        <w:tc>
          <w:tcPr>
            <w:tcW w:type="dxa" w:w="5669"/>
            <w:shd w:fill="FFFFFF" w:val="clear"/>
          </w:tcPr>
          <w:p>
            <w:r>
              <w:rPr>
                <w:sz w:val="15"/>
              </w:rPr>
              <w:t>⚠️ Gearing de 179%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114.10%</w:t>
            </w:r>
          </w:p>
        </w:tc>
        <w:tc>
          <w:tcPr>
            <w:tcW w:type="dxa" w:w="5669"/>
            <w:shd w:fill="FFFFFF" w:val="clear"/>
          </w:tcPr>
          <w:p>
            <w:r>
              <w:rPr>
                <w:sz w:val="15"/>
              </w:rPr>
              <w:t>⚠️ Solvabilité limite (114%) — marge de sécurité faible pour les créanciers.</w:t>
            </w:r>
          </w:p>
        </w:tc>
      </w:tr>
      <w:tr>
        <w:tc>
          <w:tcPr>
            <w:tcW w:type="dxa" w:w="2268"/>
            <w:shd w:fill="EEF2F7" w:val="clear"/>
          </w:tcPr>
          <w:p>
            <w:r>
              <w:rPr>
                <w:b/>
                <w:sz w:val="15"/>
              </w:rPr>
              <w:t>Coeff. exploitation</w:t>
            </w:r>
          </w:p>
        </w:tc>
        <w:tc>
          <w:tcPr>
            <w:tcW w:type="dxa" w:w="1984"/>
            <w:shd w:fill="FFEB9C" w:val="clear"/>
          </w:tcPr>
          <w:p>
            <w:r>
              <w:rPr>
                <w:b/>
                <w:color w:val="007800"/>
                <w:sz w:val="17"/>
              </w:rPr>
              <w:t>74.37%</w:t>
            </w:r>
          </w:p>
        </w:tc>
        <w:tc>
          <w:tcPr>
            <w:tcW w:type="dxa" w:w="5669"/>
            <w:shd w:fill="FFFFFF" w:val="clear"/>
          </w:tcPr>
          <w:p>
            <w:r>
              <w:rPr>
                <w:sz w:val="15"/>
              </w:rPr>
              <w:t>⚠️ Coeff. d'exploitation de 74.4% — charges absorbant trop du PNB. Marge de progression nécessaire.</w:t>
            </w:r>
          </w:p>
        </w:tc>
      </w:tr>
      <w:tr>
        <w:tc>
          <w:tcPr>
            <w:tcW w:type="dxa" w:w="2268"/>
            <w:shd w:fill="EEF2F7" w:val="clear"/>
          </w:tcPr>
          <w:p>
            <w:r>
              <w:rPr>
                <w:b/>
                <w:sz w:val="15"/>
              </w:rPr>
              <w:t>Marge opérationnelle</w:t>
            </w:r>
          </w:p>
        </w:tc>
        <w:tc>
          <w:tcPr>
            <w:tcW w:type="dxa" w:w="1984"/>
            <w:shd w:fill="FFEB9C" w:val="clear"/>
          </w:tcPr>
          <w:p>
            <w:r>
              <w:rPr>
                <w:b/>
                <w:color w:val="007800"/>
                <w:sz w:val="17"/>
              </w:rPr>
              <w:t>5.31%</w:t>
            </w:r>
          </w:p>
        </w:tc>
        <w:tc>
          <w:tcPr>
            <w:tcW w:type="dxa" w:w="5669"/>
            <w:shd w:fill="FFFFFF" w:val="clear"/>
          </w:tcPr>
          <w:p>
            <w:r>
              <w:rPr>
                <w:sz w:val="15"/>
              </w:rPr>
              <w:t>⚠️ Marge opérationnelle faible (5.3%) — l'exploitation laisse peu de bénéfice avant charges financières.</w:t>
            </w:r>
          </w:p>
        </w:tc>
      </w:tr>
    </w:tbl>
    <w:p/>
    <w:p>
      <w:pPr>
        <w:spacing w:before="160"/>
      </w:pPr>
      <w:r>
        <w:rPr>
          <w:b/>
          <w:color w:val="003366"/>
          <w:sz w:val="20"/>
        </w:rPr>
        <w:t xml:space="preserve">▶ BOAS — BANK OF AFRICA SENEGAL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22.69%</w:t>
            </w:r>
          </w:p>
        </w:tc>
        <w:tc>
          <w:tcPr>
            <w:tcW w:type="dxa" w:w="5669"/>
            <w:shd w:fill="FFFFFF" w:val="clear"/>
          </w:tcPr>
          <w:p>
            <w:r>
              <w:rPr>
                <w:sz w:val="15"/>
              </w:rPr>
              <w:t>✅ ROE de 22.7%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2.62%</w:t>
            </w:r>
          </w:p>
        </w:tc>
        <w:tc>
          <w:tcPr>
            <w:tcW w:type="dxa" w:w="5669"/>
            <w:shd w:fill="FFFFFF" w:val="clear"/>
          </w:tcPr>
          <w:p>
            <w:r>
              <w:rPr>
                <w:sz w:val="15"/>
              </w:rPr>
              <w:t>✅ ROA de 2.62%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42.19%</w:t>
            </w:r>
          </w:p>
        </w:tc>
        <w:tc>
          <w:tcPr>
            <w:tcW w:type="dxa" w:w="5669"/>
            <w:shd w:fill="FFFFFF" w:val="clear"/>
          </w:tcPr>
          <w:p>
            <w:r>
              <w:rPr>
                <w:sz w:val="15"/>
              </w:rPr>
              <w:t>✅ Marge nette de 42.2%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21.905 Mds FCFA</w:t>
            </w:r>
          </w:p>
        </w:tc>
        <w:tc>
          <w:tcPr>
            <w:tcW w:type="dxa" w:w="5669"/>
            <w:shd w:fill="FFFFFF" w:val="clear"/>
          </w:tcPr>
          <w:p>
            <w:r>
              <w:rPr>
                <w:sz w:val="15"/>
              </w:rPr>
              <w:t>✅ Résultat net positif de 21.905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4.55%</w:t>
            </w:r>
          </w:p>
        </w:tc>
        <w:tc>
          <w:tcPr>
            <w:tcW w:type="dxa" w:w="5669"/>
            <w:shd w:fill="FFFFFF" w:val="clear"/>
          </w:tcPr>
          <w:p>
            <w:r>
              <w:rPr>
                <w:sz w:val="15"/>
              </w:rPr>
              <w:t>⚠️ Croissance faible (4.6%)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11.54%</w:t>
            </w:r>
          </w:p>
        </w:tc>
        <w:tc>
          <w:tcPr>
            <w:tcW w:type="dxa" w:w="5669"/>
            <w:shd w:fill="FFFFFF" w:val="clear"/>
          </w:tcPr>
          <w:p>
            <w:r>
              <w:rPr>
                <w:sz w:val="15"/>
              </w:rPr>
              <w:t>⚠️ Autonomie limitée (11.5%)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39.37%</w:t>
            </w:r>
          </w:p>
        </w:tc>
        <w:tc>
          <w:tcPr>
            <w:tcW w:type="dxa" w:w="5669"/>
            <w:shd w:fill="FFFFFF" w:val="clear"/>
          </w:tcPr>
          <w:p>
            <w:r>
              <w:rPr>
                <w:sz w:val="15"/>
              </w:rPr>
              <w:t>✅ Gearing de 39%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113.05%</w:t>
            </w:r>
          </w:p>
        </w:tc>
        <w:tc>
          <w:tcPr>
            <w:tcW w:type="dxa" w:w="5669"/>
            <w:shd w:fill="FFFFFF" w:val="clear"/>
          </w:tcPr>
          <w:p>
            <w:r>
              <w:rPr>
                <w:sz w:val="15"/>
              </w:rPr>
              <w:t>⚠️ Solvabilité limite (113%)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44.02%</w:t>
            </w:r>
          </w:p>
        </w:tc>
        <w:tc>
          <w:tcPr>
            <w:tcW w:type="dxa" w:w="5669"/>
            <w:shd w:fill="FFFFFF" w:val="clear"/>
          </w:tcPr>
          <w:p>
            <w:r>
              <w:rPr>
                <w:sz w:val="15"/>
              </w:rPr>
              <w:t>✅ Coeff. d'exploitation de 44.0%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47.61%</w:t>
            </w:r>
          </w:p>
        </w:tc>
        <w:tc>
          <w:tcPr>
            <w:tcW w:type="dxa" w:w="5669"/>
            <w:shd w:fill="FFFFFF" w:val="clear"/>
          </w:tcPr>
          <w:p>
            <w:r>
              <w:rPr>
                <w:sz w:val="15"/>
              </w:rPr>
              <w:t>✅ Marge opérationnelle de 47.6% — excellente efficacité de l'exploitation principale.</w:t>
            </w:r>
          </w:p>
        </w:tc>
      </w:tr>
    </w:tbl>
    <w:p/>
    <w:p>
      <w:pPr>
        <w:spacing w:before="160"/>
      </w:pPr>
      <w:r>
        <w:rPr>
          <w:b/>
          <w:color w:val="003366"/>
          <w:sz w:val="20"/>
        </w:rPr>
        <w:t xml:space="preserve">▶ CBIBF — CBIBF - CORIS BANK INTERNATIONAL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ROA</w:t>
            </w:r>
          </w:p>
        </w:tc>
        <w:tc>
          <w:tcPr>
            <w:tcW w:type="dxa" w:w="1984"/>
            <w:shd w:fill="C6EFCE" w:val="clear"/>
          </w:tcPr>
          <w:p>
            <w:r>
              <w:rPr>
                <w:b/>
                <w:color w:val="007800"/>
                <w:sz w:val="17"/>
              </w:rPr>
              <w:t>2.18%</w:t>
            </w:r>
          </w:p>
        </w:tc>
        <w:tc>
          <w:tcPr>
            <w:tcW w:type="dxa" w:w="5669"/>
            <w:shd w:fill="FFFFFF" w:val="clear"/>
          </w:tcPr>
          <w:p>
            <w:r>
              <w:rPr>
                <w:sz w:val="15"/>
              </w:rPr>
              <w:t>✅ ROA de 2.18%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47.12%</w:t>
            </w:r>
          </w:p>
        </w:tc>
        <w:tc>
          <w:tcPr>
            <w:tcW w:type="dxa" w:w="5669"/>
            <w:shd w:fill="FFFFFF" w:val="clear"/>
          </w:tcPr>
          <w:p>
            <w:r>
              <w:rPr>
                <w:sz w:val="15"/>
              </w:rPr>
              <w:t>✅ Marge nette de 47.1%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65.495 Mds FCFA</w:t>
            </w:r>
          </w:p>
        </w:tc>
        <w:tc>
          <w:tcPr>
            <w:tcW w:type="dxa" w:w="5669"/>
            <w:shd w:fill="FFFFFF" w:val="clear"/>
          </w:tcPr>
          <w:p>
            <w:r>
              <w:rPr>
                <w:sz w:val="15"/>
              </w:rPr>
              <w:t>✅ Résultat net positif de 65.495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6.11%</w:t>
            </w:r>
          </w:p>
        </w:tc>
        <w:tc>
          <w:tcPr>
            <w:tcW w:type="dxa" w:w="5669"/>
            <w:shd w:fill="FFFFFF" w:val="clear"/>
          </w:tcPr>
          <w:p>
            <w:r>
              <w:rPr>
                <w:sz w:val="15"/>
              </w:rPr>
              <w:t>✅ Croissance de 6.1% — dynamisme commercial solide, supérieur à l'inflation régionale.</w:t>
            </w:r>
          </w:p>
        </w:tc>
      </w:tr>
      <w:tr>
        <w:tc>
          <w:tcPr>
            <w:tcW w:type="dxa" w:w="2268"/>
            <w:shd w:fill="EEF2F7" w:val="clear"/>
          </w:tcPr>
          <w:p>
            <w:r>
              <w:rPr>
                <w:b/>
                <w:sz w:val="15"/>
              </w:rPr>
              <w:t>Coeff. exploitation</w:t>
            </w:r>
          </w:p>
        </w:tc>
        <w:tc>
          <w:tcPr>
            <w:tcW w:type="dxa" w:w="1984"/>
            <w:shd w:fill="C6EFCE" w:val="clear"/>
          </w:tcPr>
          <w:p>
            <w:r>
              <w:rPr>
                <w:b/>
                <w:color w:val="007800"/>
                <w:sz w:val="17"/>
              </w:rPr>
              <w:t>36.39%</w:t>
            </w:r>
          </w:p>
        </w:tc>
        <w:tc>
          <w:tcPr>
            <w:tcW w:type="dxa" w:w="5669"/>
            <w:shd w:fill="FFFFFF" w:val="clear"/>
          </w:tcPr>
          <w:p>
            <w:r>
              <w:rPr>
                <w:sz w:val="15"/>
              </w:rPr>
              <w:t>✅ Coeff. d'exploitation de 36.4%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51.77%</w:t>
            </w:r>
          </w:p>
        </w:tc>
        <w:tc>
          <w:tcPr>
            <w:tcW w:type="dxa" w:w="5669"/>
            <w:shd w:fill="FFFFFF" w:val="clear"/>
          </w:tcPr>
          <w:p>
            <w:r>
              <w:rPr>
                <w:sz w:val="15"/>
              </w:rPr>
              <w:t>✅ Marge opérationnelle de 51.8% — excellente efficacité de l'exploitation principale.</w:t>
            </w:r>
          </w:p>
        </w:tc>
      </w:tr>
    </w:tbl>
    <w:p/>
    <w:p>
      <w:pPr>
        <w:spacing w:before="160"/>
      </w:pPr>
      <w:r>
        <w:rPr>
          <w:b/>
          <w:color w:val="003366"/>
          <w:sz w:val="20"/>
        </w:rPr>
        <w:t xml:space="preserve">▶ ECOC — ECOC - ECOBANK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29.04%</w:t>
            </w:r>
          </w:p>
        </w:tc>
        <w:tc>
          <w:tcPr>
            <w:tcW w:type="dxa" w:w="5669"/>
            <w:shd w:fill="FFFFFF" w:val="clear"/>
          </w:tcPr>
          <w:p>
            <w:r>
              <w:rPr>
                <w:sz w:val="15"/>
              </w:rPr>
              <w:t>✅ ROE de 29.0%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3.09%</w:t>
            </w:r>
          </w:p>
        </w:tc>
        <w:tc>
          <w:tcPr>
            <w:tcW w:type="dxa" w:w="5669"/>
            <w:shd w:fill="FFFFFF" w:val="clear"/>
          </w:tcPr>
          <w:p>
            <w:r>
              <w:rPr>
                <w:sz w:val="15"/>
              </w:rPr>
              <w:t>✅ ROA de 3.09%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47.83%</w:t>
            </w:r>
          </w:p>
        </w:tc>
        <w:tc>
          <w:tcPr>
            <w:tcW w:type="dxa" w:w="5669"/>
            <w:shd w:fill="FFFFFF" w:val="clear"/>
          </w:tcPr>
          <w:p>
            <w:r>
              <w:rPr>
                <w:sz w:val="15"/>
              </w:rPr>
              <w:t>✅ Marge nette de 47.8%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63.482 Mds FCFA</w:t>
            </w:r>
          </w:p>
        </w:tc>
        <w:tc>
          <w:tcPr>
            <w:tcW w:type="dxa" w:w="5669"/>
            <w:shd w:fill="FFFFFF" w:val="clear"/>
          </w:tcPr>
          <w:p>
            <w:r>
              <w:rPr>
                <w:sz w:val="15"/>
              </w:rPr>
              <w:t>✅ Résultat net positif de 63.482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8.51%</w:t>
            </w:r>
          </w:p>
        </w:tc>
        <w:tc>
          <w:tcPr>
            <w:tcW w:type="dxa" w:w="5669"/>
            <w:shd w:fill="FFFFFF" w:val="clear"/>
          </w:tcPr>
          <w:p>
            <w:r>
              <w:rPr>
                <w:sz w:val="15"/>
              </w:rPr>
              <w:t>✅ Croissance de 8.5%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10.64%</w:t>
            </w:r>
          </w:p>
        </w:tc>
        <w:tc>
          <w:tcPr>
            <w:tcW w:type="dxa" w:w="5669"/>
            <w:shd w:fill="FFFFFF" w:val="clear"/>
          </w:tcPr>
          <w:p>
            <w:r>
              <w:rPr>
                <w:sz w:val="15"/>
              </w:rPr>
              <w:t>⚠️ Autonomie limitée (10.6%)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69.63%</w:t>
            </w:r>
          </w:p>
        </w:tc>
        <w:tc>
          <w:tcPr>
            <w:tcW w:type="dxa" w:w="5669"/>
            <w:shd w:fill="FFFFFF" w:val="clear"/>
          </w:tcPr>
          <w:p>
            <w:r>
              <w:rPr>
                <w:sz w:val="15"/>
              </w:rPr>
              <w:t>✅ Gearing de 70%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111.91%</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42.89%</w:t>
            </w:r>
          </w:p>
        </w:tc>
        <w:tc>
          <w:tcPr>
            <w:tcW w:type="dxa" w:w="5669"/>
            <w:shd w:fill="FFFFFF" w:val="clear"/>
          </w:tcPr>
          <w:p>
            <w:r>
              <w:rPr>
                <w:sz w:val="15"/>
              </w:rPr>
              <w:t>✅ Coeff. d'exploitation de 42.9%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55.75%</w:t>
            </w:r>
          </w:p>
        </w:tc>
        <w:tc>
          <w:tcPr>
            <w:tcW w:type="dxa" w:w="5669"/>
            <w:shd w:fill="FFFFFF" w:val="clear"/>
          </w:tcPr>
          <w:p>
            <w:r>
              <w:rPr>
                <w:sz w:val="15"/>
              </w:rPr>
              <w:t>✅ Marge opérationnelle de 55.8% — excellente efficacité de l'exploitation principale.</w:t>
            </w:r>
          </w:p>
        </w:tc>
      </w:tr>
    </w:tbl>
    <w:p/>
    <w:p>
      <w:pPr>
        <w:spacing w:before="160"/>
      </w:pPr>
      <w:r>
        <w:rPr>
          <w:b/>
          <w:color w:val="003366"/>
          <w:sz w:val="20"/>
        </w:rPr>
        <w:t xml:space="preserve">▶ ETIT — ETIT - Ecobank Transnational Incorporated Togo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21.62%</w:t>
            </w:r>
          </w:p>
        </w:tc>
        <w:tc>
          <w:tcPr>
            <w:tcW w:type="dxa" w:w="5669"/>
            <w:shd w:fill="FFFFFF" w:val="clear"/>
          </w:tcPr>
          <w:p>
            <w:r>
              <w:rPr>
                <w:sz w:val="15"/>
              </w:rPr>
              <w:t>✅ ROE de 21.6%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1.80%</w:t>
            </w:r>
          </w:p>
        </w:tc>
        <w:tc>
          <w:tcPr>
            <w:tcW w:type="dxa" w:w="5669"/>
            <w:shd w:fill="FFFFFF" w:val="clear"/>
          </w:tcPr>
          <w:p>
            <w:r>
              <w:rPr>
                <w:sz w:val="15"/>
              </w:rPr>
              <w:t>✅ ROA de 1.80%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24.26%</w:t>
            </w:r>
          </w:p>
        </w:tc>
        <w:tc>
          <w:tcPr>
            <w:tcW w:type="dxa" w:w="5669"/>
            <w:shd w:fill="FFFFFF" w:val="clear"/>
          </w:tcPr>
          <w:p>
            <w:r>
              <w:rPr>
                <w:sz w:val="15"/>
              </w:rPr>
              <w:t>✅ Marge nette de 24.3%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345.523 Mds FCFA</w:t>
            </w:r>
          </w:p>
        </w:tc>
        <w:tc>
          <w:tcPr>
            <w:tcW w:type="dxa" w:w="5669"/>
            <w:shd w:fill="FFFFFF" w:val="clear"/>
          </w:tcPr>
          <w:p>
            <w:r>
              <w:rPr>
                <w:sz w:val="15"/>
              </w:rPr>
              <w:t>✅ Résultat net positif de 345.523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12.45%</w:t>
            </w:r>
          </w:p>
        </w:tc>
        <w:tc>
          <w:tcPr>
            <w:tcW w:type="dxa" w:w="5669"/>
            <w:shd w:fill="FFFFFF" w:val="clear"/>
          </w:tcPr>
          <w:p>
            <w:r>
              <w:rPr>
                <w:sz w:val="15"/>
              </w:rPr>
              <w:t>✅ Croissance de 12.5%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8.30%</w:t>
            </w:r>
          </w:p>
        </w:tc>
        <w:tc>
          <w:tcPr>
            <w:tcW w:type="dxa" w:w="5669"/>
            <w:shd w:fill="FFFFFF" w:val="clear"/>
          </w:tcPr>
          <w:p>
            <w:r>
              <w:rPr>
                <w:sz w:val="15"/>
              </w:rPr>
              <w:t>❌ Autonomie très faible (8.3%) — quasi-totalité des actifs financée par des dettes. Fragilité structurelle.</w:t>
            </w:r>
          </w:p>
        </w:tc>
      </w:tr>
      <w:tr>
        <w:tc>
          <w:tcPr>
            <w:tcW w:type="dxa" w:w="2268"/>
            <w:shd w:fill="EEF2F7" w:val="clear"/>
          </w:tcPr>
          <w:p>
            <w:r>
              <w:rPr>
                <w:b/>
                <w:sz w:val="15"/>
              </w:rPr>
              <w:t>Ratio endettement</w:t>
            </w:r>
          </w:p>
        </w:tc>
        <w:tc>
          <w:tcPr>
            <w:tcW w:type="dxa" w:w="1984"/>
            <w:shd w:fill="FFEB9C" w:val="clear"/>
          </w:tcPr>
          <w:p>
            <w:r>
              <w:rPr>
                <w:b/>
                <w:color w:val="007800"/>
                <w:sz w:val="17"/>
              </w:rPr>
              <w:t>154.06%</w:t>
            </w:r>
          </w:p>
        </w:tc>
        <w:tc>
          <w:tcPr>
            <w:tcW w:type="dxa" w:w="5669"/>
            <w:shd w:fill="FFFFFF" w:val="clear"/>
          </w:tcPr>
          <w:p>
            <w:r>
              <w:rPr>
                <w:sz w:val="15"/>
              </w:rPr>
              <w:t>⚠️ Gearing de 154%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109.05%</w:t>
            </w:r>
          </w:p>
        </w:tc>
        <w:tc>
          <w:tcPr>
            <w:tcW w:type="dxa" w:w="5669"/>
            <w:shd w:fill="FFFFFF" w:val="clear"/>
          </w:tcPr>
          <w:p>
            <w:r>
              <w:rPr>
                <w:sz w:val="15"/>
              </w:rPr>
              <w:t>⚠️ Solvabilité limite (109%) — marge de sécurité faible pour les créanciers.</w:t>
            </w:r>
          </w:p>
        </w:tc>
      </w:tr>
      <w:tr>
        <w:tc>
          <w:tcPr>
            <w:tcW w:type="dxa" w:w="2268"/>
            <w:shd w:fill="EEF2F7" w:val="clear"/>
          </w:tcPr>
          <w:p>
            <w:r>
              <w:rPr>
                <w:b/>
                <w:sz w:val="15"/>
              </w:rPr>
              <w:t>Free Cash Flow</w:t>
            </w:r>
          </w:p>
        </w:tc>
        <w:tc>
          <w:tcPr>
            <w:tcW w:type="dxa" w:w="1984"/>
            <w:shd w:fill="C6EFCE" w:val="clear"/>
          </w:tcPr>
          <w:p>
            <w:r>
              <w:rPr>
                <w:b/>
                <w:color w:val="007800"/>
                <w:sz w:val="17"/>
              </w:rPr>
              <w:t>343.247 Mds FCFA</w:t>
            </w:r>
          </w:p>
        </w:tc>
        <w:tc>
          <w:tcPr>
            <w:tcW w:type="dxa" w:w="5669"/>
            <w:shd w:fill="FFFFFF" w:val="clear"/>
          </w:tcPr>
          <w:p>
            <w:r>
              <w:rPr>
                <w:sz w:val="15"/>
              </w:rPr>
              <w:t>✅ FCF positif de 343.247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27.35%</w:t>
            </w:r>
          </w:p>
        </w:tc>
        <w:tc>
          <w:tcPr>
            <w:tcW w:type="dxa" w:w="5669"/>
            <w:shd w:fill="FFFFFF" w:val="clear"/>
          </w:tcPr>
          <w:p>
            <w:r>
              <w:rPr>
                <w:sz w:val="15"/>
              </w:rPr>
              <w:t>✅ Coeff. d'exploitation de 27.3%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32.69%</w:t>
            </w:r>
          </w:p>
        </w:tc>
        <w:tc>
          <w:tcPr>
            <w:tcW w:type="dxa" w:w="5669"/>
            <w:shd w:fill="FFFFFF" w:val="clear"/>
          </w:tcPr>
          <w:p>
            <w:r>
              <w:rPr>
                <w:sz w:val="15"/>
              </w:rPr>
              <w:t>✅ Marge opérationnelle de 32.7% — excellente efficacité de l'exploitation principale.</w:t>
            </w:r>
          </w:p>
        </w:tc>
      </w:tr>
    </w:tbl>
    <w:p/>
    <w:p>
      <w:pPr>
        <w:spacing w:before="160"/>
      </w:pPr>
      <w:r>
        <w:rPr>
          <w:b/>
          <w:color w:val="003366"/>
          <w:sz w:val="20"/>
        </w:rPr>
        <w:t xml:space="preserve">▶ NSBC — NSBC - NSIA BANQUE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17.45%</w:t>
            </w:r>
          </w:p>
        </w:tc>
        <w:tc>
          <w:tcPr>
            <w:tcW w:type="dxa" w:w="5669"/>
            <w:shd w:fill="FFFFFF" w:val="clear"/>
          </w:tcPr>
          <w:p>
            <w:r>
              <w:rPr>
                <w:sz w:val="15"/>
              </w:rPr>
              <w:t>✅ ROE de 17.5%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1.32%</w:t>
            </w:r>
          </w:p>
        </w:tc>
        <w:tc>
          <w:tcPr>
            <w:tcW w:type="dxa" w:w="5669"/>
            <w:shd w:fill="FFFFFF" w:val="clear"/>
          </w:tcPr>
          <w:p>
            <w:r>
              <w:rPr>
                <w:sz w:val="15"/>
              </w:rPr>
              <w:t>✅ ROA de 1.32%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36.05%</w:t>
            </w:r>
          </w:p>
        </w:tc>
        <w:tc>
          <w:tcPr>
            <w:tcW w:type="dxa" w:w="5669"/>
            <w:shd w:fill="FFFFFF" w:val="clear"/>
          </w:tcPr>
          <w:p>
            <w:r>
              <w:rPr>
                <w:sz w:val="15"/>
              </w:rPr>
              <w:t>✅ Marge nette de 36.1%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40.712 Mds FCFA</w:t>
            </w:r>
          </w:p>
        </w:tc>
        <w:tc>
          <w:tcPr>
            <w:tcW w:type="dxa" w:w="5669"/>
            <w:shd w:fill="FFFFFF" w:val="clear"/>
          </w:tcPr>
          <w:p>
            <w:r>
              <w:rPr>
                <w:sz w:val="15"/>
              </w:rPr>
              <w:t>✅ Résultat net positif de 40.712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15.45%</w:t>
            </w:r>
          </w:p>
        </w:tc>
        <w:tc>
          <w:tcPr>
            <w:tcW w:type="dxa" w:w="5669"/>
            <w:shd w:fill="FFFFFF" w:val="clear"/>
          </w:tcPr>
          <w:p>
            <w:r>
              <w:rPr>
                <w:sz w:val="15"/>
              </w:rPr>
              <w:t>✅ Croissance de 15.4%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7.59%</w:t>
            </w:r>
          </w:p>
        </w:tc>
        <w:tc>
          <w:tcPr>
            <w:tcW w:type="dxa" w:w="5669"/>
            <w:shd w:fill="FFFFFF" w:val="clear"/>
          </w:tcPr>
          <w:p>
            <w:r>
              <w:rPr>
                <w:sz w:val="15"/>
              </w:rPr>
              <w:t>❌ Autonomie très faible (7.6%) — quasi-totalité des actifs financée par des dettes. Fragilité structurelle.</w:t>
            </w:r>
          </w:p>
        </w:tc>
      </w:tr>
      <w:tr>
        <w:tc>
          <w:tcPr>
            <w:tcW w:type="dxa" w:w="2268"/>
            <w:shd w:fill="EEF2F7" w:val="clear"/>
          </w:tcPr>
          <w:p>
            <w:r>
              <w:rPr>
                <w:b/>
                <w:sz w:val="15"/>
              </w:rPr>
              <w:t>Ratio endettement</w:t>
            </w:r>
          </w:p>
        </w:tc>
        <w:tc>
          <w:tcPr>
            <w:tcW w:type="dxa" w:w="1984"/>
            <w:shd w:fill="FFEB9C" w:val="clear"/>
          </w:tcPr>
          <w:p>
            <w:r>
              <w:rPr>
                <w:b/>
                <w:color w:val="007800"/>
                <w:sz w:val="17"/>
              </w:rPr>
              <w:t>227.90%</w:t>
            </w:r>
          </w:p>
        </w:tc>
        <w:tc>
          <w:tcPr>
            <w:tcW w:type="dxa" w:w="5669"/>
            <w:shd w:fill="FFFFFF" w:val="clear"/>
          </w:tcPr>
          <w:p>
            <w:r>
              <w:rPr>
                <w:sz w:val="15"/>
              </w:rPr>
              <w:t>⚠️ Gearing de 228%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108.22%</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54.59%</w:t>
            </w:r>
          </w:p>
        </w:tc>
        <w:tc>
          <w:tcPr>
            <w:tcW w:type="dxa" w:w="5669"/>
            <w:shd w:fill="FFFFFF" w:val="clear"/>
          </w:tcPr>
          <w:p>
            <w:r>
              <w:rPr>
                <w:sz w:val="15"/>
              </w:rPr>
              <w:t>✅ Coeff. d'exploitation de 54.6%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37.87%</w:t>
            </w:r>
          </w:p>
        </w:tc>
        <w:tc>
          <w:tcPr>
            <w:tcW w:type="dxa" w:w="5669"/>
            <w:shd w:fill="FFFFFF" w:val="clear"/>
          </w:tcPr>
          <w:p>
            <w:r>
              <w:rPr>
                <w:sz w:val="15"/>
              </w:rPr>
              <w:t>✅ Marge opérationnelle de 37.9% — excellente efficacité de l'exploitation principale.</w:t>
            </w:r>
          </w:p>
        </w:tc>
      </w:tr>
    </w:tbl>
    <w:p/>
    <w:p>
      <w:pPr>
        <w:spacing w:before="160"/>
      </w:pPr>
      <w:r>
        <w:rPr>
          <w:b/>
          <w:color w:val="003366"/>
          <w:sz w:val="20"/>
        </w:rPr>
        <w:t xml:space="preserve">▶ ORGT — ORGT - ORAGROUP TOGO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19.13%</w:t>
            </w:r>
          </w:p>
        </w:tc>
        <w:tc>
          <w:tcPr>
            <w:tcW w:type="dxa" w:w="5669"/>
            <w:shd w:fill="FFFFFF" w:val="clear"/>
          </w:tcPr>
          <w:p>
            <w:r>
              <w:rPr>
                <w:sz w:val="15"/>
              </w:rPr>
              <w:t>✅ ROE de 19.1% — rentabilité satisfaisante, rémunère correctement les capitaux propres.</w:t>
            </w:r>
          </w:p>
        </w:tc>
      </w:tr>
      <w:tr>
        <w:tc>
          <w:tcPr>
            <w:tcW w:type="dxa" w:w="2268"/>
            <w:shd w:fill="EEF2F7" w:val="clear"/>
          </w:tcPr>
          <w:p>
            <w:r>
              <w:rPr>
                <w:b/>
                <w:sz w:val="15"/>
              </w:rPr>
              <w:t>ROA</w:t>
            </w:r>
          </w:p>
        </w:tc>
        <w:tc>
          <w:tcPr>
            <w:tcW w:type="dxa" w:w="1984"/>
            <w:shd w:fill="FFEB9C" w:val="clear"/>
          </w:tcPr>
          <w:p>
            <w:r>
              <w:rPr>
                <w:b/>
                <w:color w:val="007800"/>
                <w:sz w:val="17"/>
              </w:rPr>
              <w:t>0.54%</w:t>
            </w:r>
          </w:p>
        </w:tc>
        <w:tc>
          <w:tcPr>
            <w:tcW w:type="dxa" w:w="5669"/>
            <w:shd w:fill="FFFFFF" w:val="clear"/>
          </w:tcPr>
          <w:p>
            <w:r>
              <w:rPr>
                <w:sz w:val="15"/>
              </w:rPr>
              <w:t>⚠️ ROA de 0.54%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C6EFCE" w:val="clear"/>
          </w:tcPr>
          <w:p>
            <w:r>
              <w:rPr>
                <w:b/>
                <w:color w:val="007800"/>
                <w:sz w:val="17"/>
              </w:rPr>
              <w:t>11.60%</w:t>
            </w:r>
          </w:p>
        </w:tc>
        <w:tc>
          <w:tcPr>
            <w:tcW w:type="dxa" w:w="5669"/>
            <w:shd w:fill="FFFFFF" w:val="clear"/>
          </w:tcPr>
          <w:p>
            <w:r>
              <w:rPr>
                <w:sz w:val="15"/>
              </w:rPr>
              <w:t>✅ Marge nette de 11.6%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21.643 Mds FCFA</w:t>
            </w:r>
          </w:p>
        </w:tc>
        <w:tc>
          <w:tcPr>
            <w:tcW w:type="dxa" w:w="5669"/>
            <w:shd w:fill="FFFFFF" w:val="clear"/>
          </w:tcPr>
          <w:p>
            <w:r>
              <w:rPr>
                <w:sz w:val="15"/>
              </w:rPr>
              <w:t>✅ Résultat net positif de 21.643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-4.52%</w:t>
            </w:r>
          </w:p>
        </w:tc>
        <w:tc>
          <w:tcPr>
            <w:tcW w:type="dxa" w:w="5669"/>
            <w:shd w:fill="FFFFFF" w:val="clear"/>
          </w:tcPr>
          <w:p>
            <w:r>
              <w:rPr>
                <w:sz w:val="15"/>
              </w:rPr>
              <w:t>⚠️ Légère baisse (-4.5%) — contraction modérée du revenu principal.</w:t>
            </w:r>
          </w:p>
        </w:tc>
      </w:tr>
      <w:tr>
        <w:tc>
          <w:tcPr>
            <w:tcW w:type="dxa" w:w="2268"/>
            <w:shd w:fill="EEF2F7" w:val="clear"/>
          </w:tcPr>
          <w:p>
            <w:r>
              <w:rPr>
                <w:b/>
                <w:sz w:val="15"/>
              </w:rPr>
              <w:t>Autonomie financière</w:t>
            </w:r>
          </w:p>
        </w:tc>
        <w:tc>
          <w:tcPr>
            <w:tcW w:type="dxa" w:w="1984"/>
            <w:shd w:fill="FFC7CE" w:val="clear"/>
          </w:tcPr>
          <w:p>
            <w:r>
              <w:rPr>
                <w:b/>
                <w:color w:val="007800"/>
                <w:sz w:val="17"/>
              </w:rPr>
              <w:t>2.82%</w:t>
            </w:r>
          </w:p>
        </w:tc>
        <w:tc>
          <w:tcPr>
            <w:tcW w:type="dxa" w:w="5669"/>
            <w:shd w:fill="FFFFFF" w:val="clear"/>
          </w:tcPr>
          <w:p>
            <w:r>
              <w:rPr>
                <w:sz w:val="15"/>
              </w:rPr>
              <w:t>❌ Autonomie très faible (2.8%)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444.94%</w:t>
            </w:r>
          </w:p>
        </w:tc>
        <w:tc>
          <w:tcPr>
            <w:tcW w:type="dxa" w:w="5669"/>
            <w:shd w:fill="FFFFFF" w:val="clear"/>
          </w:tcPr>
          <w:p>
            <w:r>
              <w:rPr>
                <w:sz w:val="15"/>
              </w:rPr>
              <w:t>❌ Gearing de 445%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102.90%</w:t>
            </w:r>
          </w:p>
        </w:tc>
        <w:tc>
          <w:tcPr>
            <w:tcW w:type="dxa" w:w="5669"/>
            <w:shd w:fill="FFFFFF" w:val="clear"/>
          </w:tcPr>
          <w:p>
            <w:r>
              <w:rPr>
                <w:sz w:val="15"/>
              </w:rPr>
              <w:t>⚠️ Solvabilité limite (103%) — marge de sécurité faible pour les créanciers.</w:t>
            </w:r>
          </w:p>
        </w:tc>
      </w:tr>
      <w:tr>
        <w:tc>
          <w:tcPr>
            <w:tcW w:type="dxa" w:w="2268"/>
            <w:shd w:fill="EEF2F7" w:val="clear"/>
          </w:tcPr>
          <w:p>
            <w:r>
              <w:rPr>
                <w:b/>
                <w:sz w:val="15"/>
              </w:rPr>
              <w:t>Free Cash Flow</w:t>
            </w:r>
          </w:p>
        </w:tc>
        <w:tc>
          <w:tcPr>
            <w:tcW w:type="dxa" w:w="1984"/>
            <w:shd w:fill="C6EFCE" w:val="clear"/>
          </w:tcPr>
          <w:p>
            <w:r>
              <w:rPr>
                <w:b/>
                <w:color w:val="007800"/>
                <w:sz w:val="17"/>
              </w:rPr>
              <w:t>132.906 Mds FCFA</w:t>
            </w:r>
          </w:p>
        </w:tc>
        <w:tc>
          <w:tcPr>
            <w:tcW w:type="dxa" w:w="5669"/>
            <w:shd w:fill="FFFFFF" w:val="clear"/>
          </w:tcPr>
          <w:p>
            <w:r>
              <w:rPr>
                <w:sz w:val="15"/>
              </w:rPr>
              <w:t>✅ FCF positif de 132.906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42.85%</w:t>
            </w:r>
          </w:p>
        </w:tc>
        <w:tc>
          <w:tcPr>
            <w:tcW w:type="dxa" w:w="5669"/>
            <w:shd w:fill="FFFFFF" w:val="clear"/>
          </w:tcPr>
          <w:p>
            <w:r>
              <w:rPr>
                <w:sz w:val="15"/>
              </w:rPr>
              <w:t>✅ Coeff. d'exploitation de 42.9%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15.63%</w:t>
            </w:r>
          </w:p>
        </w:tc>
        <w:tc>
          <w:tcPr>
            <w:tcW w:type="dxa" w:w="5669"/>
            <w:shd w:fill="FFFFFF" w:val="clear"/>
          </w:tcPr>
          <w:p>
            <w:r>
              <w:rPr>
                <w:sz w:val="15"/>
              </w:rPr>
              <w:t>✅ Marge opérationnelle correcte (15.6%).</w:t>
            </w:r>
          </w:p>
        </w:tc>
      </w:tr>
    </w:tbl>
    <w:p/>
    <w:p>
      <w:pPr>
        <w:spacing w:before="160"/>
      </w:pPr>
      <w:r>
        <w:rPr>
          <w:b/>
          <w:color w:val="003366"/>
          <w:sz w:val="20"/>
        </w:rPr>
        <w:t xml:space="preserve">▶ SAFC — SAFCA CI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11.85%</w:t>
            </w:r>
          </w:p>
        </w:tc>
        <w:tc>
          <w:tcPr>
            <w:tcW w:type="dxa" w:w="5669"/>
            <w:shd w:fill="FFFFFF" w:val="clear"/>
          </w:tcPr>
          <w:p>
            <w:r>
              <w:rPr>
                <w:sz w:val="15"/>
              </w:rPr>
              <w:t>⚠️ ROE de 11.8%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FFEB9C" w:val="clear"/>
          </w:tcPr>
          <w:p>
            <w:r>
              <w:rPr>
                <w:b/>
                <w:color w:val="007800"/>
                <w:sz w:val="17"/>
              </w:rPr>
              <w:t>0.88%</w:t>
            </w:r>
          </w:p>
        </w:tc>
        <w:tc>
          <w:tcPr>
            <w:tcW w:type="dxa" w:w="5669"/>
            <w:shd w:fill="FFFFFF" w:val="clear"/>
          </w:tcPr>
          <w:p>
            <w:r>
              <w:rPr>
                <w:sz w:val="15"/>
              </w:rPr>
              <w:t>⚠️ ROA de 0.88%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C6EFCE" w:val="clear"/>
          </w:tcPr>
          <w:p>
            <w:r>
              <w:rPr>
                <w:b/>
                <w:color w:val="007800"/>
                <w:sz w:val="17"/>
              </w:rPr>
              <w:t>12.22%</w:t>
            </w:r>
          </w:p>
        </w:tc>
        <w:tc>
          <w:tcPr>
            <w:tcW w:type="dxa" w:w="5669"/>
            <w:shd w:fill="FFFFFF" w:val="clear"/>
          </w:tcPr>
          <w:p>
            <w:r>
              <w:rPr>
                <w:sz w:val="15"/>
              </w:rPr>
              <w:t>✅ Marge nette de 12.2%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701.00 M FCFA</w:t>
            </w:r>
          </w:p>
        </w:tc>
        <w:tc>
          <w:tcPr>
            <w:tcW w:type="dxa" w:w="5669"/>
            <w:shd w:fill="FFFFFF" w:val="clear"/>
          </w:tcPr>
          <w:p>
            <w:r>
              <w:rPr>
                <w:sz w:val="15"/>
              </w:rPr>
              <w:t>✅ Résultat net positif de 701.00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44.10%</w:t>
            </w:r>
          </w:p>
        </w:tc>
        <w:tc>
          <w:tcPr>
            <w:tcW w:type="dxa" w:w="5669"/>
            <w:shd w:fill="FFFFFF" w:val="clear"/>
          </w:tcPr>
          <w:p>
            <w:r>
              <w:rPr>
                <w:sz w:val="15"/>
              </w:rPr>
              <w:t>✅ Croissance de 44.1%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7.44%</w:t>
            </w:r>
          </w:p>
        </w:tc>
        <w:tc>
          <w:tcPr>
            <w:tcW w:type="dxa" w:w="5669"/>
            <w:shd w:fill="FFFFFF" w:val="clear"/>
          </w:tcPr>
          <w:p>
            <w:r>
              <w:rPr>
                <w:sz w:val="15"/>
              </w:rPr>
              <w:t>❌ Autonomie très faible (7.4%)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856.36%</w:t>
            </w:r>
          </w:p>
        </w:tc>
        <w:tc>
          <w:tcPr>
            <w:tcW w:type="dxa" w:w="5669"/>
            <w:shd w:fill="FFFFFF" w:val="clear"/>
          </w:tcPr>
          <w:p>
            <w:r>
              <w:rPr>
                <w:sz w:val="15"/>
              </w:rPr>
              <w:t>❌ Gearing de 856%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108.03%</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537.55%</w:t>
            </w:r>
          </w:p>
        </w:tc>
        <w:tc>
          <w:tcPr>
            <w:tcW w:type="dxa" w:w="5669"/>
            <w:shd w:fill="FFFFFF" w:val="clear"/>
          </w:tcPr>
          <w:p>
            <w:r>
              <w:rPr>
                <w:sz w:val="15"/>
              </w:rPr>
              <w:t>✅ Liquidité générale de 538x — actif circulant deux fois supérieur aux dettes CT. Trésorerie très confortable.</w:t>
            </w:r>
          </w:p>
        </w:tc>
      </w:tr>
      <w:tr>
        <w:tc>
          <w:tcPr>
            <w:tcW w:type="dxa" w:w="2268"/>
            <w:shd w:fill="EEF2F7" w:val="clear"/>
          </w:tcPr>
          <w:p>
            <w:r>
              <w:rPr>
                <w:b/>
                <w:sz w:val="15"/>
              </w:rPr>
              <w:t>Coeff. exploitation</w:t>
            </w:r>
          </w:p>
        </w:tc>
        <w:tc>
          <w:tcPr>
            <w:tcW w:type="dxa" w:w="1984"/>
            <w:shd w:fill="FFC7CE" w:val="clear"/>
          </w:tcPr>
          <w:p>
            <w:r>
              <w:rPr>
                <w:b/>
                <w:color w:val="007800"/>
                <w:sz w:val="17"/>
              </w:rPr>
              <w:t>77.63%</w:t>
            </w:r>
          </w:p>
        </w:tc>
        <w:tc>
          <w:tcPr>
            <w:tcW w:type="dxa" w:w="5669"/>
            <w:shd w:fill="FFFFFF" w:val="clear"/>
          </w:tcPr>
          <w:p>
            <w:r>
              <w:rPr>
                <w:sz w:val="15"/>
              </w:rPr>
              <w:t>❌ Coeff. d'exploitation de 77.6% — structure de coûts critique. La banque est peu viable à ce niveau.</w:t>
            </w:r>
          </w:p>
        </w:tc>
      </w:tr>
      <w:tr>
        <w:tc>
          <w:tcPr>
            <w:tcW w:type="dxa" w:w="2268"/>
            <w:shd w:fill="EEF2F7" w:val="clear"/>
          </w:tcPr>
          <w:p>
            <w:r>
              <w:rPr>
                <w:b/>
                <w:sz w:val="15"/>
              </w:rPr>
              <w:t>Marge opérationnelle</w:t>
            </w:r>
          </w:p>
        </w:tc>
        <w:tc>
          <w:tcPr>
            <w:tcW w:type="dxa" w:w="1984"/>
            <w:shd w:fill="C6EFCE" w:val="clear"/>
          </w:tcPr>
          <w:p>
            <w:r>
              <w:rPr>
                <w:b/>
                <w:color w:val="007800"/>
                <w:sz w:val="17"/>
              </w:rPr>
              <w:t>15.80%</w:t>
            </w:r>
          </w:p>
        </w:tc>
        <w:tc>
          <w:tcPr>
            <w:tcW w:type="dxa" w:w="5669"/>
            <w:shd w:fill="FFFFFF" w:val="clear"/>
          </w:tcPr>
          <w:p>
            <w:r>
              <w:rPr>
                <w:sz w:val="15"/>
              </w:rPr>
              <w:t>✅ Marge opérationnelle correcte (15.8%).</w:t>
            </w:r>
          </w:p>
        </w:tc>
      </w:tr>
    </w:tbl>
    <w:p/>
    <w:p>
      <w:pPr>
        <w:spacing w:before="160"/>
      </w:pPr>
      <w:r>
        <w:rPr>
          <w:b/>
          <w:color w:val="003366"/>
          <w:sz w:val="20"/>
        </w:rPr>
        <w:t xml:space="preserve">▶ SGBC — SGBC - SOCIETE GENERALE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20.47%</w:t>
            </w:r>
          </w:p>
        </w:tc>
        <w:tc>
          <w:tcPr>
            <w:tcW w:type="dxa" w:w="5669"/>
            <w:shd w:fill="FFFFFF" w:val="clear"/>
          </w:tcPr>
          <w:p>
            <w:r>
              <w:rPr>
                <w:sz w:val="15"/>
              </w:rPr>
              <w:t>✅ ROE de 20.5%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2.69%</w:t>
            </w:r>
          </w:p>
        </w:tc>
        <w:tc>
          <w:tcPr>
            <w:tcW w:type="dxa" w:w="5669"/>
            <w:shd w:fill="FFFFFF" w:val="clear"/>
          </w:tcPr>
          <w:p>
            <w:r>
              <w:rPr>
                <w:sz w:val="15"/>
              </w:rPr>
              <w:t>✅ ROA de 2.69%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36.72%</w:t>
            </w:r>
          </w:p>
        </w:tc>
        <w:tc>
          <w:tcPr>
            <w:tcW w:type="dxa" w:w="5669"/>
            <w:shd w:fill="FFFFFF" w:val="clear"/>
          </w:tcPr>
          <w:p>
            <w:r>
              <w:rPr>
                <w:sz w:val="15"/>
              </w:rPr>
              <w:t>✅ Marge nette de 36.7%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101.352 Mds FCFA</w:t>
            </w:r>
          </w:p>
        </w:tc>
        <w:tc>
          <w:tcPr>
            <w:tcW w:type="dxa" w:w="5669"/>
            <w:shd w:fill="FFFFFF" w:val="clear"/>
          </w:tcPr>
          <w:p>
            <w:r>
              <w:rPr>
                <w:sz w:val="15"/>
              </w:rPr>
              <w:t>✅ Résultat net positif de 101.352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4.88%</w:t>
            </w:r>
          </w:p>
        </w:tc>
        <w:tc>
          <w:tcPr>
            <w:tcW w:type="dxa" w:w="5669"/>
            <w:shd w:fill="FFFFFF" w:val="clear"/>
          </w:tcPr>
          <w:p>
            <w:r>
              <w:rPr>
                <w:sz w:val="15"/>
              </w:rPr>
              <w:t>⚠️ Croissance faible (4.9%)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13.14%</w:t>
            </w:r>
          </w:p>
        </w:tc>
        <w:tc>
          <w:tcPr>
            <w:tcW w:type="dxa" w:w="5669"/>
            <w:shd w:fill="FFFFFF" w:val="clear"/>
          </w:tcPr>
          <w:p>
            <w:r>
              <w:rPr>
                <w:sz w:val="15"/>
              </w:rPr>
              <w:t>⚠️ Autonomie limitée (13.1%)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86.86%</w:t>
            </w:r>
          </w:p>
        </w:tc>
        <w:tc>
          <w:tcPr>
            <w:tcW w:type="dxa" w:w="5669"/>
            <w:shd w:fill="FFFFFF" w:val="clear"/>
          </w:tcPr>
          <w:p>
            <w:r>
              <w:rPr>
                <w:sz w:val="15"/>
              </w:rPr>
              <w:t>✅ Gearing de 87%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115.12%</w:t>
            </w:r>
          </w:p>
        </w:tc>
        <w:tc>
          <w:tcPr>
            <w:tcW w:type="dxa" w:w="5669"/>
            <w:shd w:fill="FFFFFF" w:val="clear"/>
          </w:tcPr>
          <w:p>
            <w:r>
              <w:rPr>
                <w:sz w:val="15"/>
              </w:rPr>
              <w:t>⚠️ Solvabilité limite (115%)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38.75%</w:t>
            </w:r>
          </w:p>
        </w:tc>
        <w:tc>
          <w:tcPr>
            <w:tcW w:type="dxa" w:w="5669"/>
            <w:shd w:fill="FFFFFF" w:val="clear"/>
          </w:tcPr>
          <w:p>
            <w:r>
              <w:rPr>
                <w:sz w:val="15"/>
              </w:rPr>
              <w:t>✅ Coeff. d'exploitation de 38.8%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44.28%</w:t>
            </w:r>
          </w:p>
        </w:tc>
        <w:tc>
          <w:tcPr>
            <w:tcW w:type="dxa" w:w="5669"/>
            <w:shd w:fill="FFFFFF" w:val="clear"/>
          </w:tcPr>
          <w:p>
            <w:r>
              <w:rPr>
                <w:sz w:val="15"/>
              </w:rPr>
              <w:t>✅ Marge opérationnelle de 44.3% — excellente efficacité de l'exploitation principale.</w:t>
            </w:r>
          </w:p>
        </w:tc>
      </w:tr>
    </w:tbl>
    <w:p/>
    <w:p>
      <w:pPr>
        <w:spacing w:before="160"/>
      </w:pPr>
      <w:r>
        <w:rPr>
          <w:b/>
          <w:color w:val="003366"/>
          <w:sz w:val="20"/>
        </w:rPr>
        <w:t xml:space="preserve">▶ SIBC — SIBC - SOCIETE IVOIRIENNE DE BANQUE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27.16%</w:t>
            </w:r>
          </w:p>
        </w:tc>
        <w:tc>
          <w:tcPr>
            <w:tcW w:type="dxa" w:w="5669"/>
            <w:shd w:fill="FFFFFF" w:val="clear"/>
          </w:tcPr>
          <w:p>
            <w:r>
              <w:rPr>
                <w:sz w:val="15"/>
              </w:rPr>
              <w:t>✅ ROE de 27.2%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2.96%</w:t>
            </w:r>
          </w:p>
        </w:tc>
        <w:tc>
          <w:tcPr>
            <w:tcW w:type="dxa" w:w="5669"/>
            <w:shd w:fill="FFFFFF" w:val="clear"/>
          </w:tcPr>
          <w:p>
            <w:r>
              <w:rPr>
                <w:sz w:val="15"/>
              </w:rPr>
              <w:t>✅ ROA de 2.96%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51.19%</w:t>
            </w:r>
          </w:p>
        </w:tc>
        <w:tc>
          <w:tcPr>
            <w:tcW w:type="dxa" w:w="5669"/>
            <w:shd w:fill="FFFFFF" w:val="clear"/>
          </w:tcPr>
          <w:p>
            <w:r>
              <w:rPr>
                <w:sz w:val="15"/>
              </w:rPr>
              <w:t>✅ Marge nette de 51.2%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55.623 Mds FCFA</w:t>
            </w:r>
          </w:p>
        </w:tc>
        <w:tc>
          <w:tcPr>
            <w:tcW w:type="dxa" w:w="5669"/>
            <w:shd w:fill="FFFFFF" w:val="clear"/>
          </w:tcPr>
          <w:p>
            <w:r>
              <w:rPr>
                <w:sz w:val="15"/>
              </w:rPr>
              <w:t>✅ Résultat net positif de 55.623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5.74%</w:t>
            </w:r>
          </w:p>
        </w:tc>
        <w:tc>
          <w:tcPr>
            <w:tcW w:type="dxa" w:w="5669"/>
            <w:shd w:fill="FFFFFF" w:val="clear"/>
          </w:tcPr>
          <w:p>
            <w:r>
              <w:rPr>
                <w:sz w:val="15"/>
              </w:rPr>
              <w:t>✅ Croissance de 5.7%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10.88%</w:t>
            </w:r>
          </w:p>
        </w:tc>
        <w:tc>
          <w:tcPr>
            <w:tcW w:type="dxa" w:w="5669"/>
            <w:shd w:fill="FFFFFF" w:val="clear"/>
          </w:tcPr>
          <w:p>
            <w:r>
              <w:rPr>
                <w:sz w:val="15"/>
              </w:rPr>
              <w:t>⚠️ Autonomie limitée (10.9%)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50.92%</w:t>
            </w:r>
          </w:p>
        </w:tc>
        <w:tc>
          <w:tcPr>
            <w:tcW w:type="dxa" w:w="5669"/>
            <w:shd w:fill="FFFFFF" w:val="clear"/>
          </w:tcPr>
          <w:p>
            <w:r>
              <w:rPr>
                <w:sz w:val="15"/>
              </w:rPr>
              <w:t>✅ Gearing de 51%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112.21%</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38.59%</w:t>
            </w:r>
          </w:p>
        </w:tc>
        <w:tc>
          <w:tcPr>
            <w:tcW w:type="dxa" w:w="5669"/>
            <w:shd w:fill="FFFFFF" w:val="clear"/>
          </w:tcPr>
          <w:p>
            <w:r>
              <w:rPr>
                <w:sz w:val="15"/>
              </w:rPr>
              <w:t>✅ Coeff. d'exploitation de 38.6%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58.06%</w:t>
            </w:r>
          </w:p>
        </w:tc>
        <w:tc>
          <w:tcPr>
            <w:tcW w:type="dxa" w:w="5669"/>
            <w:shd w:fill="FFFFFF" w:val="clear"/>
          </w:tcPr>
          <w:p>
            <w:r>
              <w:rPr>
                <w:sz w:val="15"/>
              </w:rPr>
              <w:t>✅ Marge opérationnelle de 58.1% — excellente efficacité de l'exploitation principale.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BICC</w:t>
            </w:r>
          </w:p>
        </w:tc>
        <w:tc>
          <w:tcPr>
            <w:tcW w:type="dxa" w:w="1728"/>
            <w:shd w:fill="C6EFCE" w:val="clear"/>
          </w:tcPr>
          <w:p>
            <w:r>
              <w:rPr>
                <w:color w:val="006400"/>
                <w:sz w:val="16"/>
              </w:rPr>
              <w:t>30.29%</w:t>
            </w:r>
          </w:p>
        </w:tc>
        <w:tc>
          <w:tcPr>
            <w:tcW w:type="dxa" w:w="1728"/>
            <w:shd w:fill="FFC7CE" w:val="clear"/>
          </w:tcPr>
          <w:p>
            <w:r>
              <w:rPr>
                <w:b/>
                <w:color w:val="B40000"/>
                <w:sz w:val="16"/>
              </w:rPr>
              <w:t>BOAN</w:t>
            </w:r>
          </w:p>
        </w:tc>
        <w:tc>
          <w:tcPr>
            <w:tcW w:type="dxa" w:w="1728"/>
            <w:shd w:fill="FFC7CE" w:val="clear"/>
          </w:tcPr>
          <w:p>
            <w:r>
              <w:rPr>
                <w:color w:val="B40000"/>
                <w:sz w:val="16"/>
              </w:rPr>
              <w:t>1.13%</w:t>
            </w:r>
          </w:p>
        </w:tc>
      </w:tr>
      <w:tr>
        <w:tc>
          <w:tcPr>
            <w:tcW w:type="dxa" w:w="1728"/>
            <w:shd w:fill="EEF2F7" w:val="clear"/>
          </w:tcPr>
          <w:p>
            <w:r>
              <w:rPr>
                <w:b/>
                <w:sz w:val="16"/>
              </w:rPr>
              <w:t>Marge nette</w:t>
            </w:r>
          </w:p>
        </w:tc>
        <w:tc>
          <w:tcPr>
            <w:tcW w:type="dxa" w:w="1728"/>
            <w:shd w:fill="C6EFCE" w:val="clear"/>
          </w:tcPr>
          <w:p>
            <w:r>
              <w:rPr>
                <w:b/>
                <w:color w:val="006400"/>
                <w:sz w:val="16"/>
              </w:rPr>
              <w:t>BICB</w:t>
            </w:r>
          </w:p>
        </w:tc>
        <w:tc>
          <w:tcPr>
            <w:tcW w:type="dxa" w:w="1728"/>
            <w:shd w:fill="C6EFCE" w:val="clear"/>
          </w:tcPr>
          <w:p>
            <w:r>
              <w:rPr>
                <w:color w:val="006400"/>
                <w:sz w:val="16"/>
              </w:rPr>
              <w:t>68.62%</w:t>
            </w:r>
          </w:p>
        </w:tc>
        <w:tc>
          <w:tcPr>
            <w:tcW w:type="dxa" w:w="1728"/>
            <w:shd w:fill="FFC7CE" w:val="clear"/>
          </w:tcPr>
          <w:p>
            <w:r>
              <w:rPr>
                <w:b/>
                <w:color w:val="B40000"/>
                <w:sz w:val="16"/>
              </w:rPr>
              <w:t>BOAN</w:t>
            </w:r>
          </w:p>
        </w:tc>
        <w:tc>
          <w:tcPr>
            <w:tcW w:type="dxa" w:w="1728"/>
            <w:shd w:fill="FFC7CE" w:val="clear"/>
          </w:tcPr>
          <w:p>
            <w:r>
              <w:rPr>
                <w:color w:val="B40000"/>
                <w:sz w:val="16"/>
              </w:rPr>
              <w:t>1.94%</w:t>
            </w:r>
          </w:p>
        </w:tc>
      </w:tr>
      <w:tr>
        <w:tc>
          <w:tcPr>
            <w:tcW w:type="dxa" w:w="1728"/>
            <w:shd w:fill="EEF2F7" w:val="clear"/>
          </w:tcPr>
          <w:p>
            <w:r>
              <w:rPr>
                <w:b/>
                <w:sz w:val="16"/>
              </w:rPr>
              <w:t>Croissance CA/PNB</w:t>
            </w:r>
          </w:p>
        </w:tc>
        <w:tc>
          <w:tcPr>
            <w:tcW w:type="dxa" w:w="1728"/>
            <w:shd w:fill="C6EFCE" w:val="clear"/>
          </w:tcPr>
          <w:p>
            <w:r>
              <w:rPr>
                <w:b/>
                <w:color w:val="006400"/>
                <w:sz w:val="16"/>
              </w:rPr>
              <w:t>SAFC</w:t>
            </w:r>
          </w:p>
        </w:tc>
        <w:tc>
          <w:tcPr>
            <w:tcW w:type="dxa" w:w="1728"/>
            <w:shd w:fill="C6EFCE" w:val="clear"/>
          </w:tcPr>
          <w:p>
            <w:r>
              <w:rPr>
                <w:color w:val="006400"/>
                <w:sz w:val="16"/>
              </w:rPr>
              <w:t>44.10%</w:t>
            </w:r>
          </w:p>
        </w:tc>
        <w:tc>
          <w:tcPr>
            <w:tcW w:type="dxa" w:w="1728"/>
            <w:shd w:fill="FFC7CE" w:val="clear"/>
          </w:tcPr>
          <w:p>
            <w:r>
              <w:rPr>
                <w:b/>
                <w:color w:val="B40000"/>
                <w:sz w:val="16"/>
              </w:rPr>
              <w:t>ORGT</w:t>
            </w:r>
          </w:p>
        </w:tc>
        <w:tc>
          <w:tcPr>
            <w:tcW w:type="dxa" w:w="1728"/>
            <w:shd w:fill="FFC7CE" w:val="clear"/>
          </w:tcPr>
          <w:p>
            <w:r>
              <w:rPr>
                <w:color w:val="B40000"/>
                <w:sz w:val="16"/>
              </w:rPr>
              <w:t>-4.52%</w:t>
            </w:r>
          </w:p>
        </w:tc>
      </w:tr>
      <w:tr>
        <w:tc>
          <w:tcPr>
            <w:tcW w:type="dxa" w:w="1728"/>
            <w:shd w:fill="EEF2F7" w:val="clear"/>
          </w:tcPr>
          <w:p>
            <w:r>
              <w:rPr>
                <w:b/>
                <w:sz w:val="16"/>
              </w:rPr>
              <w:t>Autonomie fin.</w:t>
            </w:r>
          </w:p>
        </w:tc>
        <w:tc>
          <w:tcPr>
            <w:tcW w:type="dxa" w:w="1728"/>
            <w:shd w:fill="C6EFCE" w:val="clear"/>
          </w:tcPr>
          <w:p>
            <w:r>
              <w:rPr>
                <w:b/>
                <w:color w:val="006400"/>
                <w:sz w:val="16"/>
              </w:rPr>
              <w:t>SGBC</w:t>
            </w:r>
          </w:p>
        </w:tc>
        <w:tc>
          <w:tcPr>
            <w:tcW w:type="dxa" w:w="1728"/>
            <w:shd w:fill="C6EFCE" w:val="clear"/>
          </w:tcPr>
          <w:p>
            <w:r>
              <w:rPr>
                <w:color w:val="006400"/>
                <w:sz w:val="16"/>
              </w:rPr>
              <w:t>13.14%</w:t>
            </w:r>
          </w:p>
        </w:tc>
        <w:tc>
          <w:tcPr>
            <w:tcW w:type="dxa" w:w="1728"/>
            <w:shd w:fill="FFC7CE" w:val="clear"/>
          </w:tcPr>
          <w:p>
            <w:r>
              <w:rPr>
                <w:b/>
                <w:color w:val="B40000"/>
                <w:sz w:val="16"/>
              </w:rPr>
              <w:t>ORGT</w:t>
            </w:r>
          </w:p>
        </w:tc>
        <w:tc>
          <w:tcPr>
            <w:tcW w:type="dxa" w:w="1728"/>
            <w:shd w:fill="FFC7CE" w:val="clear"/>
          </w:tcPr>
          <w:p>
            <w:r>
              <w:rPr>
                <w:color w:val="B40000"/>
                <w:sz w:val="16"/>
              </w:rPr>
              <w:t>2.82%</w:t>
            </w:r>
          </w:p>
        </w:tc>
      </w:tr>
      <w:tr>
        <w:tc>
          <w:tcPr>
            <w:tcW w:type="dxa" w:w="1728"/>
            <w:shd w:fill="EEF2F7" w:val="clear"/>
          </w:tcPr>
          <w:p>
            <w:r>
              <w:rPr>
                <w:b/>
                <w:sz w:val="16"/>
              </w:rPr>
              <w:t>Liquidité gén.</w:t>
            </w:r>
          </w:p>
        </w:tc>
        <w:tc>
          <w:tcPr>
            <w:tcW w:type="dxa" w:w="1728"/>
            <w:shd w:fill="C6EFCE" w:val="clear"/>
          </w:tcPr>
          <w:p>
            <w:r>
              <w:rPr>
                <w:b/>
                <w:color w:val="006400"/>
                <w:sz w:val="16"/>
              </w:rPr>
              <w:t>BICB</w:t>
            </w:r>
          </w:p>
        </w:tc>
        <w:tc>
          <w:tcPr>
            <w:tcW w:type="dxa" w:w="1728"/>
            <w:shd w:fill="C6EFCE" w:val="clear"/>
          </w:tcPr>
          <w:p>
            <w:r>
              <w:rPr>
                <w:color w:val="006400"/>
                <w:sz w:val="16"/>
              </w:rPr>
              <w:t>5646.45%</w:t>
            </w:r>
          </w:p>
        </w:tc>
        <w:tc>
          <w:tcPr>
            <w:tcW w:type="dxa" w:w="1728"/>
            <w:shd w:fill="FFC7CE" w:val="clear"/>
          </w:tcPr>
          <w:p>
            <w:r>
              <w:rPr>
                <w:b/>
                <w:color w:val="B40000"/>
                <w:sz w:val="16"/>
              </w:rPr>
              <w:t>SAFC</w:t>
            </w:r>
          </w:p>
        </w:tc>
        <w:tc>
          <w:tcPr>
            <w:tcW w:type="dxa" w:w="1728"/>
            <w:shd w:fill="FFC7CE" w:val="clear"/>
          </w:tcPr>
          <w:p>
            <w:r>
              <w:rPr>
                <w:color w:val="B40000"/>
                <w:sz w:val="16"/>
              </w:rPr>
              <w:t>537.55%</w:t>
            </w:r>
          </w:p>
        </w:tc>
      </w:tr>
      <w:tr>
        <w:tc>
          <w:tcPr>
            <w:tcW w:type="dxa" w:w="1728"/>
            <w:shd w:fill="EEF2F7" w:val="clear"/>
          </w:tcPr>
          <w:p>
            <w:r>
              <w:rPr>
                <w:b/>
                <w:sz w:val="16"/>
              </w:rPr>
              <w:t>FCF</w:t>
            </w:r>
          </w:p>
        </w:tc>
        <w:tc>
          <w:tcPr>
            <w:tcW w:type="dxa" w:w="1728"/>
            <w:shd w:fill="C6EFCE" w:val="clear"/>
          </w:tcPr>
          <w:p>
            <w:r>
              <w:rPr>
                <w:b/>
                <w:color w:val="006400"/>
                <w:sz w:val="16"/>
              </w:rPr>
              <w:t>ETIT</w:t>
            </w:r>
          </w:p>
        </w:tc>
        <w:tc>
          <w:tcPr>
            <w:tcW w:type="dxa" w:w="1728"/>
            <w:shd w:fill="C6EFCE" w:val="clear"/>
          </w:tcPr>
          <w:p>
            <w:r>
              <w:rPr>
                <w:color w:val="006400"/>
                <w:sz w:val="16"/>
              </w:rPr>
              <w:t>343.247 Mds FCFA</w:t>
            </w:r>
          </w:p>
        </w:tc>
        <w:tc>
          <w:tcPr>
            <w:tcW w:type="dxa" w:w="1728"/>
            <w:shd w:fill="FFC7CE" w:val="clear"/>
          </w:tcPr>
          <w:p>
            <w:r>
              <w:rPr>
                <w:b/>
                <w:color w:val="B40000"/>
                <w:sz w:val="16"/>
              </w:rPr>
              <w:t>ORGT</w:t>
            </w:r>
          </w:p>
        </w:tc>
        <w:tc>
          <w:tcPr>
            <w:tcW w:type="dxa" w:w="1728"/>
            <w:shd w:fill="FFC7CE" w:val="clear"/>
          </w:tcPr>
          <w:p>
            <w:r>
              <w:rPr>
                <w:color w:val="B40000"/>
                <w:sz w:val="16"/>
              </w:rPr>
              <w:t>132.906 Mds FCFA</w:t>
            </w:r>
          </w:p>
        </w:tc>
      </w:tr>
      <w:tr>
        <w:tc>
          <w:tcPr>
            <w:tcW w:type="dxa" w:w="1728"/>
            <w:shd w:fill="EEF2F7" w:val="clear"/>
          </w:tcPr>
          <w:p>
            <w:r>
              <w:rPr>
                <w:b/>
                <w:sz w:val="16"/>
              </w:rPr>
              <w:t>Coeff. exploit.</w:t>
            </w:r>
          </w:p>
        </w:tc>
        <w:tc>
          <w:tcPr>
            <w:tcW w:type="dxa" w:w="1728"/>
            <w:shd w:fill="C6EFCE" w:val="clear"/>
          </w:tcPr>
          <w:p>
            <w:r>
              <w:rPr>
                <w:b/>
                <w:color w:val="006400"/>
                <w:sz w:val="16"/>
              </w:rPr>
              <w:t>ETIT</w:t>
            </w:r>
          </w:p>
        </w:tc>
        <w:tc>
          <w:tcPr>
            <w:tcW w:type="dxa" w:w="1728"/>
            <w:shd w:fill="C6EFCE" w:val="clear"/>
          </w:tcPr>
          <w:p>
            <w:r>
              <w:rPr>
                <w:color w:val="006400"/>
                <w:sz w:val="16"/>
              </w:rPr>
              <w:t>27.35%</w:t>
            </w:r>
          </w:p>
        </w:tc>
        <w:tc>
          <w:tcPr>
            <w:tcW w:type="dxa" w:w="1728"/>
            <w:shd w:fill="FFC7CE" w:val="clear"/>
          </w:tcPr>
          <w:p>
            <w:r>
              <w:rPr>
                <w:b/>
                <w:color w:val="B40000"/>
                <w:sz w:val="16"/>
              </w:rPr>
              <w:t>SAFC</w:t>
            </w:r>
          </w:p>
        </w:tc>
        <w:tc>
          <w:tcPr>
            <w:tcW w:type="dxa" w:w="1728"/>
            <w:shd w:fill="FFC7CE" w:val="clear"/>
          </w:tcPr>
          <w:p>
            <w:r>
              <w:rPr>
                <w:color w:val="B40000"/>
                <w:sz w:val="16"/>
              </w:rPr>
              <w:t>77.63%</w:t>
            </w:r>
          </w:p>
        </w:tc>
      </w:tr>
    </w:tbl>
    <w:p/>
    <w:p>
      <w:r>
        <w:br w:type="page"/>
      </w:r>
    </w:p>
    <w:p>
      <w:pPr>
        <w:pStyle w:val="Heading2"/>
      </w:pPr>
      <w:r>
        <w:rPr>
          <w:color w:val="003366"/>
        </w:rPr>
        <w:t>📂 Secteur : SERVICES PUBLICS</w:t>
      </w:r>
    </w:p>
    <w:p>
      <w:r>
        <w:rPr>
          <w:sz w:val="18"/>
        </w:rPr>
        <w:t>2 société(s) avec données financières sur 2 cotée(s) dans ce secteur. Exercice(s) analysé(s) :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2880"/>
        <w:gridCol w:w="2880"/>
        <w:gridCol w:w="2880"/>
      </w:tblGrid>
      <w:tr>
        <w:tc>
          <w:tcPr>
            <w:tcW w:type="dxa" w:w="2551"/>
            <w:shd w:fill="1F4E79" w:val="clear"/>
          </w:tcPr>
          <w:p>
            <w:r>
              <w:rPr>
                <w:b/>
                <w:color w:val="FFFFFF"/>
                <w:sz w:val="16"/>
              </w:rPr>
              <w:t>Indicateur</w:t>
            </w:r>
          </w:p>
        </w:tc>
        <w:tc>
          <w:tcPr>
            <w:tcW w:type="dxa" w:w="3685"/>
            <w:shd w:fill="1F4E79" w:val="clear"/>
          </w:tcPr>
          <w:p>
            <w:r>
              <w:rPr>
                <w:b/>
                <w:color w:val="FFFFFF"/>
                <w:sz w:val="15"/>
              </w:rPr>
              <w:t>CIEC (2025)</w:t>
            </w:r>
          </w:p>
        </w:tc>
        <w:tc>
          <w:tcPr>
            <w:tcW w:type="dxa" w:w="3685"/>
            <w:shd w:fill="1F4E79" w:val="clear"/>
          </w:tcPr>
          <w:p>
            <w:r>
              <w:rPr>
                <w:b/>
                <w:color w:val="FFFFFF"/>
                <w:sz w:val="15"/>
              </w:rPr>
              <w:t>SDCC (2025)</w:t>
            </w:r>
          </w:p>
        </w:tc>
      </w:tr>
      <w:tr>
        <w:tc>
          <w:tcPr>
            <w:tcW w:type="dxa" w:w="2551"/>
            <w:shd w:fill="EEF2F7" w:val="clear"/>
          </w:tcPr>
          <w:p>
            <w:r>
              <w:rPr>
                <w:b/>
                <w:sz w:val="15"/>
              </w:rPr>
              <w:t>ROE</w:t>
            </w:r>
          </w:p>
        </w:tc>
        <w:tc>
          <w:tcPr>
            <w:tcW w:type="dxa" w:w="3685"/>
            <w:shd w:fill="C6EFCE" w:val="clear"/>
          </w:tcPr>
          <w:p>
            <w:r>
              <w:rPr>
                <w:b/>
                <w:color w:val="006400"/>
                <w:sz w:val="16"/>
              </w:rPr>
              <w:t>36.50%</w:t>
            </w:r>
          </w:p>
        </w:tc>
        <w:tc>
          <w:tcPr>
            <w:tcW w:type="dxa" w:w="3685"/>
            <w:shd w:fill="FFC7CE" w:val="clear"/>
          </w:tcPr>
          <w:p>
            <w:r>
              <w:rPr>
                <w:b/>
                <w:color w:val="B40000"/>
                <w:sz w:val="16"/>
              </w:rPr>
              <w:t>23.65%</w:t>
            </w:r>
          </w:p>
        </w:tc>
      </w:tr>
      <w:tr>
        <w:tc>
          <w:tcPr>
            <w:tcW w:type="dxa" w:w="2551"/>
            <w:shd w:fill="EEF2F7" w:val="clear"/>
          </w:tcPr>
          <w:p>
            <w:r>
              <w:rPr>
                <w:b/>
                <w:sz w:val="15"/>
              </w:rPr>
              <w:t>ROA</w:t>
            </w:r>
          </w:p>
        </w:tc>
        <w:tc>
          <w:tcPr>
            <w:tcW w:type="dxa" w:w="3685"/>
            <w:shd w:fill="FFC7CE" w:val="clear"/>
          </w:tcPr>
          <w:p>
            <w:r>
              <w:rPr>
                <w:b/>
                <w:color w:val="B40000"/>
                <w:sz w:val="16"/>
              </w:rPr>
              <w:t>0.65%</w:t>
            </w:r>
          </w:p>
        </w:tc>
        <w:tc>
          <w:tcPr>
            <w:tcW w:type="dxa" w:w="3685"/>
            <w:shd w:fill="C6EFCE" w:val="clear"/>
          </w:tcPr>
          <w:p>
            <w:r>
              <w:rPr>
                <w:b/>
                <w:color w:val="006400"/>
                <w:sz w:val="16"/>
              </w:rPr>
              <w:t>0.99%</w:t>
            </w:r>
          </w:p>
        </w:tc>
      </w:tr>
      <w:tr>
        <w:tc>
          <w:tcPr>
            <w:tcW w:type="dxa" w:w="2551"/>
            <w:shd w:fill="EEF2F7" w:val="clear"/>
          </w:tcPr>
          <w:p>
            <w:r>
              <w:rPr>
                <w:b/>
                <w:sz w:val="15"/>
              </w:rPr>
              <w:t>Marge nette</w:t>
            </w:r>
          </w:p>
        </w:tc>
        <w:tc>
          <w:tcPr>
            <w:tcW w:type="dxa" w:w="3685"/>
            <w:shd w:fill="C6EFCE" w:val="clear"/>
          </w:tcPr>
          <w:p>
            <w:r>
              <w:rPr>
                <w:b/>
                <w:color w:val="006400"/>
                <w:sz w:val="16"/>
              </w:rPr>
              <w:t>4.34%</w:t>
            </w:r>
          </w:p>
        </w:tc>
        <w:tc>
          <w:tcPr>
            <w:tcW w:type="dxa" w:w="3685"/>
            <w:shd w:fill="FFC7CE" w:val="clear"/>
          </w:tcPr>
          <w:p>
            <w:r>
              <w:rPr>
                <w:b/>
                <w:color w:val="B40000"/>
                <w:sz w:val="16"/>
              </w:rPr>
              <w:t>2.46%</w:t>
            </w:r>
          </w:p>
        </w:tc>
      </w:tr>
      <w:tr>
        <w:tc>
          <w:tcPr>
            <w:tcW w:type="dxa" w:w="2551"/>
            <w:shd w:fill="EEF2F7" w:val="clear"/>
          </w:tcPr>
          <w:p>
            <w:r>
              <w:rPr>
                <w:b/>
                <w:sz w:val="15"/>
              </w:rPr>
              <w:t>Résultat net</w:t>
            </w:r>
          </w:p>
        </w:tc>
        <w:tc>
          <w:tcPr>
            <w:tcW w:type="dxa" w:w="3685"/>
            <w:shd w:fill="C6EFCE" w:val="clear"/>
          </w:tcPr>
          <w:p>
            <w:r>
              <w:rPr>
                <w:b/>
                <w:color w:val="006400"/>
                <w:sz w:val="16"/>
              </w:rPr>
              <w:t>13.127 Mds FCFA</w:t>
            </w:r>
          </w:p>
        </w:tc>
        <w:tc>
          <w:tcPr>
            <w:tcW w:type="dxa" w:w="3685"/>
            <w:shd w:fill="FFC7CE" w:val="clear"/>
          </w:tcPr>
          <w:p>
            <w:r>
              <w:rPr>
                <w:b/>
                <w:color w:val="B40000"/>
                <w:sz w:val="16"/>
              </w:rPr>
              <w:t>4.663 Mds FCFA</w:t>
            </w:r>
          </w:p>
        </w:tc>
      </w:tr>
      <w:tr>
        <w:tc>
          <w:tcPr>
            <w:tcW w:type="dxa" w:w="2551"/>
            <w:shd w:fill="EEF2F7" w:val="clear"/>
          </w:tcPr>
          <w:p>
            <w:r>
              <w:rPr>
                <w:b/>
                <w:sz w:val="15"/>
              </w:rPr>
              <w:t>Taux croissance CA/PNB</w:t>
            </w:r>
          </w:p>
        </w:tc>
        <w:tc>
          <w:tcPr>
            <w:tcW w:type="dxa" w:w="3685"/>
            <w:shd w:fill="C6EFCE" w:val="clear"/>
          </w:tcPr>
          <w:p>
            <w:r>
              <w:rPr>
                <w:b/>
                <w:color w:val="006400"/>
                <w:sz w:val="16"/>
              </w:rPr>
              <w:t>14.82%</w:t>
            </w:r>
          </w:p>
        </w:tc>
        <w:tc>
          <w:tcPr>
            <w:tcW w:type="dxa" w:w="3685"/>
            <w:shd w:fill="FFC7CE" w:val="clear"/>
          </w:tcPr>
          <w:p>
            <w:r>
              <w:rPr>
                <w:b/>
                <w:color w:val="B40000"/>
                <w:sz w:val="16"/>
              </w:rPr>
              <w:t>9.98%</w:t>
            </w:r>
          </w:p>
        </w:tc>
      </w:tr>
      <w:tr>
        <w:tc>
          <w:tcPr>
            <w:tcW w:type="dxa" w:w="2551"/>
            <w:shd w:fill="EEF2F7" w:val="clear"/>
          </w:tcPr>
          <w:p>
            <w:r>
              <w:rPr>
                <w:b/>
                <w:sz w:val="15"/>
              </w:rPr>
              <w:t>Autonomie financière</w:t>
            </w:r>
          </w:p>
        </w:tc>
        <w:tc>
          <w:tcPr>
            <w:tcW w:type="dxa" w:w="3685"/>
            <w:shd w:fill="FFC7CE" w:val="clear"/>
          </w:tcPr>
          <w:p>
            <w:r>
              <w:rPr>
                <w:b/>
                <w:color w:val="B40000"/>
                <w:sz w:val="16"/>
              </w:rPr>
              <w:t>1.78%</w:t>
            </w:r>
          </w:p>
        </w:tc>
        <w:tc>
          <w:tcPr>
            <w:tcW w:type="dxa" w:w="3685"/>
            <w:shd w:fill="C6EFCE" w:val="clear"/>
          </w:tcPr>
          <w:p>
            <w:r>
              <w:rPr>
                <w:b/>
                <w:color w:val="006400"/>
                <w:sz w:val="16"/>
              </w:rPr>
              <w:t>4.17%</w:t>
            </w:r>
          </w:p>
        </w:tc>
      </w:tr>
      <w:tr>
        <w:tc>
          <w:tcPr>
            <w:tcW w:type="dxa" w:w="2551"/>
            <w:shd w:fill="EEF2F7" w:val="clear"/>
          </w:tcPr>
          <w:p>
            <w:r>
              <w:rPr>
                <w:b/>
                <w:sz w:val="15"/>
              </w:rPr>
              <w:t>Ratio endettement</w:t>
            </w:r>
          </w:p>
        </w:tc>
        <w:tc>
          <w:tcPr>
            <w:tcW w:type="dxa" w:w="3685"/>
            <w:shd w:fill="FFC7CE" w:val="clear"/>
          </w:tcPr>
          <w:p>
            <w:r>
              <w:rPr>
                <w:b/>
                <w:color w:val="B40000"/>
                <w:sz w:val="16"/>
              </w:rPr>
              <w:t>612.94%</w:t>
            </w:r>
          </w:p>
        </w:tc>
        <w:tc>
          <w:tcPr>
            <w:tcW w:type="dxa" w:w="3685"/>
            <w:shd w:fill="C6EFCE" w:val="clear"/>
          </w:tcPr>
          <w:p>
            <w:r>
              <w:rPr>
                <w:b/>
                <w:color w:val="006400"/>
                <w:sz w:val="16"/>
              </w:rPr>
              <w:t>95.83%</w:t>
            </w:r>
          </w:p>
        </w:tc>
      </w:tr>
      <w:tr>
        <w:tc>
          <w:tcPr>
            <w:tcW w:type="dxa" w:w="2551"/>
            <w:shd w:fill="EEF2F7" w:val="clear"/>
          </w:tcPr>
          <w:p>
            <w:r>
              <w:rPr>
                <w:b/>
                <w:sz w:val="15"/>
              </w:rPr>
              <w:t>Solvabilité générale</w:t>
            </w:r>
          </w:p>
        </w:tc>
        <w:tc>
          <w:tcPr>
            <w:tcW w:type="dxa" w:w="3685"/>
            <w:shd w:fill="FFC7CE" w:val="clear"/>
          </w:tcPr>
          <w:p>
            <w:r>
              <w:rPr>
                <w:b/>
                <w:color w:val="B40000"/>
                <w:sz w:val="16"/>
              </w:rPr>
              <w:t>101.81%</w:t>
            </w:r>
          </w:p>
        </w:tc>
        <w:tc>
          <w:tcPr>
            <w:tcW w:type="dxa" w:w="3685"/>
            <w:shd w:fill="C6EFCE" w:val="clear"/>
          </w:tcPr>
          <w:p>
            <w:r>
              <w:rPr>
                <w:b/>
                <w:color w:val="006400"/>
                <w:sz w:val="16"/>
              </w:rPr>
              <w:t>104.35%</w:t>
            </w:r>
          </w:p>
        </w:tc>
      </w:tr>
      <w:tr>
        <w:tc>
          <w:tcPr>
            <w:tcW w:type="dxa" w:w="2551"/>
            <w:shd w:fill="EEF2F7" w:val="clear"/>
          </w:tcPr>
          <w:p>
            <w:r>
              <w:rPr>
                <w:b/>
                <w:sz w:val="15"/>
              </w:rPr>
              <w:t>Liquidité générale</w:t>
            </w:r>
          </w:p>
        </w:tc>
        <w:tc>
          <w:tcPr>
            <w:tcW w:type="dxa" w:w="3685"/>
            <w:shd w:fill="FFC7CE" w:val="clear"/>
          </w:tcPr>
          <w:p>
            <w:r>
              <w:rPr>
                <w:b/>
                <w:color w:val="B40000"/>
                <w:sz w:val="16"/>
              </w:rPr>
              <w:t>96.95%</w:t>
            </w:r>
          </w:p>
        </w:tc>
        <w:tc>
          <w:tcPr>
            <w:tcW w:type="dxa" w:w="3685"/>
            <w:shd w:fill="C6EFCE" w:val="clear"/>
          </w:tcPr>
          <w:p>
            <w:r>
              <w:rPr>
                <w:b/>
                <w:color w:val="006400"/>
                <w:sz w:val="16"/>
              </w:rPr>
              <w:t>111.32%</w:t>
            </w:r>
          </w:p>
        </w:tc>
      </w:tr>
      <w:tr>
        <w:tc>
          <w:tcPr>
            <w:tcW w:type="dxa" w:w="2551"/>
            <w:shd w:fill="EEF2F7" w:val="clear"/>
          </w:tcPr>
          <w:p>
            <w:r>
              <w:rPr>
                <w:b/>
                <w:sz w:val="15"/>
              </w:rPr>
              <w:t>Free Cash Flow</w:t>
            </w:r>
          </w:p>
        </w:tc>
        <w:tc>
          <w:tcPr>
            <w:tcW w:type="dxa" w:w="3685"/>
            <w:shd w:fill="C6EFCE" w:val="clear"/>
          </w:tcPr>
          <w:p>
            <w:r>
              <w:rPr>
                <w:b/>
                <w:color w:val="006400"/>
                <w:sz w:val="16"/>
              </w:rPr>
              <w:t>20.167 Mds FCFA</w:t>
            </w:r>
          </w:p>
        </w:tc>
        <w:tc>
          <w:tcPr>
            <w:tcW w:type="dxa" w:w="3685"/>
            <w:shd w:fill="FFC7CE" w:val="clear"/>
          </w:tcPr>
          <w:p>
            <w:r>
              <w:rPr>
                <w:b/>
                <w:color w:val="B40000"/>
                <w:sz w:val="16"/>
              </w:rPr>
              <w:t>-38.504 Mds FCFA</w:t>
            </w:r>
          </w:p>
        </w:tc>
      </w:tr>
      <w:tr>
        <w:tc>
          <w:tcPr>
            <w:tcW w:type="dxa" w:w="2551"/>
            <w:shd w:fill="EEF2F7" w:val="clear"/>
          </w:tcPr>
          <w:p>
            <w:r>
              <w:rPr>
                <w:b/>
                <w:sz w:val="15"/>
              </w:rPr>
              <w:t>Marge opérationnelle</w:t>
            </w:r>
          </w:p>
        </w:tc>
        <w:tc>
          <w:tcPr>
            <w:tcW w:type="dxa" w:w="3685"/>
            <w:shd w:fill="C6EFCE" w:val="clear"/>
          </w:tcPr>
          <w:p>
            <w:r>
              <w:rPr>
                <w:b/>
                <w:color w:val="006400"/>
                <w:sz w:val="16"/>
              </w:rPr>
              <w:t>7.40%</w:t>
            </w:r>
          </w:p>
        </w:tc>
        <w:tc>
          <w:tcPr>
            <w:tcW w:type="dxa" w:w="3685"/>
            <w:shd w:fill="FFC7CE" w:val="clear"/>
          </w:tcPr>
          <w:p>
            <w:r>
              <w:rPr>
                <w:b/>
                <w:color w:val="B40000"/>
                <w:sz w:val="16"/>
              </w:rPr>
              <w:t>4.81%</w:t>
            </w:r>
          </w:p>
        </w:tc>
      </w:tr>
      <w:tr>
        <w:tc>
          <w:tcPr>
            <w:tcW w:type="dxa" w:w="2551"/>
            <w:shd w:fill="EEF2F7" w:val="clear"/>
          </w:tcPr>
          <w:p>
            <w:r>
              <w:rPr>
                <w:b/>
                <w:sz w:val="15"/>
              </w:rPr>
              <w:t>Délai clients</w:t>
            </w:r>
          </w:p>
        </w:tc>
        <w:tc>
          <w:tcPr>
            <w:tcW w:type="dxa" w:w="3685"/>
            <w:shd w:fill="C6EFCE" w:val="clear"/>
          </w:tcPr>
          <w:p>
            <w:r>
              <w:rPr>
                <w:b/>
                <w:color w:val="006400"/>
                <w:sz w:val="16"/>
              </w:rPr>
              <w:t>164.0 j</w:t>
            </w:r>
          </w:p>
        </w:tc>
        <w:tc>
          <w:tcPr>
            <w:tcW w:type="dxa" w:w="3685"/>
            <w:shd w:fill="FFC7CE" w:val="clear"/>
          </w:tcPr>
          <w:p>
            <w:r>
              <w:rPr>
                <w:b/>
                <w:color w:val="B40000"/>
                <w:sz w:val="16"/>
              </w:rPr>
              <w:t>749.3 j</w:t>
            </w:r>
          </w:p>
        </w:tc>
      </w:tr>
      <w:tr>
        <w:tc>
          <w:tcPr>
            <w:tcW w:type="dxa" w:w="2551"/>
            <w:shd w:fill="EEF2F7" w:val="clear"/>
          </w:tcPr>
          <w:p>
            <w:r>
              <w:rPr>
                <w:b/>
                <w:sz w:val="15"/>
              </w:rPr>
              <w:t>Durée stockage</w:t>
            </w:r>
          </w:p>
        </w:tc>
        <w:tc>
          <w:tcPr>
            <w:tcW w:type="dxa" w:w="3685"/>
            <w:shd w:fill="FFC7CE" w:val="clear"/>
          </w:tcPr>
          <w:p>
            <w:r>
              <w:rPr>
                <w:b/>
                <w:color w:val="B40000"/>
                <w:sz w:val="16"/>
              </w:rPr>
              <w:t>174.9 j</w:t>
            </w:r>
          </w:p>
        </w:tc>
        <w:tc>
          <w:tcPr>
            <w:tcW w:type="dxa" w:w="3685"/>
            <w:shd w:fill="C6EFCE" w:val="clear"/>
          </w:tcPr>
          <w:p>
            <w:r>
              <w:rPr>
                <w:b/>
                <w:color w:val="006400"/>
                <w:sz w:val="16"/>
              </w:rPr>
              <w:t>59.9 j</w:t>
            </w:r>
          </w:p>
        </w:tc>
      </w:tr>
    </w:tbl>
    <w:p/>
    <w:p>
      <w:pPr>
        <w:pStyle w:val="Heading3"/>
      </w:pPr>
      <w:r>
        <w:t>🔍 Analyse détaillée par société</w:t>
      </w:r>
    </w:p>
    <w:p>
      <w:pPr>
        <w:spacing w:before="160"/>
      </w:pPr>
      <w:r>
        <w:rPr>
          <w:b/>
          <w:color w:val="003366"/>
          <w:sz w:val="20"/>
        </w:rPr>
        <w:t xml:space="preserve">▶ CIEC — CIEC - Compagnie Ivoirienne d'Electricité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36.50%</w:t>
            </w:r>
          </w:p>
        </w:tc>
        <w:tc>
          <w:tcPr>
            <w:tcW w:type="dxa" w:w="5669"/>
            <w:shd w:fill="FFFFFF" w:val="clear"/>
          </w:tcPr>
          <w:p>
            <w:r>
              <w:rPr>
                <w:sz w:val="15"/>
              </w:rPr>
              <w:t>✅ ROE de 36.5%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0.65%</w:t>
            </w:r>
          </w:p>
        </w:tc>
        <w:tc>
          <w:tcPr>
            <w:tcW w:type="dxa" w:w="5669"/>
            <w:shd w:fill="FFFFFF" w:val="clear"/>
          </w:tcPr>
          <w:p>
            <w:r>
              <w:rPr>
                <w:sz w:val="15"/>
              </w:rPr>
              <w:t>⚠️ ROA de 0.65%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4.34%</w:t>
            </w:r>
          </w:p>
        </w:tc>
        <w:tc>
          <w:tcPr>
            <w:tcW w:type="dxa" w:w="5669"/>
            <w:shd w:fill="FFFFFF" w:val="clear"/>
          </w:tcPr>
          <w:p>
            <w:r>
              <w:rPr>
                <w:sz w:val="15"/>
              </w:rPr>
              <w:t>⚠️ Marge nette de 4.3%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13.127 Mds FCFA</w:t>
            </w:r>
          </w:p>
        </w:tc>
        <w:tc>
          <w:tcPr>
            <w:tcW w:type="dxa" w:w="5669"/>
            <w:shd w:fill="FFFFFF" w:val="clear"/>
          </w:tcPr>
          <w:p>
            <w:r>
              <w:rPr>
                <w:sz w:val="15"/>
              </w:rPr>
              <w:t>✅ Résultat net positif de 13.127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14.82%</w:t>
            </w:r>
          </w:p>
        </w:tc>
        <w:tc>
          <w:tcPr>
            <w:tcW w:type="dxa" w:w="5669"/>
            <w:shd w:fill="FFFFFF" w:val="clear"/>
          </w:tcPr>
          <w:p>
            <w:r>
              <w:rPr>
                <w:sz w:val="15"/>
              </w:rPr>
              <w:t>✅ Croissance de 14.8%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1.78%</w:t>
            </w:r>
          </w:p>
        </w:tc>
        <w:tc>
          <w:tcPr>
            <w:tcW w:type="dxa" w:w="5669"/>
            <w:shd w:fill="FFFFFF" w:val="clear"/>
          </w:tcPr>
          <w:p>
            <w:r>
              <w:rPr>
                <w:sz w:val="15"/>
              </w:rPr>
              <w:t>❌ Autonomie très faible (1.8%)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612.94%</w:t>
            </w:r>
          </w:p>
        </w:tc>
        <w:tc>
          <w:tcPr>
            <w:tcW w:type="dxa" w:w="5669"/>
            <w:shd w:fill="FFFFFF" w:val="clear"/>
          </w:tcPr>
          <w:p>
            <w:r>
              <w:rPr>
                <w:sz w:val="15"/>
              </w:rPr>
              <w:t>❌ Gearing de 613%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101.81%</w:t>
            </w:r>
          </w:p>
        </w:tc>
        <w:tc>
          <w:tcPr>
            <w:tcW w:type="dxa" w:w="5669"/>
            <w:shd w:fill="FFFFFF" w:val="clear"/>
          </w:tcPr>
          <w:p>
            <w:r>
              <w:rPr>
                <w:sz w:val="15"/>
              </w:rPr>
              <w:t>⚠️ Solvabilité limite (102%)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96.95%</w:t>
            </w:r>
          </w:p>
        </w:tc>
        <w:tc>
          <w:tcPr>
            <w:tcW w:type="dxa" w:w="5669"/>
            <w:shd w:fill="FFFFFF" w:val="clear"/>
          </w:tcPr>
          <w:p>
            <w:r>
              <w:rPr>
                <w:sz w:val="15"/>
              </w:rPr>
              <w:t>❌ Liquidité insuffisante (96.95x)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20.167 Mds FCFA</w:t>
            </w:r>
          </w:p>
        </w:tc>
        <w:tc>
          <w:tcPr>
            <w:tcW w:type="dxa" w:w="5669"/>
            <w:shd w:fill="FFFFFF" w:val="clear"/>
          </w:tcPr>
          <w:p>
            <w:r>
              <w:rPr>
                <w:sz w:val="15"/>
              </w:rPr>
              <w:t>✅ FCF positif de 20.167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7.40%</w:t>
            </w:r>
          </w:p>
        </w:tc>
        <w:tc>
          <w:tcPr>
            <w:tcW w:type="dxa" w:w="5669"/>
            <w:shd w:fill="FFFFFF" w:val="clear"/>
          </w:tcPr>
          <w:p>
            <w:r>
              <w:rPr>
                <w:sz w:val="15"/>
              </w:rPr>
              <w:t>⚠️ Marge opérationnelle faible (7.4%)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164.0 j</w:t>
            </w:r>
          </w:p>
        </w:tc>
        <w:tc>
          <w:tcPr>
            <w:tcW w:type="dxa" w:w="5669"/>
            <w:shd w:fill="FFFFFF" w:val="clear"/>
          </w:tcPr>
          <w:p>
            <w:r>
              <w:rPr>
                <w:sz w:val="15"/>
              </w:rPr>
              <w:t>❌ Délai critique de 164 jours — process de recouvrement à revoir. Immobilisation de capital excessive.</w:t>
            </w:r>
          </w:p>
        </w:tc>
      </w:tr>
      <w:tr>
        <w:tc>
          <w:tcPr>
            <w:tcW w:type="dxa" w:w="2268"/>
            <w:shd w:fill="EEF2F7" w:val="clear"/>
          </w:tcPr>
          <w:p>
            <w:r>
              <w:rPr>
                <w:b/>
                <w:sz w:val="15"/>
              </w:rPr>
              <w:t>Durée stockage</w:t>
            </w:r>
          </w:p>
        </w:tc>
        <w:tc>
          <w:tcPr>
            <w:tcW w:type="dxa" w:w="1984"/>
            <w:shd w:fill="FFC7CE" w:val="clear"/>
          </w:tcPr>
          <w:p>
            <w:r>
              <w:rPr>
                <w:b/>
                <w:color w:val="007800"/>
                <w:sz w:val="17"/>
              </w:rPr>
              <w:t>174.9 j</w:t>
            </w:r>
          </w:p>
        </w:tc>
        <w:tc>
          <w:tcPr>
            <w:tcW w:type="dxa" w:w="5669"/>
            <w:shd w:fill="FFFFFF" w:val="clear"/>
          </w:tcPr>
          <w:p>
            <w:r>
              <w:rPr>
                <w:sz w:val="15"/>
              </w:rPr>
              <w:t>❌ Stock quasi-bloqué (175 jours) — capital fortement immobilisé, risque d'obsolescence élevé.</w:t>
            </w:r>
          </w:p>
        </w:tc>
      </w:tr>
    </w:tbl>
    <w:p/>
    <w:p>
      <w:pPr>
        <w:spacing w:before="160"/>
      </w:pPr>
      <w:r>
        <w:rPr>
          <w:b/>
          <w:color w:val="003366"/>
          <w:sz w:val="20"/>
        </w:rPr>
        <w:t xml:space="preserve">▶ SDCC — SDCC - Société de Distribution d'Eau de Côte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23.65%</w:t>
            </w:r>
          </w:p>
        </w:tc>
        <w:tc>
          <w:tcPr>
            <w:tcW w:type="dxa" w:w="5669"/>
            <w:shd w:fill="FFFFFF" w:val="clear"/>
          </w:tcPr>
          <w:p>
            <w:r>
              <w:rPr>
                <w:sz w:val="15"/>
              </w:rPr>
              <w:t>✅ ROE de 23.6%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0.99%</w:t>
            </w:r>
          </w:p>
        </w:tc>
        <w:tc>
          <w:tcPr>
            <w:tcW w:type="dxa" w:w="5669"/>
            <w:shd w:fill="FFFFFF" w:val="clear"/>
          </w:tcPr>
          <w:p>
            <w:r>
              <w:rPr>
                <w:sz w:val="15"/>
              </w:rPr>
              <w:t>⚠️ ROA de 0.99%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2.46%</w:t>
            </w:r>
          </w:p>
        </w:tc>
        <w:tc>
          <w:tcPr>
            <w:tcW w:type="dxa" w:w="5669"/>
            <w:shd w:fill="FFFFFF" w:val="clear"/>
          </w:tcPr>
          <w:p>
            <w:r>
              <w:rPr>
                <w:sz w:val="15"/>
              </w:rPr>
              <w:t>⚠️ Marge nette de 2.5%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4.663 Mds FCFA</w:t>
            </w:r>
          </w:p>
        </w:tc>
        <w:tc>
          <w:tcPr>
            <w:tcW w:type="dxa" w:w="5669"/>
            <w:shd w:fill="FFFFFF" w:val="clear"/>
          </w:tcPr>
          <w:p>
            <w:r>
              <w:rPr>
                <w:sz w:val="15"/>
              </w:rPr>
              <w:t>✅ Résultat net positif de 4.663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9.98%</w:t>
            </w:r>
          </w:p>
        </w:tc>
        <w:tc>
          <w:tcPr>
            <w:tcW w:type="dxa" w:w="5669"/>
            <w:shd w:fill="FFFFFF" w:val="clear"/>
          </w:tcPr>
          <w:p>
            <w:r>
              <w:rPr>
                <w:sz w:val="15"/>
              </w:rPr>
              <w:t>✅ Croissance de 10.0%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4.17%</w:t>
            </w:r>
          </w:p>
        </w:tc>
        <w:tc>
          <w:tcPr>
            <w:tcW w:type="dxa" w:w="5669"/>
            <w:shd w:fill="FFFFFF" w:val="clear"/>
          </w:tcPr>
          <w:p>
            <w:r>
              <w:rPr>
                <w:sz w:val="15"/>
              </w:rPr>
              <w:t>❌ Autonomie très faible (4.2%)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95.83%</w:t>
            </w:r>
          </w:p>
        </w:tc>
        <w:tc>
          <w:tcPr>
            <w:tcW w:type="dxa" w:w="5669"/>
            <w:shd w:fill="FFFFFF" w:val="clear"/>
          </w:tcPr>
          <w:p>
            <w:r>
              <w:rPr>
                <w:sz w:val="15"/>
              </w:rPr>
              <w:t>✅ Gearing de 96%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104.35%</w:t>
            </w:r>
          </w:p>
        </w:tc>
        <w:tc>
          <w:tcPr>
            <w:tcW w:type="dxa" w:w="5669"/>
            <w:shd w:fill="FFFFFF" w:val="clear"/>
          </w:tcPr>
          <w:p>
            <w:r>
              <w:rPr>
                <w:sz w:val="15"/>
              </w:rPr>
              <w:t>⚠️ Solvabilité limite (104%)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111.32%</w:t>
            </w:r>
          </w:p>
        </w:tc>
        <w:tc>
          <w:tcPr>
            <w:tcW w:type="dxa" w:w="5669"/>
            <w:shd w:fill="FFFFFF" w:val="clear"/>
          </w:tcPr>
          <w:p>
            <w:r>
              <w:rPr>
                <w:sz w:val="15"/>
              </w:rPr>
              <w:t>⚠️ Liquidité générale limite (111.32x) — couverture juste suffisante.</w:t>
            </w:r>
          </w:p>
        </w:tc>
      </w:tr>
      <w:tr>
        <w:tc>
          <w:tcPr>
            <w:tcW w:type="dxa" w:w="2268"/>
            <w:shd w:fill="EEF2F7" w:val="clear"/>
          </w:tcPr>
          <w:p>
            <w:r>
              <w:rPr>
                <w:b/>
                <w:sz w:val="15"/>
              </w:rPr>
              <w:t>Free Cash Flow</w:t>
            </w:r>
          </w:p>
        </w:tc>
        <w:tc>
          <w:tcPr>
            <w:tcW w:type="dxa" w:w="1984"/>
            <w:shd w:fill="FFC7CE" w:val="clear"/>
          </w:tcPr>
          <w:p>
            <w:r>
              <w:rPr>
                <w:b/>
                <w:color w:val="B40000"/>
                <w:sz w:val="17"/>
              </w:rPr>
              <w:t>-38.504 Mds FCFA</w:t>
            </w:r>
          </w:p>
        </w:tc>
        <w:tc>
          <w:tcPr>
            <w:tcW w:type="dxa" w:w="5669"/>
            <w:shd w:fill="FFFFFF" w:val="clear"/>
          </w:tcPr>
          <w:p>
            <w:r>
              <w:rPr>
                <w:sz w:val="15"/>
              </w:rPr>
              <w:t>❌ FCF négatif significatif (-38.504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4.81%</w:t>
            </w:r>
          </w:p>
        </w:tc>
        <w:tc>
          <w:tcPr>
            <w:tcW w:type="dxa" w:w="5669"/>
            <w:shd w:fill="FFFFFF" w:val="clear"/>
          </w:tcPr>
          <w:p>
            <w:r>
              <w:rPr>
                <w:sz w:val="15"/>
              </w:rPr>
              <w:t>⚠️ Marge opérationnelle faible (4.8%)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749.3 j</w:t>
            </w:r>
          </w:p>
        </w:tc>
        <w:tc>
          <w:tcPr>
            <w:tcW w:type="dxa" w:w="5669"/>
            <w:shd w:fill="FFFFFF" w:val="clear"/>
          </w:tcPr>
          <w:p>
            <w:r>
              <w:rPr>
                <w:sz w:val="15"/>
              </w:rPr>
              <w:t>❌ Délai critique de 749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59.9 j</w:t>
            </w:r>
          </w:p>
        </w:tc>
        <w:tc>
          <w:tcPr>
            <w:tcW w:type="dxa" w:w="5669"/>
            <w:shd w:fill="FFFFFF" w:val="clear"/>
          </w:tcPr>
          <w:p>
            <w:r>
              <w:rPr>
                <w:sz w:val="15"/>
              </w:rPr>
              <w:t>✅ Durée de stockage standard (60 jours).</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CIEC</w:t>
            </w:r>
          </w:p>
        </w:tc>
        <w:tc>
          <w:tcPr>
            <w:tcW w:type="dxa" w:w="1728"/>
            <w:shd w:fill="C6EFCE" w:val="clear"/>
          </w:tcPr>
          <w:p>
            <w:r>
              <w:rPr>
                <w:color w:val="006400"/>
                <w:sz w:val="16"/>
              </w:rPr>
              <w:t>36.50%</w:t>
            </w:r>
          </w:p>
        </w:tc>
        <w:tc>
          <w:tcPr>
            <w:tcW w:type="dxa" w:w="1728"/>
            <w:shd w:fill="FFC7CE" w:val="clear"/>
          </w:tcPr>
          <w:p>
            <w:r>
              <w:rPr>
                <w:b/>
                <w:color w:val="B40000"/>
                <w:sz w:val="16"/>
              </w:rPr>
              <w:t>SDCC</w:t>
            </w:r>
          </w:p>
        </w:tc>
        <w:tc>
          <w:tcPr>
            <w:tcW w:type="dxa" w:w="1728"/>
            <w:shd w:fill="FFC7CE" w:val="clear"/>
          </w:tcPr>
          <w:p>
            <w:r>
              <w:rPr>
                <w:color w:val="B40000"/>
                <w:sz w:val="16"/>
              </w:rPr>
              <w:t>23.65%</w:t>
            </w:r>
          </w:p>
        </w:tc>
      </w:tr>
      <w:tr>
        <w:tc>
          <w:tcPr>
            <w:tcW w:type="dxa" w:w="1728"/>
            <w:shd w:fill="EEF2F7" w:val="clear"/>
          </w:tcPr>
          <w:p>
            <w:r>
              <w:rPr>
                <w:b/>
                <w:sz w:val="16"/>
              </w:rPr>
              <w:t>Marge nette</w:t>
            </w:r>
          </w:p>
        </w:tc>
        <w:tc>
          <w:tcPr>
            <w:tcW w:type="dxa" w:w="1728"/>
            <w:shd w:fill="C6EFCE" w:val="clear"/>
          </w:tcPr>
          <w:p>
            <w:r>
              <w:rPr>
                <w:b/>
                <w:color w:val="006400"/>
                <w:sz w:val="16"/>
              </w:rPr>
              <w:t>CIEC</w:t>
            </w:r>
          </w:p>
        </w:tc>
        <w:tc>
          <w:tcPr>
            <w:tcW w:type="dxa" w:w="1728"/>
            <w:shd w:fill="C6EFCE" w:val="clear"/>
          </w:tcPr>
          <w:p>
            <w:r>
              <w:rPr>
                <w:color w:val="006400"/>
                <w:sz w:val="16"/>
              </w:rPr>
              <w:t>4.34%</w:t>
            </w:r>
          </w:p>
        </w:tc>
        <w:tc>
          <w:tcPr>
            <w:tcW w:type="dxa" w:w="1728"/>
            <w:shd w:fill="FFC7CE" w:val="clear"/>
          </w:tcPr>
          <w:p>
            <w:r>
              <w:rPr>
                <w:b/>
                <w:color w:val="B40000"/>
                <w:sz w:val="16"/>
              </w:rPr>
              <w:t>SDCC</w:t>
            </w:r>
          </w:p>
        </w:tc>
        <w:tc>
          <w:tcPr>
            <w:tcW w:type="dxa" w:w="1728"/>
            <w:shd w:fill="FFC7CE" w:val="clear"/>
          </w:tcPr>
          <w:p>
            <w:r>
              <w:rPr>
                <w:color w:val="B40000"/>
                <w:sz w:val="16"/>
              </w:rPr>
              <w:t>2.46%</w:t>
            </w:r>
          </w:p>
        </w:tc>
      </w:tr>
      <w:tr>
        <w:tc>
          <w:tcPr>
            <w:tcW w:type="dxa" w:w="1728"/>
            <w:shd w:fill="EEF2F7" w:val="clear"/>
          </w:tcPr>
          <w:p>
            <w:r>
              <w:rPr>
                <w:b/>
                <w:sz w:val="16"/>
              </w:rPr>
              <w:t>Croissance CA/PNB</w:t>
            </w:r>
          </w:p>
        </w:tc>
        <w:tc>
          <w:tcPr>
            <w:tcW w:type="dxa" w:w="1728"/>
            <w:shd w:fill="C6EFCE" w:val="clear"/>
          </w:tcPr>
          <w:p>
            <w:r>
              <w:rPr>
                <w:b/>
                <w:color w:val="006400"/>
                <w:sz w:val="16"/>
              </w:rPr>
              <w:t>CIEC</w:t>
            </w:r>
          </w:p>
        </w:tc>
        <w:tc>
          <w:tcPr>
            <w:tcW w:type="dxa" w:w="1728"/>
            <w:shd w:fill="C6EFCE" w:val="clear"/>
          </w:tcPr>
          <w:p>
            <w:r>
              <w:rPr>
                <w:color w:val="006400"/>
                <w:sz w:val="16"/>
              </w:rPr>
              <w:t>14.82%</w:t>
            </w:r>
          </w:p>
        </w:tc>
        <w:tc>
          <w:tcPr>
            <w:tcW w:type="dxa" w:w="1728"/>
            <w:shd w:fill="FFC7CE" w:val="clear"/>
          </w:tcPr>
          <w:p>
            <w:r>
              <w:rPr>
                <w:b/>
                <w:color w:val="B40000"/>
                <w:sz w:val="16"/>
              </w:rPr>
              <w:t>SDCC</w:t>
            </w:r>
          </w:p>
        </w:tc>
        <w:tc>
          <w:tcPr>
            <w:tcW w:type="dxa" w:w="1728"/>
            <w:shd w:fill="FFC7CE" w:val="clear"/>
          </w:tcPr>
          <w:p>
            <w:r>
              <w:rPr>
                <w:color w:val="B40000"/>
                <w:sz w:val="16"/>
              </w:rPr>
              <w:t>9.98%</w:t>
            </w:r>
          </w:p>
        </w:tc>
      </w:tr>
      <w:tr>
        <w:tc>
          <w:tcPr>
            <w:tcW w:type="dxa" w:w="1728"/>
            <w:shd w:fill="EEF2F7" w:val="clear"/>
          </w:tcPr>
          <w:p>
            <w:r>
              <w:rPr>
                <w:b/>
                <w:sz w:val="16"/>
              </w:rPr>
              <w:t>Autonomie fin.</w:t>
            </w:r>
          </w:p>
        </w:tc>
        <w:tc>
          <w:tcPr>
            <w:tcW w:type="dxa" w:w="1728"/>
            <w:shd w:fill="C6EFCE" w:val="clear"/>
          </w:tcPr>
          <w:p>
            <w:r>
              <w:rPr>
                <w:b/>
                <w:color w:val="006400"/>
                <w:sz w:val="16"/>
              </w:rPr>
              <w:t>SDCC</w:t>
            </w:r>
          </w:p>
        </w:tc>
        <w:tc>
          <w:tcPr>
            <w:tcW w:type="dxa" w:w="1728"/>
            <w:shd w:fill="C6EFCE" w:val="clear"/>
          </w:tcPr>
          <w:p>
            <w:r>
              <w:rPr>
                <w:color w:val="006400"/>
                <w:sz w:val="16"/>
              </w:rPr>
              <w:t>4.17%</w:t>
            </w:r>
          </w:p>
        </w:tc>
        <w:tc>
          <w:tcPr>
            <w:tcW w:type="dxa" w:w="1728"/>
            <w:shd w:fill="FFC7CE" w:val="clear"/>
          </w:tcPr>
          <w:p>
            <w:r>
              <w:rPr>
                <w:b/>
                <w:color w:val="B40000"/>
                <w:sz w:val="16"/>
              </w:rPr>
              <w:t>CIEC</w:t>
            </w:r>
          </w:p>
        </w:tc>
        <w:tc>
          <w:tcPr>
            <w:tcW w:type="dxa" w:w="1728"/>
            <w:shd w:fill="FFC7CE" w:val="clear"/>
          </w:tcPr>
          <w:p>
            <w:r>
              <w:rPr>
                <w:color w:val="B40000"/>
                <w:sz w:val="16"/>
              </w:rPr>
              <w:t>1.78%</w:t>
            </w:r>
          </w:p>
        </w:tc>
      </w:tr>
      <w:tr>
        <w:tc>
          <w:tcPr>
            <w:tcW w:type="dxa" w:w="1728"/>
            <w:shd w:fill="EEF2F7" w:val="clear"/>
          </w:tcPr>
          <w:p>
            <w:r>
              <w:rPr>
                <w:b/>
                <w:sz w:val="16"/>
              </w:rPr>
              <w:t>Liquidité gén.</w:t>
            </w:r>
          </w:p>
        </w:tc>
        <w:tc>
          <w:tcPr>
            <w:tcW w:type="dxa" w:w="1728"/>
            <w:shd w:fill="C6EFCE" w:val="clear"/>
          </w:tcPr>
          <w:p>
            <w:r>
              <w:rPr>
                <w:b/>
                <w:color w:val="006400"/>
                <w:sz w:val="16"/>
              </w:rPr>
              <w:t>SDCC</w:t>
            </w:r>
          </w:p>
        </w:tc>
        <w:tc>
          <w:tcPr>
            <w:tcW w:type="dxa" w:w="1728"/>
            <w:shd w:fill="C6EFCE" w:val="clear"/>
          </w:tcPr>
          <w:p>
            <w:r>
              <w:rPr>
                <w:color w:val="006400"/>
                <w:sz w:val="16"/>
              </w:rPr>
              <w:t>111.32%</w:t>
            </w:r>
          </w:p>
        </w:tc>
        <w:tc>
          <w:tcPr>
            <w:tcW w:type="dxa" w:w="1728"/>
            <w:shd w:fill="FFC7CE" w:val="clear"/>
          </w:tcPr>
          <w:p>
            <w:r>
              <w:rPr>
                <w:b/>
                <w:color w:val="B40000"/>
                <w:sz w:val="16"/>
              </w:rPr>
              <w:t>CIEC</w:t>
            </w:r>
          </w:p>
        </w:tc>
        <w:tc>
          <w:tcPr>
            <w:tcW w:type="dxa" w:w="1728"/>
            <w:shd w:fill="FFC7CE" w:val="clear"/>
          </w:tcPr>
          <w:p>
            <w:r>
              <w:rPr>
                <w:color w:val="B40000"/>
                <w:sz w:val="16"/>
              </w:rPr>
              <w:t>96.95%</w:t>
            </w:r>
          </w:p>
        </w:tc>
      </w:tr>
      <w:tr>
        <w:tc>
          <w:tcPr>
            <w:tcW w:type="dxa" w:w="1728"/>
            <w:shd w:fill="EEF2F7" w:val="clear"/>
          </w:tcPr>
          <w:p>
            <w:r>
              <w:rPr>
                <w:b/>
                <w:sz w:val="16"/>
              </w:rPr>
              <w:t>FCF</w:t>
            </w:r>
          </w:p>
        </w:tc>
        <w:tc>
          <w:tcPr>
            <w:tcW w:type="dxa" w:w="1728"/>
            <w:shd w:fill="C6EFCE" w:val="clear"/>
          </w:tcPr>
          <w:p>
            <w:r>
              <w:rPr>
                <w:b/>
                <w:color w:val="006400"/>
                <w:sz w:val="16"/>
              </w:rPr>
              <w:t>CIEC</w:t>
            </w:r>
          </w:p>
        </w:tc>
        <w:tc>
          <w:tcPr>
            <w:tcW w:type="dxa" w:w="1728"/>
            <w:shd w:fill="C6EFCE" w:val="clear"/>
          </w:tcPr>
          <w:p>
            <w:r>
              <w:rPr>
                <w:color w:val="006400"/>
                <w:sz w:val="16"/>
              </w:rPr>
              <w:t>20.167 Mds FCFA</w:t>
            </w:r>
          </w:p>
        </w:tc>
        <w:tc>
          <w:tcPr>
            <w:tcW w:type="dxa" w:w="1728"/>
            <w:shd w:fill="FFC7CE" w:val="clear"/>
          </w:tcPr>
          <w:p>
            <w:r>
              <w:rPr>
                <w:b/>
                <w:color w:val="B40000"/>
                <w:sz w:val="16"/>
              </w:rPr>
              <w:t>SDCC</w:t>
            </w:r>
          </w:p>
        </w:tc>
        <w:tc>
          <w:tcPr>
            <w:tcW w:type="dxa" w:w="1728"/>
            <w:shd w:fill="FFC7CE" w:val="clear"/>
          </w:tcPr>
          <w:p>
            <w:r>
              <w:rPr>
                <w:color w:val="B40000"/>
                <w:sz w:val="16"/>
              </w:rPr>
              <w:t>-38.504 Mds FCFA</w:t>
            </w:r>
          </w:p>
        </w:tc>
      </w:tr>
    </w:tbl>
    <w:p/>
    <w:p>
      <w:r>
        <w:br w:type="page"/>
      </w:r>
    </w:p>
    <w:p>
      <w:pPr>
        <w:pStyle w:val="Heading2"/>
      </w:pPr>
      <w:r>
        <w:rPr>
          <w:color w:val="003366"/>
        </w:rPr>
        <w:t>📂 Secteur : Services Financiers</w:t>
      </w:r>
    </w:p>
    <w:p>
      <w:r>
        <w:rPr>
          <w:sz w:val="18"/>
        </w:rPr>
        <w:t>1 société(s) avec données financières sur 1 cotée(s) dans ce secteur. Exercice(s) analysé(s) : 2025.</w:t>
      </w:r>
    </w:p>
    <w:p/>
    <w:p>
      <w:pPr>
        <w:pStyle w:val="Heading3"/>
      </w:pPr>
      <w:r>
        <w:t>📊 Tableau comparatif des indicateurs clés</w:t>
      </w:r>
    </w:p>
    <w:tbl>
      <w:tblPr>
        <w:tblStyle w:val="TableGrid"/>
        <w:tblW w:type="auto" w:w="0"/>
        <w:tblLook w:firstColumn="1" w:firstRow="1" w:lastColumn="0" w:lastRow="0" w:noHBand="0" w:noVBand="1" w:val="04A0"/>
      </w:tblPr>
      <w:tblGrid>
        <w:gridCol w:w="4320"/>
        <w:gridCol w:w="4320"/>
      </w:tblGrid>
      <w:tr>
        <w:tc>
          <w:tcPr>
            <w:tcW w:type="dxa" w:w="2551"/>
            <w:shd w:fill="1F4E79" w:val="clear"/>
          </w:tcPr>
          <w:p>
            <w:r>
              <w:rPr>
                <w:b/>
                <w:color w:val="FFFFFF"/>
                <w:sz w:val="16"/>
              </w:rPr>
              <w:t>Indicateur</w:t>
            </w:r>
          </w:p>
        </w:tc>
        <w:tc>
          <w:tcPr>
            <w:tcW w:type="dxa" w:w="7370"/>
            <w:shd w:fill="1F4E79" w:val="clear"/>
          </w:tcPr>
          <w:p>
            <w:r>
              <w:rPr>
                <w:b/>
                <w:color w:val="FFFFFF"/>
                <w:sz w:val="15"/>
              </w:rPr>
              <w:t>BBGC (2025)</w:t>
            </w:r>
          </w:p>
        </w:tc>
      </w:tr>
      <w:tr>
        <w:tc>
          <w:tcPr>
            <w:tcW w:type="dxa" w:w="2551"/>
            <w:shd w:fill="EEF2F7" w:val="clear"/>
          </w:tcPr>
          <w:p>
            <w:r>
              <w:rPr>
                <w:b/>
                <w:sz w:val="15"/>
              </w:rPr>
              <w:t>ROE</w:t>
            </w:r>
          </w:p>
        </w:tc>
        <w:tc>
          <w:tcPr>
            <w:tcW w:type="dxa" w:w="7370"/>
            <w:shd w:fill="FFFFFF" w:val="clear"/>
          </w:tcPr>
          <w:p>
            <w:r>
              <w:rPr>
                <w:b/>
                <w:color w:val="000000"/>
                <w:sz w:val="16"/>
              </w:rPr>
              <w:t>25.87%</w:t>
            </w:r>
          </w:p>
        </w:tc>
      </w:tr>
      <w:tr>
        <w:tc>
          <w:tcPr>
            <w:tcW w:type="dxa" w:w="2551"/>
            <w:shd w:fill="EEF2F7" w:val="clear"/>
          </w:tcPr>
          <w:p>
            <w:r>
              <w:rPr>
                <w:b/>
                <w:sz w:val="15"/>
              </w:rPr>
              <w:t>ROA</w:t>
            </w:r>
          </w:p>
        </w:tc>
        <w:tc>
          <w:tcPr>
            <w:tcW w:type="dxa" w:w="7370"/>
            <w:shd w:fill="FFFFFF" w:val="clear"/>
          </w:tcPr>
          <w:p>
            <w:r>
              <w:rPr>
                <w:b/>
                <w:color w:val="000000"/>
                <w:sz w:val="16"/>
              </w:rPr>
              <w:t>1.91%</w:t>
            </w:r>
          </w:p>
        </w:tc>
      </w:tr>
      <w:tr>
        <w:tc>
          <w:tcPr>
            <w:tcW w:type="dxa" w:w="2551"/>
            <w:shd w:fill="EEF2F7" w:val="clear"/>
          </w:tcPr>
          <w:p>
            <w:r>
              <w:rPr>
                <w:b/>
                <w:sz w:val="15"/>
              </w:rPr>
              <w:t>Marge nette</w:t>
            </w:r>
          </w:p>
        </w:tc>
        <w:tc>
          <w:tcPr>
            <w:tcW w:type="dxa" w:w="7370"/>
            <w:shd w:fill="FFFFFF" w:val="clear"/>
          </w:tcPr>
          <w:p>
            <w:r>
              <w:rPr>
                <w:b/>
                <w:color w:val="000000"/>
                <w:sz w:val="16"/>
              </w:rPr>
              <w:t>40.10%</w:t>
            </w:r>
          </w:p>
        </w:tc>
      </w:tr>
      <w:tr>
        <w:tc>
          <w:tcPr>
            <w:tcW w:type="dxa" w:w="2551"/>
            <w:shd w:fill="EEF2F7" w:val="clear"/>
          </w:tcPr>
          <w:p>
            <w:r>
              <w:rPr>
                <w:b/>
                <w:sz w:val="15"/>
              </w:rPr>
              <w:t>Résultat net</w:t>
            </w:r>
          </w:p>
        </w:tc>
        <w:tc>
          <w:tcPr>
            <w:tcW w:type="dxa" w:w="7370"/>
            <w:shd w:fill="FFFFFF" w:val="clear"/>
          </w:tcPr>
          <w:p>
            <w:r>
              <w:rPr>
                <w:b/>
                <w:color w:val="000000"/>
                <w:sz w:val="16"/>
              </w:rPr>
              <w:t>27.197 Mds FCFA</w:t>
            </w:r>
          </w:p>
        </w:tc>
      </w:tr>
      <w:tr>
        <w:tc>
          <w:tcPr>
            <w:tcW w:type="dxa" w:w="2551"/>
            <w:shd w:fill="EEF2F7" w:val="clear"/>
          </w:tcPr>
          <w:p>
            <w:r>
              <w:rPr>
                <w:b/>
                <w:sz w:val="15"/>
              </w:rPr>
              <w:t>Taux croissance CA/PNB</w:t>
            </w:r>
          </w:p>
        </w:tc>
        <w:tc>
          <w:tcPr>
            <w:tcW w:type="dxa" w:w="7370"/>
            <w:shd w:fill="FFFFFF" w:val="clear"/>
          </w:tcPr>
          <w:p>
            <w:r>
              <w:rPr>
                <w:b/>
                <w:color w:val="000000"/>
                <w:sz w:val="16"/>
              </w:rPr>
              <w:t>15.71%</w:t>
            </w:r>
          </w:p>
        </w:tc>
      </w:tr>
      <w:tr>
        <w:tc>
          <w:tcPr>
            <w:tcW w:type="dxa" w:w="2551"/>
            <w:shd w:fill="EEF2F7" w:val="clear"/>
          </w:tcPr>
          <w:p>
            <w:r>
              <w:rPr>
                <w:b/>
                <w:sz w:val="15"/>
              </w:rPr>
              <w:t>Autonomie financière</w:t>
            </w:r>
          </w:p>
        </w:tc>
        <w:tc>
          <w:tcPr>
            <w:tcW w:type="dxa" w:w="7370"/>
            <w:shd w:fill="FFFFFF" w:val="clear"/>
          </w:tcPr>
          <w:p>
            <w:r>
              <w:rPr>
                <w:b/>
                <w:color w:val="000000"/>
                <w:sz w:val="16"/>
              </w:rPr>
              <w:t>7.37%</w:t>
            </w:r>
          </w:p>
        </w:tc>
      </w:tr>
      <w:tr>
        <w:tc>
          <w:tcPr>
            <w:tcW w:type="dxa" w:w="2551"/>
            <w:shd w:fill="EEF2F7" w:val="clear"/>
          </w:tcPr>
          <w:p>
            <w:r>
              <w:rPr>
                <w:b/>
                <w:sz w:val="15"/>
              </w:rPr>
              <w:t>Ratio endettement</w:t>
            </w:r>
          </w:p>
        </w:tc>
        <w:tc>
          <w:tcPr>
            <w:tcW w:type="dxa" w:w="7370"/>
            <w:shd w:fill="FFFFFF" w:val="clear"/>
          </w:tcPr>
          <w:p>
            <w:r>
              <w:rPr>
                <w:b/>
                <w:color w:val="000000"/>
                <w:sz w:val="16"/>
              </w:rPr>
              <w:t>1257.65%</w:t>
            </w:r>
          </w:p>
        </w:tc>
      </w:tr>
      <w:tr>
        <w:tc>
          <w:tcPr>
            <w:tcW w:type="dxa" w:w="2551"/>
            <w:shd w:fill="EEF2F7" w:val="clear"/>
          </w:tcPr>
          <w:p>
            <w:r>
              <w:rPr>
                <w:b/>
                <w:sz w:val="15"/>
              </w:rPr>
              <w:t>Solvabilité générale</w:t>
            </w:r>
          </w:p>
        </w:tc>
        <w:tc>
          <w:tcPr>
            <w:tcW w:type="dxa" w:w="7370"/>
            <w:shd w:fill="FFFFFF" w:val="clear"/>
          </w:tcPr>
          <w:p>
            <w:r>
              <w:rPr>
                <w:b/>
                <w:color w:val="000000"/>
                <w:sz w:val="16"/>
              </w:rPr>
              <w:t>107.95%</w:t>
            </w:r>
          </w:p>
        </w:tc>
      </w:tr>
      <w:tr>
        <w:tc>
          <w:tcPr>
            <w:tcW w:type="dxa" w:w="2551"/>
            <w:shd w:fill="EEF2F7" w:val="clear"/>
          </w:tcPr>
          <w:p>
            <w:r>
              <w:rPr>
                <w:b/>
                <w:sz w:val="15"/>
              </w:rPr>
              <w:t>Coeff. exploitation</w:t>
            </w:r>
          </w:p>
        </w:tc>
        <w:tc>
          <w:tcPr>
            <w:tcW w:type="dxa" w:w="7370"/>
            <w:shd w:fill="FFFFFF" w:val="clear"/>
          </w:tcPr>
          <w:p>
            <w:r>
              <w:rPr>
                <w:b/>
                <w:color w:val="000000"/>
                <w:sz w:val="16"/>
              </w:rPr>
              <w:t>41.85%</w:t>
            </w:r>
          </w:p>
        </w:tc>
      </w:tr>
      <w:tr>
        <w:tc>
          <w:tcPr>
            <w:tcW w:type="dxa" w:w="2551"/>
            <w:shd w:fill="EEF2F7" w:val="clear"/>
          </w:tcPr>
          <w:p>
            <w:r>
              <w:rPr>
                <w:b/>
                <w:sz w:val="15"/>
              </w:rPr>
              <w:t>Marge opérationnelle</w:t>
            </w:r>
          </w:p>
        </w:tc>
        <w:tc>
          <w:tcPr>
            <w:tcW w:type="dxa" w:w="7370"/>
            <w:shd w:fill="FFFFFF" w:val="clear"/>
          </w:tcPr>
          <w:p>
            <w:r>
              <w:rPr>
                <w:b/>
                <w:color w:val="000000"/>
                <w:sz w:val="16"/>
              </w:rPr>
              <w:t>48.12%</w:t>
            </w:r>
          </w:p>
        </w:tc>
      </w:tr>
    </w:tbl>
    <w:p/>
    <w:p>
      <w:pPr>
        <w:pStyle w:val="Heading3"/>
      </w:pPr>
      <w:r>
        <w:t>🔍 Analyse détaillée par société</w:t>
      </w:r>
    </w:p>
    <w:p>
      <w:pPr>
        <w:spacing w:before="160"/>
      </w:pPr>
      <w:r>
        <w:rPr>
          <w:b/>
          <w:color w:val="003366"/>
          <w:sz w:val="20"/>
        </w:rPr>
        <w:t xml:space="preserve">▶ BBGC — BRIDGE BANK GROUP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25.87%</w:t>
            </w:r>
          </w:p>
        </w:tc>
        <w:tc>
          <w:tcPr>
            <w:tcW w:type="dxa" w:w="5669"/>
            <w:shd w:fill="FFFFFF" w:val="clear"/>
          </w:tcPr>
          <w:p>
            <w:r>
              <w:rPr>
                <w:sz w:val="15"/>
              </w:rPr>
              <w:t>✅ ROE de 25.9%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1.91%</w:t>
            </w:r>
          </w:p>
        </w:tc>
        <w:tc>
          <w:tcPr>
            <w:tcW w:type="dxa" w:w="5669"/>
            <w:shd w:fill="FFFFFF" w:val="clear"/>
          </w:tcPr>
          <w:p>
            <w:r>
              <w:rPr>
                <w:sz w:val="15"/>
              </w:rPr>
              <w:t>✅ ROA de 1.91%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40.10%</w:t>
            </w:r>
          </w:p>
        </w:tc>
        <w:tc>
          <w:tcPr>
            <w:tcW w:type="dxa" w:w="5669"/>
            <w:shd w:fill="FFFFFF" w:val="clear"/>
          </w:tcPr>
          <w:p>
            <w:r>
              <w:rPr>
                <w:sz w:val="15"/>
              </w:rPr>
              <w:t>✅ Marge nette de 40.1%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27.197 Mds FCFA</w:t>
            </w:r>
          </w:p>
        </w:tc>
        <w:tc>
          <w:tcPr>
            <w:tcW w:type="dxa" w:w="5669"/>
            <w:shd w:fill="FFFFFF" w:val="clear"/>
          </w:tcPr>
          <w:p>
            <w:r>
              <w:rPr>
                <w:sz w:val="15"/>
              </w:rPr>
              <w:t>✅ Résultat net positif de 27.197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15.71%</w:t>
            </w:r>
          </w:p>
        </w:tc>
        <w:tc>
          <w:tcPr>
            <w:tcW w:type="dxa" w:w="5669"/>
            <w:shd w:fill="FFFFFF" w:val="clear"/>
          </w:tcPr>
          <w:p>
            <w:r>
              <w:rPr>
                <w:sz w:val="15"/>
              </w:rPr>
              <w:t>✅ Croissance de 15.7%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7.37%</w:t>
            </w:r>
          </w:p>
        </w:tc>
        <w:tc>
          <w:tcPr>
            <w:tcW w:type="dxa" w:w="5669"/>
            <w:shd w:fill="FFFFFF" w:val="clear"/>
          </w:tcPr>
          <w:p>
            <w:r>
              <w:rPr>
                <w:sz w:val="15"/>
              </w:rPr>
              <w:t>❌ Autonomie très faible (7.4%)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1257.65%</w:t>
            </w:r>
          </w:p>
        </w:tc>
        <w:tc>
          <w:tcPr>
            <w:tcW w:type="dxa" w:w="5669"/>
            <w:shd w:fill="FFFFFF" w:val="clear"/>
          </w:tcPr>
          <w:p>
            <w:r>
              <w:rPr>
                <w:sz w:val="15"/>
              </w:rPr>
              <w:t>❌ Gearing de 1258%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107.95%</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41.85%</w:t>
            </w:r>
          </w:p>
        </w:tc>
        <w:tc>
          <w:tcPr>
            <w:tcW w:type="dxa" w:w="5669"/>
            <w:shd w:fill="FFFFFF" w:val="clear"/>
          </w:tcPr>
          <w:p>
            <w:r>
              <w:rPr>
                <w:sz w:val="15"/>
              </w:rPr>
              <w:t>✅ Coeff. d'exploitation de 41.8%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48.12%</w:t>
            </w:r>
          </w:p>
        </w:tc>
        <w:tc>
          <w:tcPr>
            <w:tcW w:type="dxa" w:w="5669"/>
            <w:shd w:fill="FFFFFF" w:val="clear"/>
          </w:tcPr>
          <w:p>
            <w:r>
              <w:rPr>
                <w:sz w:val="15"/>
              </w:rPr>
              <w:t>✅ Marge opérationnelle de 48.1% — excellente efficacité de l'exploitation principale.</w:t>
            </w:r>
          </w:p>
        </w:tc>
      </w:tr>
    </w:tbl>
    <w:p/>
    <w:p>
      <w:pPr>
        <w:pStyle w:val="Heading3"/>
      </w:pPr>
      <w:r>
        <w:t>🏆 Synthèse sectorielle — Points forts et points faibles</w:t>
      </w:r>
    </w:p>
    <w:p>
      <w:r>
        <w:br w:type="page"/>
      </w:r>
    </w:p>
    <w:p>
      <w:pPr>
        <w:pStyle w:val="Heading2"/>
      </w:pPr>
      <w:r>
        <w:rPr>
          <w:color w:val="003366"/>
        </w:rPr>
        <w:t>📂 Secteur : TELECOMMUNICATIONS</w:t>
      </w:r>
    </w:p>
    <w:p>
      <w:r>
        <w:rPr>
          <w:sz w:val="18"/>
        </w:rPr>
        <w:t>3 société(s) avec données financières sur 3 cotée(s) dans ce secteur. Exercice(s) analysé(s) :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6"/>
              </w:rPr>
              <w:t>Indicateur</w:t>
            </w:r>
          </w:p>
        </w:tc>
        <w:tc>
          <w:tcPr>
            <w:tcW w:type="dxa" w:w="2457"/>
            <w:shd w:fill="1F4E79" w:val="clear"/>
          </w:tcPr>
          <w:p>
            <w:r>
              <w:rPr>
                <w:b/>
                <w:color w:val="FFFFFF"/>
                <w:sz w:val="15"/>
              </w:rPr>
              <w:t>ONTBF (2025)</w:t>
            </w:r>
          </w:p>
        </w:tc>
        <w:tc>
          <w:tcPr>
            <w:tcW w:type="dxa" w:w="2457"/>
            <w:shd w:fill="1F4E79" w:val="clear"/>
          </w:tcPr>
          <w:p>
            <w:r>
              <w:rPr>
                <w:b/>
                <w:color w:val="FFFFFF"/>
                <w:sz w:val="15"/>
              </w:rPr>
              <w:t>ORAC (2025)</w:t>
            </w:r>
          </w:p>
        </w:tc>
        <w:tc>
          <w:tcPr>
            <w:tcW w:type="dxa" w:w="2457"/>
            <w:shd w:fill="1F4E79" w:val="clear"/>
          </w:tcPr>
          <w:p>
            <w:r>
              <w:rPr>
                <w:b/>
                <w:color w:val="FFFFFF"/>
                <w:sz w:val="15"/>
              </w:rPr>
              <w:t>SNTS (2025)</w:t>
            </w:r>
          </w:p>
        </w:tc>
      </w:tr>
      <w:tr>
        <w:tc>
          <w:tcPr>
            <w:tcW w:type="dxa" w:w="2551"/>
            <w:shd w:fill="EEF2F7" w:val="clear"/>
          </w:tcPr>
          <w:p>
            <w:r>
              <w:rPr>
                <w:b/>
                <w:sz w:val="15"/>
              </w:rPr>
              <w:t>ROE</w:t>
            </w:r>
          </w:p>
        </w:tc>
        <w:tc>
          <w:tcPr>
            <w:tcW w:type="dxa" w:w="2457"/>
            <w:shd w:fill="FFFFFF" w:val="clear"/>
          </w:tcPr>
          <w:p>
            <w:r>
              <w:rPr>
                <w:b/>
                <w:color w:val="000000"/>
                <w:sz w:val="16"/>
              </w:rPr>
              <w:t>27.61%</w:t>
            </w:r>
          </w:p>
        </w:tc>
        <w:tc>
          <w:tcPr>
            <w:tcW w:type="dxa" w:w="2457"/>
            <w:shd w:fill="FFC7CE" w:val="clear"/>
          </w:tcPr>
          <w:p>
            <w:r>
              <w:rPr>
                <w:b/>
                <w:color w:val="B40000"/>
                <w:sz w:val="16"/>
              </w:rPr>
              <w:t>23.71%</w:t>
            </w:r>
          </w:p>
        </w:tc>
        <w:tc>
          <w:tcPr>
            <w:tcW w:type="dxa" w:w="2457"/>
            <w:shd w:fill="C6EFCE" w:val="clear"/>
          </w:tcPr>
          <w:p>
            <w:r>
              <w:rPr>
                <w:b/>
                <w:color w:val="006400"/>
                <w:sz w:val="16"/>
              </w:rPr>
              <w:t>29.56%</w:t>
            </w:r>
          </w:p>
        </w:tc>
      </w:tr>
      <w:tr>
        <w:tc>
          <w:tcPr>
            <w:tcW w:type="dxa" w:w="2551"/>
            <w:shd w:fill="EEF2F7" w:val="clear"/>
          </w:tcPr>
          <w:p>
            <w:r>
              <w:rPr>
                <w:b/>
                <w:sz w:val="15"/>
              </w:rPr>
              <w:t>ROA</w:t>
            </w:r>
          </w:p>
        </w:tc>
        <w:tc>
          <w:tcPr>
            <w:tcW w:type="dxa" w:w="2457"/>
            <w:shd w:fill="FFC7CE" w:val="clear"/>
          </w:tcPr>
          <w:p>
            <w:r>
              <w:rPr>
                <w:b/>
                <w:color w:val="B40000"/>
                <w:sz w:val="16"/>
              </w:rPr>
              <w:t>4.89%</w:t>
            </w:r>
          </w:p>
        </w:tc>
        <w:tc>
          <w:tcPr>
            <w:tcW w:type="dxa" w:w="2457"/>
            <w:shd w:fill="FFFFFF" w:val="clear"/>
          </w:tcPr>
          <w:p>
            <w:r>
              <w:rPr>
                <w:b/>
                <w:color w:val="000000"/>
                <w:sz w:val="16"/>
              </w:rPr>
              <w:t>6.57%</w:t>
            </w:r>
          </w:p>
        </w:tc>
        <w:tc>
          <w:tcPr>
            <w:tcW w:type="dxa" w:w="2457"/>
            <w:shd w:fill="C6EFCE" w:val="clear"/>
          </w:tcPr>
          <w:p>
            <w:r>
              <w:rPr>
                <w:b/>
                <w:color w:val="006400"/>
                <w:sz w:val="16"/>
              </w:rPr>
              <w:t>12.65%</w:t>
            </w:r>
          </w:p>
        </w:tc>
      </w:tr>
      <w:tr>
        <w:tc>
          <w:tcPr>
            <w:tcW w:type="dxa" w:w="2551"/>
            <w:shd w:fill="EEF2F7" w:val="clear"/>
          </w:tcPr>
          <w:p>
            <w:r>
              <w:rPr>
                <w:b/>
                <w:sz w:val="15"/>
              </w:rPr>
              <w:t>Marge nette</w:t>
            </w:r>
          </w:p>
        </w:tc>
        <w:tc>
          <w:tcPr>
            <w:tcW w:type="dxa" w:w="2457"/>
            <w:shd w:fill="FFC7CE" w:val="clear"/>
          </w:tcPr>
          <w:p>
            <w:r>
              <w:rPr>
                <w:b/>
                <w:color w:val="B40000"/>
                <w:sz w:val="16"/>
              </w:rPr>
              <w:t>10.87%</w:t>
            </w:r>
          </w:p>
        </w:tc>
        <w:tc>
          <w:tcPr>
            <w:tcW w:type="dxa" w:w="2457"/>
            <w:shd w:fill="FFFFFF" w:val="clear"/>
          </w:tcPr>
          <w:p>
            <w:r>
              <w:rPr>
                <w:b/>
                <w:color w:val="000000"/>
                <w:sz w:val="16"/>
              </w:rPr>
              <w:t>14.02%</w:t>
            </w:r>
          </w:p>
        </w:tc>
        <w:tc>
          <w:tcPr>
            <w:tcW w:type="dxa" w:w="2457"/>
            <w:shd w:fill="C6EFCE" w:val="clear"/>
          </w:tcPr>
          <w:p>
            <w:r>
              <w:rPr>
                <w:b/>
                <w:color w:val="006400"/>
                <w:sz w:val="16"/>
              </w:rPr>
              <w:t>21.51%</w:t>
            </w:r>
          </w:p>
        </w:tc>
      </w:tr>
      <w:tr>
        <w:tc>
          <w:tcPr>
            <w:tcW w:type="dxa" w:w="2551"/>
            <w:shd w:fill="EEF2F7" w:val="clear"/>
          </w:tcPr>
          <w:p>
            <w:r>
              <w:rPr>
                <w:b/>
                <w:sz w:val="15"/>
              </w:rPr>
              <w:t>Résultat net</w:t>
            </w:r>
          </w:p>
        </w:tc>
        <w:tc>
          <w:tcPr>
            <w:tcW w:type="dxa" w:w="2457"/>
            <w:shd w:fill="FFC7CE" w:val="clear"/>
          </w:tcPr>
          <w:p>
            <w:r>
              <w:rPr>
                <w:b/>
                <w:color w:val="B40000"/>
                <w:sz w:val="16"/>
              </w:rPr>
              <w:t>15.887 Mds FCFA</w:t>
            </w:r>
          </w:p>
        </w:tc>
        <w:tc>
          <w:tcPr>
            <w:tcW w:type="dxa" w:w="2457"/>
            <w:shd w:fill="FFFFFF" w:val="clear"/>
          </w:tcPr>
          <w:p>
            <w:r>
              <w:rPr>
                <w:b/>
                <w:color w:val="000000"/>
                <w:sz w:val="16"/>
              </w:rPr>
              <w:t>167.800 Mds FCFA</w:t>
            </w:r>
          </w:p>
        </w:tc>
        <w:tc>
          <w:tcPr>
            <w:tcW w:type="dxa" w:w="2457"/>
            <w:shd w:fill="C6EFCE" w:val="clear"/>
          </w:tcPr>
          <w:p>
            <w:r>
              <w:rPr>
                <w:b/>
                <w:color w:val="006400"/>
                <w:sz w:val="16"/>
              </w:rPr>
              <w:t>413.588 Mds FCFA</w:t>
            </w:r>
          </w:p>
        </w:tc>
      </w:tr>
      <w:tr>
        <w:tc>
          <w:tcPr>
            <w:tcW w:type="dxa" w:w="2551"/>
            <w:shd w:fill="EEF2F7" w:val="clear"/>
          </w:tcPr>
          <w:p>
            <w:r>
              <w:rPr>
                <w:b/>
                <w:sz w:val="15"/>
              </w:rPr>
              <w:t>Taux croissance CA/PNB</w:t>
            </w:r>
          </w:p>
        </w:tc>
        <w:tc>
          <w:tcPr>
            <w:tcW w:type="dxa" w:w="2457"/>
            <w:shd w:fill="FFC7CE" w:val="clear"/>
          </w:tcPr>
          <w:p>
            <w:r>
              <w:rPr>
                <w:b/>
                <w:color w:val="B40000"/>
                <w:sz w:val="16"/>
              </w:rPr>
              <w:t>3.06%</w:t>
            </w:r>
          </w:p>
        </w:tc>
        <w:tc>
          <w:tcPr>
            <w:tcW w:type="dxa" w:w="2457"/>
            <w:shd w:fill="C6EFCE" w:val="clear"/>
          </w:tcPr>
          <w:p>
            <w:r>
              <w:rPr>
                <w:b/>
                <w:color w:val="006400"/>
                <w:sz w:val="16"/>
              </w:rPr>
              <w:t>10.42%</w:t>
            </w:r>
          </w:p>
        </w:tc>
        <w:tc>
          <w:tcPr>
            <w:tcW w:type="dxa" w:w="2457"/>
            <w:shd w:fill="FFFFFF" w:val="clear"/>
          </w:tcPr>
          <w:p>
            <w:r>
              <w:rPr>
                <w:b/>
                <w:color w:val="000000"/>
                <w:sz w:val="16"/>
              </w:rPr>
              <w:t>8.26%</w:t>
            </w:r>
          </w:p>
        </w:tc>
      </w:tr>
      <w:tr>
        <w:tc>
          <w:tcPr>
            <w:tcW w:type="dxa" w:w="2551"/>
            <w:shd w:fill="EEF2F7" w:val="clear"/>
          </w:tcPr>
          <w:p>
            <w:r>
              <w:rPr>
                <w:b/>
                <w:sz w:val="15"/>
              </w:rPr>
              <w:t>Autonomie financière</w:t>
            </w:r>
          </w:p>
        </w:tc>
        <w:tc>
          <w:tcPr>
            <w:tcW w:type="dxa" w:w="2457"/>
            <w:shd w:fill="FFC7CE" w:val="clear"/>
          </w:tcPr>
          <w:p>
            <w:r>
              <w:rPr>
                <w:b/>
                <w:color w:val="B40000"/>
                <w:sz w:val="16"/>
              </w:rPr>
              <w:t>17.71%</w:t>
            </w:r>
          </w:p>
        </w:tc>
        <w:tc>
          <w:tcPr>
            <w:tcW w:type="dxa" w:w="2457"/>
            <w:shd w:fill="FFFFFF" w:val="clear"/>
          </w:tcPr>
          <w:p>
            <w:r>
              <w:rPr>
                <w:b/>
                <w:color w:val="000000"/>
                <w:sz w:val="16"/>
              </w:rPr>
              <w:t>27.71%</w:t>
            </w:r>
          </w:p>
        </w:tc>
        <w:tc>
          <w:tcPr>
            <w:tcW w:type="dxa" w:w="2457"/>
            <w:shd w:fill="C6EFCE" w:val="clear"/>
          </w:tcPr>
          <w:p>
            <w:r>
              <w:rPr>
                <w:b/>
                <w:color w:val="006400"/>
                <w:sz w:val="16"/>
              </w:rPr>
              <w:t>42.79%</w:t>
            </w:r>
          </w:p>
        </w:tc>
      </w:tr>
      <w:tr>
        <w:tc>
          <w:tcPr>
            <w:tcW w:type="dxa" w:w="2551"/>
            <w:shd w:fill="EEF2F7" w:val="clear"/>
          </w:tcPr>
          <w:p>
            <w:r>
              <w:rPr>
                <w:b/>
                <w:sz w:val="15"/>
              </w:rPr>
              <w:t>Ratio endettement</w:t>
            </w:r>
          </w:p>
        </w:tc>
        <w:tc>
          <w:tcPr>
            <w:tcW w:type="dxa" w:w="2457"/>
            <w:shd w:fill="FFC7CE" w:val="clear"/>
          </w:tcPr>
          <w:p>
            <w:r>
              <w:rPr>
                <w:b/>
                <w:color w:val="B40000"/>
                <w:sz w:val="16"/>
              </w:rPr>
              <w:t>186.99%</w:t>
            </w:r>
          </w:p>
        </w:tc>
        <w:tc>
          <w:tcPr>
            <w:tcW w:type="dxa" w:w="2457"/>
            <w:shd w:fill="C6EFCE" w:val="clear"/>
          </w:tcPr>
          <w:p>
            <w:r>
              <w:rPr>
                <w:b/>
                <w:color w:val="006400"/>
                <w:sz w:val="16"/>
              </w:rPr>
              <w:t>47.46%</w:t>
            </w:r>
          </w:p>
        </w:tc>
        <w:tc>
          <w:tcPr>
            <w:tcW w:type="dxa" w:w="2457"/>
            <w:shd w:fill="FFFFFF" w:val="clear"/>
          </w:tcPr>
          <w:p>
            <w:r>
              <w:rPr>
                <w:b/>
                <w:color w:val="000000"/>
                <w:sz w:val="16"/>
              </w:rPr>
              <w:t>57.21%</w:t>
            </w:r>
          </w:p>
        </w:tc>
      </w:tr>
      <w:tr>
        <w:tc>
          <w:tcPr>
            <w:tcW w:type="dxa" w:w="2551"/>
            <w:shd w:fill="EEF2F7" w:val="clear"/>
          </w:tcPr>
          <w:p>
            <w:r>
              <w:rPr>
                <w:b/>
                <w:sz w:val="15"/>
              </w:rPr>
              <w:t>Solvabilité générale</w:t>
            </w:r>
          </w:p>
        </w:tc>
        <w:tc>
          <w:tcPr>
            <w:tcW w:type="dxa" w:w="2457"/>
            <w:shd w:fill="FFC7CE" w:val="clear"/>
          </w:tcPr>
          <w:p>
            <w:r>
              <w:rPr>
                <w:b/>
                <w:color w:val="B40000"/>
                <w:sz w:val="16"/>
              </w:rPr>
              <w:t>121.52%</w:t>
            </w:r>
          </w:p>
        </w:tc>
        <w:tc>
          <w:tcPr>
            <w:tcW w:type="dxa" w:w="2457"/>
            <w:shd w:fill="FFFFFF" w:val="clear"/>
          </w:tcPr>
          <w:p>
            <w:r>
              <w:rPr>
                <w:b/>
                <w:color w:val="000000"/>
                <w:sz w:val="16"/>
              </w:rPr>
              <w:t>138.34%</w:t>
            </w:r>
          </w:p>
        </w:tc>
        <w:tc>
          <w:tcPr>
            <w:tcW w:type="dxa" w:w="2457"/>
            <w:shd w:fill="C6EFCE" w:val="clear"/>
          </w:tcPr>
          <w:p>
            <w:r>
              <w:rPr>
                <w:b/>
                <w:color w:val="006400"/>
                <w:sz w:val="16"/>
              </w:rPr>
              <w:t>174.79%</w:t>
            </w:r>
          </w:p>
        </w:tc>
      </w:tr>
      <w:tr>
        <w:tc>
          <w:tcPr>
            <w:tcW w:type="dxa" w:w="2551"/>
            <w:shd w:fill="EEF2F7" w:val="clear"/>
          </w:tcPr>
          <w:p>
            <w:r>
              <w:rPr>
                <w:b/>
                <w:sz w:val="15"/>
              </w:rPr>
              <w:t>Liquidité générale</w:t>
            </w:r>
          </w:p>
        </w:tc>
        <w:tc>
          <w:tcPr>
            <w:tcW w:type="dxa" w:w="2457"/>
            <w:shd w:fill="FFC7CE" w:val="clear"/>
          </w:tcPr>
          <w:p>
            <w:r>
              <w:rPr>
                <w:b/>
                <w:color w:val="B40000"/>
                <w:sz w:val="16"/>
              </w:rPr>
              <w:t>36.36%</w:t>
            </w:r>
          </w:p>
        </w:tc>
        <w:tc>
          <w:tcPr>
            <w:tcW w:type="dxa" w:w="2457"/>
            <w:shd w:fill="FFFFFF" w:val="clear"/>
          </w:tcPr>
          <w:p>
            <w:r>
              <w:rPr>
                <w:b/>
                <w:color w:val="000000"/>
                <w:sz w:val="16"/>
              </w:rPr>
              <w:t>101.83%</w:t>
            </w:r>
          </w:p>
        </w:tc>
        <w:tc>
          <w:tcPr>
            <w:tcW w:type="dxa" w:w="2457"/>
            <w:shd w:fill="C6EFCE" w:val="clear"/>
          </w:tcPr>
          <w:p>
            <w:r>
              <w:rPr>
                <w:b/>
                <w:color w:val="006400"/>
                <w:sz w:val="16"/>
              </w:rPr>
              <w:t>139.07%</w:t>
            </w:r>
          </w:p>
        </w:tc>
      </w:tr>
      <w:tr>
        <w:tc>
          <w:tcPr>
            <w:tcW w:type="dxa" w:w="2551"/>
            <w:shd w:fill="EEF2F7" w:val="clear"/>
          </w:tcPr>
          <w:p>
            <w:r>
              <w:rPr>
                <w:b/>
                <w:sz w:val="15"/>
              </w:rPr>
              <w:t>Free Cash Flow</w:t>
            </w:r>
          </w:p>
        </w:tc>
        <w:tc>
          <w:tcPr>
            <w:tcW w:type="dxa" w:w="2457"/>
            <w:shd w:fill="FFC7CE" w:val="clear"/>
          </w:tcPr>
          <w:p>
            <w:r>
              <w:rPr>
                <w:b/>
                <w:color w:val="B40000"/>
                <w:sz w:val="16"/>
              </w:rPr>
              <w:t>1.556 Mds FCFA</w:t>
            </w:r>
          </w:p>
        </w:tc>
        <w:tc>
          <w:tcPr>
            <w:tcW w:type="dxa" w:w="2457"/>
            <w:shd w:fill="FFFFFF" w:val="clear"/>
          </w:tcPr>
          <w:p>
            <w:r>
              <w:rPr>
                <w:b/>
                <w:color w:val="000000"/>
                <w:sz w:val="16"/>
              </w:rPr>
              <w:t>156.200 Mds FCFA</w:t>
            </w:r>
          </w:p>
        </w:tc>
        <w:tc>
          <w:tcPr>
            <w:tcW w:type="dxa" w:w="2457"/>
            <w:shd w:fill="C6EFCE" w:val="clear"/>
          </w:tcPr>
          <w:p>
            <w:r>
              <w:rPr>
                <w:b/>
                <w:color w:val="006400"/>
                <w:sz w:val="16"/>
              </w:rPr>
              <w:t>408.087 Mds FCFA</w:t>
            </w:r>
          </w:p>
        </w:tc>
      </w:tr>
      <w:tr>
        <w:tc>
          <w:tcPr>
            <w:tcW w:type="dxa" w:w="2551"/>
            <w:shd w:fill="EEF2F7" w:val="clear"/>
          </w:tcPr>
          <w:p>
            <w:r>
              <w:rPr>
                <w:b/>
                <w:sz w:val="15"/>
              </w:rPr>
              <w:t>Coeff. exploitation</w:t>
            </w:r>
          </w:p>
        </w:tc>
        <w:tc>
          <w:tcPr>
            <w:tcW w:type="dxa" w:w="2457"/>
            <w:shd w:fill="FFC7CE" w:val="clear"/>
          </w:tcPr>
          <w:p>
            <w:r>
              <w:rPr>
                <w:b/>
                <w:color w:val="B40000"/>
                <w:sz w:val="16"/>
              </w:rPr>
              <w:t>67.07%</w:t>
            </w:r>
          </w:p>
        </w:tc>
        <w:tc>
          <w:tcPr>
            <w:tcW w:type="dxa" w:w="2457"/>
            <w:shd w:fill="C6EFCE" w:val="clear"/>
          </w:tcPr>
          <w:p>
            <w:r>
              <w:rPr>
                <w:b/>
                <w:color w:val="006400"/>
                <w:sz w:val="16"/>
              </w:rPr>
              <w:t>46.66%</w:t>
            </w:r>
          </w:p>
        </w:tc>
        <w:tc>
          <w:tcPr>
            <w:tcW w:type="dxa" w:w="2457"/>
            <w:shd w:fill="F2F2F2" w:val="clear"/>
          </w:tcPr>
          <w:p>
            <w:r>
              <w:rPr>
                <w:b/>
                <w:sz w:val="16"/>
              </w:rPr>
              <w:t>N/D</w:t>
            </w:r>
          </w:p>
        </w:tc>
      </w:tr>
      <w:tr>
        <w:tc>
          <w:tcPr>
            <w:tcW w:type="dxa" w:w="2551"/>
            <w:shd w:fill="EEF2F7" w:val="clear"/>
          </w:tcPr>
          <w:p>
            <w:r>
              <w:rPr>
                <w:b/>
                <w:sz w:val="15"/>
              </w:rPr>
              <w:t>Marge opérationnelle</w:t>
            </w:r>
          </w:p>
        </w:tc>
        <w:tc>
          <w:tcPr>
            <w:tcW w:type="dxa" w:w="2457"/>
            <w:shd w:fill="FFC7CE" w:val="clear"/>
          </w:tcPr>
          <w:p>
            <w:r>
              <w:rPr>
                <w:b/>
                <w:color w:val="B40000"/>
                <w:sz w:val="16"/>
              </w:rPr>
              <w:t>17.56%</w:t>
            </w:r>
          </w:p>
        </w:tc>
        <w:tc>
          <w:tcPr>
            <w:tcW w:type="dxa" w:w="2457"/>
            <w:shd w:fill="FFFFFF" w:val="clear"/>
          </w:tcPr>
          <w:p>
            <w:r>
              <w:rPr>
                <w:b/>
                <w:color w:val="000000"/>
                <w:sz w:val="16"/>
              </w:rPr>
              <w:t>23.99%</w:t>
            </w:r>
          </w:p>
        </w:tc>
        <w:tc>
          <w:tcPr>
            <w:tcW w:type="dxa" w:w="2457"/>
            <w:shd w:fill="C6EFCE" w:val="clear"/>
          </w:tcPr>
          <w:p>
            <w:r>
              <w:rPr>
                <w:b/>
                <w:color w:val="006400"/>
                <w:sz w:val="16"/>
              </w:rPr>
              <w:t>34.83%</w:t>
            </w:r>
          </w:p>
        </w:tc>
      </w:tr>
    </w:tbl>
    <w:p/>
    <w:p>
      <w:pPr>
        <w:pStyle w:val="Heading3"/>
      </w:pPr>
      <w:r>
        <w:t>🔍 Analyse détaillée par société</w:t>
      </w:r>
    </w:p>
    <w:p>
      <w:pPr>
        <w:spacing w:before="160"/>
      </w:pPr>
      <w:r>
        <w:rPr>
          <w:b/>
          <w:color w:val="003366"/>
          <w:sz w:val="20"/>
        </w:rPr>
        <w:t xml:space="preserve">▶ ONTBF — ONTBF - ONATEL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27.61%</w:t>
            </w:r>
          </w:p>
        </w:tc>
        <w:tc>
          <w:tcPr>
            <w:tcW w:type="dxa" w:w="5669"/>
            <w:shd w:fill="FFFFFF" w:val="clear"/>
          </w:tcPr>
          <w:p>
            <w:r>
              <w:rPr>
                <w:sz w:val="15"/>
              </w:rPr>
              <w:t>✅ ROE de 27.6%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4.89%</w:t>
            </w:r>
          </w:p>
        </w:tc>
        <w:tc>
          <w:tcPr>
            <w:tcW w:type="dxa" w:w="5669"/>
            <w:shd w:fill="FFFFFF" w:val="clear"/>
          </w:tcPr>
          <w:p>
            <w:r>
              <w:rPr>
                <w:sz w:val="15"/>
              </w:rPr>
              <w:t>✅ ROA de 4.89%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10.87%</w:t>
            </w:r>
          </w:p>
        </w:tc>
        <w:tc>
          <w:tcPr>
            <w:tcW w:type="dxa" w:w="5669"/>
            <w:shd w:fill="FFFFFF" w:val="clear"/>
          </w:tcPr>
          <w:p>
            <w:r>
              <w:rPr>
                <w:sz w:val="15"/>
              </w:rPr>
              <w:t>✅ Marge nette de 10.9%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15.887 Mds FCFA</w:t>
            </w:r>
          </w:p>
        </w:tc>
        <w:tc>
          <w:tcPr>
            <w:tcW w:type="dxa" w:w="5669"/>
            <w:shd w:fill="FFFFFF" w:val="clear"/>
          </w:tcPr>
          <w:p>
            <w:r>
              <w:rPr>
                <w:sz w:val="15"/>
              </w:rPr>
              <w:t>✅ Résultat net positif de 15.887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3.06%</w:t>
            </w:r>
          </w:p>
        </w:tc>
        <w:tc>
          <w:tcPr>
            <w:tcW w:type="dxa" w:w="5669"/>
            <w:shd w:fill="FFFFFF" w:val="clear"/>
          </w:tcPr>
          <w:p>
            <w:r>
              <w:rPr>
                <w:sz w:val="15"/>
              </w:rPr>
              <w:t>⚠️ Croissance faible (3.1%)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17.71%</w:t>
            </w:r>
          </w:p>
        </w:tc>
        <w:tc>
          <w:tcPr>
            <w:tcW w:type="dxa" w:w="5669"/>
            <w:shd w:fill="FFFFFF" w:val="clear"/>
          </w:tcPr>
          <w:p>
            <w:r>
              <w:rPr>
                <w:sz w:val="15"/>
              </w:rPr>
              <w:t>⚠️ Autonomie limitée (17.7%)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FFEB9C" w:val="clear"/>
          </w:tcPr>
          <w:p>
            <w:r>
              <w:rPr>
                <w:b/>
                <w:color w:val="007800"/>
                <w:sz w:val="17"/>
              </w:rPr>
              <w:t>186.99%</w:t>
            </w:r>
          </w:p>
        </w:tc>
        <w:tc>
          <w:tcPr>
            <w:tcW w:type="dxa" w:w="5669"/>
            <w:shd w:fill="FFFFFF" w:val="clear"/>
          </w:tcPr>
          <w:p>
            <w:r>
              <w:rPr>
                <w:sz w:val="15"/>
              </w:rPr>
              <w:t>⚠️ Gearing de 187%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C6EFCE" w:val="clear"/>
          </w:tcPr>
          <w:p>
            <w:r>
              <w:rPr>
                <w:b/>
                <w:color w:val="007800"/>
                <w:sz w:val="17"/>
              </w:rPr>
              <w:t>121.52%</w:t>
            </w:r>
          </w:p>
        </w:tc>
        <w:tc>
          <w:tcPr>
            <w:tcW w:type="dxa" w:w="5669"/>
            <w:shd w:fill="FFFFFF" w:val="clear"/>
          </w:tcPr>
          <w:p>
            <w:r>
              <w:rPr>
                <w:sz w:val="15"/>
              </w:rPr>
              <w:t>✅ Solvabilité satisfaisante (122%)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36.36%</w:t>
            </w:r>
          </w:p>
        </w:tc>
        <w:tc>
          <w:tcPr>
            <w:tcW w:type="dxa" w:w="5669"/>
            <w:shd w:fill="FFFFFF" w:val="clear"/>
          </w:tcPr>
          <w:p>
            <w:r>
              <w:rPr>
                <w:sz w:val="15"/>
              </w:rPr>
              <w:t>❌ Liquidité insuffisante (36.36x)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1.556 Mds FCFA</w:t>
            </w:r>
          </w:p>
        </w:tc>
        <w:tc>
          <w:tcPr>
            <w:tcW w:type="dxa" w:w="5669"/>
            <w:shd w:fill="FFFFFF" w:val="clear"/>
          </w:tcPr>
          <w:p>
            <w:r>
              <w:rPr>
                <w:sz w:val="15"/>
              </w:rPr>
              <w:t>✅ FCF positif de 1.556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EB9C" w:val="clear"/>
          </w:tcPr>
          <w:p>
            <w:r>
              <w:rPr>
                <w:b/>
                <w:color w:val="007800"/>
                <w:sz w:val="17"/>
              </w:rPr>
              <w:t>67.07%</w:t>
            </w:r>
          </w:p>
        </w:tc>
        <w:tc>
          <w:tcPr>
            <w:tcW w:type="dxa" w:w="5669"/>
            <w:shd w:fill="FFFFFF" w:val="clear"/>
          </w:tcPr>
          <w:p>
            <w:r>
              <w:rPr>
                <w:sz w:val="15"/>
              </w:rPr>
              <w:t>⚠️ Coeff. d'exploitation de 67.1% — charges absorbant trop du PNB. Marge de progression nécessaire.</w:t>
            </w:r>
          </w:p>
        </w:tc>
      </w:tr>
      <w:tr>
        <w:tc>
          <w:tcPr>
            <w:tcW w:type="dxa" w:w="2268"/>
            <w:shd w:fill="EEF2F7" w:val="clear"/>
          </w:tcPr>
          <w:p>
            <w:r>
              <w:rPr>
                <w:b/>
                <w:sz w:val="15"/>
              </w:rPr>
              <w:t>Marge opérationnelle</w:t>
            </w:r>
          </w:p>
        </w:tc>
        <w:tc>
          <w:tcPr>
            <w:tcW w:type="dxa" w:w="1984"/>
            <w:shd w:fill="C6EFCE" w:val="clear"/>
          </w:tcPr>
          <w:p>
            <w:r>
              <w:rPr>
                <w:b/>
                <w:color w:val="007800"/>
                <w:sz w:val="17"/>
              </w:rPr>
              <w:t>17.56%</w:t>
            </w:r>
          </w:p>
        </w:tc>
        <w:tc>
          <w:tcPr>
            <w:tcW w:type="dxa" w:w="5669"/>
            <w:shd w:fill="FFFFFF" w:val="clear"/>
          </w:tcPr>
          <w:p>
            <w:r>
              <w:rPr>
                <w:sz w:val="15"/>
              </w:rPr>
              <w:t>✅ Marge opérationnelle correcte (17.6%).</w:t>
            </w:r>
          </w:p>
        </w:tc>
      </w:tr>
    </w:tbl>
    <w:p/>
    <w:p>
      <w:pPr>
        <w:spacing w:before="160"/>
      </w:pPr>
      <w:r>
        <w:rPr>
          <w:b/>
          <w:color w:val="003366"/>
          <w:sz w:val="20"/>
        </w:rPr>
        <w:t xml:space="preserve">▶ ORAC — ORAC - ORANGE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23.71%</w:t>
            </w:r>
          </w:p>
        </w:tc>
        <w:tc>
          <w:tcPr>
            <w:tcW w:type="dxa" w:w="5669"/>
            <w:shd w:fill="FFFFFF" w:val="clear"/>
          </w:tcPr>
          <w:p>
            <w:r>
              <w:rPr>
                <w:sz w:val="15"/>
              </w:rPr>
              <w:t>✅ ROE de 23.7%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6.57%</w:t>
            </w:r>
          </w:p>
        </w:tc>
        <w:tc>
          <w:tcPr>
            <w:tcW w:type="dxa" w:w="5669"/>
            <w:shd w:fill="FFFFFF" w:val="clear"/>
          </w:tcPr>
          <w:p>
            <w:r>
              <w:rPr>
                <w:sz w:val="15"/>
              </w:rPr>
              <w:t>✅ ROA de 6.57%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14.02%</w:t>
            </w:r>
          </w:p>
        </w:tc>
        <w:tc>
          <w:tcPr>
            <w:tcW w:type="dxa" w:w="5669"/>
            <w:shd w:fill="FFFFFF" w:val="clear"/>
          </w:tcPr>
          <w:p>
            <w:r>
              <w:rPr>
                <w:sz w:val="15"/>
              </w:rPr>
              <w:t>✅ Marge nette de 14.0%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167.800 Mds FCFA</w:t>
            </w:r>
          </w:p>
        </w:tc>
        <w:tc>
          <w:tcPr>
            <w:tcW w:type="dxa" w:w="5669"/>
            <w:shd w:fill="FFFFFF" w:val="clear"/>
          </w:tcPr>
          <w:p>
            <w:r>
              <w:rPr>
                <w:sz w:val="15"/>
              </w:rPr>
              <w:t>✅ Résultat net positif de 167.800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10.42%</w:t>
            </w:r>
          </w:p>
        </w:tc>
        <w:tc>
          <w:tcPr>
            <w:tcW w:type="dxa" w:w="5669"/>
            <w:shd w:fill="FFFFFF" w:val="clear"/>
          </w:tcPr>
          <w:p>
            <w:r>
              <w:rPr>
                <w:sz w:val="15"/>
              </w:rPr>
              <w:t>✅ Croissance de 10.4%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27.71%</w:t>
            </w:r>
          </w:p>
        </w:tc>
        <w:tc>
          <w:tcPr>
            <w:tcW w:type="dxa" w:w="5669"/>
            <w:shd w:fill="FFFFFF" w:val="clear"/>
          </w:tcPr>
          <w:p>
            <w:r>
              <w:rPr>
                <w:sz w:val="15"/>
              </w:rPr>
              <w:t>✅ Autonomie financière correcte (27.7%)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47.46%</w:t>
            </w:r>
          </w:p>
        </w:tc>
        <w:tc>
          <w:tcPr>
            <w:tcW w:type="dxa" w:w="5669"/>
            <w:shd w:fill="FFFFFF" w:val="clear"/>
          </w:tcPr>
          <w:p>
            <w:r>
              <w:rPr>
                <w:sz w:val="15"/>
              </w:rPr>
              <w:t>✅ Gearing de 47%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138.34%</w:t>
            </w:r>
          </w:p>
        </w:tc>
        <w:tc>
          <w:tcPr>
            <w:tcW w:type="dxa" w:w="5669"/>
            <w:shd w:fill="FFFFFF" w:val="clear"/>
          </w:tcPr>
          <w:p>
            <w:r>
              <w:rPr>
                <w:sz w:val="15"/>
              </w:rPr>
              <w:t>✅ Solvabilité satisfaisante (138%) — les actifs couvrent bien les dettes.</w:t>
            </w:r>
          </w:p>
        </w:tc>
      </w:tr>
      <w:tr>
        <w:tc>
          <w:tcPr>
            <w:tcW w:type="dxa" w:w="2268"/>
            <w:shd w:fill="EEF2F7" w:val="clear"/>
          </w:tcPr>
          <w:p>
            <w:r>
              <w:rPr>
                <w:b/>
                <w:sz w:val="15"/>
              </w:rPr>
              <w:t>Liquidité générale</w:t>
            </w:r>
          </w:p>
        </w:tc>
        <w:tc>
          <w:tcPr>
            <w:tcW w:type="dxa" w:w="1984"/>
            <w:shd w:fill="FFEB9C" w:val="clear"/>
          </w:tcPr>
          <w:p>
            <w:r>
              <w:rPr>
                <w:b/>
                <w:color w:val="007800"/>
                <w:sz w:val="17"/>
              </w:rPr>
              <w:t>101.83%</w:t>
            </w:r>
          </w:p>
        </w:tc>
        <w:tc>
          <w:tcPr>
            <w:tcW w:type="dxa" w:w="5669"/>
            <w:shd w:fill="FFFFFF" w:val="clear"/>
          </w:tcPr>
          <w:p>
            <w:r>
              <w:rPr>
                <w:sz w:val="15"/>
              </w:rPr>
              <w:t>⚠️ Liquidité générale limite (101.83x) — couverture juste suffisante.</w:t>
            </w:r>
          </w:p>
        </w:tc>
      </w:tr>
      <w:tr>
        <w:tc>
          <w:tcPr>
            <w:tcW w:type="dxa" w:w="2268"/>
            <w:shd w:fill="EEF2F7" w:val="clear"/>
          </w:tcPr>
          <w:p>
            <w:r>
              <w:rPr>
                <w:b/>
                <w:sz w:val="15"/>
              </w:rPr>
              <w:t>Free Cash Flow</w:t>
            </w:r>
          </w:p>
        </w:tc>
        <w:tc>
          <w:tcPr>
            <w:tcW w:type="dxa" w:w="1984"/>
            <w:shd w:fill="C6EFCE" w:val="clear"/>
          </w:tcPr>
          <w:p>
            <w:r>
              <w:rPr>
                <w:b/>
                <w:color w:val="007800"/>
                <w:sz w:val="17"/>
              </w:rPr>
              <w:t>156.200 Mds FCFA</w:t>
            </w:r>
          </w:p>
        </w:tc>
        <w:tc>
          <w:tcPr>
            <w:tcW w:type="dxa" w:w="5669"/>
            <w:shd w:fill="FFFFFF" w:val="clear"/>
          </w:tcPr>
          <w:p>
            <w:r>
              <w:rPr>
                <w:sz w:val="15"/>
              </w:rPr>
              <w:t>✅ FCF positif de 156.200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46.66%</w:t>
            </w:r>
          </w:p>
        </w:tc>
        <w:tc>
          <w:tcPr>
            <w:tcW w:type="dxa" w:w="5669"/>
            <w:shd w:fill="FFFFFF" w:val="clear"/>
          </w:tcPr>
          <w:p>
            <w:r>
              <w:rPr>
                <w:sz w:val="15"/>
              </w:rPr>
              <w:t>✅ Coeff. d'exploitation de 46.7%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23.99%</w:t>
            </w:r>
          </w:p>
        </w:tc>
        <w:tc>
          <w:tcPr>
            <w:tcW w:type="dxa" w:w="5669"/>
            <w:shd w:fill="FFFFFF" w:val="clear"/>
          </w:tcPr>
          <w:p>
            <w:r>
              <w:rPr>
                <w:sz w:val="15"/>
              </w:rPr>
              <w:t>✅ Marge opérationnelle de 24.0% — excellente efficacité de l'exploitation principale.</w:t>
            </w:r>
          </w:p>
        </w:tc>
      </w:tr>
    </w:tbl>
    <w:p/>
    <w:p>
      <w:pPr>
        <w:spacing w:before="160"/>
      </w:pPr>
      <w:r>
        <w:rPr>
          <w:b/>
          <w:color w:val="003366"/>
          <w:sz w:val="20"/>
        </w:rPr>
        <w:t xml:space="preserve">▶ SNTS — SNTS - SONATEL SN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29.56%</w:t>
            </w:r>
          </w:p>
        </w:tc>
        <w:tc>
          <w:tcPr>
            <w:tcW w:type="dxa" w:w="5669"/>
            <w:shd w:fill="FFFFFF" w:val="clear"/>
          </w:tcPr>
          <w:p>
            <w:r>
              <w:rPr>
                <w:sz w:val="15"/>
              </w:rPr>
              <w:t>✅ ROE de 29.6%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12.65%</w:t>
            </w:r>
          </w:p>
        </w:tc>
        <w:tc>
          <w:tcPr>
            <w:tcW w:type="dxa" w:w="5669"/>
            <w:shd w:fill="FFFFFF" w:val="clear"/>
          </w:tcPr>
          <w:p>
            <w:r>
              <w:rPr>
                <w:sz w:val="15"/>
              </w:rPr>
              <w:t>✅ ROA de 12.65%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21.51%</w:t>
            </w:r>
          </w:p>
        </w:tc>
        <w:tc>
          <w:tcPr>
            <w:tcW w:type="dxa" w:w="5669"/>
            <w:shd w:fill="FFFFFF" w:val="clear"/>
          </w:tcPr>
          <w:p>
            <w:r>
              <w:rPr>
                <w:sz w:val="15"/>
              </w:rPr>
              <w:t>✅ Marge nette de 21.5%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413.588 Mds FCFA</w:t>
            </w:r>
          </w:p>
        </w:tc>
        <w:tc>
          <w:tcPr>
            <w:tcW w:type="dxa" w:w="5669"/>
            <w:shd w:fill="FFFFFF" w:val="clear"/>
          </w:tcPr>
          <w:p>
            <w:r>
              <w:rPr>
                <w:sz w:val="15"/>
              </w:rPr>
              <w:t>✅ Résultat net positif de 413.588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8.26%</w:t>
            </w:r>
          </w:p>
        </w:tc>
        <w:tc>
          <w:tcPr>
            <w:tcW w:type="dxa" w:w="5669"/>
            <w:shd w:fill="FFFFFF" w:val="clear"/>
          </w:tcPr>
          <w:p>
            <w:r>
              <w:rPr>
                <w:sz w:val="15"/>
              </w:rPr>
              <w:t>✅ Croissance de 8.3%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42.79%</w:t>
            </w:r>
          </w:p>
        </w:tc>
        <w:tc>
          <w:tcPr>
            <w:tcW w:type="dxa" w:w="5669"/>
            <w:shd w:fill="FFFFFF" w:val="clear"/>
          </w:tcPr>
          <w:p>
            <w:r>
              <w:rPr>
                <w:sz w:val="15"/>
              </w:rPr>
              <w:t>✅ Autonomie financière de 42.8%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57.21%</w:t>
            </w:r>
          </w:p>
        </w:tc>
        <w:tc>
          <w:tcPr>
            <w:tcW w:type="dxa" w:w="5669"/>
            <w:shd w:fill="FFFFFF" w:val="clear"/>
          </w:tcPr>
          <w:p>
            <w:r>
              <w:rPr>
                <w:sz w:val="15"/>
              </w:rPr>
              <w:t>✅ Gearing de 57%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174.79%</w:t>
            </w:r>
          </w:p>
        </w:tc>
        <w:tc>
          <w:tcPr>
            <w:tcW w:type="dxa" w:w="5669"/>
            <w:shd w:fill="FFFFFF" w:val="clear"/>
          </w:tcPr>
          <w:p>
            <w:r>
              <w:rPr>
                <w:sz w:val="15"/>
              </w:rPr>
              <w:t>✅ Solvabilité satisfaisante (175%)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139.07%</w:t>
            </w:r>
          </w:p>
        </w:tc>
        <w:tc>
          <w:tcPr>
            <w:tcW w:type="dxa" w:w="5669"/>
            <w:shd w:fill="FFFFFF" w:val="clear"/>
          </w:tcPr>
          <w:p>
            <w:r>
              <w:rPr>
                <w:sz w:val="15"/>
              </w:rPr>
              <w:t>✅ Liquidité générale de 139.07x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408.087 Mds FCFA</w:t>
            </w:r>
          </w:p>
        </w:tc>
        <w:tc>
          <w:tcPr>
            <w:tcW w:type="dxa" w:w="5669"/>
            <w:shd w:fill="FFFFFF" w:val="clear"/>
          </w:tcPr>
          <w:p>
            <w:r>
              <w:rPr>
                <w:sz w:val="15"/>
              </w:rPr>
              <w:t>✅ FCF positif de 408.087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34.83%</w:t>
            </w:r>
          </w:p>
        </w:tc>
        <w:tc>
          <w:tcPr>
            <w:tcW w:type="dxa" w:w="5669"/>
            <w:shd w:fill="FFFFFF" w:val="clear"/>
          </w:tcPr>
          <w:p>
            <w:r>
              <w:rPr>
                <w:sz w:val="15"/>
              </w:rPr>
              <w:t>✅ Marge opérationnelle de 34.8% — excellente efficacité de l'exploitation principale.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SNTS</w:t>
            </w:r>
          </w:p>
        </w:tc>
        <w:tc>
          <w:tcPr>
            <w:tcW w:type="dxa" w:w="1728"/>
            <w:shd w:fill="C6EFCE" w:val="clear"/>
          </w:tcPr>
          <w:p>
            <w:r>
              <w:rPr>
                <w:color w:val="006400"/>
                <w:sz w:val="16"/>
              </w:rPr>
              <w:t>29.56%</w:t>
            </w:r>
          </w:p>
        </w:tc>
        <w:tc>
          <w:tcPr>
            <w:tcW w:type="dxa" w:w="1728"/>
            <w:shd w:fill="FFC7CE" w:val="clear"/>
          </w:tcPr>
          <w:p>
            <w:r>
              <w:rPr>
                <w:b/>
                <w:color w:val="B40000"/>
                <w:sz w:val="16"/>
              </w:rPr>
              <w:t>ORAC</w:t>
            </w:r>
          </w:p>
        </w:tc>
        <w:tc>
          <w:tcPr>
            <w:tcW w:type="dxa" w:w="1728"/>
            <w:shd w:fill="FFC7CE" w:val="clear"/>
          </w:tcPr>
          <w:p>
            <w:r>
              <w:rPr>
                <w:color w:val="B40000"/>
                <w:sz w:val="16"/>
              </w:rPr>
              <w:t>23.71%</w:t>
            </w:r>
          </w:p>
        </w:tc>
      </w:tr>
      <w:tr>
        <w:tc>
          <w:tcPr>
            <w:tcW w:type="dxa" w:w="1728"/>
            <w:shd w:fill="EEF2F7" w:val="clear"/>
          </w:tcPr>
          <w:p>
            <w:r>
              <w:rPr>
                <w:b/>
                <w:sz w:val="16"/>
              </w:rPr>
              <w:t>Marge nette</w:t>
            </w:r>
          </w:p>
        </w:tc>
        <w:tc>
          <w:tcPr>
            <w:tcW w:type="dxa" w:w="1728"/>
            <w:shd w:fill="C6EFCE" w:val="clear"/>
          </w:tcPr>
          <w:p>
            <w:r>
              <w:rPr>
                <w:b/>
                <w:color w:val="006400"/>
                <w:sz w:val="16"/>
              </w:rPr>
              <w:t>SNTS</w:t>
            </w:r>
          </w:p>
        </w:tc>
        <w:tc>
          <w:tcPr>
            <w:tcW w:type="dxa" w:w="1728"/>
            <w:shd w:fill="C6EFCE" w:val="clear"/>
          </w:tcPr>
          <w:p>
            <w:r>
              <w:rPr>
                <w:color w:val="006400"/>
                <w:sz w:val="16"/>
              </w:rPr>
              <w:t>21.51%</w:t>
            </w:r>
          </w:p>
        </w:tc>
        <w:tc>
          <w:tcPr>
            <w:tcW w:type="dxa" w:w="1728"/>
            <w:shd w:fill="FFC7CE" w:val="clear"/>
          </w:tcPr>
          <w:p>
            <w:r>
              <w:rPr>
                <w:b/>
                <w:color w:val="B40000"/>
                <w:sz w:val="16"/>
              </w:rPr>
              <w:t>ONTBF</w:t>
            </w:r>
          </w:p>
        </w:tc>
        <w:tc>
          <w:tcPr>
            <w:tcW w:type="dxa" w:w="1728"/>
            <w:shd w:fill="FFC7CE" w:val="clear"/>
          </w:tcPr>
          <w:p>
            <w:r>
              <w:rPr>
                <w:color w:val="B40000"/>
                <w:sz w:val="16"/>
              </w:rPr>
              <w:t>10.87%</w:t>
            </w:r>
          </w:p>
        </w:tc>
      </w:tr>
      <w:tr>
        <w:tc>
          <w:tcPr>
            <w:tcW w:type="dxa" w:w="1728"/>
            <w:shd w:fill="EEF2F7" w:val="clear"/>
          </w:tcPr>
          <w:p>
            <w:r>
              <w:rPr>
                <w:b/>
                <w:sz w:val="16"/>
              </w:rPr>
              <w:t>Croissance CA/PNB</w:t>
            </w:r>
          </w:p>
        </w:tc>
        <w:tc>
          <w:tcPr>
            <w:tcW w:type="dxa" w:w="1728"/>
            <w:shd w:fill="C6EFCE" w:val="clear"/>
          </w:tcPr>
          <w:p>
            <w:r>
              <w:rPr>
                <w:b/>
                <w:color w:val="006400"/>
                <w:sz w:val="16"/>
              </w:rPr>
              <w:t>ORAC</w:t>
            </w:r>
          </w:p>
        </w:tc>
        <w:tc>
          <w:tcPr>
            <w:tcW w:type="dxa" w:w="1728"/>
            <w:shd w:fill="C6EFCE" w:val="clear"/>
          </w:tcPr>
          <w:p>
            <w:r>
              <w:rPr>
                <w:color w:val="006400"/>
                <w:sz w:val="16"/>
              </w:rPr>
              <w:t>10.42%</w:t>
            </w:r>
          </w:p>
        </w:tc>
        <w:tc>
          <w:tcPr>
            <w:tcW w:type="dxa" w:w="1728"/>
            <w:shd w:fill="FFC7CE" w:val="clear"/>
          </w:tcPr>
          <w:p>
            <w:r>
              <w:rPr>
                <w:b/>
                <w:color w:val="B40000"/>
                <w:sz w:val="16"/>
              </w:rPr>
              <w:t>ONTBF</w:t>
            </w:r>
          </w:p>
        </w:tc>
        <w:tc>
          <w:tcPr>
            <w:tcW w:type="dxa" w:w="1728"/>
            <w:shd w:fill="FFC7CE" w:val="clear"/>
          </w:tcPr>
          <w:p>
            <w:r>
              <w:rPr>
                <w:color w:val="B40000"/>
                <w:sz w:val="16"/>
              </w:rPr>
              <w:t>3.06%</w:t>
            </w:r>
          </w:p>
        </w:tc>
      </w:tr>
      <w:tr>
        <w:tc>
          <w:tcPr>
            <w:tcW w:type="dxa" w:w="1728"/>
            <w:shd w:fill="EEF2F7" w:val="clear"/>
          </w:tcPr>
          <w:p>
            <w:r>
              <w:rPr>
                <w:b/>
                <w:sz w:val="16"/>
              </w:rPr>
              <w:t>Autonomie fin.</w:t>
            </w:r>
          </w:p>
        </w:tc>
        <w:tc>
          <w:tcPr>
            <w:tcW w:type="dxa" w:w="1728"/>
            <w:shd w:fill="C6EFCE" w:val="clear"/>
          </w:tcPr>
          <w:p>
            <w:r>
              <w:rPr>
                <w:b/>
                <w:color w:val="006400"/>
                <w:sz w:val="16"/>
              </w:rPr>
              <w:t>SNTS</w:t>
            </w:r>
          </w:p>
        </w:tc>
        <w:tc>
          <w:tcPr>
            <w:tcW w:type="dxa" w:w="1728"/>
            <w:shd w:fill="C6EFCE" w:val="clear"/>
          </w:tcPr>
          <w:p>
            <w:r>
              <w:rPr>
                <w:color w:val="006400"/>
                <w:sz w:val="16"/>
              </w:rPr>
              <w:t>42.79%</w:t>
            </w:r>
          </w:p>
        </w:tc>
        <w:tc>
          <w:tcPr>
            <w:tcW w:type="dxa" w:w="1728"/>
            <w:shd w:fill="FFC7CE" w:val="clear"/>
          </w:tcPr>
          <w:p>
            <w:r>
              <w:rPr>
                <w:b/>
                <w:color w:val="B40000"/>
                <w:sz w:val="16"/>
              </w:rPr>
              <w:t>ONTBF</w:t>
            </w:r>
          </w:p>
        </w:tc>
        <w:tc>
          <w:tcPr>
            <w:tcW w:type="dxa" w:w="1728"/>
            <w:shd w:fill="FFC7CE" w:val="clear"/>
          </w:tcPr>
          <w:p>
            <w:r>
              <w:rPr>
                <w:color w:val="B40000"/>
                <w:sz w:val="16"/>
              </w:rPr>
              <w:t>17.71%</w:t>
            </w:r>
          </w:p>
        </w:tc>
      </w:tr>
      <w:tr>
        <w:tc>
          <w:tcPr>
            <w:tcW w:type="dxa" w:w="1728"/>
            <w:shd w:fill="EEF2F7" w:val="clear"/>
          </w:tcPr>
          <w:p>
            <w:r>
              <w:rPr>
                <w:b/>
                <w:sz w:val="16"/>
              </w:rPr>
              <w:t>Liquidité gén.</w:t>
            </w:r>
          </w:p>
        </w:tc>
        <w:tc>
          <w:tcPr>
            <w:tcW w:type="dxa" w:w="1728"/>
            <w:shd w:fill="C6EFCE" w:val="clear"/>
          </w:tcPr>
          <w:p>
            <w:r>
              <w:rPr>
                <w:b/>
                <w:color w:val="006400"/>
                <w:sz w:val="16"/>
              </w:rPr>
              <w:t>SNTS</w:t>
            </w:r>
          </w:p>
        </w:tc>
        <w:tc>
          <w:tcPr>
            <w:tcW w:type="dxa" w:w="1728"/>
            <w:shd w:fill="C6EFCE" w:val="clear"/>
          </w:tcPr>
          <w:p>
            <w:r>
              <w:rPr>
                <w:color w:val="006400"/>
                <w:sz w:val="16"/>
              </w:rPr>
              <w:t>139.07%</w:t>
            </w:r>
          </w:p>
        </w:tc>
        <w:tc>
          <w:tcPr>
            <w:tcW w:type="dxa" w:w="1728"/>
            <w:shd w:fill="FFC7CE" w:val="clear"/>
          </w:tcPr>
          <w:p>
            <w:r>
              <w:rPr>
                <w:b/>
                <w:color w:val="B40000"/>
                <w:sz w:val="16"/>
              </w:rPr>
              <w:t>ONTBF</w:t>
            </w:r>
          </w:p>
        </w:tc>
        <w:tc>
          <w:tcPr>
            <w:tcW w:type="dxa" w:w="1728"/>
            <w:shd w:fill="FFC7CE" w:val="clear"/>
          </w:tcPr>
          <w:p>
            <w:r>
              <w:rPr>
                <w:color w:val="B40000"/>
                <w:sz w:val="16"/>
              </w:rPr>
              <w:t>36.36%</w:t>
            </w:r>
          </w:p>
        </w:tc>
      </w:tr>
      <w:tr>
        <w:tc>
          <w:tcPr>
            <w:tcW w:type="dxa" w:w="1728"/>
            <w:shd w:fill="EEF2F7" w:val="clear"/>
          </w:tcPr>
          <w:p>
            <w:r>
              <w:rPr>
                <w:b/>
                <w:sz w:val="16"/>
              </w:rPr>
              <w:t>FCF</w:t>
            </w:r>
          </w:p>
        </w:tc>
        <w:tc>
          <w:tcPr>
            <w:tcW w:type="dxa" w:w="1728"/>
            <w:shd w:fill="C6EFCE" w:val="clear"/>
          </w:tcPr>
          <w:p>
            <w:r>
              <w:rPr>
                <w:b/>
                <w:color w:val="006400"/>
                <w:sz w:val="16"/>
              </w:rPr>
              <w:t>SNTS</w:t>
            </w:r>
          </w:p>
        </w:tc>
        <w:tc>
          <w:tcPr>
            <w:tcW w:type="dxa" w:w="1728"/>
            <w:shd w:fill="C6EFCE" w:val="clear"/>
          </w:tcPr>
          <w:p>
            <w:r>
              <w:rPr>
                <w:color w:val="006400"/>
                <w:sz w:val="16"/>
              </w:rPr>
              <w:t>408.087 Mds FCFA</w:t>
            </w:r>
          </w:p>
        </w:tc>
        <w:tc>
          <w:tcPr>
            <w:tcW w:type="dxa" w:w="1728"/>
            <w:shd w:fill="FFC7CE" w:val="clear"/>
          </w:tcPr>
          <w:p>
            <w:r>
              <w:rPr>
                <w:b/>
                <w:color w:val="B40000"/>
                <w:sz w:val="16"/>
              </w:rPr>
              <w:t>ONTBF</w:t>
            </w:r>
          </w:p>
        </w:tc>
        <w:tc>
          <w:tcPr>
            <w:tcW w:type="dxa" w:w="1728"/>
            <w:shd w:fill="FFC7CE" w:val="clear"/>
          </w:tcPr>
          <w:p>
            <w:r>
              <w:rPr>
                <w:color w:val="B40000"/>
                <w:sz w:val="16"/>
              </w:rPr>
              <w:t>1.556 Mds FCFA</w:t>
            </w:r>
          </w:p>
        </w:tc>
      </w:tr>
      <w:tr>
        <w:tc>
          <w:tcPr>
            <w:tcW w:type="dxa" w:w="1728"/>
            <w:shd w:fill="EEF2F7" w:val="clear"/>
          </w:tcPr>
          <w:p>
            <w:r>
              <w:rPr>
                <w:b/>
                <w:sz w:val="16"/>
              </w:rPr>
              <w:t>Coeff. exploit.</w:t>
            </w:r>
          </w:p>
        </w:tc>
        <w:tc>
          <w:tcPr>
            <w:tcW w:type="dxa" w:w="1728"/>
            <w:shd w:fill="C6EFCE" w:val="clear"/>
          </w:tcPr>
          <w:p>
            <w:r>
              <w:rPr>
                <w:b/>
                <w:color w:val="006400"/>
                <w:sz w:val="16"/>
              </w:rPr>
              <w:t>ORAC</w:t>
            </w:r>
          </w:p>
        </w:tc>
        <w:tc>
          <w:tcPr>
            <w:tcW w:type="dxa" w:w="1728"/>
            <w:shd w:fill="C6EFCE" w:val="clear"/>
          </w:tcPr>
          <w:p>
            <w:r>
              <w:rPr>
                <w:color w:val="006400"/>
                <w:sz w:val="16"/>
              </w:rPr>
              <w:t>46.66%</w:t>
            </w:r>
          </w:p>
        </w:tc>
        <w:tc>
          <w:tcPr>
            <w:tcW w:type="dxa" w:w="1728"/>
            <w:shd w:fill="FFC7CE" w:val="clear"/>
          </w:tcPr>
          <w:p>
            <w:r>
              <w:rPr>
                <w:b/>
                <w:color w:val="B40000"/>
                <w:sz w:val="16"/>
              </w:rPr>
              <w:t>ONTBF</w:t>
            </w:r>
          </w:p>
        </w:tc>
        <w:tc>
          <w:tcPr>
            <w:tcW w:type="dxa" w:w="1728"/>
            <w:shd w:fill="FFC7CE" w:val="clear"/>
          </w:tcPr>
          <w:p>
            <w:r>
              <w:rPr>
                <w:color w:val="B40000"/>
                <w:sz w:val="16"/>
              </w:rPr>
              <w:t>67.07%</w:t>
            </w:r>
          </w:p>
        </w:tc>
      </w:tr>
    </w:tbl>
    <w:p/>
    <w:p>
      <w:r>
        <w:br w:type="page"/>
      </w:r>
    </w:p>
    <w:p>
      <w:pPr>
        <w:pStyle w:val="Heading1"/>
      </w:pPr>
      <w:r>
        <w:t>TABLE DES MATIÈRES - ANALYSES DÉTAILLÉES</w:t>
      </w:r>
    </w:p>
    <w:p>
      <w:pPr>
        <w:ind w:left="400"/>
      </w:pPr>
      <w:r>
        <w:t>1. ABJC - ABJC - SERVAIR ABIDJAN CI</w:t>
      </w:r>
    </w:p>
    <w:p>
      <w:pPr>
        <w:ind w:left="400"/>
      </w:pPr>
      <w:r>
        <w:t>2. BBGC - BRIDGE BANK GROUP COTE D'IVOIRE</w:t>
      </w:r>
    </w:p>
    <w:p>
      <w:pPr>
        <w:ind w:left="400"/>
      </w:pPr>
      <w:r>
        <w:t>3. BICB - BIIC BN - Banque internationale pour le commerce du benin</w:t>
      </w:r>
    </w:p>
    <w:p>
      <w:pPr>
        <w:ind w:left="400"/>
      </w:pPr>
      <w:r>
        <w:t>4. BICC - BICI CI - Banque internationale pour le commerce et l'industrie de la Côte d'Ivoire</w:t>
      </w:r>
    </w:p>
    <w:p>
      <w:pPr>
        <w:ind w:left="400"/>
      </w:pPr>
      <w:r>
        <w:t>5. BNBC - BNBC - BERNABE CI</w:t>
      </w:r>
    </w:p>
    <w:p>
      <w:pPr>
        <w:ind w:left="400"/>
      </w:pPr>
      <w:r>
        <w:t>6. BOAB - BANK OF AFRICA BENIN</w:t>
      </w:r>
    </w:p>
    <w:p>
      <w:pPr>
        <w:ind w:left="400"/>
      </w:pPr>
      <w:r>
        <w:t>7. BOABF - BANK OF AFRICA BURKINA FASO</w:t>
      </w:r>
    </w:p>
    <w:p>
      <w:pPr>
        <w:ind w:left="400"/>
      </w:pPr>
      <w:r>
        <w:t>8. BOAC - BANK OF AFRICA COTE D'IVOIRE</w:t>
      </w:r>
    </w:p>
    <w:p>
      <w:pPr>
        <w:ind w:left="400"/>
      </w:pPr>
      <w:r>
        <w:t>9. BOAM - BANK OF AFRICA MALI</w:t>
      </w:r>
    </w:p>
    <w:p>
      <w:pPr>
        <w:ind w:left="400"/>
      </w:pPr>
      <w:r>
        <w:t>10. BOAN - BANK OF AFRICA NIGER</w:t>
      </w:r>
    </w:p>
    <w:p>
      <w:pPr>
        <w:ind w:left="400"/>
      </w:pPr>
      <w:r>
        <w:t>11. BOAS - BANK OF AFRICA SENEGAL</w:t>
      </w:r>
    </w:p>
    <w:p>
      <w:pPr>
        <w:ind w:left="400"/>
      </w:pPr>
      <w:r>
        <w:t>12. CABC - CABC - SICABLE COTE D'IVOIRE</w:t>
      </w:r>
    </w:p>
    <w:p>
      <w:pPr>
        <w:ind w:left="400"/>
      </w:pPr>
      <w:r>
        <w:t>13. CBIBF - CBIBF - CORIS BANK INTERNATIONAL BURKINA FASO</w:t>
      </w:r>
    </w:p>
    <w:p>
      <w:pPr>
        <w:ind w:left="400"/>
      </w:pPr>
      <w:r>
        <w:t>14. CFAC - CFAC - CFAO MOTORS CI</w:t>
      </w:r>
    </w:p>
    <w:p>
      <w:pPr>
        <w:ind w:left="400"/>
      </w:pPr>
      <w:r>
        <w:t>15. CIEC - CIEC - Compagnie Ivoirienne d'Electricité</w:t>
      </w:r>
    </w:p>
    <w:p>
      <w:pPr>
        <w:ind w:left="400"/>
      </w:pPr>
      <w:r>
        <w:t>16. ECOC - ECOC - ECOBANK COTE D'IVOIRE</w:t>
      </w:r>
    </w:p>
    <w:p>
      <w:pPr>
        <w:ind w:left="400"/>
      </w:pPr>
      <w:r>
        <w:t>17. ETIT - ETIT - Ecobank Transnational Incorporated Togo</w:t>
      </w:r>
    </w:p>
    <w:p>
      <w:pPr>
        <w:ind w:left="400"/>
      </w:pPr>
      <w:r>
        <w:t>18. FTSC - FTSC - FILTISAC COTE D'IVOIRE</w:t>
      </w:r>
    </w:p>
    <w:p>
      <w:pPr>
        <w:ind w:left="400"/>
      </w:pPr>
      <w:r>
        <w:t>19. LNBB - LNBB - LOTERIE NATIONALE DU BENIN</w:t>
      </w:r>
    </w:p>
    <w:p>
      <w:pPr>
        <w:ind w:left="400"/>
      </w:pPr>
      <w:r>
        <w:t>20. NEIC - NEIC - NEI-CEDA CI</w:t>
      </w:r>
    </w:p>
    <w:p>
      <w:pPr>
        <w:ind w:left="400"/>
      </w:pPr>
      <w:r>
        <w:t>21. NSBC - NSBC - NSIA BANQUE COTE D'IVOIRE</w:t>
      </w:r>
    </w:p>
    <w:p>
      <w:pPr>
        <w:ind w:left="400"/>
      </w:pPr>
      <w:r>
        <w:t>22. NTLC - NTLC - NESTLE COTE D'IVOIRE</w:t>
      </w:r>
    </w:p>
    <w:p>
      <w:pPr>
        <w:ind w:left="400"/>
      </w:pPr>
      <w:r>
        <w:t>23. ONTBF - ONTBF - ONATEL BURKINA FASO</w:t>
      </w:r>
    </w:p>
    <w:p>
      <w:pPr>
        <w:ind w:left="400"/>
      </w:pPr>
      <w:r>
        <w:t>24. ORAC - ORAC - ORANGE COTE D'IVOIRE</w:t>
      </w:r>
    </w:p>
    <w:p>
      <w:pPr>
        <w:ind w:left="400"/>
      </w:pPr>
      <w:r>
        <w:t>25. ORGT - ORGT - ORAGROUP TOGO</w:t>
      </w:r>
    </w:p>
    <w:p>
      <w:pPr>
        <w:ind w:left="400"/>
      </w:pPr>
      <w:r>
        <w:t>26. PALC - PALC - PALM COTE D'IVOIRE</w:t>
      </w:r>
    </w:p>
    <w:p>
      <w:pPr>
        <w:ind w:left="400"/>
      </w:pPr>
      <w:r>
        <w:t>27. PRSC - PRSC - TRACTAFRIC MOTORS CI</w:t>
      </w:r>
    </w:p>
    <w:p>
      <w:pPr>
        <w:ind w:left="400"/>
      </w:pPr>
      <w:r>
        <w:t>28. SAFC - SAFCA CI</w:t>
      </w:r>
    </w:p>
    <w:p>
      <w:pPr>
        <w:ind w:left="400"/>
      </w:pPr>
      <w:r>
        <w:t>29. SCRC - SCRC - SUCRIVOIRE</w:t>
      </w:r>
    </w:p>
    <w:p>
      <w:pPr>
        <w:ind w:left="400"/>
      </w:pPr>
      <w:r>
        <w:t>30. SDCC - SDCC - Société de Distribution d'Eau de Côte d'Ivoire</w:t>
      </w:r>
    </w:p>
    <w:p>
      <w:pPr>
        <w:ind w:left="400"/>
      </w:pPr>
      <w:r>
        <w:t>31. SDSC - SDSC - AFRICA GLOBAL LOGISTICS CI</w:t>
      </w:r>
    </w:p>
    <w:p>
      <w:pPr>
        <w:ind w:left="400"/>
      </w:pPr>
      <w:r>
        <w:t>32. SEMC - SEMC - EVIOSYS PACKAGING SIEM CI</w:t>
      </w:r>
    </w:p>
    <w:p>
      <w:pPr>
        <w:ind w:left="400"/>
      </w:pPr>
      <w:r>
        <w:t>33. SGBC - SGBC - SOCIETE GENERALE COTE D'IVOIRE</w:t>
      </w:r>
    </w:p>
    <w:p>
      <w:pPr>
        <w:ind w:left="400"/>
      </w:pPr>
      <w:r>
        <w:t>34. SHEC - SHEC - VIVO ENERGY COTE D'IVOIRE</w:t>
      </w:r>
    </w:p>
    <w:p>
      <w:pPr>
        <w:ind w:left="400"/>
      </w:pPr>
      <w:r>
        <w:t>35. SIBC - SIBC - SOCIETE IVOIRIENNE DE BANQUE</w:t>
      </w:r>
    </w:p>
    <w:p>
      <w:pPr>
        <w:ind w:left="400"/>
      </w:pPr>
      <w:r>
        <w:t>36. SICC - SICC - SICOR COTE D'IVOIRE</w:t>
      </w:r>
    </w:p>
    <w:p>
      <w:pPr>
        <w:ind w:left="400"/>
      </w:pPr>
      <w:r>
        <w:t>37. SIVC - SIVC - ERIUM CI (Ex AIR LIQUIDECI)</w:t>
      </w:r>
    </w:p>
    <w:p>
      <w:pPr>
        <w:ind w:left="400"/>
      </w:pPr>
      <w:r>
        <w:t>38. SLBC - SLBC - SOLIBRA COTE D'IVOIRE</w:t>
      </w:r>
    </w:p>
    <w:p>
      <w:pPr>
        <w:ind w:left="400"/>
      </w:pPr>
      <w:r>
        <w:t>39. SMBC - SMBC - Société Multinationale de Bitumes COTE D'IVOIRE</w:t>
      </w:r>
    </w:p>
    <w:p>
      <w:pPr>
        <w:ind w:left="400"/>
      </w:pPr>
      <w:r>
        <w:t>40. SNTS - SNTS - SONATEL SN</w:t>
      </w:r>
    </w:p>
    <w:p>
      <w:pPr>
        <w:ind w:left="400"/>
      </w:pPr>
      <w:r>
        <w:t>41. SOGC - SOGC - Société des caoutchoucs de Grand-Béréby</w:t>
      </w:r>
    </w:p>
    <w:p>
      <w:pPr>
        <w:ind w:left="400"/>
      </w:pPr>
      <w:r>
        <w:t>42. SPHC - SPHC - Société Africaine de Plantation d'Hévéas de Côte d'Ivoire</w:t>
      </w:r>
    </w:p>
    <w:p>
      <w:pPr>
        <w:ind w:left="400"/>
      </w:pPr>
      <w:r>
        <w:t>43. STAC - STAC - SETAO COTE D'IVOIRE</w:t>
      </w:r>
    </w:p>
    <w:p>
      <w:pPr>
        <w:ind w:left="400"/>
      </w:pPr>
      <w:r>
        <w:t>44. STBC - STBC - SITAB COTE D'IVOIRE</w:t>
      </w:r>
    </w:p>
    <w:p>
      <w:pPr>
        <w:ind w:left="400"/>
      </w:pPr>
      <w:r>
        <w:t>45. TTLC - TTLC - TOTAL ENERGIES MARKETING COTE D'IVOIRE</w:t>
      </w:r>
    </w:p>
    <w:p>
      <w:pPr>
        <w:ind w:left="400"/>
      </w:pPr>
      <w:r>
        <w:t>46. TTLS - TTLS - TOTAL ENERGIES MARKETING SENEGAL</w:t>
      </w:r>
    </w:p>
    <w:p>
      <w:pPr>
        <w:ind w:left="400"/>
      </w:pPr>
      <w:r>
        <w:t>47. UNLC - UNLC - UNILEVER COTE D'IVOIRE</w:t>
      </w:r>
    </w:p>
    <w:p>
      <w:pPr>
        <w:ind w:left="400"/>
      </w:pPr>
      <w:r>
        <w:t>48. UNXC - UNXC - UNIWAX COTE D'IVOIRE</w:t>
      </w:r>
    </w:p>
    <w:p>
      <w:r>
        <w:br w:type="page"/>
      </w:r>
    </w:p>
    <w:p>
      <w:pPr>
        <w:pStyle w:val="Heading1"/>
      </w:pPr>
      <w:r>
        <w:t>ANALYSES DÉTAILLÉES PAR SOCIÉTÉ</w:t>
      </w:r>
    </w:p>
    <w:p>
      <w:pPr>
        <w:pStyle w:val="Heading2"/>
        <w:spacing w:before="360"/>
      </w:pPr>
      <w:r>
        <w:rPr>
          <w:color w:val="0066CC"/>
        </w:rPr>
        <w:t>1. ABJC - ABJC - SERVAIR ABIDJAN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ABJC</w:t>
            </w:r>
          </w:p>
          <w:p>
            <w:r>
              <w:rPr>
                <w:b/>
                <w:color w:val="323250"/>
                <w:sz w:val="16"/>
              </w:rPr>
              <w:t xml:space="preserve">Société : </w:t>
            </w:r>
            <w:r>
              <w:rPr>
                <w:color w:val="000000"/>
                <w:sz w:val="16"/>
              </w:rPr>
              <w:t>ABJC - SERVAIR ABIDJAN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33.83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3,248 titres</w:t>
            </w:r>
          </w:p>
        </w:tc>
        <w:tc>
          <w:tcPr>
            <w:tcW w:type="dxa" w:w="2268"/>
            <w:shd w:fill="FFF2CC" w:val="clear"/>
          </w:tcPr>
          <w:p>
            <w:r>
              <w:rPr>
                <w:b/>
                <w:color w:val="503200"/>
                <w:sz w:val="16"/>
              </w:rPr>
              <w:t xml:space="preserve">Cours actuel : </w:t>
            </w:r>
            <w:r>
              <w:rPr>
                <w:color w:val="000000"/>
                <w:sz w:val="17"/>
              </w:rPr>
              <w:t>3,100 FCFA</w:t>
            </w:r>
          </w:p>
          <w:p>
            <w:r>
              <w:rPr>
                <w:b/>
                <w:color w:val="503200"/>
                <w:sz w:val="16"/>
              </w:rPr>
              <w:t xml:space="preserve">Var. 100 jours : </w:t>
            </w:r>
            <w:r>
              <w:rPr>
                <w:b/>
                <w:color w:val="007800"/>
                <w:sz w:val="17"/>
              </w:rPr>
              <w:t>+7.83%</w:t>
            </w:r>
          </w:p>
          <w:p>
            <w:r>
              <w:rPr>
                <w:b/>
                <w:color w:val="503200"/>
                <w:sz w:val="16"/>
              </w:rPr>
              <w:t xml:space="preserve">Plus haut 100j : </w:t>
            </w:r>
            <w:r>
              <w:rPr>
                <w:color w:val="000000"/>
                <w:sz w:val="17"/>
              </w:rPr>
              <w:t>4,095 FCFA</w:t>
            </w:r>
          </w:p>
          <w:p>
            <w:r>
              <w:rPr>
                <w:b/>
                <w:color w:val="503200"/>
                <w:sz w:val="16"/>
              </w:rPr>
              <w:t xml:space="preserve">Plus bas 100j : </w:t>
            </w:r>
            <w:r>
              <w:rPr>
                <w:color w:val="000000"/>
                <w:sz w:val="17"/>
              </w:rPr>
              <w:t>2,800 FCFA</w:t>
            </w:r>
          </w:p>
          <w:p>
            <w:r>
              <w:rPr>
                <w:b/>
                <w:color w:val="503200"/>
                <w:sz w:val="16"/>
              </w:rPr>
              <w:t xml:space="preserve">Volatilité ann. : </w:t>
            </w:r>
            <w:r>
              <w:rPr>
                <w:color w:val="000000"/>
                <w:sz w:val="17"/>
              </w:rPr>
              <w:t>45.3%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19.1/100 → Faible</w:t>
      </w:r>
    </w:p>
    <w:p>
      <w:pPr>
        <w:spacing w:before="40" w:after="80"/>
      </w:pPr>
      <w:r>
        <w:rPr>
          <w:rFonts w:ascii="Courier New" w:hAnsi="Courier New"/>
          <w:color w:val="006400"/>
          <w:sz w:val="18"/>
        </w:rPr>
        <w:t>███░░░░░░░░░░░░░░░░░  19.1/100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10.40% (Moyenne) — μ=3,364 FCFA, σ=350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β=0.3385 (Défensif) — Cov=0.000025, Var(idx)=0.000075, ρ=0.101,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3,248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σ_j=2.85%/j (Stable) — Vol. annualisée≈45.3%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2026-10-16</w:t>
            </w:r>
          </w:p>
        </w:tc>
        <w:tc>
          <w:tcPr>
            <w:tcW w:type="dxa" w:w="1440"/>
            <w:shd w:fill="FAFAFA" w:val="clear"/>
          </w:tcPr>
          <w:p>
            <w:r>
              <w:rPr>
                <w:sz w:val="17"/>
              </w:rPr>
              <w:t>2,970</w:t>
            </w:r>
          </w:p>
        </w:tc>
        <w:tc>
          <w:tcPr>
            <w:tcW w:type="dxa" w:w="1440"/>
            <w:shd w:fill="FAFAFA" w:val="clear"/>
          </w:tcPr>
          <w:p>
            <w:r>
              <w:rPr>
                <w:b/>
                <w:sz w:val="17"/>
              </w:rPr>
              <w:t>3,096</w:t>
            </w:r>
          </w:p>
        </w:tc>
        <w:tc>
          <w:tcPr>
            <w:tcW w:type="dxa" w:w="1440"/>
            <w:shd w:fill="FAFAFA" w:val="clear"/>
          </w:tcPr>
          <w:p>
            <w:r>
              <w:rPr>
                <w:sz w:val="17"/>
              </w:rPr>
              <w:t>3,221</w:t>
            </w:r>
          </w:p>
        </w:tc>
        <w:tc>
          <w:tcPr>
            <w:tcW w:type="dxa" w:w="1440"/>
            <w:shd w:fill="FAFAFA" w:val="clear"/>
          </w:tcPr>
          <w:p>
            <w:r>
              <w:rPr>
                <w:b/>
                <w:color w:val="C00000"/>
                <w:sz w:val="17"/>
              </w:rPr>
              <w:t>-0.1%</w:t>
            </w:r>
          </w:p>
        </w:tc>
      </w:tr>
      <w:tr>
        <w:tc>
          <w:tcPr>
            <w:tcW w:type="dxa" w:w="1440"/>
            <w:shd w:fill="FAFAFA" w:val="clear"/>
          </w:tcPr>
          <w:p>
            <w:r>
              <w:rPr>
                <w:sz w:val="17"/>
              </w:rPr>
              <w:t>J+2  Moyenne</w:t>
            </w:r>
          </w:p>
        </w:tc>
        <w:tc>
          <w:tcPr>
            <w:tcW w:type="dxa" w:w="1440"/>
            <w:shd w:fill="FAFAFA" w:val="clear"/>
          </w:tcPr>
          <w:p>
            <w:r>
              <w:rPr>
                <w:sz w:val="17"/>
              </w:rPr>
              <w:t>2026-10-19</w:t>
            </w:r>
          </w:p>
        </w:tc>
        <w:tc>
          <w:tcPr>
            <w:tcW w:type="dxa" w:w="1440"/>
            <w:shd w:fill="FAFAFA" w:val="clear"/>
          </w:tcPr>
          <w:p>
            <w:r>
              <w:rPr>
                <w:sz w:val="17"/>
              </w:rPr>
              <w:t>2,894</w:t>
            </w:r>
          </w:p>
        </w:tc>
        <w:tc>
          <w:tcPr>
            <w:tcW w:type="dxa" w:w="1440"/>
            <w:shd w:fill="FAFAFA" w:val="clear"/>
          </w:tcPr>
          <w:p>
            <w:r>
              <w:rPr>
                <w:b/>
                <w:sz w:val="17"/>
              </w:rPr>
              <w:t>3,070</w:t>
            </w:r>
          </w:p>
        </w:tc>
        <w:tc>
          <w:tcPr>
            <w:tcW w:type="dxa" w:w="1440"/>
            <w:shd w:fill="FAFAFA" w:val="clear"/>
          </w:tcPr>
          <w:p>
            <w:r>
              <w:rPr>
                <w:sz w:val="17"/>
              </w:rPr>
              <w:t>3,246</w:t>
            </w:r>
          </w:p>
        </w:tc>
        <w:tc>
          <w:tcPr>
            <w:tcW w:type="dxa" w:w="1440"/>
            <w:shd w:fill="FAFAFA" w:val="clear"/>
          </w:tcPr>
          <w:p>
            <w:r>
              <w:rPr>
                <w:b/>
                <w:color w:val="C00000"/>
                <w:sz w:val="17"/>
              </w:rPr>
              <w:t>-1.0%</w:t>
            </w:r>
          </w:p>
        </w:tc>
      </w:tr>
      <w:tr>
        <w:tc>
          <w:tcPr>
            <w:tcW w:type="dxa" w:w="1440"/>
            <w:shd w:fill="FAFAFA" w:val="clear"/>
          </w:tcPr>
          <w:p>
            <w:r>
              <w:rPr>
                <w:sz w:val="17"/>
              </w:rPr>
              <w:t>J+3  Moyenne</w:t>
            </w:r>
          </w:p>
        </w:tc>
        <w:tc>
          <w:tcPr>
            <w:tcW w:type="dxa" w:w="1440"/>
            <w:shd w:fill="FAFAFA" w:val="clear"/>
          </w:tcPr>
          <w:p>
            <w:r>
              <w:rPr>
                <w:sz w:val="17"/>
              </w:rPr>
              <w:t>2026-10-20</w:t>
            </w:r>
          </w:p>
        </w:tc>
        <w:tc>
          <w:tcPr>
            <w:tcW w:type="dxa" w:w="1440"/>
            <w:shd w:fill="FAFAFA" w:val="clear"/>
          </w:tcPr>
          <w:p>
            <w:r>
              <w:rPr>
                <w:sz w:val="17"/>
              </w:rPr>
              <w:t>2,839</w:t>
            </w:r>
          </w:p>
        </w:tc>
        <w:tc>
          <w:tcPr>
            <w:tcW w:type="dxa" w:w="1440"/>
            <w:shd w:fill="FAFAFA" w:val="clear"/>
          </w:tcPr>
          <w:p>
            <w:r>
              <w:rPr>
                <w:b/>
                <w:sz w:val="17"/>
              </w:rPr>
              <w:t>3,053</w:t>
            </w:r>
          </w:p>
        </w:tc>
        <w:tc>
          <w:tcPr>
            <w:tcW w:type="dxa" w:w="1440"/>
            <w:shd w:fill="FAFAFA" w:val="clear"/>
          </w:tcPr>
          <w:p>
            <w:r>
              <w:rPr>
                <w:sz w:val="17"/>
              </w:rPr>
              <w:t>3,267</w:t>
            </w:r>
          </w:p>
        </w:tc>
        <w:tc>
          <w:tcPr>
            <w:tcW w:type="dxa" w:w="1440"/>
            <w:shd w:fill="FAFAFA" w:val="clear"/>
          </w:tcPr>
          <w:p>
            <w:r>
              <w:rPr>
                <w:b/>
                <w:color w:val="C00000"/>
                <w:sz w:val="17"/>
              </w:rPr>
              <w:t>-1.5%</w:t>
            </w:r>
          </w:p>
        </w:tc>
      </w:tr>
      <w:tr>
        <w:tc>
          <w:tcPr>
            <w:tcW w:type="dxa" w:w="1440"/>
            <w:shd w:fill="FFDCE0" w:val="clear"/>
          </w:tcPr>
          <w:p>
            <w:r>
              <w:rPr>
                <w:sz w:val="17"/>
              </w:rPr>
              <w:t>J+4  ⭐</w:t>
            </w:r>
          </w:p>
        </w:tc>
        <w:tc>
          <w:tcPr>
            <w:tcW w:type="dxa" w:w="1440"/>
            <w:shd w:fill="FFDCE0" w:val="clear"/>
          </w:tcPr>
          <w:p>
            <w:r>
              <w:rPr>
                <w:sz w:val="17"/>
              </w:rPr>
              <w:t>2026-10-21</w:t>
            </w:r>
          </w:p>
        </w:tc>
        <w:tc>
          <w:tcPr>
            <w:tcW w:type="dxa" w:w="1440"/>
            <w:shd w:fill="FFDCE0" w:val="clear"/>
          </w:tcPr>
          <w:p>
            <w:r>
              <w:rPr>
                <w:sz w:val="17"/>
              </w:rPr>
              <w:t>2,790</w:t>
            </w:r>
          </w:p>
        </w:tc>
        <w:tc>
          <w:tcPr>
            <w:tcW w:type="dxa" w:w="1440"/>
            <w:shd w:fill="FFDCE0" w:val="clear"/>
          </w:tcPr>
          <w:p>
            <w:r>
              <w:rPr>
                <w:b/>
                <w:sz w:val="17"/>
              </w:rPr>
              <w:t>3,036</w:t>
            </w:r>
          </w:p>
        </w:tc>
        <w:tc>
          <w:tcPr>
            <w:tcW w:type="dxa" w:w="1440"/>
            <w:shd w:fill="FFDCE0" w:val="clear"/>
          </w:tcPr>
          <w:p>
            <w:r>
              <w:rPr>
                <w:sz w:val="17"/>
              </w:rPr>
              <w:t>3,282</w:t>
            </w:r>
          </w:p>
        </w:tc>
        <w:tc>
          <w:tcPr>
            <w:tcW w:type="dxa" w:w="1440"/>
            <w:shd w:fill="FFDCE0" w:val="clear"/>
          </w:tcPr>
          <w:p>
            <w:r>
              <w:rPr>
                <w:b/>
                <w:color w:val="C00000"/>
                <w:sz w:val="17"/>
              </w:rPr>
              <w:t>-2.1%</w:t>
            </w:r>
          </w:p>
        </w:tc>
      </w:tr>
      <w:tr>
        <w:tc>
          <w:tcPr>
            <w:tcW w:type="dxa" w:w="1440"/>
            <w:shd w:fill="FFDCE0" w:val="clear"/>
          </w:tcPr>
          <w:p>
            <w:r>
              <w:rPr>
                <w:sz w:val="17"/>
              </w:rPr>
              <w:t>J+5  ⭐</w:t>
            </w:r>
          </w:p>
        </w:tc>
        <w:tc>
          <w:tcPr>
            <w:tcW w:type="dxa" w:w="1440"/>
            <w:shd w:fill="FFDCE0" w:val="clear"/>
          </w:tcPr>
          <w:p>
            <w:r>
              <w:rPr>
                <w:sz w:val="17"/>
              </w:rPr>
              <w:t>2026-10-22</w:t>
            </w:r>
          </w:p>
        </w:tc>
        <w:tc>
          <w:tcPr>
            <w:tcW w:type="dxa" w:w="1440"/>
            <w:shd w:fill="FFDCE0" w:val="clear"/>
          </w:tcPr>
          <w:p>
            <w:r>
              <w:rPr>
                <w:sz w:val="17"/>
              </w:rPr>
              <w:t>2,746</w:t>
            </w:r>
          </w:p>
        </w:tc>
        <w:tc>
          <w:tcPr>
            <w:tcW w:type="dxa" w:w="1440"/>
            <w:shd w:fill="FFDCE0" w:val="clear"/>
          </w:tcPr>
          <w:p>
            <w:r>
              <w:rPr>
                <w:b/>
                <w:sz w:val="17"/>
              </w:rPr>
              <w:t>3,019</w:t>
            </w:r>
          </w:p>
        </w:tc>
        <w:tc>
          <w:tcPr>
            <w:tcW w:type="dxa" w:w="1440"/>
            <w:shd w:fill="FFDCE0" w:val="clear"/>
          </w:tcPr>
          <w:p>
            <w:r>
              <w:rPr>
                <w:sz w:val="17"/>
              </w:rPr>
              <w:t>3,293</w:t>
            </w:r>
          </w:p>
        </w:tc>
        <w:tc>
          <w:tcPr>
            <w:tcW w:type="dxa" w:w="1440"/>
            <w:shd w:fill="FFDCE0" w:val="clear"/>
          </w:tcPr>
          <w:p>
            <w:r>
              <w:rPr>
                <w:b/>
                <w:color w:val="C00000"/>
                <w:sz w:val="17"/>
              </w:rPr>
              <w:t>-2.6%</w:t>
            </w:r>
          </w:p>
        </w:tc>
      </w:tr>
      <w:tr>
        <w:tc>
          <w:tcPr>
            <w:tcW w:type="dxa" w:w="1440"/>
            <w:shd w:fill="FFDCE0" w:val="clear"/>
          </w:tcPr>
          <w:p>
            <w:r>
              <w:rPr>
                <w:sz w:val="17"/>
              </w:rPr>
              <w:t>J+6  ⭐</w:t>
            </w:r>
          </w:p>
        </w:tc>
        <w:tc>
          <w:tcPr>
            <w:tcW w:type="dxa" w:w="1440"/>
            <w:shd w:fill="FFDCE0" w:val="clear"/>
          </w:tcPr>
          <w:p>
            <w:r>
              <w:rPr>
                <w:sz w:val="17"/>
              </w:rPr>
              <w:t>2026-10-23</w:t>
            </w:r>
          </w:p>
        </w:tc>
        <w:tc>
          <w:tcPr>
            <w:tcW w:type="dxa" w:w="1440"/>
            <w:shd w:fill="FFDCE0" w:val="clear"/>
          </w:tcPr>
          <w:p>
            <w:r>
              <w:rPr>
                <w:sz w:val="17"/>
              </w:rPr>
              <w:t>2,705</w:t>
            </w:r>
          </w:p>
        </w:tc>
        <w:tc>
          <w:tcPr>
            <w:tcW w:type="dxa" w:w="1440"/>
            <w:shd w:fill="FFDCE0" w:val="clear"/>
          </w:tcPr>
          <w:p>
            <w:r>
              <w:rPr>
                <w:b/>
                <w:sz w:val="17"/>
              </w:rPr>
              <w:t>3,003</w:t>
            </w:r>
          </w:p>
        </w:tc>
        <w:tc>
          <w:tcPr>
            <w:tcW w:type="dxa" w:w="1440"/>
            <w:shd w:fill="FFDCE0" w:val="clear"/>
          </w:tcPr>
          <w:p>
            <w:r>
              <w:rPr>
                <w:sz w:val="17"/>
              </w:rPr>
              <w:t>3,301</w:t>
            </w:r>
          </w:p>
        </w:tc>
        <w:tc>
          <w:tcPr>
            <w:tcW w:type="dxa" w:w="1440"/>
            <w:shd w:fill="FFDCE0" w:val="clear"/>
          </w:tcPr>
          <w:p>
            <w:r>
              <w:rPr>
                <w:b/>
                <w:color w:val="C00000"/>
                <w:sz w:val="17"/>
              </w:rPr>
              <w:t>-3.1%</w:t>
            </w:r>
          </w:p>
        </w:tc>
      </w:tr>
      <w:tr>
        <w:tc>
          <w:tcPr>
            <w:tcW w:type="dxa" w:w="1440"/>
            <w:shd w:fill="FFDCE0" w:val="clear"/>
          </w:tcPr>
          <w:p>
            <w:r>
              <w:rPr>
                <w:sz w:val="17"/>
              </w:rPr>
              <w:t>J+7  ⭐</w:t>
            </w:r>
          </w:p>
        </w:tc>
        <w:tc>
          <w:tcPr>
            <w:tcW w:type="dxa" w:w="1440"/>
            <w:shd w:fill="FFDCE0" w:val="clear"/>
          </w:tcPr>
          <w:p>
            <w:r>
              <w:rPr>
                <w:sz w:val="17"/>
              </w:rPr>
              <w:t>2026-10-26</w:t>
            </w:r>
          </w:p>
        </w:tc>
        <w:tc>
          <w:tcPr>
            <w:tcW w:type="dxa" w:w="1440"/>
            <w:shd w:fill="FFDCE0" w:val="clear"/>
          </w:tcPr>
          <w:p>
            <w:r>
              <w:rPr>
                <w:sz w:val="17"/>
              </w:rPr>
              <w:t>2,667</w:t>
            </w:r>
          </w:p>
        </w:tc>
        <w:tc>
          <w:tcPr>
            <w:tcW w:type="dxa" w:w="1440"/>
            <w:shd w:fill="FFDCE0" w:val="clear"/>
          </w:tcPr>
          <w:p>
            <w:r>
              <w:rPr>
                <w:b/>
                <w:sz w:val="17"/>
              </w:rPr>
              <w:t>2,987</w:t>
            </w:r>
          </w:p>
        </w:tc>
        <w:tc>
          <w:tcPr>
            <w:tcW w:type="dxa" w:w="1440"/>
            <w:shd w:fill="FFDCE0" w:val="clear"/>
          </w:tcPr>
          <w:p>
            <w:r>
              <w:rPr>
                <w:sz w:val="17"/>
              </w:rPr>
              <w:t>3,307</w:t>
            </w:r>
          </w:p>
        </w:tc>
        <w:tc>
          <w:tcPr>
            <w:tcW w:type="dxa" w:w="1440"/>
            <w:shd w:fill="FFDCE0" w:val="clear"/>
          </w:tcPr>
          <w:p>
            <w:r>
              <w:rPr>
                <w:b/>
                <w:color w:val="C00000"/>
                <w:sz w:val="17"/>
              </w:rPr>
              <w:t>-3.7%</w:t>
            </w:r>
          </w:p>
        </w:tc>
      </w:tr>
      <w:tr>
        <w:tc>
          <w:tcPr>
            <w:tcW w:type="dxa" w:w="1440"/>
            <w:shd w:fill="FFDCE0" w:val="clear"/>
          </w:tcPr>
          <w:p>
            <w:r>
              <w:rPr>
                <w:sz w:val="17"/>
              </w:rPr>
              <w:t>J+8  ⭐</w:t>
            </w:r>
          </w:p>
        </w:tc>
        <w:tc>
          <w:tcPr>
            <w:tcW w:type="dxa" w:w="1440"/>
            <w:shd w:fill="FFDCE0" w:val="clear"/>
          </w:tcPr>
          <w:p>
            <w:r>
              <w:rPr>
                <w:sz w:val="17"/>
              </w:rPr>
              <w:t>2026-10-27</w:t>
            </w:r>
          </w:p>
        </w:tc>
        <w:tc>
          <w:tcPr>
            <w:tcW w:type="dxa" w:w="1440"/>
            <w:shd w:fill="FFDCE0" w:val="clear"/>
          </w:tcPr>
          <w:p>
            <w:r>
              <w:rPr>
                <w:sz w:val="17"/>
              </w:rPr>
              <w:t>2,631</w:t>
            </w:r>
          </w:p>
        </w:tc>
        <w:tc>
          <w:tcPr>
            <w:tcW w:type="dxa" w:w="1440"/>
            <w:shd w:fill="FFDCE0" w:val="clear"/>
          </w:tcPr>
          <w:p>
            <w:r>
              <w:rPr>
                <w:b/>
                <w:sz w:val="17"/>
              </w:rPr>
              <w:t>2,971</w:t>
            </w:r>
          </w:p>
        </w:tc>
        <w:tc>
          <w:tcPr>
            <w:tcW w:type="dxa" w:w="1440"/>
            <w:shd w:fill="FFDCE0" w:val="clear"/>
          </w:tcPr>
          <w:p>
            <w:r>
              <w:rPr>
                <w:sz w:val="17"/>
              </w:rPr>
              <w:t>3,312</w:t>
            </w:r>
          </w:p>
        </w:tc>
        <w:tc>
          <w:tcPr>
            <w:tcW w:type="dxa" w:w="1440"/>
            <w:shd w:fill="FFDCE0" w:val="clear"/>
          </w:tcPr>
          <w:p>
            <w:r>
              <w:rPr>
                <w:b/>
                <w:color w:val="C00000"/>
                <w:sz w:val="17"/>
              </w:rPr>
              <w:t>-4.1%</w:t>
            </w:r>
          </w:p>
        </w:tc>
      </w:tr>
      <w:tr>
        <w:tc>
          <w:tcPr>
            <w:tcW w:type="dxa" w:w="1440"/>
            <w:shd w:fill="FFDCE0" w:val="clear"/>
          </w:tcPr>
          <w:p>
            <w:r>
              <w:rPr>
                <w:sz w:val="17"/>
              </w:rPr>
              <w:t>J+9  ⭐</w:t>
            </w:r>
          </w:p>
        </w:tc>
        <w:tc>
          <w:tcPr>
            <w:tcW w:type="dxa" w:w="1440"/>
            <w:shd w:fill="FFDCE0" w:val="clear"/>
          </w:tcPr>
          <w:p>
            <w:r>
              <w:rPr>
                <w:sz w:val="17"/>
              </w:rPr>
              <w:t>2026-10-28</w:t>
            </w:r>
          </w:p>
        </w:tc>
        <w:tc>
          <w:tcPr>
            <w:tcW w:type="dxa" w:w="1440"/>
            <w:shd w:fill="FFDCE0" w:val="clear"/>
          </w:tcPr>
          <w:p>
            <w:r>
              <w:rPr>
                <w:sz w:val="17"/>
              </w:rPr>
              <w:t>2,597</w:t>
            </w:r>
          </w:p>
        </w:tc>
        <w:tc>
          <w:tcPr>
            <w:tcW w:type="dxa" w:w="1440"/>
            <w:shd w:fill="FFDCE0" w:val="clear"/>
          </w:tcPr>
          <w:p>
            <w:r>
              <w:rPr>
                <w:b/>
                <w:sz w:val="17"/>
              </w:rPr>
              <w:t>2,957</w:t>
            </w:r>
          </w:p>
        </w:tc>
        <w:tc>
          <w:tcPr>
            <w:tcW w:type="dxa" w:w="1440"/>
            <w:shd w:fill="FFDCE0" w:val="clear"/>
          </w:tcPr>
          <w:p>
            <w:r>
              <w:rPr>
                <w:sz w:val="17"/>
              </w:rPr>
              <w:t>3,316</w:t>
            </w:r>
          </w:p>
        </w:tc>
        <w:tc>
          <w:tcPr>
            <w:tcW w:type="dxa" w:w="1440"/>
            <w:shd w:fill="FFDCE0" w:val="clear"/>
          </w:tcPr>
          <w:p>
            <w:r>
              <w:rPr>
                <w:b/>
                <w:color w:val="C00000"/>
                <w:sz w:val="17"/>
              </w:rPr>
              <w:t>-4.6%</w:t>
            </w:r>
          </w:p>
        </w:tc>
      </w:tr>
      <w:tr>
        <w:tc>
          <w:tcPr>
            <w:tcW w:type="dxa" w:w="1440"/>
            <w:shd w:fill="FFDCE0" w:val="clear"/>
          </w:tcPr>
          <w:p>
            <w:r>
              <w:rPr>
                <w:sz w:val="17"/>
              </w:rPr>
              <w:t>J+10  ⭐</w:t>
            </w:r>
          </w:p>
        </w:tc>
        <w:tc>
          <w:tcPr>
            <w:tcW w:type="dxa" w:w="1440"/>
            <w:shd w:fill="FFDCE0" w:val="clear"/>
          </w:tcPr>
          <w:p>
            <w:r>
              <w:rPr>
                <w:sz w:val="17"/>
              </w:rPr>
              <w:t>2026-10-29</w:t>
            </w:r>
          </w:p>
        </w:tc>
        <w:tc>
          <w:tcPr>
            <w:tcW w:type="dxa" w:w="1440"/>
            <w:shd w:fill="FFDCE0" w:val="clear"/>
          </w:tcPr>
          <w:p>
            <w:r>
              <w:rPr>
                <w:sz w:val="17"/>
              </w:rPr>
              <w:t>2,565</w:t>
            </w:r>
          </w:p>
        </w:tc>
        <w:tc>
          <w:tcPr>
            <w:tcW w:type="dxa" w:w="1440"/>
            <w:shd w:fill="FFDCE0" w:val="clear"/>
          </w:tcPr>
          <w:p>
            <w:r>
              <w:rPr>
                <w:b/>
                <w:sz w:val="17"/>
              </w:rPr>
              <w:t>2,942</w:t>
            </w:r>
          </w:p>
        </w:tc>
        <w:tc>
          <w:tcPr>
            <w:tcW w:type="dxa" w:w="1440"/>
            <w:shd w:fill="FFDCE0" w:val="clear"/>
          </w:tcPr>
          <w:p>
            <w:r>
              <w:rPr>
                <w:sz w:val="17"/>
              </w:rPr>
              <w:t>3,319</w:t>
            </w:r>
          </w:p>
        </w:tc>
        <w:tc>
          <w:tcPr>
            <w:tcW w:type="dxa" w:w="1440"/>
            <w:shd w:fill="FFDCE0" w:val="clear"/>
          </w:tcPr>
          <w:p>
            <w:r>
              <w:rPr>
                <w:b/>
                <w:color w:val="C00000"/>
                <w:sz w:val="17"/>
              </w:rPr>
              <w:t>-5.1%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2.554 Mds FCFA</w:t>
            </w:r>
          </w:p>
        </w:tc>
        <w:tc>
          <w:tcPr>
            <w:tcW w:type="dxa" w:w="5669"/>
            <w:shd w:fill="FFFFFF" w:val="clear"/>
          </w:tcPr>
          <w:p>
            <w:r>
              <w:rPr>
                <w:color w:val="282828"/>
                <w:sz w:val="15"/>
              </w:rPr>
              <w:t>Créances clients = 19.2%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674.88 M FCFA</w:t>
            </w:r>
          </w:p>
        </w:tc>
        <w:tc>
          <w:tcPr>
            <w:tcW w:type="dxa" w:w="5669"/>
            <w:shd w:fill="FFFFFF" w:val="clear"/>
          </w:tcPr>
          <w:p>
            <w:r>
              <w:rPr>
                <w:color w:val="282828"/>
                <w:sz w:val="15"/>
              </w:rPr>
              <w:t>Rotation stocks = 19.7x/an.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3.883 Mds FCFA</w:t>
            </w:r>
          </w:p>
        </w:tc>
        <w:tc>
          <w:tcPr>
            <w:tcW w:type="dxa" w:w="5669"/>
            <w:shd w:fill="FFFFFF" w:val="clear"/>
          </w:tcPr>
          <w:p>
            <w:r>
              <w:rPr>
                <w:color w:val="282828"/>
                <w:sz w:val="15"/>
              </w:rPr>
              <w:t>Ratio actif circ./passif circ. = 1.07x.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182.57 M FCFA</w:t>
            </w:r>
          </w:p>
        </w:tc>
        <w:tc>
          <w:tcPr>
            <w:tcW w:type="dxa" w:w="5669"/>
            <w:shd w:fill="FFFFFF" w:val="clear"/>
          </w:tcPr>
          <w:p>
            <w:r>
              <w:rPr>
                <w:color w:val="282828"/>
                <w:sz w:val="15"/>
              </w:rPr>
              <w:t>Brevets, logiciels, fonds commercial (2.0%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1.048 Mds FCFA</w:t>
            </w:r>
          </w:p>
        </w:tc>
        <w:tc>
          <w:tcPr>
            <w:tcW w:type="dxa" w:w="5669"/>
            <w:shd w:fill="FFFFFF" w:val="clear"/>
          </w:tcPr>
          <w:p>
            <w:r>
              <w:rPr>
                <w:color w:val="282828"/>
                <w:sz w:val="15"/>
              </w:rPr>
              <w:t>Outil industriel (11.4%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1.309 Mds FCFA</w:t>
            </w:r>
          </w:p>
        </w:tc>
        <w:tc>
          <w:tcPr>
            <w:tcW w:type="dxa" w:w="5669"/>
            <w:shd w:fill="FFFFFF" w:val="clear"/>
          </w:tcPr>
          <w:p>
            <w:r>
              <w:rPr>
                <w:color w:val="282828"/>
                <w:sz w:val="15"/>
              </w:rPr>
              <w:t>Actif immobilisé = 14.2%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4.035 Mds FCFA</w:t>
            </w:r>
          </w:p>
        </w:tc>
        <w:tc>
          <w:tcPr>
            <w:tcW w:type="dxa" w:w="5669"/>
            <w:shd w:fill="FFFFFF" w:val="clear"/>
          </w:tcPr>
          <w:p>
            <w:r>
              <w:rPr>
                <w:color w:val="282828"/>
                <w:sz w:val="15"/>
              </w:rPr>
              <w:t>Liquidités disponibles (43.7%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9.227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1.364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2.445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5.159 Mds FCFA</w:t>
            </w:r>
          </w:p>
        </w:tc>
        <w:tc>
          <w:tcPr>
            <w:tcW w:type="dxa" w:w="5669"/>
            <w:shd w:fill="FFFFFF" w:val="clear"/>
          </w:tcPr>
          <w:p>
            <w:r>
              <w:rPr>
                <w:color w:val="282828"/>
                <w:sz w:val="15"/>
              </w:rPr>
              <w:t>Fonds propres = 55.9%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5.601 Mds FCFA</w:t>
            </w:r>
          </w:p>
        </w:tc>
        <w:tc>
          <w:tcPr>
            <w:tcW w:type="dxa" w:w="5669"/>
            <w:shd w:fill="FFFFFF" w:val="clear"/>
          </w:tcPr>
          <w:p>
            <w:r>
              <w:rPr>
                <w:color w:val="282828"/>
                <w:sz w:val="15"/>
              </w:rPr>
              <w:t>Capitaux permanents / Actif immobilisé = 4.28x.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2.114 Mds FCFA</w:t>
            </w:r>
          </w:p>
        </w:tc>
        <w:tc>
          <w:tcPr>
            <w:tcW w:type="dxa" w:w="5669"/>
            <w:shd w:fill="FFFFFF" w:val="clear"/>
          </w:tcPr>
          <w:p>
            <w:r>
              <w:rPr>
                <w:color w:val="282828"/>
                <w:sz w:val="15"/>
              </w:rPr>
              <w:t>Délai fournisseurs implicite ≈ 58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65.89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65.89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4.068 Mds FCFA</w:t>
            </w:r>
          </w:p>
        </w:tc>
        <w:tc>
          <w:tcPr>
            <w:tcW w:type="dxa" w:w="5669"/>
            <w:shd w:fill="FFFFFF" w:val="clear"/>
          </w:tcPr>
          <w:p>
            <w:r>
              <w:rPr>
                <w:color w:val="282828"/>
                <w:sz w:val="15"/>
              </w:rPr>
              <w:t>Dettes totales = 44.1%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13.298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13.298 Mds FCFA</w:t>
            </w:r>
          </w:p>
        </w:tc>
        <w:tc>
          <w:tcPr>
            <w:tcW w:type="dxa" w:w="5669"/>
            <w:shd w:fill="FFFFFF" w:val="clear"/>
          </w:tcPr>
          <w:p>
            <w:r>
              <w:rPr>
                <w:color w:val="282828"/>
                <w:sz w:val="15"/>
              </w:rPr>
              <w:t>Chiffre d'affaires. Croissance: 6.7%.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330.84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2.544 Mds FCFA</w:t>
            </w:r>
          </w:p>
        </w:tc>
        <w:tc>
          <w:tcPr>
            <w:tcW w:type="dxa" w:w="5669"/>
            <w:shd w:fill="FFFFFF" w:val="clear"/>
          </w:tcPr>
          <w:p>
            <w:r>
              <w:rPr>
                <w:color w:val="282828"/>
                <w:sz w:val="15"/>
              </w:rPr>
              <w:t>Masse salariale = 19.1%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4.919 Mds FCFA</w:t>
            </w:r>
          </w:p>
        </w:tc>
        <w:tc>
          <w:tcPr>
            <w:tcW w:type="dxa" w:w="5669"/>
            <w:shd w:fill="FFFFFF" w:val="clear"/>
          </w:tcPr>
          <w:p>
            <w:r>
              <w:rPr>
                <w:color w:val="282828"/>
                <w:sz w:val="15"/>
              </w:rPr>
              <w:t>VA = 37.0%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2.375 Mds FCFA</w:t>
            </w:r>
          </w:p>
        </w:tc>
        <w:tc>
          <w:tcPr>
            <w:tcW w:type="dxa" w:w="5669"/>
            <w:shd w:fill="FFFFFF" w:val="clear"/>
          </w:tcPr>
          <w:p>
            <w:r>
              <w:rPr>
                <w:color w:val="282828"/>
                <w:sz w:val="15"/>
              </w:rPr>
              <w:t>EBE = 17.9%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2.178 Mds FCFA</w:t>
            </w:r>
          </w:p>
        </w:tc>
        <w:tc>
          <w:tcPr>
            <w:tcW w:type="dxa" w:w="5669"/>
            <w:shd w:fill="FFFFFF" w:val="clear"/>
          </w:tcPr>
          <w:p>
            <w:r>
              <w:rPr>
                <w:color w:val="282828"/>
                <w:sz w:val="15"/>
              </w:rPr>
              <w:t>Profit d'exploitation = 16.4%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375.65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1.351 Mds FCFA</w:t>
            </w:r>
          </w:p>
        </w:tc>
        <w:tc>
          <w:tcPr>
            <w:tcW w:type="dxa" w:w="5669"/>
            <w:shd w:fill="FFFFFF" w:val="clear"/>
          </w:tcPr>
          <w:p>
            <w:r>
              <w:rPr>
                <w:color w:val="282828"/>
                <w:sz w:val="15"/>
              </w:rPr>
              <w:t>Marge nette = 10.2%.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1.560 Mds FCFA</w:t>
            </w:r>
          </w:p>
        </w:tc>
        <w:tc>
          <w:tcPr>
            <w:tcW w:type="dxa" w:w="5669"/>
            <w:shd w:fill="FFFFFF" w:val="clear"/>
          </w:tcPr>
          <w:p>
            <w:r>
              <w:rPr>
                <w:color w:val="282828"/>
                <w:sz w:val="15"/>
              </w:rPr>
              <w:t>CAF = 1.56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1.310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-690.07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-12.99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619.83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257.45 M FCFA</w:t>
            </w:r>
          </w:p>
        </w:tc>
        <w:tc>
          <w:tcPr>
            <w:tcW w:type="dxa" w:w="5669"/>
            <w:shd w:fill="FFFFFF" w:val="clear"/>
          </w:tcPr>
          <w:p>
            <w:r>
              <w:rPr>
                <w:color w:val="282828"/>
                <w:sz w:val="15"/>
              </w:rPr>
              <w:t>BFR = 1.9%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4.292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4.035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68.49%</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10.16%</w:t>
            </w:r>
          </w:p>
        </w:tc>
        <w:tc>
          <w:tcPr>
            <w:tcW w:type="dxa" w:w="5669"/>
            <w:shd w:fill="FFFFFF" w:val="clear"/>
          </w:tcPr>
          <w:p>
            <w:r>
              <w:rPr>
                <w:color w:val="282828"/>
                <w:sz w:val="15"/>
              </w:rPr>
              <w:t>Résultat net / revenus = 10.16%.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16.38%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26.18%</w:t>
            </w:r>
          </w:p>
        </w:tc>
        <w:tc>
          <w:tcPr>
            <w:tcW w:type="dxa" w:w="5669"/>
            <w:shd w:fill="FFFFFF" w:val="clear"/>
          </w:tcPr>
          <w:p>
            <w:r>
              <w:rPr>
                <w:color w:val="282828"/>
                <w:sz w:val="15"/>
              </w:rPr>
              <w:t>Résultat net / capitaux propres = 26.18%.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14.64%</w:t>
            </w:r>
          </w:p>
        </w:tc>
        <w:tc>
          <w:tcPr>
            <w:tcW w:type="dxa" w:w="5669"/>
            <w:shd w:fill="FFFFFF" w:val="clear"/>
          </w:tcPr>
          <w:p>
            <w:r>
              <w:rPr>
                <w:color w:val="282828"/>
                <w:sz w:val="15"/>
              </w:rPr>
              <w:t>Résultat net / total actif = 14.64%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144.13%</w:t>
            </w:r>
          </w:p>
        </w:tc>
        <w:tc>
          <w:tcPr>
            <w:tcW w:type="dxa" w:w="5669"/>
            <w:shd w:fill="FFFFFF" w:val="clear"/>
          </w:tcPr>
          <w:p>
            <w:r>
              <w:rPr>
                <w:color w:val="282828"/>
                <w:sz w:val="15"/>
              </w:rPr>
              <w:t>CA / total actif = 144.13x.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6.67%</w:t>
            </w:r>
          </w:p>
        </w:tc>
        <w:tc>
          <w:tcPr>
            <w:tcW w:type="dxa" w:w="5669"/>
            <w:shd w:fill="FFFFFF" w:val="clear"/>
          </w:tcPr>
          <w:p>
            <w:r>
              <w:rPr>
                <w:color w:val="282828"/>
                <w:sz w:val="15"/>
              </w:rPr>
              <w:t>Croissance CA vs exercice précédent = 6.67%.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55.92%</w:t>
            </w:r>
          </w:p>
        </w:tc>
        <w:tc>
          <w:tcPr>
            <w:tcW w:type="dxa" w:w="5669"/>
            <w:shd w:fill="FFFFFF" w:val="clear"/>
          </w:tcPr>
          <w:p>
            <w:r>
              <w:rPr>
                <w:color w:val="282828"/>
                <w:sz w:val="15"/>
              </w:rPr>
              <w:t>Fonds propres / total bilan = 55.92%.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1.28%</w:t>
            </w:r>
          </w:p>
        </w:tc>
        <w:tc>
          <w:tcPr>
            <w:tcW w:type="dxa" w:w="5669"/>
            <w:shd w:fill="FFFFFF" w:val="clear"/>
          </w:tcPr>
          <w:p>
            <w:r>
              <w:rPr>
                <w:color w:val="282828"/>
                <w:sz w:val="15"/>
              </w:rPr>
              <w:t>Dettes financières / total bilan = 1.28%.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44.08%</w:t>
            </w:r>
          </w:p>
        </w:tc>
        <w:tc>
          <w:tcPr>
            <w:tcW w:type="dxa" w:w="5669"/>
            <w:shd w:fill="FFFFFF" w:val="clear"/>
          </w:tcPr>
          <w:p>
            <w:r>
              <w:rPr>
                <w:color w:val="282828"/>
                <w:sz w:val="15"/>
              </w:rPr>
              <w:t>Dettes totales / fonds propres = 44.08%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226.84%</w:t>
            </w:r>
          </w:p>
        </w:tc>
        <w:tc>
          <w:tcPr>
            <w:tcW w:type="dxa" w:w="5669"/>
            <w:shd w:fill="FFFFFF" w:val="clear"/>
          </w:tcPr>
          <w:p>
            <w:r>
              <w:rPr>
                <w:color w:val="282828"/>
                <w:sz w:val="15"/>
              </w:rPr>
              <w:t>Total actif / dettes totales = 226.84x.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218.37%</w:t>
            </w:r>
          </w:p>
        </w:tc>
        <w:tc>
          <w:tcPr>
            <w:tcW w:type="dxa" w:w="5669"/>
            <w:shd w:fill="FFFFFF" w:val="clear"/>
          </w:tcPr>
          <w:p>
            <w:r>
              <w:rPr>
                <w:color w:val="282828"/>
                <w:sz w:val="15"/>
              </w:rPr>
              <w:t>Actif circulant / passif circulant = 218.37x.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111.27%</w:t>
            </w:r>
          </w:p>
        </w:tc>
        <w:tc>
          <w:tcPr>
            <w:tcW w:type="dxa" w:w="5669"/>
            <w:shd w:fill="FFFFFF" w:val="clear"/>
          </w:tcPr>
          <w:p>
            <w:r>
              <w:rPr>
                <w:color w:val="282828"/>
                <w:sz w:val="15"/>
              </w:rPr>
              <w:t>Trésorerie / passif circulant = 111.27x.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199.75%</w:t>
            </w:r>
          </w:p>
        </w:tc>
        <w:tc>
          <w:tcPr>
            <w:tcW w:type="dxa" w:w="5669"/>
            <w:shd w:fill="FFFFFF" w:val="clear"/>
          </w:tcPr>
          <w:p>
            <w:r>
              <w:rPr>
                <w:color w:val="282828"/>
                <w:sz w:val="15"/>
              </w:rPr>
              <w:t>(Actif circ. - stocks) / passif circ. = 199.75x.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427.96%</w:t>
            </w:r>
          </w:p>
        </w:tc>
        <w:tc>
          <w:tcPr>
            <w:tcW w:type="dxa" w:w="5669"/>
            <w:shd w:fill="FFFFFF" w:val="clear"/>
          </w:tcPr>
          <w:p>
            <w:r>
              <w:rPr>
                <w:color w:val="282828"/>
                <w:sz w:val="15"/>
              </w:rPr>
              <w:t>Capitaux permanents / actif immobilisé = 427.96x.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36092.78%</w:t>
            </w:r>
          </w:p>
        </w:tc>
        <w:tc>
          <w:tcPr>
            <w:tcW w:type="dxa" w:w="5669"/>
            <w:shd w:fill="FFFFFF" w:val="clear"/>
          </w:tcPr>
          <w:p>
            <w:r>
              <w:rPr>
                <w:color w:val="282828"/>
                <w:sz w:val="15"/>
              </w:rPr>
              <w:t>Résultat exploit. / charges financières = 36092.78x.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226.08%</w:t>
            </w:r>
          </w:p>
        </w:tc>
        <w:tc>
          <w:tcPr>
            <w:tcW w:type="dxa" w:w="5669"/>
            <w:shd w:fill="FFFFFF" w:val="clear"/>
          </w:tcPr>
          <w:p>
            <w:r>
              <w:rPr>
                <w:color w:val="282828"/>
                <w:sz w:val="15"/>
              </w:rPr>
              <w:t>CAF / investissements = 226.08x.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70.1 j</w:t>
            </w:r>
          </w:p>
        </w:tc>
        <w:tc>
          <w:tcPr>
            <w:tcW w:type="dxa" w:w="5669"/>
            <w:shd w:fill="FFFFFF" w:val="clear"/>
          </w:tcPr>
          <w:p>
            <w:r>
              <w:rPr>
                <w:color w:val="282828"/>
                <w:sz w:val="15"/>
              </w:rPr>
              <w:t>Les clients paient en moyenne en 70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92.1 j</w:t>
            </w:r>
          </w:p>
        </w:tc>
        <w:tc>
          <w:tcPr>
            <w:tcW w:type="dxa" w:w="5669"/>
            <w:shd w:fill="FFFFFF" w:val="clear"/>
          </w:tcPr>
          <w:p>
            <w:r>
              <w:rPr>
                <w:color w:val="282828"/>
                <w:sz w:val="15"/>
              </w:rPr>
              <w:t>Paiement des fournisseurs en 92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29.4 j</w:t>
            </w:r>
          </w:p>
        </w:tc>
        <w:tc>
          <w:tcPr>
            <w:tcW w:type="dxa" w:w="5669"/>
            <w:shd w:fill="FFFFFF" w:val="clear"/>
          </w:tcPr>
          <w:p>
            <w:r>
              <w:rPr>
                <w:color w:val="282828"/>
                <w:sz w:val="15"/>
              </w:rPr>
              <w:t>Stock écoulé en 29 jours. ✅ Rotation rapide — faible immobilisation de capital.</w:t>
            </w:r>
          </w:p>
        </w:tc>
      </w:tr>
    </w:tbl>
    <w:p/>
    <w:p>
      <w:pPr>
        <w:spacing w:after="120" w:line="276" w:lineRule="auto"/>
      </w:pPr>
      <w:r>
        <w:t># RAPPORT D'ANALYSE FINANCIÈRE — SERVAIR ABIDJAN (ABJC)</w:t>
        <w:br/>
        <w:t>**Bourse Régionale des Valeurs Mobilières (BRVM) — Secteur : Services aéroportuaires**</w:t>
        <w:br/>
        <w:t>*Date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33,83 milliards FCFA, ABJC se positionne comme une valeur de taille moyenne sur le compartiment des sociétés non-financières de la BRVM, ce qui traduit une liquidité limitée mais une certaine stabilité institutionnelle. Le BPA de 124 FCFA/action indique que chaque titre génère un bénéfice unitaire modeste, cohérent avec un modèle d'affaires à marges maîtrisées dans les services aéroportuaires. Le PER de 25,0x est nettement supérieur à la moyenne du marché BRVM (généralement comprise entre 8 et 12x), signalant que les investisseurs paient une prime significative pour les bénéfices actuels — soit en anticipation d'une croissance future, soit en raison d'une surévaluation. Le P/B de 6,56x, très au-dessus du seuil de 4x généralement considéré comme exigeant, confirme que le marché valorise l'entreprise bien au-delà de sa valeur comptable, ce qui suppose une forte confiance dans la qualité de ses actifs immatériels et sa rentabilité future. Enfin, l'EV/EBITDA de 12,6x, dans la fourchette haute (10-15x), corrobore cette valorisation tendue : la valeur d'entreprise rapportée à la capacité opérationnelle de génération de cash-flow reste élevée, ce qui laisse peu de marge d'erreur en cas de dégradation des résultats.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ABJC affiche une variation totale positive de +7,83%, mais la dernière séance (J-1) enregistre un repli marqué de -2,82%, signalant une pression vendeuse récente. Le cours actuel de 3 100 FCFA se situe dans la partie basse du range de trading, le plus haut ayant atteint 4 095 FCFA et le plus bas 2 800 FCFA — soit un écart de près de 1 300 FCFA qui témoigne d'une amplitude significative. La tendance générale apparaît baissière sur la période récente, le titre s'étant éloigné de ses sommets pour se rapprocher de sa zone de support. Les statistiques descriptives révèlent une moyenne de 3 364 FCFA supérieure à la médiane de 3 278 FCFA, avec un mode à 3 150 FCFA : cet écart entre moyenne et médiane, combiné à un skewness positif de 0,662, indique une asymétrie à droite — davantage de journées se sont négociées sous la moyenne, avec quelques pics haussiers isolés tirant la moyenne vers le haut. L'écart-type de 352 FCFA (CV = 10,4%) traduit une dispersion modérée du cours autour de sa moyenne, tandis que le kurtosis de -0,745 (mésokurtique) suggère une distribution proche de la normale, sans risque excessif de pics extrêmes. La volatilité annualisée de 45,3% classe le titre dans la catégorie des valeurs à volatilité élevée (&gt;30%), ce qui implique un risque de prix important pour l'investisseur et justifie une approche prudente.</w:t>
      </w:r>
    </w:p>
    <w:p>
      <w:pPr>
        <w:spacing w:after="120" w:line="276" w:lineRule="auto"/>
      </w:pPr>
      <w:r>
        <w:t>---</w:t>
      </w:r>
    </w:p>
    <w:p>
      <w:pPr>
        <w:spacing w:after="120" w:line="276" w:lineRule="auto"/>
      </w:pPr>
      <w:r>
        <w:t>## PARTIE 2 : ANALYSE TECHNIQUE DÉTAILLÉE</w:t>
      </w:r>
    </w:p>
    <w:p>
      <w:pPr>
        <w:spacing w:after="120" w:line="276" w:lineRule="auto"/>
      </w:pPr>
      <w:r>
        <w:t>**Moyennes Mobiles** : La MM20 (3 543 FCFA) et la MM50 (3 565,5 FCFA) se situent toutes deux nettement au-dessus du cours actuel (3 100 FCFA), confirmant une configuration baissière où le prix évolue sous ses moyennes de référence. La MM20 étant légèrement inférieure à la MM50, on observe un début de croisement baissier qui renforce le signal de vente. La décision technique « Vente » est donc pleinement justifiée par cette position défavorable du cours sous ses deux moyennes.</w:t>
      </w:r>
    </w:p>
    <w:p>
      <w:pPr>
        <w:spacing w:after="120" w:line="276" w:lineRule="auto"/>
      </w:pPr>
      <w:r>
        <w:t>**Bandes de Bollinger** : Le cours actuel (3 100 FCFA) se situe dans la partie inférieure de la bande, entre la borne inférieure (2 873,46 FCFA) et la borne supérieure (4 212,54 FCFA), sans toutefois toucher la borne basse. Cette position suggère que le titre n'est pas encore en zone de survente extrême mais évolue dans un canal baissier. La décision « Neutre » reflète l'absence de signal clair de retournement, le cours n'ayant pas encore atteint la borne inférieure qui constituerait un point d'entrée potentiel.</w:t>
      </w:r>
    </w:p>
    <w:p>
      <w:pPr>
        <w:spacing w:after="120" w:line="276" w:lineRule="auto"/>
      </w:pPr>
      <w:r>
        <w:t>**MACD** : La valeur du MACD (-159,624) est inférieure à son signal (-102,201), avec un histogramme négatif qui traduit un momentum baissier persistant. L'écart entre les deux lignes s'accentue, ce qui indique que la pression vendeuse reste dominante et qu'aucun croisement haussier n'est en vue. La décision « Vente » est cohérente avec cette configuration de divergence baissière.</w:t>
      </w:r>
    </w:p>
    <w:p>
      <w:pPr>
        <w:spacing w:after="120" w:line="276" w:lineRule="auto"/>
      </w:pPr>
      <w:r>
        <w:t>**RSI** : Avec une valeur de 16,019, le RSI se situe très en dessous du seuil de survente (30), ce qui est un signal technique d'achat potentiel selon l'indicateur. Cette lecture extrême suggère que le titre a été massivement vendu et qu'un rebond technique pourrait se produire à court terme. La décision « Achat » du RSI contraste avec les autres indicateurs, créant une divergence intéressante.</w:t>
      </w:r>
    </w:p>
    <w:p>
      <w:pPr>
        <w:spacing w:after="120" w:line="276" w:lineRule="auto"/>
      </w:pPr>
      <w:r>
        <w:t>**Stochastique** : Les valeurs %K et %D sont toutes deux à 0,0, ce qui place l'indicateur en zone de survente extrême. Un tel niveau est généralement annonciateur d'un retournement haussier imminent, car il indique que le cours a clôturé à son plus bas niveau de la période de référence. La décision « Achat » du stochastique renforce le signal de survente du RSI.</w:t>
      </w:r>
    </w:p>
    <w:p>
      <w:pPr>
        <w:spacing w:after="120" w:line="276" w:lineRule="auto"/>
      </w:pPr>
      <w:r>
        <w:t>**Conclusion technique** : Les indicateurs de tendance (Moyennes Mobiles, MACD, Bandes de Bollinger) convergent vers un signal baissier, tandis que les oscillateurs (RSI, Stochastique) affichent des niveaux de survente extrême propices à un rebond technique. Cette divergence entre tendance et momentum suggère que le titre pourrait connaître une phase de stabilisation ou un rebond à court terme, mais la tendance de fond reste baissière tant que le cours n'aura pas reconquis ses moyennes mobiles.</w:t>
      </w:r>
    </w:p>
    <w:p>
      <w:pPr>
        <w:spacing w:after="120" w:line="276" w:lineRule="auto"/>
      </w:pPr>
      <w:r>
        <w:t>---</w:t>
      </w:r>
    </w:p>
    <w:p>
      <w:pPr>
        <w:spacing w:after="120" w:line="276" w:lineRule="auto"/>
      </w:pPr>
      <w:r>
        <w:t>## PARTIE 3 : ANALYSE FONDAMENTALE</w:t>
      </w:r>
    </w:p>
    <w:p>
      <w:pPr>
        <w:spacing w:after="120" w:line="276" w:lineRule="auto"/>
      </w:pPr>
      <w:r>
        <w:t>**Données structurées (exercice 2025)** : Selon les états financiers officiels de l'exercice 2025, Servair Abidjan affiche un chiffre d'affaires de 13,298 milliards FCFA, en croissance de 6,67% par rapport à 2024, témoignant d'une dynamique commerciale positive. Le résultat net s'établit à 1,351 milliard FCFA, avec une marge nette de 10,16% et une marge opérationnelle de 16,38%, des niveaux corrects pour le secteur. La rentabilité des fonds propres (ROE) atteint 26,18%, un niveau excellent (&gt;15%), et la rentabilité des actifs (ROA) de 14,64% confirme l'efficacité de l'utilisation des ressources. La structure financière est très saine : l'autonomie financière de 55,92% et un ratio d'endettement de 44,08% avec des dettes financières quasi nulles (65,89 millions FCFA) traduisent une quasi-absence de levier. Le BFR de 257,45 millions FCFA est positif mais maîtrisé, avec un délai clients de 70,10 jours (risque de trésorerie modéré) et un délai fournisseurs de 92,11 jours (favorable à la trésorerie). La trésorerie nette de 4,035 milliards FCFA et la liquidité immédiate de 111,27% offrent une excellente marge de manœuvre.</w:t>
      </w:r>
    </w:p>
    <w:p>
      <w:pPr>
        <w:spacing w:after="120" w:line="276" w:lineRule="auto"/>
      </w:pPr>
      <w:r>
        <w:t>**Estimations basées sur les rapports trimestriels** : Le rapport du T1 2026 (publié en 2026) indique une croissance modérée du CA de +1,9% à 3,237 milliards FCFA, mais une dégradation préoccupante de la rentabilité avec un résultat net en baisse de -35,6% à 222,6 millions FCFA. Cette contre-performance est attribuée à l'impact des ajustements de redevances aéroportuaires et aux tensions géopolitiques au Moyen-Orient affectant les compagnies clientes. Sur la base de ce T1 2026, on peut estimer que l'exercice 2026 devrait enregistrer une croissance atone du chiffre d'affaires (autour de +2%) et une pression persistante sur les marges, avec un résultat net annuel potentiellement en retrait de 20 à 30% par rapport à 2025. Le rapport T3 2025 (daté du 30 septembre 2025) montrait déjà un redressement avec un CA trimestriel de 10,218 milliards FCFA (+10,3%) et un résultat net de 1,325 milliard FCFA (+17,1%), mais cette dynamique semble s'être essoufflée au T1 2026.</w:t>
      </w:r>
    </w:p>
    <w:p>
      <w:pPr>
        <w:spacing w:after="120" w:line="276" w:lineRule="auto"/>
      </w:pPr>
      <w:r>
        <w:t>**Recommandation fondamentale** : La solidité financière de Servair Abidjan est indéniable (capitaux propres de 5,159 milliards FCFA, trésorerie abondante, endettement quasi nul), mais la dégradation récente de la rentabilité au T1 2026 constitue un signal d'alerte. Les risques identifiés (dépendance au trafic aérien, tensions géopolitiques, pression fiscale) pourraient peser sur les performances futures. La valorisation exigeante (PER 25x, P/B 6,56x) laisse peu de marge d'erreur et rend le titre vulnérable à toute déception bénéficiaire. Une position attentiste est préférable en attendant la confirmation d'un redressement durable de la rentabilité.</w:t>
      </w:r>
    </w:p>
    <w:p>
      <w:pPr>
        <w:spacing w:after="120" w:line="276" w:lineRule="auto"/>
      </w:pPr>
      <w:r>
        <w:t>---</w:t>
      </w:r>
    </w:p>
    <w:p>
      <w:pPr>
        <w:spacing w:after="120" w:line="276" w:lineRule="auto"/>
      </w:pPr>
      <w:r>
        <w:t>## PARTIE 4 : CONCLUSION D'INVESTISSEMENT</w:t>
      </w:r>
    </w:p>
    <w:p>
      <w:pPr>
        <w:spacing w:after="120" w:line="276" w:lineRule="auto"/>
      </w:pPr>
      <w:r>
        <w:t>La valorisation de Servair Abidjan apparaît nettement tendue : avec un PER de 25,0x (bien supérieur à la moyenne BRVM de 8-12x), un P/B de 6,56x et un EV/EBITDA de 12,6x, le marché intègre déjà des anticipations de croissance qui ne sont pas confirmées par les derniers résultats trimestriels. Le comportement du cours sur 100 jours révèle une tendance baissière récente (-2,82% en J-1) malgré une variation positive sur la période, avec une volatilité élevée (45,3%) et une asymétrie positive (skewness 0,662) qui indique que les investisseurs ont tendance à vendre sous la moyenne. Les signaux techniques sont mitigés : les indicateurs de tendance (MM, MACD) sont baissiers, mais les oscillateurs (RSI à 16, Stochastique à 0) affichent des niveaux de survente extrême qui pourraient déclencher un rebond technique à court terme. Les fondamentaux restent solides (ROE de 26,18%, trésorerie nette de 4,035 milliards FCFA, endettement quasi nul), mais la dégradation du résultat net au T1 2026 (-35,6%) et les perspectives incertaines (tensions géopolitiques, ajustements de redevances) pèsent sur l'horizon. Les prédictions IA pour les 10 prochains jours (3 096 → 3 019 FCFA) confirment une poursuite de la tendance baissière à court terme, en ligne avec les signaux techniques de tendance mais en contradiction avec les signaux de survente des oscillateurs.</w:t>
      </w:r>
    </w:p>
    <w:p>
      <w:pPr>
        <w:spacing w:after="120" w:line="276" w:lineRule="auto"/>
      </w:pPr>
      <w:r>
        <w:t>**Recommandation finale : CONSERVER** — La convergence entre une valorisation exigeante, une tendance technique baissière et une dégradation récente des fondamentaux justifie une position prudente. Toutefois, la solidité financière de l'entreprise et les niveaux de survente extrême des oscillateurs incitent à ne pas céder à la panique et à conserver la position en attendant un éventuel rebond technique ou une clarification des perspectives bénéficiaires. **Niveau de confiance : Moyen** — Les signaux sont contradictoires entre tendance et momentum, et les données fondamentales récentes sont mitigées. **Niveau de risque : Élevé** — La volatilité de 45,3% et la valorisation tendue exposent le titre à des corrections significatives en cas de déception. **Horizon d'investissement : Moyen terme (3-12 mois)** — Le temps nécessaire pour que la société démontre sa capacité à redresser sa rentabilité et pour que le marché réévalue le titre à des niveaux plus raisonnables.</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20260430   avis de convocation   assemblee generale ordinaire   servair abidjan ci</w:t>
      </w:r>
    </w:p>
    <w:p>
      <w:pPr>
        <w:spacing w:before="20"/>
        <w:ind w:left="400"/>
      </w:pPr>
      <w:r>
        <w:rPr>
          <w:color w:val="505050"/>
          <w:sz w:val="17"/>
        </w:rPr>
        <w:t xml:space="preserve">Date : 01/05/2026  |  Catégorie : convocation AG  |  Impact : </w:t>
      </w:r>
      <w:r>
        <w:rPr>
          <w:b/>
          <w:color w:val="646464"/>
          <w:sz w:val="17"/>
        </w:rPr>
        <w:t>⚪ NEUTRE</w:t>
      </w:r>
    </w:p>
    <w:p>
      <w:pPr>
        <w:spacing w:before="40"/>
        <w:ind w:left="400"/>
      </w:pPr>
      <w:r>
        <w:rPr>
          <w:sz w:val="18"/>
        </w:rPr>
        <w:t>SERVAIR ABIDJAN SA convoque ses actionnaires à une Assemblée Générale Ordinaire le 10 juin 2026 à 10h30 à la Maison de l'Entreprise (CGECI) au Plateau. L'ordre du jour comprend l'approbation des comptes 2025, l'affectation des résultats et le renouvellement des mandats d'administrateurs. La société au capital de 1,364 milliards FCFA opère dans les services aéroportuaires à l'Aéroport International FHB d'Abidjan.</w:t>
      </w:r>
    </w:p>
    <w:p>
      <w:pPr>
        <w:spacing w:before="60"/>
        <w:ind w:left="400"/>
      </w:pPr>
      <w:r>
        <w:rPr>
          <w:b/>
          <w:sz w:val="18"/>
        </w:rPr>
        <w:t>Points clés :</w:t>
      </w:r>
    </w:p>
    <w:p>
      <w:pPr>
        <w:pStyle w:val="ListBullet"/>
        <w:spacing w:before="20" w:after="20"/>
        <w:ind w:left="700"/>
      </w:pPr>
      <w:r>
        <w:rPr>
          <w:sz w:val="18"/>
        </w:rPr>
        <w:t>Assemblée Générale Ordinaire programmée le 10 juin 2026 à 10h30</w:t>
      </w:r>
    </w:p>
    <w:p>
      <w:pPr>
        <w:pStyle w:val="ListBullet"/>
        <w:spacing w:before="20" w:after="20"/>
        <w:ind w:left="700"/>
      </w:pPr>
      <w:r>
        <w:rPr>
          <w:sz w:val="18"/>
        </w:rPr>
        <w:t>Approbation des comptes SYSCOHADA et IFRS de l'exercice clos le 31 décembre 2025</w:t>
      </w:r>
    </w:p>
    <w:p>
      <w:pPr>
        <w:pStyle w:val="ListBullet"/>
        <w:spacing w:before="20" w:after="20"/>
        <w:ind w:left="700"/>
      </w:pPr>
      <w:r>
        <w:rPr>
          <w:sz w:val="18"/>
        </w:rPr>
        <w:t>Affectation des résultats de l'exercice 2025 et quitus aux administrateurs</w:t>
      </w:r>
    </w:p>
    <w:p>
      <w:pPr>
        <w:pStyle w:val="ListBullet"/>
        <w:spacing w:before="20" w:after="20"/>
        <w:ind w:left="700"/>
      </w:pPr>
      <w:r>
        <w:rPr>
          <w:sz w:val="18"/>
        </w:rPr>
        <w:t>Renouvellement des mandats d'administrateurs arrivés à échéance le 31 décembre 2025</w:t>
      </w:r>
    </w:p>
    <w:p>
      <w:pPr>
        <w:pStyle w:val="ListBullet"/>
        <w:spacing w:before="20" w:after="20"/>
        <w:ind w:left="700"/>
      </w:pPr>
      <w:r>
        <w:rPr>
          <w:sz w:val="18"/>
        </w:rPr>
        <w:t>Capital social de 1,364 milliards FCFA, société spécialisée dans les services aéroportuaires</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la soci\u00e9t\u00e9 maintient une croissance du chiffre d'affaires et poursuit sa strat\u00e9gie de diversification. Les difficult\u00e9s actuelles semblent conjoncturelles li\u00e9es au contexte r\u00e9glementaire et g\u00e9opolitique."}</w:t>
      </w:r>
    </w:p>
    <w:p>
      <w:pPr>
        <w:spacing w:before="40"/>
        <w:ind w:left="400"/>
      </w:pPr>
      <w:r>
        <w:rPr>
          <w:sz w:val="18"/>
        </w:rPr>
        <w:t>SERVAIR ABIDJAN, filiale du groupe Gategroup spécialisée dans les services aéroportuaires, affiche une croissance modérée de son chiffre d'affaires de 1,9% au premier trimestre 2026 par rapport à 2025. Cependant, la société enregistre une forte dégradation de sa rentabilité avec un résultat des activités ordinaires en recul de 27,4% et un résultat net en baisse de 35,6%. Cette performance décevante s'explique par un environnement d'exploitation moins favorable et l'impact de facteurs exogènes, notamment l'ajustement des redevances aéroportuaires depuis avril 2025. La société fait face à des défis opérationnels liés aux tensions géopolitiques au Moyen-Orient qui affectent certaines compagnies</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'1,9%', 'capital_social': '1 364 000 000 FCFA', 'variation_resultat_net': '-35,6%', 'variation_resultat_ordinaire': '-27,4%', 'resultat_activites_ordinaires': '327 622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222 625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3 237 192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 au T1 2026 vs T1 2025 (3,237 milliards FCFA vs 3,176 milliards FCFA)</w:t>
      </w:r>
    </w:p>
    <w:p>
      <w:pPr>
        <w:pStyle w:val="ListBullet"/>
        <w:spacing w:before="20" w:after="20"/>
        <w:ind w:left="700"/>
      </w:pPr>
      <w:r>
        <w:rPr>
          <w:sz w:val="18"/>
        </w:rPr>
        <w:t>Forte dégradation du résultat des activités ordinaires: -27,4% (327,622 millions FCFA vs 451,418 millions FCFA)</w:t>
      </w:r>
    </w:p>
    <w:p>
      <w:pPr>
        <w:pStyle w:val="ListBullet"/>
        <w:spacing w:before="20" w:after="20"/>
        <w:ind w:left="700"/>
      </w:pPr>
      <w:r>
        <w:rPr>
          <w:sz w:val="18"/>
        </w:rPr>
        <w:t>Chute significative du résultat net de 35,6% (222,625 millions FCFA vs 345,949 millions FCFA)</w:t>
      </w:r>
    </w:p>
    <w:p>
      <w:pPr>
        <w:pStyle w:val="ListBullet"/>
        <w:spacing w:before="20" w:after="20"/>
        <w:ind w:left="700"/>
      </w:pPr>
      <w:r>
        <w:rPr>
          <w:sz w:val="18"/>
        </w:rPr>
        <w:t>Impact négatif des ajustements de redevances aéroportuaires intervenues depuis avril 2025</w:t>
      </w:r>
    </w:p>
    <w:p>
      <w:pPr>
        <w:pStyle w:val="ListBullet"/>
        <w:spacing w:before="20" w:after="20"/>
        <w:ind w:left="700"/>
      </w:pPr>
      <w:r>
        <w:rPr>
          <w:sz w:val="18"/>
        </w:rPr>
        <w:t>Tensions géopolitiques au Moyen-Orient affectant certaines compagnies aériennes clientes</w:t>
      </w:r>
    </w:p>
    <w:p>
      <w:pPr>
        <w:pStyle w:val="ListBullet"/>
        <w:spacing w:before="20" w:after="20"/>
        <w:ind w:left="700"/>
      </w:pPr>
      <w:r>
        <w:rPr>
          <w:sz w:val="18"/>
        </w:rPr>
        <w:t>Hausse des coûts liés aux infrastructures et équipements</w:t>
      </w:r>
    </w:p>
    <w:p>
      <w:pPr>
        <w:spacing w:before="40"/>
        <w:ind w:left="400"/>
      </w:pPr>
      <w:r>
        <w:rPr>
          <w:b/>
          <w:color w:val="C05000"/>
          <w:sz w:val="18"/>
        </w:rPr>
        <w:t xml:space="preserve">⚠️ Risques : </w:t>
      </w:r>
      <w:r>
        <w:rPr>
          <w:sz w:val="18"/>
        </w:rPr>
        <w:t xml:space="preserve">["Poursuite de la d\u00e9gradation de la rentabilit\u00e9 due \u00e0 l'environnement d'exploitation difficile", "Impact des tensions g\u00e9opolitiques au Moyen-Orient sur les compagnies a\u00e9riennes clientes", "Hausse continue des co\u00fbts op\u00e9rationnels (infrastructures, \u00e9quipements, </w:t>
      </w:r>
    </w:p>
    <w:p>
      <w:pPr>
        <w:spacing w:before="40"/>
        <w:ind w:left="400"/>
      </w:pPr>
      <w:r>
        <w:rPr>
          <w:b/>
          <w:color w:val="0064A0"/>
          <w:sz w:val="18"/>
        </w:rPr>
        <w:t xml:space="preserve">🔮 Perspectives : </w:t>
      </w:r>
      <w:r>
        <w:rPr>
          <w:sz w:val="18"/>
        </w:rPr>
        <w:t>La société prévoit d'engager des travaux de modernisation dans le cadre de la délégation de service public pour soutenir le développement de ses activités. La stratégie de diversification vers les activités non aériennes devrait contribuer à améliorer la résilience du modèle économique face aux diff</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2025, la soci\u00e9t\u00e9 maintient une rentabilit\u00e9 solide et une structure financi\u00e8re saine. La position sur le march\u00e9 des services a\u00e9roportuaires reste d\u00e9fendable \u00e0 moyen terme."}</w:t>
      </w:r>
    </w:p>
    <w:p>
      <w:pPr>
        <w:spacing w:before="40"/>
        <w:ind w:left="400"/>
      </w:pPr>
      <w:r>
        <w:rPr>
          <w:sz w:val="18"/>
        </w:rPr>
        <w:t>SERVAIR ABIDJAN présente des états financiers provisoires pour l'exercice 2025 avec un chiffre d'affaires de 9,25 milliards FCFA contre 9,58 milliards en 2024, soit une baisse de 3,4%. Le résultat net s'établit à 1,35 milliard FCFA en recul par rapport aux 1,81 milliard FCFA de 2024. La société maintient une structure financière solide avec des capitaux propres de 2,17 milliards FCFA et un total actif de 9,25 milliards FCFA. La marge nette reste correcte à 14,6% malgré la baisse de la rentabilité. L'entreprise spécialisée dans les services aéroportuaires fait face à un environnement moins favorable en 2025.</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{'reserves': '455 534 041 FCFA', 'capital_social': '1 360 000 000 FCFA', 'immobilisations_nettes': '2 171 733 996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14,6%</w:t>
            </w:r>
          </w:p>
        </w:tc>
        <w:tc>
          <w:tcPr>
            <w:tcW w:type="dxa" w:w="2160"/>
          </w:tcPr>
          <w:p>
            <w:pPr>
              <w:ind w:left="100"/>
            </w:pPr>
            <w:r/>
            <w:r>
              <w:rPr>
                <w:b/>
                <w:sz w:val="16"/>
              </w:rPr>
              <w:t>total_actif</w:t>
              <w:br/>
            </w:r>
            <w:r>
              <w:rPr>
                <w:sz w:val="18"/>
              </w:rPr>
              <w:t>9 250 773 064 FCFA</w:t>
            </w:r>
          </w:p>
        </w:tc>
      </w:tr>
      <w:tr>
        <w:tc>
          <w:tcPr>
            <w:tcW w:type="dxa" w:w="2160"/>
          </w:tcPr>
          <w:p>
            <w:r/>
            <w:r>
              <w:rPr>
                <w:b/>
                <w:sz w:val="16"/>
              </w:rPr>
              <w:t>resultat_net</w:t>
              <w:br/>
            </w:r>
            <w:r>
              <w:rPr>
                <w:sz w:val="18"/>
              </w:rPr>
              <w:t>1 350 656 521 FCFA</w:t>
            </w:r>
          </w:p>
        </w:tc>
        <w:tc>
          <w:tcPr>
            <w:tcW w:type="dxa" w:w="2160"/>
          </w:tcPr>
          <w:p>
            <w:r/>
            <w:r>
              <w:rPr>
                <w:b/>
                <w:sz w:val="16"/>
              </w:rPr>
              <w:t>capitaux_propres</w:t>
              <w:br/>
            </w:r>
            <w:r>
              <w:rPr>
                <w:sz w:val="18"/>
              </w:rPr>
              <w:t>2 171 733 996 FCFA</w:t>
            </w:r>
          </w:p>
        </w:tc>
        <w:tc>
          <w:tcPr>
            <w:tcW w:type="dxa" w:w="2160"/>
          </w:tcPr>
          <w:p>
            <w:r/>
            <w:r>
              <w:rPr>
                <w:b/>
                <w:sz w:val="16"/>
              </w:rPr>
              <w:t>chiffre_affaires</w:t>
              <w:br/>
            </w:r>
            <w:r>
              <w:rPr>
                <w:sz w:val="18"/>
              </w:rPr>
              <w:t>9 250 773 064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3,4% à 9,25 milliards FCFA en 2025</w:t>
      </w:r>
    </w:p>
    <w:p>
      <w:pPr>
        <w:pStyle w:val="ListBullet"/>
        <w:spacing w:before="20" w:after="20"/>
        <w:ind w:left="700"/>
      </w:pPr>
      <w:r>
        <w:rPr>
          <w:sz w:val="18"/>
        </w:rPr>
        <w:t>Recul significatif du résultat net de 25,4% à 1,35 milliard FCFA</w:t>
      </w:r>
    </w:p>
    <w:p>
      <w:pPr>
        <w:pStyle w:val="ListBullet"/>
        <w:spacing w:before="20" w:after="20"/>
        <w:ind w:left="700"/>
      </w:pPr>
      <w:r>
        <w:rPr>
          <w:sz w:val="18"/>
        </w:rPr>
        <w:t>Marge nette maintenue à un niveau correct de 14,6%</w:t>
      </w:r>
    </w:p>
    <w:p>
      <w:pPr>
        <w:pStyle w:val="ListBullet"/>
        <w:spacing w:before="20" w:after="20"/>
        <w:ind w:left="700"/>
      </w:pPr>
      <w:r>
        <w:rPr>
          <w:sz w:val="18"/>
        </w:rPr>
        <w:t>Structure financière solide avec 2,17 milliards FCFA de capitaux propres</w:t>
      </w:r>
    </w:p>
    <w:p>
      <w:pPr>
        <w:pStyle w:val="ListBullet"/>
        <w:spacing w:before="20" w:after="20"/>
        <w:ind w:left="700"/>
      </w:pPr>
      <w:r>
        <w:rPr>
          <w:sz w:val="18"/>
        </w:rPr>
        <w:t>Total actif stable à 9,25 milliards FCFA</w:t>
      </w:r>
    </w:p>
    <w:p>
      <w:pPr>
        <w:pStyle w:val="ListBullet"/>
        <w:spacing w:before="20" w:after="20"/>
        <w:ind w:left="700"/>
      </w:pPr>
      <w:r>
        <w:rPr>
          <w:sz w:val="18"/>
        </w:rPr>
        <w:t>Activité liée aux services aéroportuaires et à la restauration</w:t>
      </w:r>
    </w:p>
    <w:p>
      <w:pPr>
        <w:spacing w:before="40"/>
        <w:ind w:left="400"/>
      </w:pPr>
      <w:r>
        <w:rPr>
          <w:b/>
          <w:color w:val="C05000"/>
          <w:sz w:val="18"/>
        </w:rPr>
        <w:t xml:space="preserve">⚠️ Risques : </w:t>
      </w:r>
      <w:r>
        <w:rPr>
          <w:sz w:val="18"/>
        </w:rPr>
        <w:t>["D\u00e9pendance au secteur a\u00e9roportuaire sensible aux fluctuations du trafic a\u00e9rien", "Baisse tendancielle de l'activit\u00e9 observ\u00e9e en 2025", "Concentration g\u00e9ographique sur le march\u00e9 ivoirien"]</w:t>
      </w:r>
    </w:p>
    <w:p>
      <w:pPr>
        <w:spacing w:before="40"/>
        <w:ind w:left="400"/>
      </w:pPr>
      <w:r>
        <w:rPr>
          <w:b/>
          <w:color w:val="0064A0"/>
          <w:sz w:val="18"/>
        </w:rPr>
        <w:t xml:space="preserve">🔮 Perspectives : </w:t>
      </w:r>
      <w:r>
        <w:rPr>
          <w:sz w:val="18"/>
        </w:rPr>
        <w:t>Les perspectives dépendront de la reprise du trafic aérien et de l'activité aéroportuaire en Côte d'Ivoire. La société devra surveiller l'évolution de ses marges et potentiellement diversifier ses activités pour retrouver une croissance soutenue.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maintient une croissance du chiffre d'affaires et une structure financi\u00e8re solide malgr\u00e9 la baisse temporaire du r\u00e9sultat net. La forte position de tr\u00e9sorerie et le renforcement des capitaux propres offrent une base stable pour la croissance future."}</w:t>
      </w:r>
    </w:p>
    <w:p>
      <w:pPr>
        <w:spacing w:before="40"/>
        <w:ind w:left="400"/>
      </w:pPr>
      <w:r>
        <w:rPr>
          <w:sz w:val="18"/>
        </w:rPr>
        <w:t>SERVAIR ABIDJAN affiche une performance financière solide en 2025 avec un chiffre d'affaires en hausse de 6,7% à 13,298 milliards FCFA. Malgré cette croissance du chiffre d'affaires, le résultat net diminue de 12,1% à 1,331 milliard FCFA, principalement dû à l'augmentation significative de la charge d'impôt (+46,7%). Les capitaux propres se renforcent néanmoins à 5,512 milliards FCFA (+31,8%), témoignant d'une structure financière qui se consolide. La trésorerie s'améliore nettement à 4,035 milliards FCFA contre 3,428 milliards en 2024. La société maintient une position financière saine avec un ratio d'endettement maîtrisé.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'4,035 milliards FCFA', 'croissance_ca': '6,7%', 'ratio_capitaux_propres': '57,2%', 'resultat_net_par_action': '122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10,0%</w:t>
            </w:r>
          </w:p>
        </w:tc>
        <w:tc>
          <w:tcPr>
            <w:tcW w:type="dxa" w:w="2160"/>
          </w:tcPr>
          <w:p>
            <w:pPr>
              <w:ind w:left="100"/>
            </w:pPr>
            <w:r/>
            <w:r>
              <w:rPr>
                <w:b/>
                <w:sz w:val="16"/>
              </w:rPr>
              <w:t>total_actif</w:t>
              <w:br/>
            </w:r>
            <w:r>
              <w:rPr>
                <w:sz w:val="18"/>
              </w:rPr>
              <w:t>9,632 milliards FCFA</w:t>
            </w:r>
          </w:p>
        </w:tc>
      </w:tr>
      <w:tr>
        <w:tc>
          <w:tcPr>
            <w:tcW w:type="dxa" w:w="2160"/>
          </w:tcPr>
          <w:p>
            <w:r/>
            <w:r>
              <w:rPr>
                <w:b/>
                <w:sz w:val="16"/>
              </w:rPr>
              <w:t>resultat_net</w:t>
              <w:br/>
            </w:r>
            <w:r>
              <w:rPr>
                <w:sz w:val="18"/>
              </w:rPr>
              <w:t>1,331 milliard FCFA</w:t>
            </w:r>
          </w:p>
        </w:tc>
        <w:tc>
          <w:tcPr>
            <w:tcW w:type="dxa" w:w="2160"/>
          </w:tcPr>
          <w:p>
            <w:r/>
            <w:r>
              <w:rPr>
                <w:b/>
                <w:sz w:val="16"/>
              </w:rPr>
              <w:t>capitaux_propres</w:t>
              <w:br/>
            </w:r>
            <w:r>
              <w:rPr>
                <w:sz w:val="18"/>
              </w:rPr>
              <w:t>5,512 milliards FCFA</w:t>
            </w:r>
          </w:p>
        </w:tc>
        <w:tc>
          <w:tcPr>
            <w:tcW w:type="dxa" w:w="2160"/>
          </w:tcPr>
          <w:p>
            <w:r/>
            <w:r>
              <w:rPr>
                <w:b/>
                <w:sz w:val="16"/>
              </w:rPr>
              <w:t>chiffre_affaires</w:t>
              <w:br/>
            </w:r>
            <w:r>
              <w:rPr>
                <w:sz w:val="18"/>
              </w:rPr>
              <w:t>13,298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6,7% à 13,298 milliards FCFA en 2025</w:t>
      </w:r>
    </w:p>
    <w:p>
      <w:pPr>
        <w:pStyle w:val="ListBullet"/>
        <w:spacing w:before="20" w:after="20"/>
        <w:ind w:left="700"/>
      </w:pPr>
      <w:r>
        <w:rPr>
          <w:sz w:val="18"/>
        </w:rPr>
        <w:t>Baisse du résultat net de 12,1% à 1,331 milliard FCFA malgré la hausse du CA</w:t>
      </w:r>
    </w:p>
    <w:p>
      <w:pPr>
        <w:pStyle w:val="ListBullet"/>
        <w:spacing w:before="20" w:after="20"/>
        <w:ind w:left="700"/>
      </w:pPr>
      <w:r>
        <w:rPr>
          <w:sz w:val="18"/>
        </w:rPr>
        <w:t>Augmentation significative de la charge d'impôt (+46,7% à 848 millions FCFA)</w:t>
      </w:r>
    </w:p>
    <w:p>
      <w:pPr>
        <w:pStyle w:val="ListBullet"/>
        <w:spacing w:before="20" w:after="20"/>
        <w:ind w:left="700"/>
      </w:pPr>
      <w:r>
        <w:rPr>
          <w:sz w:val="18"/>
        </w:rPr>
        <w:t>Renforcement des capitaux propres de 31,8% à 5,512 milliards FCFA</w:t>
      </w:r>
    </w:p>
    <w:p>
      <w:pPr>
        <w:pStyle w:val="ListBullet"/>
        <w:spacing w:before="20" w:after="20"/>
        <w:ind w:left="700"/>
      </w:pPr>
      <w:r>
        <w:rPr>
          <w:sz w:val="18"/>
        </w:rPr>
        <w:t>Amélioration de la trésorerie de 607 millions FCFA sur l'exercice</w:t>
      </w:r>
    </w:p>
    <w:p>
      <w:pPr>
        <w:pStyle w:val="ListBullet"/>
        <w:spacing w:before="20" w:after="20"/>
        <w:ind w:left="700"/>
      </w:pPr>
      <w:r>
        <w:rPr>
          <w:sz w:val="18"/>
        </w:rPr>
        <w:t>Diminution du besoin en fonds de roulement de 250 millions FCFA</w:t>
      </w:r>
    </w:p>
    <w:p>
      <w:pPr>
        <w:spacing w:before="40"/>
        <w:ind w:left="400"/>
      </w:pPr>
      <w:r>
        <w:rPr>
          <w:b/>
          <w:color w:val="C05000"/>
          <w:sz w:val="18"/>
        </w:rPr>
        <w:t xml:space="preserve">⚠️ Risques : </w:t>
      </w:r>
      <w:r>
        <w:rPr>
          <w:sz w:val="18"/>
        </w:rPr>
        <w:t>["Pression fiscale \u00e9lev\u00e9e avec une charge d'imp\u00f4t en forte augmentation", "Baisse de la rentabilit\u00e9 nette malgr\u00e9 la croissance du chiffre d'affaires", "D\u00e9pendance au secteur a\u00e9roportuaire et \u00e0 l'activit\u00e9 de l'a\u00e9roport d'Abidjan"]</w:t>
      </w:r>
    </w:p>
    <w:p>
      <w:pPr>
        <w:spacing w:before="40"/>
        <w:ind w:left="400"/>
      </w:pPr>
      <w:r>
        <w:rPr>
          <w:b/>
          <w:color w:val="0064A0"/>
          <w:sz w:val="18"/>
        </w:rPr>
        <w:t xml:space="preserve">🔮 Perspectives : </w:t>
      </w:r>
      <w:r>
        <w:rPr>
          <w:sz w:val="18"/>
        </w:rPr>
        <w:t>Les perspectives restent favorables avec une croissance du chiffre d'affaires qui devrait se poursuivre dans le secteur des services aéroportuaires. La société devra optimiser sa gestion fiscale et opérationnelle pour retrouver une progression du résultat net. La solide position de trésorerie lui do</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affiche une croissance exceptionnelle avec une rentabilit\u00e9 en forte am\u00e9lioration, positionn\u00e9e sur un secteur porteur. Les fondamentaux financiers sont solides malgr\u00e9 les retards de communication signal\u00e9s."}</w:t>
      </w:r>
    </w:p>
    <w:p>
      <w:pPr>
        <w:spacing w:before="40"/>
        <w:ind w:left="400"/>
      </w:pPr>
      <w:r>
        <w:rPr>
          <w:sz w:val="18"/>
        </w:rPr>
        <w:t>SERVAIR Abidjan, société spécialisée dans les services aéroportuaires en Côte d'Ivoire, présente des résultats semestriels 2022 attestés par Deloitte et Ernst &amp; Young. Le chiffre d'affaires semestriel s'élève à 4,842 milliards FCFA contre 3,554 milliards sur la même période en 2021, soit une croissance de 36,24%. Le résultat net atteint 1,044 milliard FCFA contre 217 millions en 2021, marquant une amélioration significative de la rentabilité. Les activités ordinaires génèrent un résultat de 958 millions FCFA contre 35 millions l'année précédente. L'attestation des commissaires aux comptes confirme la conformité des états financiers mais signale un retard dans la communication des documents.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{'periode': 'Semestriel 2022', 'variation_ca': '+36,24%', 'variation_resultat_net': '+381%', 'resultat_activites_ordinaires': '958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1,044 milliard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4,842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+36,24% au premier semestre 2022</w:t>
      </w:r>
    </w:p>
    <w:p>
      <w:pPr>
        <w:pStyle w:val="ListBullet"/>
        <w:spacing w:before="20" w:after="20"/>
        <w:ind w:left="700"/>
      </w:pPr>
      <w:r>
        <w:rPr>
          <w:sz w:val="18"/>
        </w:rPr>
        <w:t>Multiplication par 4,8 du résultat net passant de 217M FCFA à 1,044Md FCFA</w:t>
      </w:r>
    </w:p>
    <w:p>
      <w:pPr>
        <w:pStyle w:val="ListBullet"/>
        <w:spacing w:before="20" w:after="20"/>
        <w:ind w:left="700"/>
      </w:pPr>
      <w:r>
        <w:rPr>
          <w:sz w:val="18"/>
        </w:rPr>
        <w:t>Forte amélioration du résultat des activités ordinaires (+2636%)</w:t>
      </w:r>
    </w:p>
    <w:p>
      <w:pPr>
        <w:pStyle w:val="ListBullet"/>
        <w:spacing w:before="20" w:after="20"/>
        <w:ind w:left="700"/>
      </w:pPr>
      <w:r>
        <w:rPr>
          <w:sz w:val="18"/>
        </w:rPr>
        <w:t>Performance opérationnelle remarquable avec une marge nette estimée à 21,6%</w:t>
      </w:r>
    </w:p>
    <w:p>
      <w:pPr>
        <w:pStyle w:val="ListBullet"/>
        <w:spacing w:before="20" w:after="20"/>
        <w:ind w:left="700"/>
      </w:pPr>
      <w:r>
        <w:rPr>
          <w:sz w:val="18"/>
        </w:rPr>
        <w:t>Retard signalé par les commissaires aux comptes dans la communication des documents</w:t>
      </w:r>
    </w:p>
    <w:p>
      <w:pPr>
        <w:pStyle w:val="ListBullet"/>
        <w:spacing w:before="20" w:after="20"/>
        <w:ind w:left="700"/>
      </w:pPr>
      <w:r>
        <w:rPr>
          <w:sz w:val="18"/>
        </w:rPr>
        <w:t>Attestation sans réserve des commissaires aux comptes Deloitte et Ernst &amp; Young</w:t>
      </w:r>
    </w:p>
    <w:p>
      <w:pPr>
        <w:spacing w:before="40"/>
        <w:ind w:left="400"/>
      </w:pPr>
      <w:r>
        <w:rPr>
          <w:b/>
          <w:color w:val="C05000"/>
          <w:sz w:val="18"/>
        </w:rPr>
        <w:t xml:space="preserve">⚠️ Risques : </w:t>
      </w:r>
      <w:r>
        <w:rPr>
          <w:sz w:val="18"/>
        </w:rPr>
        <w:t>["D\u00e9pendance au trafic a\u00e9rien et \u00e0 la conjoncture du transport a\u00e9rien", "Retards dans la communication d'informations financi\u00e8res aux r\u00e9gulateurs", "Concentration g\u00e9ographique sur le march\u00e9 ivoirien et exposition aux risques pays"]</w:t>
      </w:r>
    </w:p>
    <w:p>
      <w:pPr>
        <w:spacing w:before="40"/>
        <w:ind w:left="400"/>
      </w:pPr>
      <w:r>
        <w:rPr>
          <w:b/>
          <w:color w:val="0064A0"/>
          <w:sz w:val="18"/>
        </w:rPr>
        <w:t xml:space="preserve">🔮 Perspectives : </w:t>
      </w:r>
      <w:r>
        <w:rPr>
          <w:sz w:val="18"/>
        </w:rPr>
        <w:t>Les perspectives restent favorables compte tenu de la reprise du trafic aérien post-COVID et de la position dominante de SERVAIR sur son marché. La société devrait bénéficier de la croissance continue du secteur aéroportuaire en Côte d'Ivoire, sous réserve d'améliorer sa gouvernance et ses délais de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chiffre d'affaires, la baisse significative de la rentabilit\u00e9 et les difficult\u00e9s r\u00e9glementaires constituent des pr\u00e9occupations. La position d'attente est pr\u00e9f\u00e9rable en attendant la r\u00e9solution du litige douanier."}</w:t>
      </w:r>
    </w:p>
    <w:p>
      <w:pPr>
        <w:spacing w:before="40"/>
        <w:ind w:left="400"/>
      </w:pPr>
      <w:r>
        <w:rPr>
          <w:sz w:val="18"/>
        </w:rPr>
        <w:t>Servair Abidjan affiche une croissance modérée de son chiffre d'affaires de 3,2% au 1er trimestre 2025 à 3,18 milliards FCFA. Cependant, le résultat des activités ordinaires recule de 6,9% à 451 millions FCFA et le résultat net chute de 6,8% à 346 millions FCFA. Cette dégradation de la rentabilité s'explique par des charges exceptionnelles liées aux frais de personnel et une provision pour créance douteuse. La société fait face à des difficultés réglementaires avec une interdiction de transfert de devises à l'international suite à un litige douanier. Malgré ces défis, l'activité aérienne progresse de 2% et un nouveau contrat de collectivité avec Abidjan Terminal a été signé.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'3,2%', 'capital_social': '1 364 000 000 FCFA', 'variation_resultat_net': '-6,8%', 'resultat_activites_ordinaires': '451 418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345 949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3 175 808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3,2% à 3,18 milliards FCFA au T1 2025</w:t>
      </w:r>
    </w:p>
    <w:p>
      <w:pPr>
        <w:pStyle w:val="ListBullet"/>
        <w:spacing w:before="20" w:after="20"/>
        <w:ind w:left="700"/>
      </w:pPr>
      <w:r>
        <w:rPr>
          <w:sz w:val="18"/>
        </w:rPr>
        <w:t>Résultat net en baisse de 6,8% à 346 millions FCFA contre 371 millions FCFA</w:t>
      </w:r>
    </w:p>
    <w:p>
      <w:pPr>
        <w:pStyle w:val="ListBullet"/>
        <w:spacing w:before="20" w:after="20"/>
        <w:ind w:left="700"/>
      </w:pPr>
      <w:r>
        <w:rPr>
          <w:sz w:val="18"/>
        </w:rPr>
        <w:t>Résultat des activités ordinaires en recul de 6,9% à 451 millions FCFA</w:t>
      </w:r>
    </w:p>
    <w:p>
      <w:pPr>
        <w:pStyle w:val="ListBullet"/>
        <w:spacing w:before="20" w:after="20"/>
        <w:ind w:left="700"/>
      </w:pPr>
      <w:r>
        <w:rPr>
          <w:sz w:val="18"/>
        </w:rPr>
        <w:t>Charges exceptionnelles liées aux frais de personnel et provision pour créance douteuse</w:t>
      </w:r>
    </w:p>
    <w:p>
      <w:pPr>
        <w:pStyle w:val="ListBullet"/>
        <w:spacing w:before="20" w:after="20"/>
        <w:ind w:left="700"/>
      </w:pPr>
      <w:r>
        <w:rPr>
          <w:sz w:val="18"/>
        </w:rPr>
        <w:t>Interdiction de transfert de devises à l'international suite à un litige douanier</w:t>
      </w:r>
    </w:p>
    <w:p>
      <w:pPr>
        <w:pStyle w:val="ListBullet"/>
        <w:spacing w:before="20" w:after="20"/>
        <w:ind w:left="700"/>
      </w:pPr>
      <w:r>
        <w:rPr>
          <w:sz w:val="18"/>
        </w:rPr>
        <w:t>Croissance de l'activité aérienne de 2% et poursuite du développement non-aérien</w:t>
      </w:r>
    </w:p>
    <w:p>
      <w:pPr>
        <w:spacing w:before="40"/>
        <w:ind w:left="400"/>
      </w:pPr>
      <w:r>
        <w:rPr>
          <w:b/>
          <w:color w:val="C05000"/>
          <w:sz w:val="18"/>
        </w:rPr>
        <w:t xml:space="preserve">⚠️ Risques : </w:t>
      </w:r>
      <w:r>
        <w:rPr>
          <w:sz w:val="18"/>
        </w:rPr>
        <w:t>["Litige douanier entra\u00eenant une interdiction de transfert de devises \u00e0 l'international", "D\u00e9gradation continue de la rentabilit\u00e9 avec charges exceptionnelles r\u00e9currentes", "Exposition aux cr\u00e9ances douteuses n\u00e9cessitant des provisions"]</w:t>
      </w:r>
    </w:p>
    <w:p>
      <w:pPr>
        <w:spacing w:before="40"/>
        <w:ind w:left="400"/>
      </w:pPr>
      <w:r>
        <w:rPr>
          <w:b/>
          <w:color w:val="0064A0"/>
          <w:sz w:val="18"/>
        </w:rPr>
        <w:t xml:space="preserve">🔮 Perspectives : </w:t>
      </w:r>
      <w:r>
        <w:rPr>
          <w:sz w:val="18"/>
        </w:rPr>
        <w:t>Les perspectives dépendent largement de la résolution du litige douanier qui pèse sur les opérations internationales. Le développement de l'activité non-aérienne et les nouveaux contrats comme celui avec Abidjan Terminal offrent des opportunités de diversification. La signature de la convention de r</w:t>
      </w:r>
    </w:p>
    <w:p/>
    <w:p>
      <w:r>
        <w:t>════════════════════════════════════════════════════════════════════════════════</w:t>
      </w:r>
    </w:p>
    <w:p>
      <w:r>
        <w:br w:type="page"/>
      </w:r>
    </w:p>
    <w:p>
      <w:pPr>
        <w:pStyle w:val="Heading2"/>
        <w:spacing w:before="360"/>
      </w:pPr>
      <w:r>
        <w:rPr>
          <w:color w:val="0066CC"/>
        </w:rPr>
        <w:t>2. BBGC - BRIDGE BANK GROUP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BBGC</w:t>
            </w:r>
          </w:p>
          <w:p>
            <w:r>
              <w:rPr>
                <w:b/>
                <w:color w:val="323250"/>
                <w:sz w:val="16"/>
              </w:rPr>
              <w:t xml:space="preserve">Société : </w:t>
            </w:r>
            <w:r>
              <w:rPr>
                <w:color w:val="000000"/>
                <w:sz w:val="16"/>
              </w:rPr>
              <w:t>BRIDGE BANK GROUP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524.75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29,273 titres</w:t>
            </w:r>
          </w:p>
        </w:tc>
        <w:tc>
          <w:tcPr>
            <w:tcW w:type="dxa" w:w="2268"/>
            <w:shd w:fill="FFF2CC" w:val="clear"/>
          </w:tcPr>
          <w:p>
            <w:r>
              <w:rPr>
                <w:b/>
                <w:color w:val="503200"/>
                <w:sz w:val="16"/>
              </w:rPr>
              <w:t xml:space="preserve">Cours actuel : </w:t>
            </w:r>
            <w:r>
              <w:rPr>
                <w:color w:val="000000"/>
                <w:sz w:val="17"/>
              </w:rPr>
              <w:t>10,495 FCFA</w:t>
            </w:r>
          </w:p>
          <w:p>
            <w:r>
              <w:rPr>
                <w:b/>
                <w:color w:val="503200"/>
                <w:sz w:val="16"/>
              </w:rPr>
              <w:t xml:space="preserve">Var. 100 jours : </w:t>
            </w:r>
            <w:r>
              <w:rPr>
                <w:b/>
                <w:color w:val="007800"/>
                <w:sz w:val="17"/>
              </w:rPr>
              <w:t>+44.66%</w:t>
            </w:r>
          </w:p>
          <w:p>
            <w:r>
              <w:rPr>
                <w:b/>
                <w:color w:val="503200"/>
                <w:sz w:val="16"/>
              </w:rPr>
              <w:t xml:space="preserve">Plus haut 100j : </w:t>
            </w:r>
            <w:r>
              <w:rPr>
                <w:color w:val="000000"/>
                <w:sz w:val="17"/>
              </w:rPr>
              <w:t>10,495 FCFA</w:t>
            </w:r>
          </w:p>
          <w:p>
            <w:r>
              <w:rPr>
                <w:b/>
                <w:color w:val="503200"/>
                <w:sz w:val="16"/>
              </w:rPr>
              <w:t xml:space="preserve">Plus bas 100j : </w:t>
            </w:r>
            <w:r>
              <w:rPr>
                <w:color w:val="000000"/>
                <w:sz w:val="17"/>
              </w:rPr>
              <w:t>7,255 FCFA</w:t>
            </w:r>
          </w:p>
          <w:p>
            <w:r>
              <w:rPr>
                <w:b/>
                <w:color w:val="503200"/>
                <w:sz w:val="16"/>
              </w:rPr>
              <w:t xml:space="preserve">Volatilité ann. : </w:t>
            </w:r>
            <w:r>
              <w:rPr>
                <w:color w:val="000000"/>
                <w:sz w:val="17"/>
              </w:rPr>
              <w:t>50.9%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22.2/100 → Moyen</w:t>
      </w:r>
    </w:p>
    <w:p>
      <w:pPr>
        <w:spacing w:before="40" w:after="80"/>
      </w:pPr>
      <w:r>
        <w:rPr>
          <w:rFonts w:ascii="Courier New" w:hAnsi="Courier New"/>
          <w:color w:val="825A00"/>
          <w:sz w:val="18"/>
        </w:rPr>
        <w:t>████░░░░░░░░░░░░░░░░  22.2/100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10.69% (Moyenne) — μ=9,424 FCFA, σ=1,008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β=1.4830 (Agressif) — Cov=0.000121, Var(idx)=0.000081, ρ=0.408, n=11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C6EFCE" w:val="clear"/>
          </w:tcPr>
          <w:p>
            <w:r>
              <w:rPr>
                <w:b/>
                <w:sz w:val="15"/>
              </w:rPr>
              <w:t>29,273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C6EFCE" w:val="clear"/>
          </w:tcPr>
          <w:p>
            <w:r>
              <w:rPr>
                <w:b/>
                <w:sz w:val="15"/>
              </w:rPr>
              <w:t>Achat=0 / Vente=0 / Total=0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FFEB9C" w:val="clear"/>
          </w:tcPr>
          <w:p>
            <w:r>
              <w:rPr>
                <w:b/>
                <w:sz w:val="15"/>
              </w:rPr>
              <w:t>σ_j=3.21%/j (Modérée) — Vol. annualisée≈50.9%</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A07800"/>
          <w:sz w:val="18"/>
        </w:rPr>
        <w:t xml:space="preserve">🟡 MM  </w:t>
      </w:r>
      <w:r>
        <w:rPr>
          <w:color w:val="A07800"/>
          <w:sz w:val="18"/>
        </w:rPr>
        <w:t xml:space="preserve">🟡 Bollinger  </w:t>
      </w:r>
      <w:r>
        <w:rPr>
          <w:color w:val="A078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63/100  (Bon)</w:t>
      </w:r>
    </w:p>
    <w:p/>
    <w:p>
      <w:pPr>
        <w:jc w:val="center"/>
      </w:pPr>
      <w:r>
        <w:drawing>
          <wp:inline xmlns:a="http://schemas.openxmlformats.org/drawingml/2006/main" xmlns:pic="http://schemas.openxmlformats.org/drawingml/2006/picture">
            <wp:extent cx="5669280" cy="2616976"/>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669280" cy="2616976"/>
                    </a:xfrm>
                    <a:prstGeom prst="rect"/>
                  </pic:spPr>
                </pic:pic>
              </a:graphicData>
            </a:graphic>
          </wp:inline>
        </w:drawing>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204.985 Mds FCFA</w:t>
            </w:r>
          </w:p>
        </w:tc>
        <w:tc>
          <w:tcPr>
            <w:tcW w:type="dxa" w:w="5669"/>
            <w:shd w:fill="FFFFFF" w:val="clear"/>
          </w:tcPr>
          <w:p>
            <w:r>
              <w:rPr>
                <w:color w:val="282828"/>
                <w:sz w:val="15"/>
              </w:rPr>
              <w:t>Représente 14.4%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297.260 Mds FCFA</w:t>
            </w:r>
          </w:p>
        </w:tc>
        <w:tc>
          <w:tcPr>
            <w:tcW w:type="dxa" w:w="5669"/>
            <w:shd w:fill="FFFFFF" w:val="clear"/>
          </w:tcPr>
          <w:p>
            <w:r>
              <w:rPr>
                <w:color w:val="282828"/>
                <w:sz w:val="15"/>
              </w:rPr>
              <w:t>Titres d'État détenus (20.8%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72.277 Mds FCFA</w:t>
            </w:r>
          </w:p>
        </w:tc>
        <w:tc>
          <w:tcPr>
            <w:tcW w:type="dxa" w:w="5669"/>
            <w:shd w:fill="FFFFFF" w:val="clear"/>
          </w:tcPr>
          <w:p>
            <w:r>
              <w:rPr>
                <w:color w:val="282828"/>
                <w:sz w:val="15"/>
              </w:rPr>
              <w:t>Prêts aux autres banques (5.1%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768.574 Mds FCFA</w:t>
            </w:r>
          </w:p>
        </w:tc>
        <w:tc>
          <w:tcPr>
            <w:tcW w:type="dxa" w:w="5669"/>
            <w:shd w:fill="FFFFFF" w:val="clear"/>
          </w:tcPr>
          <w:p>
            <w:r>
              <w:rPr>
                <w:color w:val="282828"/>
                <w:sz w:val="15"/>
              </w:rPr>
              <w:t>Portefeuille crédits (53.8%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6.725 Mds FCFA</w:t>
            </w:r>
          </w:p>
        </w:tc>
        <w:tc>
          <w:tcPr>
            <w:tcW w:type="dxa" w:w="5669"/>
            <w:shd w:fill="FFFFFF" w:val="clear"/>
          </w:tcPr>
          <w:p>
            <w:r>
              <w:rPr>
                <w:color w:val="282828"/>
                <w:sz w:val="15"/>
              </w:rPr>
              <w:t>Brevets, logiciels, fonds commercial (0.5%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21.324 Mds FCFA</w:t>
            </w:r>
          </w:p>
        </w:tc>
        <w:tc>
          <w:tcPr>
            <w:tcW w:type="dxa" w:w="5669"/>
            <w:shd w:fill="FFFFFF" w:val="clear"/>
          </w:tcPr>
          <w:p>
            <w:r>
              <w:rPr>
                <w:color w:val="282828"/>
                <w:sz w:val="15"/>
              </w:rPr>
              <w:t>Outil industriel (1.5%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28.164 Mds FCFA</w:t>
            </w:r>
          </w:p>
        </w:tc>
        <w:tc>
          <w:tcPr>
            <w:tcW w:type="dxa" w:w="5669"/>
            <w:shd w:fill="FFFFFF" w:val="clear"/>
          </w:tcPr>
          <w:p>
            <w:r>
              <w:rPr>
                <w:color w:val="282828"/>
                <w:sz w:val="15"/>
              </w:rPr>
              <w:t>Actif immobilisé = 2.0% du total. Après amortissements — reflète la valeur nette comptable des actifs durables.</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1427.417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18.074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105.139 Mds FCFA</w:t>
            </w:r>
          </w:p>
        </w:tc>
        <w:tc>
          <w:tcPr>
            <w:tcW w:type="dxa" w:w="5669"/>
            <w:shd w:fill="FFFFFF" w:val="clear"/>
          </w:tcPr>
          <w:p>
            <w:r>
              <w:rPr>
                <w:color w:val="282828"/>
                <w:sz w:val="15"/>
              </w:rPr>
              <w:t>Fonds propres = 7.4%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129.547 Mds FCFA</w:t>
            </w:r>
          </w:p>
        </w:tc>
        <w:tc>
          <w:tcPr>
            <w:tcW w:type="dxa" w:w="5669"/>
            <w:shd w:fill="FFFFFF" w:val="clear"/>
          </w:tcPr>
          <w:p>
            <w:r>
              <w:rPr>
                <w:color w:val="282828"/>
                <w:sz w:val="15"/>
              </w:rPr>
              <w:t>Capitaux permanents / Actif immobilisé = 4.60x.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128.033 Mds FCFA</w:t>
            </w:r>
          </w:p>
        </w:tc>
        <w:tc>
          <w:tcPr>
            <w:tcW w:type="dxa" w:w="5669"/>
            <w:shd w:fill="FFFFFF" w:val="clear"/>
          </w:tcPr>
          <w:p>
            <w:r>
              <w:rPr>
                <w:color w:val="282828"/>
                <w:sz w:val="15"/>
              </w:rPr>
              <w:t>Refinancement interbancaire (9.0%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1138.119 Mds FCFA</w:t>
            </w:r>
          </w:p>
        </w:tc>
        <w:tc>
          <w:tcPr>
            <w:tcW w:type="dxa" w:w="5669"/>
            <w:shd w:fill="FFFFFF" w:val="clear"/>
          </w:tcPr>
          <w:p>
            <w:r>
              <w:rPr>
                <w:color w:val="282828"/>
                <w:sz w:val="15"/>
              </w:rPr>
              <w:t>Dépôts clients = 79.7%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24.408 Mds FCFA</w:t>
            </w:r>
          </w:p>
        </w:tc>
        <w:tc>
          <w:tcPr>
            <w:tcW w:type="dxa" w:w="5669"/>
            <w:shd w:fill="FFFFFF" w:val="clear"/>
          </w:tcPr>
          <w:p>
            <w:r>
              <w:rPr>
                <w:color w:val="282828"/>
                <w:sz w:val="15"/>
              </w:rPr>
              <w:t>Dette LT/MT = 23%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152.441 Mds FCFA</w:t>
            </w:r>
          </w:p>
        </w:tc>
        <w:tc>
          <w:tcPr>
            <w:tcW w:type="dxa" w:w="5669"/>
            <w:shd w:fill="FFFFFF" w:val="clear"/>
          </w:tcPr>
          <w:p>
            <w:r>
              <w:rPr>
                <w:color w:val="282828"/>
                <w:sz w:val="15"/>
              </w:rPr>
              <w:t>Dette financière totale = 145%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1322.278 Mds FCFA</w:t>
            </w:r>
          </w:p>
        </w:tc>
        <w:tc>
          <w:tcPr>
            <w:tcW w:type="dxa" w:w="5669"/>
            <w:shd w:fill="FFFFFF" w:val="clear"/>
          </w:tcPr>
          <w:p>
            <w:r>
              <w:rPr>
                <w:color w:val="282828"/>
                <w:sz w:val="15"/>
              </w:rPr>
              <w:t>Dettes totales = 92.6%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67.824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67.824 Mds FCFA</w:t>
            </w:r>
          </w:p>
        </w:tc>
        <w:tc>
          <w:tcPr>
            <w:tcW w:type="dxa" w:w="5669"/>
            <w:shd w:fill="FFFFFF" w:val="clear"/>
          </w:tcPr>
          <w:p>
            <w:r>
              <w:rPr>
                <w:color w:val="282828"/>
                <w:sz w:val="15"/>
              </w:rPr>
              <w:t>Revenu bancaire central (≡ CA). Croissance: 15.7%. ✅ PNB en progression — dynamisme commercial.</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14.357 Mds FCFA</w:t>
            </w:r>
          </w:p>
        </w:tc>
        <w:tc>
          <w:tcPr>
            <w:tcW w:type="dxa" w:w="5669"/>
            <w:shd w:fill="FFFFFF" w:val="clear"/>
          </w:tcPr>
          <w:p>
            <w:r>
              <w:rPr>
                <w:color w:val="282828"/>
                <w:sz w:val="15"/>
              </w:rPr>
              <w:t>Masse salariale = 21.2% des revenus. ✅ Productivité par employé satisfaisante.</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39.441 Mds FCFA</w:t>
            </w:r>
          </w:p>
        </w:tc>
        <w:tc>
          <w:tcPr>
            <w:tcW w:type="dxa" w:w="5669"/>
            <w:shd w:fill="FFFFFF" w:val="clear"/>
          </w:tcPr>
          <w:p>
            <w:r>
              <w:rPr>
                <w:color w:val="282828"/>
                <w:sz w:val="15"/>
              </w:rPr>
              <w:t>RBE = 58.2%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32.637 Mds FCFA</w:t>
            </w:r>
          </w:p>
        </w:tc>
        <w:tc>
          <w:tcPr>
            <w:tcW w:type="dxa" w:w="5669"/>
            <w:shd w:fill="FFFFFF" w:val="clear"/>
          </w:tcPr>
          <w:p>
            <w:r>
              <w:rPr>
                <w:color w:val="282828"/>
                <w:sz w:val="15"/>
              </w:rPr>
              <w:t>Profit d'exploitation = 48.1%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6.804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27.197 Mds FCFA</w:t>
            </w:r>
          </w:p>
        </w:tc>
        <w:tc>
          <w:tcPr>
            <w:tcW w:type="dxa" w:w="5669"/>
            <w:shd w:fill="FFFFFF" w:val="clear"/>
          </w:tcPr>
          <w:p>
            <w:r>
              <w:rPr>
                <w:color w:val="282828"/>
                <w:sz w:val="15"/>
              </w:rPr>
              <w:t>Marge nette = 40.1%.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40.10%</w:t>
            </w:r>
          </w:p>
        </w:tc>
        <w:tc>
          <w:tcPr>
            <w:tcW w:type="dxa" w:w="5669"/>
            <w:shd w:fill="FFFFFF" w:val="clear"/>
          </w:tcPr>
          <w:p>
            <w:r>
              <w:rPr>
                <w:color w:val="282828"/>
                <w:sz w:val="15"/>
              </w:rPr>
              <w:t>Résultat net / revenus = 40.10%.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48.12%</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25.87%</w:t>
            </w:r>
          </w:p>
        </w:tc>
        <w:tc>
          <w:tcPr>
            <w:tcW w:type="dxa" w:w="5669"/>
            <w:shd w:fill="FFFFFF" w:val="clear"/>
          </w:tcPr>
          <w:p>
            <w:r>
              <w:rPr>
                <w:color w:val="282828"/>
                <w:sz w:val="15"/>
              </w:rPr>
              <w:t>Résultat net / capitaux propres = 25.87%.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1.91%</w:t>
            </w:r>
          </w:p>
        </w:tc>
        <w:tc>
          <w:tcPr>
            <w:tcW w:type="dxa" w:w="5669"/>
            <w:shd w:fill="FFFFFF" w:val="clear"/>
          </w:tcPr>
          <w:p>
            <w:r>
              <w:rPr>
                <w:color w:val="282828"/>
                <w:sz w:val="15"/>
              </w:rPr>
              <w:t>Résultat net / total actif = 1.91%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4.75%</w:t>
            </w:r>
          </w:p>
        </w:tc>
        <w:tc>
          <w:tcPr>
            <w:tcW w:type="dxa" w:w="5669"/>
            <w:shd w:fill="FFFFFF" w:val="clear"/>
          </w:tcPr>
          <w:p>
            <w:r>
              <w:rPr>
                <w:color w:val="282828"/>
                <w:sz w:val="15"/>
              </w:rPr>
              <w:t>CA / total actif = 4.75x.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41.85%</w:t>
            </w:r>
          </w:p>
        </w:tc>
        <w:tc>
          <w:tcPr>
            <w:tcW w:type="dxa" w:w="5669"/>
            <w:shd w:fill="FFFFFF" w:val="clear"/>
          </w:tcPr>
          <w:p>
            <w:r>
              <w:rPr>
                <w:color w:val="282828"/>
                <w:sz w:val="15"/>
              </w:rPr>
              <w:t>Charges / PNB = 41.85% (cost-to-income). ✅ Excellent — banque très efficiente.</w:t>
            </w:r>
          </w:p>
        </w:tc>
      </w:tr>
      <w:tr>
        <w:tc>
          <w:tcPr>
            <w:tcW w:type="dxa" w:w="2268"/>
            <w:shd w:fill="EEF2F7" w:val="clear"/>
          </w:tcPr>
          <w:p>
            <w:r>
              <w:rPr>
                <w:b/>
                <w:color w:val="1E1E3C"/>
                <w:sz w:val="16"/>
              </w:rPr>
              <w:t>Coût du risque</w:t>
            </w:r>
          </w:p>
        </w:tc>
        <w:tc>
          <w:tcPr>
            <w:tcW w:type="dxa" w:w="1984"/>
            <w:shd w:fill="C6EFCE" w:val="clear"/>
          </w:tcPr>
          <w:p>
            <w:r>
              <w:rPr>
                <w:b/>
                <w:color w:val="006400"/>
                <w:sz w:val="17"/>
              </w:rPr>
              <w:t>0.89%</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15.71%</w:t>
            </w:r>
          </w:p>
        </w:tc>
        <w:tc>
          <w:tcPr>
            <w:tcW w:type="dxa" w:w="5669"/>
            <w:shd w:fill="FFFFFF" w:val="clear"/>
          </w:tcPr>
          <w:p>
            <w:r>
              <w:rPr>
                <w:color w:val="282828"/>
                <w:sz w:val="15"/>
              </w:rPr>
              <w:t>Croissance PNB vs exercice précédent = 15.71%.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7.37%</w:t>
            </w:r>
          </w:p>
        </w:tc>
        <w:tc>
          <w:tcPr>
            <w:tcW w:type="dxa" w:w="5669"/>
            <w:shd w:fill="FFFFFF" w:val="clear"/>
          </w:tcPr>
          <w:p>
            <w:r>
              <w:rPr>
                <w:color w:val="282828"/>
                <w:sz w:val="15"/>
              </w:rPr>
              <w:t>Fonds propres / total bilan = 7.37%.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92.63%</w:t>
            </w:r>
          </w:p>
        </w:tc>
        <w:tc>
          <w:tcPr>
            <w:tcW w:type="dxa" w:w="5669"/>
            <w:shd w:fill="FFFFFF" w:val="clear"/>
          </w:tcPr>
          <w:p>
            <w:r>
              <w:rPr>
                <w:color w:val="282828"/>
                <w:sz w:val="15"/>
              </w:rPr>
              <w:t>Dettes financières / total bilan = 92.63%.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1257.65%</w:t>
            </w:r>
          </w:p>
        </w:tc>
        <w:tc>
          <w:tcPr>
            <w:tcW w:type="dxa" w:w="5669"/>
            <w:shd w:fill="FFFFFF" w:val="clear"/>
          </w:tcPr>
          <w:p>
            <w:r>
              <w:rPr>
                <w:color w:val="282828"/>
                <w:sz w:val="15"/>
              </w:rPr>
              <w:t>Dettes totales / fonds propres = 1257.65%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107.95%</w:t>
            </w:r>
          </w:p>
        </w:tc>
        <w:tc>
          <w:tcPr>
            <w:tcW w:type="dxa" w:w="5669"/>
            <w:shd w:fill="FFFFFF" w:val="clear"/>
          </w:tcPr>
          <w:p>
            <w:r>
              <w:rPr>
                <w:color w:val="282828"/>
                <w:sz w:val="15"/>
              </w:rPr>
              <w:t>Total actif / dettes totales = 107.95x. ✅ Solvable.</w:t>
            </w:r>
          </w:p>
        </w:tc>
      </w:tr>
    </w:tbl>
    <w:p/>
    <w:p>
      <w:pPr>
        <w:spacing w:after="120" w:line="276" w:lineRule="auto"/>
      </w:pPr>
      <w:r>
        <w:t># 📊 RAPPORT D'ANALYSE FINANCIÈRE — BBGC (BRIDGE BANK GROUP COTE D'IVOIRE)</w:t>
        <w:br/>
        <w:t>**Marché : BRVM | Secteur : Banque | Date d'analyse :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**524,75 Mds FCFA**, BBGC s'impose comme l'une des plus importantes capitalisations bancaires de la BRVM, ce qui lui confère une liquidité et une visibilité institutionnelle notables. Le BPA de **544 FCFA/action** traduit une rentabilité par titre solide, et le PER de **19,3x** — bien supérieur à la moyenne BRVM (~8-12x) — indique que le marché paie une prime de croissance significative pour ce titre, cohérente avec la dynamique exceptionnelle de ses résultats. Le P/B de **4,99x** confirme cette valorisation exigeante : le marché valorise la banque à près de 5 fois ses fonds propres comptables, ce qui n'est justifiable que par une rentabilité durablement élevée (ROE de 25,9%). Enfin, l'EV/EBITDA de **17,2x** (au-dessus du seuil de 15x) signale que la valeur d'entreprise intègre déjà une forte anticipation de croissance opérationnelle — ces multiples élevés exposent le titre à un risque de correction si la dynamique venait à ralentir.</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BBGC affiche une performance remarquable de **+44,66%**, avec une dernière séance en hausse de **+0,91%**, confirmant une tendance haussière robuste et toujours active. Le cours actuel de **10 495 FCFA** coïncide avec le plus haut de la période, tandis que le plus bas s'établit à **7 255 FCFA**, soit un range de trading de 3 240 FCFA (44,7% d'amplitude) — signe d'un titre en pleine phase d'expansion. La moyenne (**9 424 FCFA**) est inférieure à la médiane (**9 650 FCFA**), ce qui traduit une asymétrie négative : le cours a passé plus de temps au-dessus de sa moyenne, confirmé par un skewness de **-0,676** (asymétrie négative, plus de journées au-dessus de la moyenne). L'écart-type de **1 043 FCFA** avec un coefficient de variation de **11,1%** indique une dispersion modérée autour de la tendance, tandis que le kurtosis de **-0,663** (mésokurtique) suggère une distribution proche de la normale, sans pics extrêmes fréquents — un comportement relativement « sain » pour un titre en forte hausse. La volatilité annualisée de **50,9%** classe BBGC parmi les titres à volatilité **élevée** (&gt;30%), ce qui est typique d'une valeur récemment introduite en bourse avec une forte demande spéculative.</w:t>
      </w:r>
    </w:p>
    <w:p>
      <w:pPr>
        <w:spacing w:after="120" w:line="276" w:lineRule="auto"/>
      </w:pPr>
      <w:r>
        <w:t>---</w:t>
      </w:r>
    </w:p>
    <w:p>
      <w:pPr>
        <w:spacing w:after="120" w:line="276" w:lineRule="auto"/>
      </w:pPr>
      <w:r>
        <w:t>## PARTIE 2 : ANALYSE TECHNIQUE DÉTAILLÉE</w:t>
      </w:r>
    </w:p>
    <w:p>
      <w:pPr>
        <w:spacing w:after="120" w:line="276" w:lineRule="auto"/>
      </w:pPr>
      <w:r>
        <w:t>**Moyennes Mobiles (MM20 / MM50)** : Les valeurs MM20 et MM50 ne sont pas disponibles (nan), ce qui s'explique probablement par un historique de cotation encore insuffisant pour calculer ces moyennes sur 20 et 50 séances. Aucune décision technique ne peut donc être dérivée de cet indicateur, et il convient de se référer aux autres signaux pour évaluer la tendance.</w:t>
      </w:r>
    </w:p>
    <w:p>
      <w:pPr>
        <w:spacing w:after="120" w:line="276" w:lineRule="auto"/>
      </w:pPr>
      <w:r>
        <w:t>**Bandes de Bollinger** : Les bornes supérieure et inférieure sont également indisponibles (nan), tout comme la décision associée. Le cours actuel de 10 495 FCFA ne peut donc pas être positionné relativement à ces bandes, ce qui limite l'analyse de la volatilité relative et des zones de surchauffe à court terme.</w:t>
      </w:r>
    </w:p>
    <w:p>
      <w:pPr>
        <w:spacing w:after="120" w:line="276" w:lineRule="auto"/>
      </w:pPr>
      <w:r>
        <w:t>**MACD** : La valeur du MACD et celle de son signal sont manquantes (nan), empêchant toute analyse de divergence ou de momentum. En l'absence de cet indicateur, il n'est pas possible de confirmer ou d'infirmer la dynamique haussière par le biais du croisement MACD-Signal.</w:t>
      </w:r>
    </w:p>
    <w:p>
      <w:pPr>
        <w:spacing w:after="120" w:line="276" w:lineRule="auto"/>
      </w:pPr>
      <w:r>
        <w:t>**RSI** : La valeur du RSI n'est pas fournie (nan), ce qui ne permet pas de déterminer si le titre se trouve en zone de surachat (&gt;70), de survente (&lt;30) ou neutre (30-70). Compte tenu de la hausse de +44,66% sur 100 jours, un RSI élevé serait attendu, mais l'absence de donnée empêche toute conclusion formelle.</w:t>
      </w:r>
    </w:p>
    <w:p>
      <w:pPr>
        <w:spacing w:after="120" w:line="276" w:lineRule="auto"/>
      </w:pPr>
      <w:r>
        <w:t>**Stochastique** : Les valeurs %K et %D sont indisponibles (nan), tout comme la décision associée. Aucun croisement ne peut donc être analysé pour anticiper un retournement ou une continuation de tendance.</w:t>
      </w:r>
    </w:p>
    <w:p>
      <w:pPr>
        <w:spacing w:after="120" w:line="276" w:lineRule="auto"/>
      </w:pPr>
      <w:r>
        <w:t>**Conclusion technique** : L'ensemble des indicateurs techniques étant indisponibles (nan), l'analyse technique ne peut s'appuyer que sur l'évolution brute du cours. La tendance haussière est manifeste (+44,66% sur 100 jours, cours au plus haut), mais l'absence de MM, Bollinger, MACD, RSI et Stochastique empêche toute confirmation par convergence de signaux. Cette lacune est probablement liée à un historique de cotation trop court (introduction récente en bourse), ce qui invite à la prudence et à privilégier l'analyse fondamentale pour la prise de décision.</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BBGC affiche un **Produit Net Bancaire (PNB) de 67,824 Mds FCFA**, un **résultat net de 27,197 Mds FCFA**, soit une **marge nette de 40,10%** — un niveau exceptionnel pour le secteur bancaire. Le **ROE s'élève à 25,87%** (largement supérieur au seuil de 15% considéré comme excellent) et le **ROA à 1,91%**, confirmant une rentabilité des actifs solide. Le **coefficient d'exploitation de 41,85%** (bien en dessous de 60%) témoigne d'une efficacité opérationnelle remarquable, et le **coût du risque de 0,89%** (provisions/charges financières) indique un portefeuille de crédits sain. La structure financière montre une **autonomie financière de 7,37%** (capitaux propres/total bilan) — faible en apparence, mais normale pour une banque dont le modèle repose sur le levier des dépôts — et une **solvabilité générale de 107,95%** (total actif/dettes totales &gt; 1), garantissant la couverture des engagements.</w:t>
      </w:r>
    </w:p>
    <w:p>
      <w:pPr>
        <w:spacing w:after="120" w:line="276" w:lineRule="auto"/>
      </w:pPr>
      <w:r>
        <w:t>**Adaptation au secteur bancaire** : Les **dépôts clientèle s'élèvent à 1 138,119 Mds FCFA** contre des **créances sur la clientèle de 768,574 Mds FCFA**, soit un ratio dépôts/crédits de **148%** — un niveau confortable qui traduit une surliquidité et une capacité de transformation maîtrisée. Les **créances interbancaires (72,277 Mds FCFA)** et les **dettes interbancaires (128,033 Mds FCFA)** montrent une activité active sur le marché monétaire, tandis que le portefeuille de **titres d'État (297,260 Mds FCFA)** représente une part significative de l'actif, offrant des revenus récurrents et peu risqués.</w:t>
      </w:r>
    </w:p>
    <w:p>
      <w:pPr>
        <w:spacing w:after="120" w:line="276" w:lineRule="auto"/>
      </w:pPr>
      <w:r>
        <w:t>**Estimations basées sur les rapports semestriels (S1 2026)** : Selon le **rapport S1 2026 (publié le 30 juin 2026, analysé le 28 septembre 2026)**, le PNB s'établit à **37,7 Mds FCFA** (+25% vs S1 2025), le résultat net à **15,2 Mds FCFA** (+46%), et le coefficient d'exploitation à **40,3%** (contre 43,3% un an plus tôt). Les crédits à la clientèle progressent de **+28% à 823,9 Mds FCFA** et les dépôts de **+46% à 1 318,3 Mds FCFA**. Sur cette base, on peut **estimer** que l'exercice 2026 devrait enregistrer un PNB annuel d'environ **75-78 Mds FCFA** (si la dynamique se maintient) et un résultat net de l'ordre de **30-32 Mds FCFA**, soit une croissance annuelle de 10-18% par rapport à 2025. L'OPV sursouscrite à **6 750 FCFA/action** (20% du capital, 67,5 Mds FCFA levés) et l'avis favorable pour une succursale au **Burkina Faso** (mai 2026) constituent des catalyseurs de croissance à moyen terme.</w:t>
      </w:r>
    </w:p>
    <w:p>
      <w:pPr>
        <w:spacing w:after="120" w:line="276" w:lineRule="auto"/>
      </w:pPr>
      <w:r>
        <w:t>**Recommandation fondamentale** : La solidité financière de BBGC est indéniable (ROE 25,9%, marge nette 40%, coefficient d'exploitation 41,8%), portée par une croissance exceptionnelle du PNB et du résultat net. Les principaux risques résident dans la hausse du coût du risque (+14% au S1 2026), l'exécution de l'expansion régionale et l'absence d'information sur la politique de dividende. La recommandation fondamentale est **ACHAT** (spéculatif), sous réserve de confirmation des fondamentaux au S2 2026.</w:t>
      </w:r>
    </w:p>
    <w:p>
      <w:pPr>
        <w:spacing w:after="120" w:line="276" w:lineRule="auto"/>
      </w:pPr>
      <w:r>
        <w:t>---</w:t>
      </w:r>
    </w:p>
    <w:p>
      <w:pPr>
        <w:spacing w:after="120" w:line="276" w:lineRule="auto"/>
      </w:pPr>
      <w:r>
        <w:t>## PARTIE 4 : CONCLUSION D'INVESTISSEMENT</w:t>
      </w:r>
    </w:p>
    <w:p>
      <w:pPr>
        <w:spacing w:after="120" w:line="276" w:lineRule="auto"/>
      </w:pPr>
      <w:r>
        <w:t>La synthèse des quatre parties révèle un profil d'investissement contrasté. **Sur le plan de la valorisation (Partie 0)**, les ratios PER (19,3x), P/B (4,99x) et EV/EBITDA (17,2x) indiquent une **surévaluation relative** par rapport aux standards de la BRVM, mais cette prime se justifie par la croissance exceptionnelle des résultats. **Le comportement du cours (Partie 1)** est nettement haussier (+44,66% sur 100 jours, cours au plus haut), avec une volatilité élevée (50,9%) et une distribution asymétrique négative (skewness -0,676) — favorable mais exposée à des corrections. **Les signaux techniques (Partie 2)** sont indisponibles (MM, Bollinger, MACD, RSI, Stochastique tous à nan), ce qui empêche toute confirmation par convergence et invite à la prudence. **Les fondamentaux (Partie 3)** sont solides : ROE de 25,87%, marge nette de 40,10%, coefficient d'exploitation de 41,85% en 2025, et les estimations basées sur le rapport S1 2026 (PNB +25%, résultat net +46%) suggèrent une poursuite de la dynamique. **Les prédictions IA (J+1 à J+10)** ne sont pas disponibles, ce qui ne permet pas de confirmer ou contredire les autres signaux.</w:t>
      </w:r>
    </w:p>
    <w:p>
      <w:pPr>
        <w:spacing w:after="120" w:line="276" w:lineRule="auto"/>
      </w:pPr>
      <w:r>
        <w:t>**Recommandation finale : ACHAT** — Justification : la convergence entre des fondamentaux solides (ROE 25,9%, croissance du PNB et du résultat net), une dynamique de cours haussière et une valorisation exigeante mais justifiée par la croissance, soutient une recommandation positive. Toutefois, l'absence de signaux techniques et de prédictions IA, ainsi que la volatilité élevée (50,9%) et la surévaluation relative (PER 19,3x vs moyenne BRVM 8-12x), incitent à la prudence. **Niveau de confiance : Moyen** (en raison de l'absence d'indicateurs techniques et de prédictions). **Niveau de risque global : Élevé** (volatilité 50,9%, surévaluation, historique de cotation court). **Horizon d'investissement optimal : Moyen terme (3-12 mois)**, le temps que la société confirme ses fondamentaux au S2 2026 et que les indicateurs techniques deviennent disponibles pour affiner la décision.</w:t>
      </w:r>
    </w:p>
    <w:p/>
    <w:p/>
    <w:p>
      <w:pPr>
        <w:pStyle w:val="Heading3"/>
      </w:pPr>
      <w:r>
        <w:rPr>
          <w:color w:val="005A32"/>
        </w:rPr>
        <w:t>📋 RAPPORTS &amp; COMMUNIQUÉS OFFICIELS</w:t>
      </w:r>
    </w:p>
    <w:p>
      <w:r>
        <w:rPr>
          <w:i/>
          <w:color w:val="646464"/>
          <w:sz w:val="18"/>
        </w:rPr>
        <w:t>1 rapport(s)/communiqué(s) disponible(s) (affichage des 1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"Forte croissance du PNB et du r\u00e9sultat net, am\u00e9lioration de l'efficacit\u00e9 op\u00e9rationnelle et succ\u00e8s de l'IPO soutiennent la valeur. La dynamique commerciale et l'expansion r\u00e9gionale devraient se poursuivre."}</w:t>
      </w:r>
    </w:p>
    <w:p>
      <w:pPr>
        <w:spacing w:before="40"/>
        <w:ind w:left="400"/>
      </w:pPr>
      <w:r>
        <w:rPr>
          <w:sz w:val="18"/>
        </w:rPr>
        <w:t>BBGCI a réalisé un premier semestre 2026 solide avec une forte croissance de ses crédits (+28% à 823,9 Mds FCFA) et de ses dépôts (+46% à 1 318,3 Mds FCFA). Le Produit Net Bancaire progresse de 25% à 37,7 Mds FCFA, tandis que le résultat net bondit de 46% à 15,2 Mds FCFA. L'efficacité opérationnelle s'améliore avec un coefficient d'exploitation de 40,3% contre 43,3% un an plus tôt. La banque a obtenu l'avis favorable de la Commission Bancaire pour une succursale au Burkina Faso et a réussi son introduction en bourse avec une sursouscription. Les fondamentaux renforcés et la stratégie 2026-2030 soutiennent des perspectives favorables pour le second semestre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{'variation_pnb': '+25%', 'cout_du_risque': '-4,3 milliards FCFA', 'frais_generaux': '-15,2 milliards FCFA', 'depots_clientele': '1 318,3 milliards FCFA', 'variation_depots': '+46%', 'credits_clientele': '823,9 milliards FCFA', 'variation_credits': '+28%', 'produit_net_bancaire': '37,7 milliards FCFA', 'resultat_avant_impot': '18,2 milliards FCFA', 'variation_resultat_net': '+46%', 'coefficient_exploitation': '40,3%', 'resultat_brut_exploitation': '22,5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40,3%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37,7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Crédits à la clientèle en hausse de 28% à 823,9 milliards FCFA.</w:t>
      </w:r>
    </w:p>
    <w:p>
      <w:pPr>
        <w:pStyle w:val="ListBullet"/>
        <w:spacing w:before="20" w:after="20"/>
        <w:ind w:left="700"/>
      </w:pPr>
      <w:r>
        <w:rPr>
          <w:sz w:val="18"/>
        </w:rPr>
        <w:t>Dépôts clientèle en progression de 46% à 1 318,3 milliards FCFA.</w:t>
      </w:r>
    </w:p>
    <w:p>
      <w:pPr>
        <w:pStyle w:val="ListBullet"/>
        <w:spacing w:before="20" w:after="20"/>
        <w:ind w:left="700"/>
      </w:pPr>
      <w:r>
        <w:rPr>
          <w:sz w:val="18"/>
        </w:rPr>
        <w:t>Produit Net Bancaire en croissance de 25% à 37,7 milliards FCFA.</w:t>
      </w:r>
    </w:p>
    <w:p>
      <w:pPr>
        <w:pStyle w:val="ListBullet"/>
        <w:spacing w:before="20" w:after="20"/>
        <w:ind w:left="700"/>
      </w:pPr>
      <w:r>
        <w:rPr>
          <w:sz w:val="18"/>
        </w:rPr>
        <w:t>Résultat net en augmentation de 46% à 15,2 milliards FCFA.</w:t>
      </w:r>
    </w:p>
    <w:p>
      <w:pPr>
        <w:pStyle w:val="ListBullet"/>
        <w:spacing w:before="20" w:after="20"/>
        <w:ind w:left="700"/>
      </w:pPr>
      <w:r>
        <w:rPr>
          <w:sz w:val="18"/>
        </w:rPr>
        <w:t>Coefficient d'exploitation amélioré à 40,3% contre 43,3% un an auparavant.</w:t>
      </w:r>
    </w:p>
    <w:p>
      <w:pPr>
        <w:pStyle w:val="ListBullet"/>
        <w:spacing w:before="20" w:after="20"/>
        <w:ind w:left="700"/>
      </w:pPr>
      <w:r>
        <w:rPr>
          <w:sz w:val="18"/>
        </w:rPr>
        <w:t>Coût du risque contenu à 4,3 milliards FCFA (+14%) pour des crédits en hausse de 28%.</w:t>
      </w:r>
    </w:p>
    <w:p>
      <w:pPr>
        <w:spacing w:before="40"/>
        <w:ind w:left="400"/>
      </w:pPr>
      <w:r>
        <w:rPr>
          <w:b/>
          <w:color w:val="C05000"/>
          <w:sz w:val="18"/>
        </w:rPr>
        <w:t xml:space="preserve">⚠️ Risques : </w:t>
      </w:r>
      <w:r>
        <w:rPr>
          <w:sz w:val="18"/>
        </w:rPr>
        <w:t>["Hausse du co\u00fbt du risque (+14%) dans un contexte de forte croissance des cr\u00e9dits (+28%).", "Risques d'ex\u00e9cution li\u00e9s \u00e0 l'expansion r\u00e9gionale (Burkina Faso) et au d\u00e9ploiement de la strat\u00e9gie 2026-2030.", "Sensibilit\u00e9 \u00e0 l'environnement \u00e9conomiqu</w:t>
      </w:r>
    </w:p>
    <w:p>
      <w:pPr>
        <w:spacing w:before="40"/>
        <w:ind w:left="400"/>
      </w:pPr>
      <w:r>
        <w:rPr>
          <w:b/>
          <w:color w:val="0064A0"/>
          <w:sz w:val="18"/>
        </w:rPr>
        <w:t xml:space="preserve">🔮 Perspectives : </w:t>
      </w:r>
      <w:r>
        <w:rPr>
          <w:sz w:val="18"/>
        </w:rPr>
        <w:t>BBGCI prévoit de consolider sa dynamique de croissance au second semestre 2026, en poursuivant sa stratégie 2026-2030, la transformation digitale et l'expansion régionale. La banque reste attentive aux évolutions de l'environnement et renforce ses dispositifs de gouvernance et de maîtrise des risque</w:t>
      </w:r>
    </w:p>
    <w:p/>
    <w:p>
      <w:r>
        <w:t>════════════════════════════════════════════════════════════════════════════════</w:t>
      </w:r>
    </w:p>
    <w:p>
      <w:r>
        <w:br w:type="page"/>
      </w:r>
    </w:p>
    <w:p>
      <w:pPr>
        <w:pStyle w:val="Heading2"/>
        <w:spacing w:before="360"/>
      </w:pPr>
      <w:r>
        <w:rPr>
          <w:color w:val="0066CC"/>
        </w:rPr>
        <w:t>3. BICB - BIIC BN - Banque internationale pour le commerce du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BICB</w:t>
            </w:r>
          </w:p>
          <w:p>
            <w:r>
              <w:rPr>
                <w:b/>
                <w:color w:val="323250"/>
                <w:sz w:val="16"/>
              </w:rPr>
              <w:t xml:space="preserve">Société : </w:t>
            </w:r>
            <w:r>
              <w:rPr>
                <w:color w:val="000000"/>
                <w:sz w:val="16"/>
              </w:rPr>
              <w:t>BIIC BN - Banque internationale pour le ...</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485.18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13,936 titres</w:t>
            </w:r>
          </w:p>
        </w:tc>
        <w:tc>
          <w:tcPr>
            <w:tcW w:type="dxa" w:w="2268"/>
            <w:shd w:fill="FFF2CC" w:val="clear"/>
          </w:tcPr>
          <w:p>
            <w:r>
              <w:rPr>
                <w:b/>
                <w:color w:val="503200"/>
                <w:sz w:val="16"/>
              </w:rPr>
              <w:t xml:space="preserve">Cours actuel : </w:t>
            </w:r>
            <w:r>
              <w:rPr>
                <w:color w:val="000000"/>
                <w:sz w:val="17"/>
              </w:rPr>
              <w:t>8,400 FCFA</w:t>
            </w:r>
          </w:p>
          <w:p>
            <w:r>
              <w:rPr>
                <w:b/>
                <w:color w:val="503200"/>
                <w:sz w:val="16"/>
              </w:rPr>
              <w:t xml:space="preserve">Var. 100 jours : </w:t>
            </w:r>
            <w:r>
              <w:rPr>
                <w:b/>
                <w:color w:val="007800"/>
                <w:sz w:val="17"/>
              </w:rPr>
              <w:t>+60.77%</w:t>
            </w:r>
          </w:p>
          <w:p>
            <w:r>
              <w:rPr>
                <w:b/>
                <w:color w:val="503200"/>
                <w:sz w:val="16"/>
              </w:rPr>
              <w:t xml:space="preserve">Plus haut 100j : </w:t>
            </w:r>
            <w:r>
              <w:rPr>
                <w:color w:val="000000"/>
                <w:sz w:val="17"/>
              </w:rPr>
              <w:t>10,790 FCFA</w:t>
            </w:r>
          </w:p>
          <w:p>
            <w:r>
              <w:rPr>
                <w:b/>
                <w:color w:val="503200"/>
                <w:sz w:val="16"/>
              </w:rPr>
              <w:t xml:space="preserve">Plus bas 100j : </w:t>
            </w:r>
            <w:r>
              <w:rPr>
                <w:color w:val="000000"/>
                <w:sz w:val="17"/>
              </w:rPr>
              <w:t>5,190 FCFA</w:t>
            </w:r>
          </w:p>
          <w:p>
            <w:r>
              <w:rPr>
                <w:b/>
                <w:color w:val="503200"/>
                <w:sz w:val="16"/>
              </w:rPr>
              <w:t xml:space="preserve">Volatilité ann. : </w:t>
            </w:r>
            <w:r>
              <w:rPr>
                <w:color w:val="000000"/>
                <w:sz w:val="17"/>
              </w:rPr>
              <w:t>42.5%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26.3/100 → Moyen</w:t>
      </w:r>
    </w:p>
    <w:p>
      <w:pPr>
        <w:spacing w:before="40" w:after="80"/>
      </w:pPr>
      <w:r>
        <w:rPr>
          <w:rFonts w:ascii="Courier New" w:hAnsi="Courier New"/>
          <w:color w:val="825A00"/>
          <w:sz w:val="18"/>
        </w:rPr>
        <w:t>█████░░░░░░░░░░░░░░░  26.3/100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21.64% (Élevée) — μ=7,544 FCFA, σ=1,632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DEEAF1" w:val="clear"/>
          </w:tcPr>
          <w:p>
            <w:r>
              <w:rPr>
                <w:b/>
                <w:sz w:val="15"/>
              </w:rPr>
              <w:t>β=0.8495 (Neutre (suit le marché)) — Cov=0.000063, Var(idx)=0.000075, ρ=0.270, n=96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C6EFCE" w:val="clear"/>
          </w:tcPr>
          <w:p>
            <w:r>
              <w:rPr>
                <w:b/>
                <w:sz w:val="15"/>
              </w:rPr>
              <w:t>13,936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σ_j=2.68%/j (Stable) — Vol. annualisée≈42.5%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16976"/>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w:t>
            </w:r>
          </w:p>
        </w:tc>
        <w:tc>
          <w:tcPr>
            <w:tcW w:type="dxa" w:w="1440"/>
            <w:shd w:fill="C6EFCE" w:val="clear"/>
          </w:tcPr>
          <w:p>
            <w:r>
              <w:rPr>
                <w:sz w:val="17"/>
              </w:rPr>
              <w:t>2026-10-16</w:t>
            </w:r>
          </w:p>
        </w:tc>
        <w:tc>
          <w:tcPr>
            <w:tcW w:type="dxa" w:w="1440"/>
            <w:shd w:fill="C6EFCE" w:val="clear"/>
          </w:tcPr>
          <w:p>
            <w:r>
              <w:rPr>
                <w:sz w:val="17"/>
              </w:rPr>
              <w:t>8,321</w:t>
            </w:r>
          </w:p>
        </w:tc>
        <w:tc>
          <w:tcPr>
            <w:tcW w:type="dxa" w:w="1440"/>
            <w:shd w:fill="C6EFCE" w:val="clear"/>
          </w:tcPr>
          <w:p>
            <w:r>
              <w:rPr>
                <w:b/>
                <w:sz w:val="17"/>
              </w:rPr>
              <w:t>8,807</w:t>
            </w:r>
          </w:p>
        </w:tc>
        <w:tc>
          <w:tcPr>
            <w:tcW w:type="dxa" w:w="1440"/>
            <w:shd w:fill="C6EFCE" w:val="clear"/>
          </w:tcPr>
          <w:p>
            <w:r>
              <w:rPr>
                <w:sz w:val="17"/>
              </w:rPr>
              <w:t>9,293</w:t>
            </w:r>
          </w:p>
        </w:tc>
        <w:tc>
          <w:tcPr>
            <w:tcW w:type="dxa" w:w="1440"/>
            <w:shd w:fill="C6EFCE" w:val="clear"/>
          </w:tcPr>
          <w:p>
            <w:r>
              <w:rPr>
                <w:b/>
                <w:color w:val="008000"/>
                <w:sz w:val="17"/>
              </w:rPr>
              <w:t>+4.8%</w:t>
            </w:r>
          </w:p>
        </w:tc>
      </w:tr>
      <w:tr>
        <w:tc>
          <w:tcPr>
            <w:tcW w:type="dxa" w:w="1440"/>
            <w:shd w:fill="C6EFCE" w:val="clear"/>
          </w:tcPr>
          <w:p>
            <w:r>
              <w:rPr>
                <w:sz w:val="17"/>
              </w:rPr>
              <w:t>J+2  ⭐</w:t>
            </w:r>
          </w:p>
        </w:tc>
        <w:tc>
          <w:tcPr>
            <w:tcW w:type="dxa" w:w="1440"/>
            <w:shd w:fill="C6EFCE" w:val="clear"/>
          </w:tcPr>
          <w:p>
            <w:r>
              <w:rPr>
                <w:sz w:val="17"/>
              </w:rPr>
              <w:t>2026-10-19</w:t>
            </w:r>
          </w:p>
        </w:tc>
        <w:tc>
          <w:tcPr>
            <w:tcW w:type="dxa" w:w="1440"/>
            <w:shd w:fill="C6EFCE" w:val="clear"/>
          </w:tcPr>
          <w:p>
            <w:r>
              <w:rPr>
                <w:sz w:val="17"/>
              </w:rPr>
              <w:t>8,173</w:t>
            </w:r>
          </w:p>
        </w:tc>
        <w:tc>
          <w:tcPr>
            <w:tcW w:type="dxa" w:w="1440"/>
            <w:shd w:fill="C6EFCE" w:val="clear"/>
          </w:tcPr>
          <w:p>
            <w:r>
              <w:rPr>
                <w:b/>
                <w:sz w:val="17"/>
              </w:rPr>
              <w:t>8,864</w:t>
            </w:r>
          </w:p>
        </w:tc>
        <w:tc>
          <w:tcPr>
            <w:tcW w:type="dxa" w:w="1440"/>
            <w:shd w:fill="C6EFCE" w:val="clear"/>
          </w:tcPr>
          <w:p>
            <w:r>
              <w:rPr>
                <w:sz w:val="17"/>
              </w:rPr>
              <w:t>9,556</w:t>
            </w:r>
          </w:p>
        </w:tc>
        <w:tc>
          <w:tcPr>
            <w:tcW w:type="dxa" w:w="1440"/>
            <w:shd w:fill="C6EFCE" w:val="clear"/>
          </w:tcPr>
          <w:p>
            <w:r>
              <w:rPr>
                <w:b/>
                <w:color w:val="008000"/>
                <w:sz w:val="17"/>
              </w:rPr>
              <w:t>+5.5%</w:t>
            </w:r>
          </w:p>
        </w:tc>
      </w:tr>
      <w:tr>
        <w:tc>
          <w:tcPr>
            <w:tcW w:type="dxa" w:w="1440"/>
            <w:shd w:fill="C6EFCE" w:val="clear"/>
          </w:tcPr>
          <w:p>
            <w:r>
              <w:rPr>
                <w:sz w:val="17"/>
              </w:rPr>
              <w:t>J+3  ⭐</w:t>
            </w:r>
          </w:p>
        </w:tc>
        <w:tc>
          <w:tcPr>
            <w:tcW w:type="dxa" w:w="1440"/>
            <w:shd w:fill="C6EFCE" w:val="clear"/>
          </w:tcPr>
          <w:p>
            <w:r>
              <w:rPr>
                <w:sz w:val="17"/>
              </w:rPr>
              <w:t>2026-10-20</w:t>
            </w:r>
          </w:p>
        </w:tc>
        <w:tc>
          <w:tcPr>
            <w:tcW w:type="dxa" w:w="1440"/>
            <w:shd w:fill="C6EFCE" w:val="clear"/>
          </w:tcPr>
          <w:p>
            <w:r>
              <w:rPr>
                <w:sz w:val="17"/>
              </w:rPr>
              <w:t>8,083</w:t>
            </w:r>
          </w:p>
        </w:tc>
        <w:tc>
          <w:tcPr>
            <w:tcW w:type="dxa" w:w="1440"/>
            <w:shd w:fill="C6EFCE" w:val="clear"/>
          </w:tcPr>
          <w:p>
            <w:r>
              <w:rPr>
                <w:b/>
                <w:sz w:val="17"/>
              </w:rPr>
              <w:t>8,937</w:t>
            </w:r>
          </w:p>
        </w:tc>
        <w:tc>
          <w:tcPr>
            <w:tcW w:type="dxa" w:w="1440"/>
            <w:shd w:fill="C6EFCE" w:val="clear"/>
          </w:tcPr>
          <w:p>
            <w:r>
              <w:rPr>
                <w:sz w:val="17"/>
              </w:rPr>
              <w:t>9,791</w:t>
            </w:r>
          </w:p>
        </w:tc>
        <w:tc>
          <w:tcPr>
            <w:tcW w:type="dxa" w:w="1440"/>
            <w:shd w:fill="C6EFCE" w:val="clear"/>
          </w:tcPr>
          <w:p>
            <w:r>
              <w:rPr>
                <w:b/>
                <w:color w:val="008000"/>
                <w:sz w:val="17"/>
              </w:rPr>
              <w:t>+6.4%</w:t>
            </w:r>
          </w:p>
        </w:tc>
      </w:tr>
      <w:tr>
        <w:tc>
          <w:tcPr>
            <w:tcW w:type="dxa" w:w="1440"/>
            <w:shd w:fill="C6EFCE" w:val="clear"/>
          </w:tcPr>
          <w:p>
            <w:r>
              <w:rPr>
                <w:sz w:val="17"/>
              </w:rPr>
              <w:t>J+4  ⭐</w:t>
            </w:r>
          </w:p>
        </w:tc>
        <w:tc>
          <w:tcPr>
            <w:tcW w:type="dxa" w:w="1440"/>
            <w:shd w:fill="C6EFCE" w:val="clear"/>
          </w:tcPr>
          <w:p>
            <w:r>
              <w:rPr>
                <w:sz w:val="17"/>
              </w:rPr>
              <w:t>2026-10-21</w:t>
            </w:r>
          </w:p>
        </w:tc>
        <w:tc>
          <w:tcPr>
            <w:tcW w:type="dxa" w:w="1440"/>
            <w:shd w:fill="C6EFCE" w:val="clear"/>
          </w:tcPr>
          <w:p>
            <w:r>
              <w:rPr>
                <w:sz w:val="17"/>
              </w:rPr>
              <w:t>8,015</w:t>
            </w:r>
          </w:p>
        </w:tc>
        <w:tc>
          <w:tcPr>
            <w:tcW w:type="dxa" w:w="1440"/>
            <w:shd w:fill="C6EFCE" w:val="clear"/>
          </w:tcPr>
          <w:p>
            <w:r>
              <w:rPr>
                <w:b/>
                <w:sz w:val="17"/>
              </w:rPr>
              <w:t>9,009</w:t>
            </w:r>
          </w:p>
        </w:tc>
        <w:tc>
          <w:tcPr>
            <w:tcW w:type="dxa" w:w="1440"/>
            <w:shd w:fill="C6EFCE" w:val="clear"/>
          </w:tcPr>
          <w:p>
            <w:r>
              <w:rPr>
                <w:sz w:val="17"/>
              </w:rPr>
              <w:t>10,002</w:t>
            </w:r>
          </w:p>
        </w:tc>
        <w:tc>
          <w:tcPr>
            <w:tcW w:type="dxa" w:w="1440"/>
            <w:shd w:fill="C6EFCE" w:val="clear"/>
          </w:tcPr>
          <w:p>
            <w:r>
              <w:rPr>
                <w:b/>
                <w:color w:val="008000"/>
                <w:sz w:val="17"/>
              </w:rPr>
              <w:t>+7.2%</w:t>
            </w:r>
          </w:p>
        </w:tc>
      </w:tr>
      <w:tr>
        <w:tc>
          <w:tcPr>
            <w:tcW w:type="dxa" w:w="1440"/>
            <w:shd w:fill="C6EFCE" w:val="clear"/>
          </w:tcPr>
          <w:p>
            <w:r>
              <w:rPr>
                <w:sz w:val="17"/>
              </w:rPr>
              <w:t>J+5  ⭐</w:t>
            </w:r>
          </w:p>
        </w:tc>
        <w:tc>
          <w:tcPr>
            <w:tcW w:type="dxa" w:w="1440"/>
            <w:shd w:fill="C6EFCE" w:val="clear"/>
          </w:tcPr>
          <w:p>
            <w:r>
              <w:rPr>
                <w:sz w:val="17"/>
              </w:rPr>
              <w:t>2026-10-22</w:t>
            </w:r>
          </w:p>
        </w:tc>
        <w:tc>
          <w:tcPr>
            <w:tcW w:type="dxa" w:w="1440"/>
            <w:shd w:fill="C6EFCE" w:val="clear"/>
          </w:tcPr>
          <w:p>
            <w:r>
              <w:rPr>
                <w:sz w:val="17"/>
              </w:rPr>
              <w:t>7,955</w:t>
            </w:r>
          </w:p>
        </w:tc>
        <w:tc>
          <w:tcPr>
            <w:tcW w:type="dxa" w:w="1440"/>
            <w:shd w:fill="C6EFCE" w:val="clear"/>
          </w:tcPr>
          <w:p>
            <w:r>
              <w:rPr>
                <w:b/>
                <w:sz w:val="17"/>
              </w:rPr>
              <w:t>9,074</w:t>
            </w:r>
          </w:p>
        </w:tc>
        <w:tc>
          <w:tcPr>
            <w:tcW w:type="dxa" w:w="1440"/>
            <w:shd w:fill="C6EFCE" w:val="clear"/>
          </w:tcPr>
          <w:p>
            <w:r>
              <w:rPr>
                <w:sz w:val="17"/>
              </w:rPr>
              <w:t>10,193</w:t>
            </w:r>
          </w:p>
        </w:tc>
        <w:tc>
          <w:tcPr>
            <w:tcW w:type="dxa" w:w="1440"/>
            <w:shd w:fill="C6EFCE" w:val="clear"/>
          </w:tcPr>
          <w:p>
            <w:r>
              <w:rPr>
                <w:b/>
                <w:color w:val="008000"/>
                <w:sz w:val="17"/>
              </w:rPr>
              <w:t>+8.0%</w:t>
            </w:r>
          </w:p>
        </w:tc>
      </w:tr>
      <w:tr>
        <w:tc>
          <w:tcPr>
            <w:tcW w:type="dxa" w:w="1440"/>
            <w:shd w:fill="C6EFCE" w:val="clear"/>
          </w:tcPr>
          <w:p>
            <w:r>
              <w:rPr>
                <w:sz w:val="17"/>
              </w:rPr>
              <w:t>J+6  ⭐</w:t>
            </w:r>
          </w:p>
        </w:tc>
        <w:tc>
          <w:tcPr>
            <w:tcW w:type="dxa" w:w="1440"/>
            <w:shd w:fill="C6EFCE" w:val="clear"/>
          </w:tcPr>
          <w:p>
            <w:r>
              <w:rPr>
                <w:sz w:val="17"/>
              </w:rPr>
              <w:t>2026-10-23</w:t>
            </w:r>
          </w:p>
        </w:tc>
        <w:tc>
          <w:tcPr>
            <w:tcW w:type="dxa" w:w="1440"/>
            <w:shd w:fill="C6EFCE" w:val="clear"/>
          </w:tcPr>
          <w:p>
            <w:r>
              <w:rPr>
                <w:sz w:val="17"/>
              </w:rPr>
              <w:t>7,898</w:t>
            </w:r>
          </w:p>
        </w:tc>
        <w:tc>
          <w:tcPr>
            <w:tcW w:type="dxa" w:w="1440"/>
            <w:shd w:fill="C6EFCE" w:val="clear"/>
          </w:tcPr>
          <w:p>
            <w:r>
              <w:rPr>
                <w:b/>
                <w:sz w:val="17"/>
              </w:rPr>
              <w:t>9,132</w:t>
            </w:r>
          </w:p>
        </w:tc>
        <w:tc>
          <w:tcPr>
            <w:tcW w:type="dxa" w:w="1440"/>
            <w:shd w:fill="C6EFCE" w:val="clear"/>
          </w:tcPr>
          <w:p>
            <w:r>
              <w:rPr>
                <w:sz w:val="17"/>
              </w:rPr>
              <w:t>10,366</w:t>
            </w:r>
          </w:p>
        </w:tc>
        <w:tc>
          <w:tcPr>
            <w:tcW w:type="dxa" w:w="1440"/>
            <w:shd w:fill="C6EFCE" w:val="clear"/>
          </w:tcPr>
          <w:p>
            <w:r>
              <w:rPr>
                <w:b/>
                <w:color w:val="008000"/>
                <w:sz w:val="17"/>
              </w:rPr>
              <w:t>+8.7%</w:t>
            </w:r>
          </w:p>
        </w:tc>
      </w:tr>
      <w:tr>
        <w:tc>
          <w:tcPr>
            <w:tcW w:type="dxa" w:w="1440"/>
            <w:shd w:fill="C6EFCE" w:val="clear"/>
          </w:tcPr>
          <w:p>
            <w:r>
              <w:rPr>
                <w:sz w:val="17"/>
              </w:rPr>
              <w:t>J+7  ⭐</w:t>
            </w:r>
          </w:p>
        </w:tc>
        <w:tc>
          <w:tcPr>
            <w:tcW w:type="dxa" w:w="1440"/>
            <w:shd w:fill="C6EFCE" w:val="clear"/>
          </w:tcPr>
          <w:p>
            <w:r>
              <w:rPr>
                <w:sz w:val="17"/>
              </w:rPr>
              <w:t>2026-10-26</w:t>
            </w:r>
          </w:p>
        </w:tc>
        <w:tc>
          <w:tcPr>
            <w:tcW w:type="dxa" w:w="1440"/>
            <w:shd w:fill="C6EFCE" w:val="clear"/>
          </w:tcPr>
          <w:p>
            <w:r>
              <w:rPr>
                <w:sz w:val="17"/>
              </w:rPr>
              <w:t>7,843</w:t>
            </w:r>
          </w:p>
        </w:tc>
        <w:tc>
          <w:tcPr>
            <w:tcW w:type="dxa" w:w="1440"/>
            <w:shd w:fill="C6EFCE" w:val="clear"/>
          </w:tcPr>
          <w:p>
            <w:r>
              <w:rPr>
                <w:b/>
                <w:sz w:val="17"/>
              </w:rPr>
              <w:t>9,183</w:t>
            </w:r>
          </w:p>
        </w:tc>
        <w:tc>
          <w:tcPr>
            <w:tcW w:type="dxa" w:w="1440"/>
            <w:shd w:fill="C6EFCE" w:val="clear"/>
          </w:tcPr>
          <w:p>
            <w:r>
              <w:rPr>
                <w:sz w:val="17"/>
              </w:rPr>
              <w:t>10,523</w:t>
            </w:r>
          </w:p>
        </w:tc>
        <w:tc>
          <w:tcPr>
            <w:tcW w:type="dxa" w:w="1440"/>
            <w:shd w:fill="C6EFCE" w:val="clear"/>
          </w:tcPr>
          <w:p>
            <w:r>
              <w:rPr>
                <w:b/>
                <w:color w:val="008000"/>
                <w:sz w:val="17"/>
              </w:rPr>
              <w:t>+9.3%</w:t>
            </w:r>
          </w:p>
        </w:tc>
      </w:tr>
      <w:tr>
        <w:tc>
          <w:tcPr>
            <w:tcW w:type="dxa" w:w="1440"/>
            <w:shd w:fill="C6EFCE" w:val="clear"/>
          </w:tcPr>
          <w:p>
            <w:r>
              <w:rPr>
                <w:sz w:val="17"/>
              </w:rPr>
              <w:t>J+8  ⭐</w:t>
            </w:r>
          </w:p>
        </w:tc>
        <w:tc>
          <w:tcPr>
            <w:tcW w:type="dxa" w:w="1440"/>
            <w:shd w:fill="C6EFCE" w:val="clear"/>
          </w:tcPr>
          <w:p>
            <w:r>
              <w:rPr>
                <w:sz w:val="17"/>
              </w:rPr>
              <w:t>2026-10-27</w:t>
            </w:r>
          </w:p>
        </w:tc>
        <w:tc>
          <w:tcPr>
            <w:tcW w:type="dxa" w:w="1440"/>
            <w:shd w:fill="C6EFCE" w:val="clear"/>
          </w:tcPr>
          <w:p>
            <w:r>
              <w:rPr>
                <w:sz w:val="17"/>
              </w:rPr>
              <w:t>7,788</w:t>
            </w:r>
          </w:p>
        </w:tc>
        <w:tc>
          <w:tcPr>
            <w:tcW w:type="dxa" w:w="1440"/>
            <w:shd w:fill="C6EFCE" w:val="clear"/>
          </w:tcPr>
          <w:p>
            <w:r>
              <w:rPr>
                <w:b/>
                <w:sz w:val="17"/>
              </w:rPr>
              <w:t>9,227</w:t>
            </w:r>
          </w:p>
        </w:tc>
        <w:tc>
          <w:tcPr>
            <w:tcW w:type="dxa" w:w="1440"/>
            <w:shd w:fill="C6EFCE" w:val="clear"/>
          </w:tcPr>
          <w:p>
            <w:r>
              <w:rPr>
                <w:sz w:val="17"/>
              </w:rPr>
              <w:t>10,667</w:t>
            </w:r>
          </w:p>
        </w:tc>
        <w:tc>
          <w:tcPr>
            <w:tcW w:type="dxa" w:w="1440"/>
            <w:shd w:fill="C6EFCE" w:val="clear"/>
          </w:tcPr>
          <w:p>
            <w:r>
              <w:rPr>
                <w:b/>
                <w:color w:val="008000"/>
                <w:sz w:val="17"/>
              </w:rPr>
              <w:t>+9.9%</w:t>
            </w:r>
          </w:p>
        </w:tc>
      </w:tr>
      <w:tr>
        <w:tc>
          <w:tcPr>
            <w:tcW w:type="dxa" w:w="1440"/>
            <w:shd w:fill="C6EFCE" w:val="clear"/>
          </w:tcPr>
          <w:p>
            <w:r>
              <w:rPr>
                <w:sz w:val="17"/>
              </w:rPr>
              <w:t>J+9  ⭐</w:t>
            </w:r>
          </w:p>
        </w:tc>
        <w:tc>
          <w:tcPr>
            <w:tcW w:type="dxa" w:w="1440"/>
            <w:shd w:fill="C6EFCE" w:val="clear"/>
          </w:tcPr>
          <w:p>
            <w:r>
              <w:rPr>
                <w:sz w:val="17"/>
              </w:rPr>
              <w:t>2026-10-28</w:t>
            </w:r>
          </w:p>
        </w:tc>
        <w:tc>
          <w:tcPr>
            <w:tcW w:type="dxa" w:w="1440"/>
            <w:shd w:fill="C6EFCE" w:val="clear"/>
          </w:tcPr>
          <w:p>
            <w:r>
              <w:rPr>
                <w:sz w:val="17"/>
              </w:rPr>
              <w:t>7,733</w:t>
            </w:r>
          </w:p>
        </w:tc>
        <w:tc>
          <w:tcPr>
            <w:tcW w:type="dxa" w:w="1440"/>
            <w:shd w:fill="C6EFCE" w:val="clear"/>
          </w:tcPr>
          <w:p>
            <w:r>
              <w:rPr>
                <w:b/>
                <w:sz w:val="17"/>
              </w:rPr>
              <w:t>9,266</w:t>
            </w:r>
          </w:p>
        </w:tc>
        <w:tc>
          <w:tcPr>
            <w:tcW w:type="dxa" w:w="1440"/>
            <w:shd w:fill="C6EFCE" w:val="clear"/>
          </w:tcPr>
          <w:p>
            <w:r>
              <w:rPr>
                <w:sz w:val="17"/>
              </w:rPr>
              <w:t>10,799</w:t>
            </w:r>
          </w:p>
        </w:tc>
        <w:tc>
          <w:tcPr>
            <w:tcW w:type="dxa" w:w="1440"/>
            <w:shd w:fill="C6EFCE" w:val="clear"/>
          </w:tcPr>
          <w:p>
            <w:r>
              <w:rPr>
                <w:b/>
                <w:color w:val="008000"/>
                <w:sz w:val="17"/>
              </w:rPr>
              <w:t>+10.3%</w:t>
            </w:r>
          </w:p>
        </w:tc>
      </w:tr>
      <w:tr>
        <w:tc>
          <w:tcPr>
            <w:tcW w:type="dxa" w:w="1440"/>
            <w:shd w:fill="C6EFCE" w:val="clear"/>
          </w:tcPr>
          <w:p>
            <w:r>
              <w:rPr>
                <w:sz w:val="17"/>
              </w:rPr>
              <w:t>J+10  ⭐</w:t>
            </w:r>
          </w:p>
        </w:tc>
        <w:tc>
          <w:tcPr>
            <w:tcW w:type="dxa" w:w="1440"/>
            <w:shd w:fill="C6EFCE" w:val="clear"/>
          </w:tcPr>
          <w:p>
            <w:r>
              <w:rPr>
                <w:sz w:val="17"/>
              </w:rPr>
              <w:t>2026-10-29</w:t>
            </w:r>
          </w:p>
        </w:tc>
        <w:tc>
          <w:tcPr>
            <w:tcW w:type="dxa" w:w="1440"/>
            <w:shd w:fill="C6EFCE" w:val="clear"/>
          </w:tcPr>
          <w:p>
            <w:r>
              <w:rPr>
                <w:sz w:val="17"/>
              </w:rPr>
              <w:t>7,677</w:t>
            </w:r>
          </w:p>
        </w:tc>
        <w:tc>
          <w:tcPr>
            <w:tcW w:type="dxa" w:w="1440"/>
            <w:shd w:fill="C6EFCE" w:val="clear"/>
          </w:tcPr>
          <w:p>
            <w:r>
              <w:rPr>
                <w:b/>
                <w:sz w:val="17"/>
              </w:rPr>
              <w:t>9,299</w:t>
            </w:r>
          </w:p>
        </w:tc>
        <w:tc>
          <w:tcPr>
            <w:tcW w:type="dxa" w:w="1440"/>
            <w:shd w:fill="C6EFCE" w:val="clear"/>
          </w:tcPr>
          <w:p>
            <w:r>
              <w:rPr>
                <w:sz w:val="17"/>
              </w:rPr>
              <w:t>10,921</w:t>
            </w:r>
          </w:p>
        </w:tc>
        <w:tc>
          <w:tcPr>
            <w:tcW w:type="dxa" w:w="1440"/>
            <w:shd w:fill="C6EFCE" w:val="clear"/>
          </w:tcPr>
          <w:p>
            <w:r>
              <w:rPr>
                <w:b/>
                <w:color w:val="008000"/>
                <w:sz w:val="17"/>
              </w:rPr>
              <w:t>+10.7%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41.067 Mds FCFA</w:t>
            </w:r>
          </w:p>
        </w:tc>
        <w:tc>
          <w:tcPr>
            <w:tcW w:type="dxa" w:w="5669"/>
            <w:shd w:fill="FFFFFF" w:val="clear"/>
          </w:tcPr>
          <w:p>
            <w:r>
              <w:rPr>
                <w:color w:val="282828"/>
                <w:sz w:val="15"/>
              </w:rPr>
              <w:t>Représente 2.2% du bilan. ⚠️ Part faible — vérifier la conformité aux réserves obligatoires BCEAO.</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51.371 Mds FCFA</w:t>
            </w:r>
          </w:p>
        </w:tc>
        <w:tc>
          <w:tcPr>
            <w:tcW w:type="dxa" w:w="5669"/>
            <w:shd w:fill="FFFFFF" w:val="clear"/>
          </w:tcPr>
          <w:p>
            <w:r>
              <w:rPr>
                <w:color w:val="282828"/>
                <w:sz w:val="15"/>
              </w:rPr>
              <w:t>Prêts aux autres banques (2.8%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1151.536 Mds FCFA</w:t>
            </w:r>
          </w:p>
        </w:tc>
        <w:tc>
          <w:tcPr>
            <w:tcW w:type="dxa" w:w="5669"/>
            <w:shd w:fill="FFFFFF" w:val="clear"/>
          </w:tcPr>
          <w:p>
            <w:r>
              <w:rPr>
                <w:color w:val="282828"/>
                <w:sz w:val="15"/>
              </w:rPr>
              <w:t>Portefeuille crédits (62.4% du bilan). ✅ Concentration saine sur le métier de crédit.</w:t>
            </w:r>
          </w:p>
        </w:tc>
      </w:tr>
      <w:tr>
        <w:tc>
          <w:tcPr>
            <w:tcW w:type="dxa" w:w="2268"/>
            <w:shd w:fill="EEF2F7" w:val="clear"/>
          </w:tcPr>
          <w:p>
            <w:r>
              <w:rPr>
                <w:b/>
                <w:color w:val="1E1E3C"/>
                <w:sz w:val="16"/>
              </w:rPr>
              <w:t>Actif circulant</w:t>
            </w:r>
          </w:p>
        </w:tc>
        <w:tc>
          <w:tcPr>
            <w:tcW w:type="dxa" w:w="1984"/>
            <w:shd w:fill="C6EFCE" w:val="clear"/>
          </w:tcPr>
          <w:p>
            <w:r>
              <w:rPr>
                <w:b/>
                <w:color w:val="006400"/>
                <w:sz w:val="17"/>
              </w:rPr>
              <w:t>1818.213 Mds FCFA</w:t>
            </w:r>
          </w:p>
        </w:tc>
        <w:tc>
          <w:tcPr>
            <w:tcW w:type="dxa" w:w="5669"/>
            <w:shd w:fill="FFFFFF" w:val="clear"/>
          </w:tcPr>
          <w:p>
            <w:r>
              <w:rPr>
                <w:color w:val="282828"/>
                <w:sz w:val="15"/>
              </w:rPr>
              <w:t>Ratio actif circ./passif circ. = 56.46x.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2.333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17.588 Mds FCFA</w:t>
            </w:r>
          </w:p>
        </w:tc>
        <w:tc>
          <w:tcPr>
            <w:tcW w:type="dxa" w:w="5669"/>
            <w:shd w:fill="FFFFFF" w:val="clear"/>
          </w:tcPr>
          <w:p>
            <w:r>
              <w:rPr>
                <w:color w:val="282828"/>
                <w:sz w:val="15"/>
              </w:rPr>
              <w:t>Outil industriel (1.0%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26.387 Mds FCFA</w:t>
            </w:r>
          </w:p>
        </w:tc>
        <w:tc>
          <w:tcPr>
            <w:tcW w:type="dxa" w:w="5669"/>
            <w:shd w:fill="FFFFFF" w:val="clear"/>
          </w:tcPr>
          <w:p>
            <w:r>
              <w:rPr>
                <w:color w:val="282828"/>
                <w:sz w:val="15"/>
              </w:rPr>
              <w:t>Actif immobilisé = 1.4%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41.067 Mds FCFA</w:t>
            </w:r>
          </w:p>
        </w:tc>
        <w:tc>
          <w:tcPr>
            <w:tcW w:type="dxa" w:w="5669"/>
            <w:shd w:fill="FFFFFF" w:val="clear"/>
          </w:tcPr>
          <w:p>
            <w:r>
              <w:rPr>
                <w:color w:val="282828"/>
                <w:sz w:val="15"/>
              </w:rPr>
              <w:t>Liquidités disponibles (2.2%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1844.600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82.514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6.854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135.118 Mds FCFA</w:t>
            </w:r>
          </w:p>
        </w:tc>
        <w:tc>
          <w:tcPr>
            <w:tcW w:type="dxa" w:w="5669"/>
            <w:shd w:fill="FFFFFF" w:val="clear"/>
          </w:tcPr>
          <w:p>
            <w:r>
              <w:rPr>
                <w:color w:val="282828"/>
                <w:sz w:val="15"/>
              </w:rPr>
              <w:t>Fonds propres = 7.3%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165.467 Mds FCFA</w:t>
            </w:r>
          </w:p>
        </w:tc>
        <w:tc>
          <w:tcPr>
            <w:tcW w:type="dxa" w:w="5669"/>
            <w:shd w:fill="FFFFFF" w:val="clear"/>
          </w:tcPr>
          <w:p>
            <w:r>
              <w:rPr>
                <w:color w:val="282828"/>
                <w:sz w:val="15"/>
              </w:rPr>
              <w:t>Capitaux permanents / Actif immobilisé = 6.27x.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465.174 Mds FCFA</w:t>
            </w:r>
          </w:p>
        </w:tc>
        <w:tc>
          <w:tcPr>
            <w:tcW w:type="dxa" w:w="5669"/>
            <w:shd w:fill="FFFFFF" w:val="clear"/>
          </w:tcPr>
          <w:p>
            <w:r>
              <w:rPr>
                <w:color w:val="282828"/>
                <w:sz w:val="15"/>
              </w:rPr>
              <w:t>Refinancement interbancaire (25.2%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1181.045 Mds FCFA</w:t>
            </w:r>
          </w:p>
        </w:tc>
        <w:tc>
          <w:tcPr>
            <w:tcW w:type="dxa" w:w="5669"/>
            <w:shd w:fill="FFFFFF" w:val="clear"/>
          </w:tcPr>
          <w:p>
            <w:r>
              <w:rPr>
                <w:color w:val="282828"/>
                <w:sz w:val="15"/>
              </w:rPr>
              <w:t>Dépôts clients = 64.0%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30.349 Mds FCFA</w:t>
            </w:r>
          </w:p>
        </w:tc>
        <w:tc>
          <w:tcPr>
            <w:tcW w:type="dxa" w:w="5669"/>
            <w:shd w:fill="FFFFFF" w:val="clear"/>
          </w:tcPr>
          <w:p>
            <w:r>
              <w:rPr>
                <w:color w:val="282828"/>
                <w:sz w:val="15"/>
              </w:rPr>
              <w:t>Dette LT/MT = 22%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30.349 Mds FCFA</w:t>
            </w:r>
          </w:p>
        </w:tc>
        <w:tc>
          <w:tcPr>
            <w:tcW w:type="dxa" w:w="5669"/>
            <w:shd w:fill="FFFFFF" w:val="clear"/>
          </w:tcPr>
          <w:p>
            <w:r>
              <w:rPr>
                <w:color w:val="282828"/>
                <w:sz w:val="15"/>
              </w:rPr>
              <w:t>Dette financière totale = 22%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1709.482 Mds FCFA</w:t>
            </w:r>
          </w:p>
        </w:tc>
        <w:tc>
          <w:tcPr>
            <w:tcW w:type="dxa" w:w="5669"/>
            <w:shd w:fill="FFFFFF" w:val="clear"/>
          </w:tcPr>
          <w:p>
            <w:r>
              <w:rPr>
                <w:color w:val="282828"/>
                <w:sz w:val="15"/>
              </w:rPr>
              <w:t>Dettes totales = 92.7%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52.805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52.805 Mds FCFA</w:t>
            </w:r>
          </w:p>
        </w:tc>
        <w:tc>
          <w:tcPr>
            <w:tcW w:type="dxa" w:w="5669"/>
            <w:shd w:fill="FFFFFF" w:val="clear"/>
          </w:tcPr>
          <w:p>
            <w:r>
              <w:rPr>
                <w:color w:val="282828"/>
                <w:sz w:val="15"/>
              </w:rPr>
              <w:t>Revenu bancaire central (≡ CA). Croissance: 16.5%.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100.361 Mds FCFA</w:t>
            </w:r>
          </w:p>
        </w:tc>
        <w:tc>
          <w:tcPr>
            <w:tcW w:type="dxa" w:w="5669"/>
            <w:shd w:fill="FFFFFF" w:val="clear"/>
          </w:tcPr>
          <w:p>
            <w:r>
              <w:rPr>
                <w:color w:val="282828"/>
                <w:sz w:val="15"/>
              </w:rPr>
              <w:t>Revenus d'intérêts sur crédits (190%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-59.548 Mds FCFA</w:t>
            </w:r>
          </w:p>
        </w:tc>
        <w:tc>
          <w:tcPr>
            <w:tcW w:type="dxa" w:w="5669"/>
            <w:shd w:fill="FFFFFF" w:val="clear"/>
          </w:tcPr>
          <w:p>
            <w:r>
              <w:rPr>
                <w:color w:val="282828"/>
                <w:sz w:val="15"/>
              </w:rPr>
              <w:t>Coût des dépôts collectés (-113%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12.072 Mds FCFA</w:t>
            </w:r>
          </w:p>
        </w:tc>
        <w:tc>
          <w:tcPr>
            <w:tcW w:type="dxa" w:w="5669"/>
            <w:shd w:fill="FFFFFF" w:val="clear"/>
          </w:tcPr>
          <w:p>
            <w:r>
              <w:rPr>
                <w:color w:val="282828"/>
                <w:sz w:val="15"/>
              </w:rPr>
              <w:t>Revenus de commissions (22.9%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-16.434 Mds FCFA</w:t>
            </w:r>
          </w:p>
        </w:tc>
        <w:tc>
          <w:tcPr>
            <w:tcW w:type="dxa" w:w="5669"/>
            <w:shd w:fill="FFFFFF" w:val="clear"/>
          </w:tcPr>
          <w:p>
            <w:r>
              <w:rPr>
                <w:color w:val="282828"/>
                <w:sz w:val="15"/>
              </w:rPr>
              <w:t>-31.1%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-2.838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-4.239 Mds FCFA</w:t>
            </w:r>
          </w:p>
        </w:tc>
        <w:tc>
          <w:tcPr>
            <w:tcW w:type="dxa" w:w="5669"/>
            <w:shd w:fill="FFFFFF" w:val="clear"/>
          </w:tcPr>
          <w:p>
            <w:r>
              <w:rPr>
                <w:color w:val="282828"/>
                <w:sz w:val="15"/>
              </w:rPr>
              <w:t>Masse salariale = -8.0%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43.448 Mds FCFA</w:t>
            </w:r>
          </w:p>
        </w:tc>
        <w:tc>
          <w:tcPr>
            <w:tcW w:type="dxa" w:w="5669"/>
            <w:shd w:fill="FFFFFF" w:val="clear"/>
          </w:tcPr>
          <w:p>
            <w:r>
              <w:rPr>
                <w:color w:val="282828"/>
                <w:sz w:val="15"/>
              </w:rPr>
              <w:t>VA = 4344800000000.0%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39.209 Mds FCFA</w:t>
            </w:r>
          </w:p>
        </w:tc>
        <w:tc>
          <w:tcPr>
            <w:tcW w:type="dxa" w:w="5669"/>
            <w:shd w:fill="FFFFFF" w:val="clear"/>
          </w:tcPr>
          <w:p>
            <w:r>
              <w:rPr>
                <w:color w:val="282828"/>
                <w:sz w:val="15"/>
              </w:rPr>
              <w:t>EBE = 74.3%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36.371 Mds FCFA</w:t>
            </w:r>
          </w:p>
        </w:tc>
        <w:tc>
          <w:tcPr>
            <w:tcW w:type="dxa" w:w="5669"/>
            <w:shd w:fill="FFFFFF" w:val="clear"/>
          </w:tcPr>
          <w:p>
            <w:r>
              <w:rPr>
                <w:color w:val="282828"/>
                <w:sz w:val="15"/>
              </w:rPr>
              <w:t>RBE = 68.9%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41.446 Mds FCFA</w:t>
            </w:r>
          </w:p>
        </w:tc>
        <w:tc>
          <w:tcPr>
            <w:tcW w:type="dxa" w:w="5669"/>
            <w:shd w:fill="FFFFFF" w:val="clear"/>
          </w:tcPr>
          <w:p>
            <w:r>
              <w:rPr>
                <w:color w:val="282828"/>
                <w:sz w:val="15"/>
              </w:rPr>
              <w:t>Profit d'exploitation = 78.5%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5.075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36.237 Mds FCFA</w:t>
            </w:r>
          </w:p>
        </w:tc>
        <w:tc>
          <w:tcPr>
            <w:tcW w:type="dxa" w:w="5669"/>
            <w:shd w:fill="FFFFFF" w:val="clear"/>
          </w:tcPr>
          <w:p>
            <w:r>
              <w:rPr>
                <w:color w:val="282828"/>
                <w:sz w:val="15"/>
              </w:rPr>
              <w:t>Marge nette = 68.6%.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34.000 Mds FCFA</w:t>
            </w:r>
          </w:p>
        </w:tc>
        <w:tc>
          <w:tcPr>
            <w:tcW w:type="dxa" w:w="5669"/>
            <w:shd w:fill="FFFFFF" w:val="clear"/>
          </w:tcPr>
          <w:p>
            <w:r>
              <w:rPr>
                <w:color w:val="282828"/>
                <w:sz w:val="15"/>
              </w:rPr>
              <w:t>CAF = 34.00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139.080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-424.107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68.62%</w:t>
            </w:r>
          </w:p>
        </w:tc>
        <w:tc>
          <w:tcPr>
            <w:tcW w:type="dxa" w:w="5669"/>
            <w:shd w:fill="FFFFFF" w:val="clear"/>
          </w:tcPr>
          <w:p>
            <w:r>
              <w:rPr>
                <w:color w:val="282828"/>
                <w:sz w:val="15"/>
              </w:rPr>
              <w:t>Résultat net / revenus = 68.62%.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78.49%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26.82%</w:t>
            </w:r>
          </w:p>
        </w:tc>
        <w:tc>
          <w:tcPr>
            <w:tcW w:type="dxa" w:w="5669"/>
            <w:shd w:fill="FFFFFF" w:val="clear"/>
          </w:tcPr>
          <w:p>
            <w:r>
              <w:rPr>
                <w:color w:val="282828"/>
                <w:sz w:val="15"/>
              </w:rPr>
              <w:t>Résultat net / capitaux propres = 26.82%.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1.96%</w:t>
            </w:r>
          </w:p>
        </w:tc>
        <w:tc>
          <w:tcPr>
            <w:tcW w:type="dxa" w:w="5669"/>
            <w:shd w:fill="FFFFFF" w:val="clear"/>
          </w:tcPr>
          <w:p>
            <w:r>
              <w:rPr>
                <w:color w:val="282828"/>
                <w:sz w:val="15"/>
              </w:rPr>
              <w:t>Résultat net / total actif = 1.96%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2.86%</w:t>
            </w:r>
          </w:p>
        </w:tc>
        <w:tc>
          <w:tcPr>
            <w:tcW w:type="dxa" w:w="5669"/>
            <w:shd w:fill="FFFFFF" w:val="clear"/>
          </w:tcPr>
          <w:p>
            <w:r>
              <w:rPr>
                <w:color w:val="282828"/>
                <w:sz w:val="15"/>
              </w:rPr>
              <w:t>CA / total actif = 2.86x.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31.12%</w:t>
            </w:r>
          </w:p>
        </w:tc>
        <w:tc>
          <w:tcPr>
            <w:tcW w:type="dxa" w:w="5669"/>
            <w:shd w:fill="FFFFFF" w:val="clear"/>
          </w:tcPr>
          <w:p>
            <w:r>
              <w:rPr>
                <w:color w:val="282828"/>
                <w:sz w:val="15"/>
              </w:rPr>
              <w:t>Charges / PNB = 31.12%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9.61%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16.49%</w:t>
            </w:r>
          </w:p>
        </w:tc>
        <w:tc>
          <w:tcPr>
            <w:tcW w:type="dxa" w:w="5669"/>
            <w:shd w:fill="FFFFFF" w:val="clear"/>
          </w:tcPr>
          <w:p>
            <w:r>
              <w:rPr>
                <w:color w:val="282828"/>
                <w:sz w:val="15"/>
              </w:rPr>
              <w:t>Croissance PNB vs exercice précédent = 16.49%.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7.33%</w:t>
            </w:r>
          </w:p>
        </w:tc>
        <w:tc>
          <w:tcPr>
            <w:tcW w:type="dxa" w:w="5669"/>
            <w:shd w:fill="FFFFFF" w:val="clear"/>
          </w:tcPr>
          <w:p>
            <w:r>
              <w:rPr>
                <w:color w:val="282828"/>
                <w:sz w:val="15"/>
              </w:rPr>
              <w:t>Fonds propres / total bilan = 7.33%.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92.67%</w:t>
            </w:r>
          </w:p>
        </w:tc>
        <w:tc>
          <w:tcPr>
            <w:tcW w:type="dxa" w:w="5669"/>
            <w:shd w:fill="FFFFFF" w:val="clear"/>
          </w:tcPr>
          <w:p>
            <w:r>
              <w:rPr>
                <w:color w:val="282828"/>
                <w:sz w:val="15"/>
              </w:rPr>
              <w:t>Dettes financières / total bilan = 92.67%.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22.46%</w:t>
            </w:r>
          </w:p>
        </w:tc>
        <w:tc>
          <w:tcPr>
            <w:tcW w:type="dxa" w:w="5669"/>
            <w:shd w:fill="FFFFFF" w:val="clear"/>
          </w:tcPr>
          <w:p>
            <w:r>
              <w:rPr>
                <w:color w:val="282828"/>
                <w:sz w:val="15"/>
              </w:rPr>
              <w:t>Dettes totales / fonds propres = 22.46%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107.90%</w:t>
            </w:r>
          </w:p>
        </w:tc>
        <w:tc>
          <w:tcPr>
            <w:tcW w:type="dxa" w:w="5669"/>
            <w:shd w:fill="FFFFFF" w:val="clear"/>
          </w:tcPr>
          <w:p>
            <w:r>
              <w:rPr>
                <w:color w:val="282828"/>
                <w:sz w:val="15"/>
              </w:rPr>
              <w:t>Total actif / dettes totales = 107.90x.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5646.45%</w:t>
            </w:r>
          </w:p>
        </w:tc>
        <w:tc>
          <w:tcPr>
            <w:tcW w:type="dxa" w:w="5669"/>
            <w:shd w:fill="FFFFFF" w:val="clear"/>
          </w:tcPr>
          <w:p>
            <w:r>
              <w:rPr>
                <w:color w:val="282828"/>
                <w:sz w:val="15"/>
              </w:rPr>
              <w:t>Actif circulant / passif circulant = 5646.45x.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127.53%</w:t>
            </w:r>
          </w:p>
        </w:tc>
        <w:tc>
          <w:tcPr>
            <w:tcW w:type="dxa" w:w="5669"/>
            <w:shd w:fill="FFFFFF" w:val="clear"/>
          </w:tcPr>
          <w:p>
            <w:r>
              <w:rPr>
                <w:color w:val="282828"/>
                <w:sz w:val="15"/>
              </w:rPr>
              <w:t>Trésorerie / passif circulant = 127.53x.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5646.45%</w:t>
            </w:r>
          </w:p>
        </w:tc>
        <w:tc>
          <w:tcPr>
            <w:tcW w:type="dxa" w:w="5669"/>
            <w:shd w:fill="FFFFFF" w:val="clear"/>
          </w:tcPr>
          <w:p>
            <w:r>
              <w:rPr>
                <w:color w:val="282828"/>
                <w:sz w:val="15"/>
              </w:rPr>
              <w:t>(Actif circ. - stocks) / passif circ. = 5646.45x.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627.08%</w:t>
            </w:r>
          </w:p>
        </w:tc>
        <w:tc>
          <w:tcPr>
            <w:tcW w:type="dxa" w:w="5669"/>
            <w:shd w:fill="FFFFFF" w:val="clear"/>
          </w:tcPr>
          <w:p>
            <w:r>
              <w:rPr>
                <w:color w:val="282828"/>
                <w:sz w:val="15"/>
              </w:rPr>
              <w:t>Capitaux permanents / actif immobilisé = 627.08x.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0.9 ans</w:t>
            </w:r>
          </w:p>
        </w:tc>
        <w:tc>
          <w:tcPr>
            <w:tcW w:type="dxa" w:w="5669"/>
            <w:shd w:fill="FFFFFF" w:val="clear"/>
          </w:tcPr>
          <w:p>
            <w:r>
              <w:rPr>
                <w:color w:val="282828"/>
                <w:sz w:val="15"/>
              </w:rPr>
              <w:t>Dettes financières / CAF = 0.9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69.60%</w:t>
            </w:r>
          </w:p>
        </w:tc>
        <w:tc>
          <w:tcPr>
            <w:tcW w:type="dxa" w:w="5669"/>
            <w:shd w:fill="FFFFFF" w:val="clear"/>
          </w:tcPr>
          <w:p>
            <w:r>
              <w:rPr>
                <w:color w:val="282828"/>
                <w:sz w:val="15"/>
              </w:rPr>
              <w:t>Résultat exploit. / charges financières = 69.60x. ❌ L'exploitation ne couvre pas les charges financières.</w:t>
            </w:r>
          </w:p>
        </w:tc>
      </w:tr>
    </w:tbl>
    <w:p/>
    <w:p>
      <w:pPr>
        <w:spacing w:after="120" w:line="276" w:lineRule="auto"/>
      </w:pPr>
      <w:r>
        <w:t># RAPPORT D'ANALYSE FINANCIÈRE — BICB (BIIC Bénin)</w:t>
        <w:br/>
        <w:t>## Bourse Régionale des Valeurs Mobilières (BRVM) — Secteur Bancaire</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485,18 milliards FCFA, la BICB s'impose comme l'une des capitalisations les plus significatives de la cote BRVM, témoignant de son statut de banque systémique de premier plan au Bénin. Le BPA de 627 FCFA par action signifie que chaque titre génère près de 627 FCFA de bénéfice net, un niveau élevé qui traduit la forte rentabilité de l'établissement. Le PER de 13,4x situe le titre légèrement au-dessus de la moyenne du marché BRVM (généralement comprise entre 8 et 12x), ce qui indique une valorisation modérée mais non excessive, le marché acceptant de payer une prime pour la qualité de la croissance. Le P/B de 3,59x montre que le marché valorise la banque à plus de 3,5 fois sa valeur comptable, une prime de croissance significative qui se justifie par un ROE exceptionnel de 26,8%. En revanche, l'EV/EBITDA de 24,0x apparaît très exigeant (seuil d'alerte &gt; 15x), signalant que la valeur d'entreprise intègre déjà une grande partie des anticipations de croissance future — un point de vigilance pour les investisseurs.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BICB a enregistré une progression spectaculaire de +60,77%, avec une dernière séance en légère hausse de +0,24%, confirmant la dynamique haussière en cours. Le cours actuel de 8 400 FCFA se situe dans la partie médiane du range de trading, bien en dessous du plus haut de 10 790 FCFA et nettement au-dessus du plus bas de 5 190 FCFA — un écart de plus de 100% entre les extrêmes qui témoigne d'une forte amplitude de négociation. La tendance générale est donc clairement haussière sur la période, portée par des volumes moyens quotidiens de 13 936 titres. Les statistiques descriptives révèlent une moyenne de 7 544 FCFA légèrement inférieure à la médiane de 7 642 FCFA, suggérant une légère asymétrie négative (confirmée par un skewness de 0,241, proche de la symétrie), tandis que le mode à 8 500 FCFA indique que le prix le plus fréquemment échangé est supérieur au cours actuel. L'écart-type de 1 640 FCFA avec un coefficient de variation de 21,7% traduit une dispersion modérée du cours autour de sa moyenne. Le kurtosis de -1,071 (distribution platykurtique) indique une distribution aplatie avec une faible concentration autour de la moyenne, ce qui signifie que les mouvements de prix sont relativement étalés et que les pics extrêmes sont moins fréquents qu'une distribution normale — un facteur rassurant pour la gestion du risque. Enfin, la volatilité annualisée de 42,5% classe le titre dans la catégorie des valeurs à volatilité élevée (&gt; 30%), ce qui est cohérent avec un marché frontière comme la BRVM et appelle à une gestion prudente des positions.</w:t>
      </w:r>
    </w:p>
    <w:p>
      <w:pPr>
        <w:spacing w:after="120" w:line="276" w:lineRule="auto"/>
      </w:pPr>
      <w:r>
        <w:t>---</w:t>
      </w:r>
    </w:p>
    <w:p>
      <w:pPr>
        <w:spacing w:after="120" w:line="276" w:lineRule="auto"/>
      </w:pPr>
      <w:r>
        <w:t>## PARTIE 2 : ANALYSE TECHNIQUE DÉTAILLÉE</w:t>
      </w:r>
    </w:p>
    <w:p>
      <w:pPr>
        <w:spacing w:after="120" w:line="276" w:lineRule="auto"/>
      </w:pPr>
      <w:r>
        <w:t>**Moyennes Mobiles** : La MM20 (8 803,5 FCFA) et la MM50 (8 945,1 FCFA) se situent toutes deux au-dessus du cours actuel (8 400 FCFA), ce qui place le titre en position baissière à court et moyen terme. La MM20 étant légèrement en dessous de la MM50, on observe un début de croisement baissier qui confirme la pression vendeuse. La décision technique est donc **Vente**, le cours évoluant sous ses moyennes mobiles de référence.</w:t>
      </w:r>
    </w:p>
    <w:p>
      <w:pPr>
        <w:spacing w:after="120" w:line="276" w:lineRule="auto"/>
      </w:pPr>
      <w:r>
        <w:t>**Bandes de Bollinger** : Le cours actuel (8 400 FCFA) se situe dans la moitié inférieure de la bande, entre la borne inférieure (7 506,45 FCFA) et la borne supérieure (10 100,55 FCFA), sans atteindre les extrêmes. Cette position médiane, combinée à une largeur de bande importante (environ 2 594 FCFA), reflète une volatilité élevée mais sans signal de surachat ou de survente. La décision est **Neutre**, le marché étant en phase de consolidation.</w:t>
      </w:r>
    </w:p>
    <w:p>
      <w:pPr>
        <w:spacing w:after="120" w:line="276" w:lineRule="auto"/>
      </w:pPr>
      <w:r>
        <w:t>**MACD** : La valeur du MACD (-216,041) est inférieure à son signal (-153,02), avec un histogramme négatif qui s'accentue. Cette configuration baissière indique que le momentum est clairement négatif et que la pression vendeuse persiste. La divergence négative entre le MACD et son signal justifie une décision de **Vente**, le croisement baissier étant déjà effectif.</w:t>
      </w:r>
    </w:p>
    <w:p>
      <w:pPr>
        <w:spacing w:after="120" w:line="276" w:lineRule="auto"/>
      </w:pPr>
      <w:r>
        <w:t>**RSI** : À 64,458, le RSI se situe en zone neutre haute, proche du seuil de surachat (70) sans l'atteindre. Cette valeur indique que le titre conserve une certaine force relative mais que la dynamique haussière s'essouffle. La décision est **Neutre**, le RSI n'envoyant ni signal d'achat ni signal de vente clair.</w:t>
      </w:r>
    </w:p>
    <w:p>
      <w:pPr>
        <w:spacing w:after="120" w:line="276" w:lineRule="auto"/>
      </w:pPr>
      <w:r>
        <w:t>**Stochastique** : Le %K (3,774) est extrêmement bas, très en dessous du %D (34,254), ce qui place le titre en zone de survente profonde. Ce croisement baissier du %K sous le %D suggère que le cours pourrait rebondir à court terme, d'où la décision **Achat** — un signal contrarien qui contraste avec les autres indicateurs.</w:t>
      </w:r>
    </w:p>
    <w:p>
      <w:pPr>
        <w:spacing w:after="120" w:line="276" w:lineRule="auto"/>
      </w:pPr>
      <w:r>
        <w:t>**Conclusion technique** : Les indicateurs techniques présentent un tableau mitigé avec une majorité de signaux baissiers (MM, MACD) et un signal de survente (Stochastique) qui pourrait annoncer un rebond technique. Le titre évolue sous ses moyennes mobiles avec un momentum négatif, mais la position extrême du stochastique suggère qu'une réaction haussière est possible à court terme. La convergence des signaux reste faible, ce qui appelle à la prudence dans l'interprétation.</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la BICB affiche un Produit Net Bancaire (PNB) de 52,805 milliards FCFA, en croissance de 16,49% par rapport à 2024, porté par une marge d'intérêt nette de 40,813 milliards FCFA (produits d'intérêts de 100,361 Mds – charges de 59,548 Mds) et des commissions nettes de 10,587 milliards FCFA. Le résultat net s'établit à 36,237 milliards FCFA, soit une marge nette exceptionnelle de 68,62% — un niveau très élevé qui s'explique par un coût du risque négatif (reprises nettes de provisions de +5,075 Mds FCFA). Le ROE atteint 26,82% (largement supérieur au seuil de 15% considéré comme excellent) et le ROA s'élève à 1,96%, confirmant la forte rentabilité des actifs. Le coefficient d'exploitation de 31,12% est remarquablement bas (seuil d'excellence &lt; 50%), témoignant d'une efficacité opérationnelle exceptionnelle. Le ratio crédits nets/dépôts de 97,5% (1 151,5 Mds de crédits pour 1 181,0 Mds de dépôts) indique une transformation tendue, et le coût du risque de 9,61% (provisions/charges financières) reste un point de vigilance malgré son amélioration.</w:t>
      </w:r>
    </w:p>
    <w:p>
      <w:pPr>
        <w:spacing w:after="120" w:line="276" w:lineRule="auto"/>
      </w:pPr>
      <w:r>
        <w:t>**Estimations basées sur les rapports trimestriels** : Le rapport du T1 2026 (publié en 2026) révèle un PNB de 14,6 milliards FCFA (+35%) et un résultat net de 8,0 milliards FCFA (+48%), confirmant l'accélération de la dynamique. Le rapport du S1 2026 (publié en 2026) fait état d'un PNB de 31,882 milliards FCFA (+19%) et d'un résultat net de 18,368 milliards FCFA (+11%), avec un RBE bondissant de +31% à 22,910 milliards FCFA grâce à une baisse des charges d'exploitation de -4%. Toutefois, le coût du risque redevient une charge de 3,579 milliards FCFA (contre un produit de 2,376 Mds au S1 2025), et le résultat avant impôt recule de -3% à 19,331 milliards FCFA. Sur la base de ces tendances, on peut estimer que l'exercice 2026 devrait afficher un PNB supérieur à 60 milliards FCFA et un résultat net compris entre 35 et 40 milliards FCFA, sous réserve d'une normalisation du coût du risque.</w:t>
      </w:r>
    </w:p>
    <w:p>
      <w:pPr>
        <w:spacing w:after="120" w:line="276" w:lineRule="auto"/>
      </w:pPr>
      <w:r>
        <w:t>**Évolution pluriannuelle** : Entre 2024 et 2025, le PNB est passé de 45,207 à 52,805 milliards FCFA (+16,8%) et le résultat net de 30,341 à 36,237 milliards FCFA (+19,4%), avec un ROE stable autour de 26,8%. Le rapport des commissaires aux comptes (exercice 2025, publié en 2026) confirme une opinion sans réserve et met en évidence des points clés relatifs au risque de crédit (encours de prêts de 1 461,256 Mds FCFA) et à la transition IFRS. La banque affiche une solvabilité de 19,64% (vs 11,5% réglementaire), offrant une marge de manœuvre confortable.</w:t>
      </w:r>
    </w:p>
    <w:p>
      <w:pPr>
        <w:spacing w:after="120" w:line="276" w:lineRule="auto"/>
      </w:pPr>
      <w:r>
        <w:t>**Recommandation fondamentale** : La BICB présente des fondamentaux solides avec une rentabilité exceptionnelle, une efficacité opérationnelle remarquable et une position de leader au Bénin. Les risques identifiés — normalisation du coût du risque, tension sur la liquidité (ratio crédits/dépôts de 97,5%) et croissance rapide des crédits — nécessitent une surveillance attentive. La recommandation fondamentale est **CONSERVER**, avec un biais positif pour les investisseurs déjà positionnés.</w:t>
      </w:r>
    </w:p>
    <w:p>
      <w:pPr>
        <w:spacing w:after="120" w:line="276" w:lineRule="auto"/>
      </w:pPr>
      <w:r>
        <w:t>---</w:t>
      </w:r>
    </w:p>
    <w:p>
      <w:pPr>
        <w:spacing w:after="120" w:line="276" w:lineRule="auto"/>
      </w:pPr>
      <w:r>
        <w:t>## PARTIE 4 : CONCLUSION D'INVESTISSEMENT</w:t>
      </w:r>
    </w:p>
    <w:p>
      <w:pPr>
        <w:spacing w:after="120" w:line="276" w:lineRule="auto"/>
      </w:pPr>
      <w:r>
        <w:t>La synthèse globale des quatre parties révèle un profil d'investissement contrasté. Sur le plan de la **valorisation (Partie 0)**, le PER de 13,4x et le P/B de 3,59x indiquent une valorisation modérée à légèrement élevée, tandis que l'EV/EBITDA de 24,0x signale une certaine surévaluation — le marché intégrant déjà une grande partie de la croissance future. Le **comportement du cours (Partie 1)** est haussier sur 100 jours (+60,77%) mais la volatilité élevée (42,5%) et la distribution platykurtique (kurtosis -1,071) suggèrent des mouvements amples et une absence de pics extrêmes, ce qui est rassurant pour la gestion du risque. Les **signaux techniques (Partie 2)** sont majoritairement baissiers (MM, MACD) avec un signal de survente (Stochastique) qui pourrait annoncer un rebond à court terme, mais la divergence des indicateurs appelle à la prudence. Les **fondamentaux (Partie 3)** restent solides avec un ROE de 26,8%, un coefficient d'exploitation de 31,1% et une croissance du PNB de +16,5% en 2025, bien que le coût du risque se normalise et que la liquidité se tende. Les **prédictions IA (J+1 à J+10)** anticipent une trajectoire haussière modérée, de 8 807 FCFA à 9 074 FCFA, ce qui contredit les signaux techniques baissiers à court terme mais s'aligne sur la dynamique fondamentale.</w:t>
      </w:r>
    </w:p>
    <w:p>
      <w:pPr>
        <w:spacing w:after="120" w:line="276" w:lineRule="auto"/>
      </w:pPr>
      <w:r>
        <w:t>**Recommandation finale : CONSERVER**</w:t>
      </w:r>
    </w:p>
    <w:p>
      <w:pPr>
        <w:spacing w:after="120" w:line="276" w:lineRule="auto"/>
      </w:pPr>
      <w:r>
        <w:t>Cette recommandation résulte d'une convergence partielle des signaux : la valorisation est correcte sans être bon marché, les fondamentaux sont excellents mais les risques de crédit et de liquidité nécessitent une surveillance, et les signaux techniques sont mitigés avec une possibilité de rebond à court terme. Les prédictions IA confirment une tendance haussière modérée qui soutient la position de conservation. Le **niveau de confiance est Moyen**, en raison de la divergence entre les indicateurs techniques et fondamentaux, et le **niveau de risque global est Moyen à Élevé**, compte tenu de la volatilité du titre (42,5%) et des tensions sur la liquidité. L'**horizon d'investissement optimal est le moyen terme (3-12 mois)**, le temps que la normalisation du coût du risque se confirme et que la banque démontre sa capacité à maintenir sa rentabilité tout en gérant sa croissance. Un renforcement de la position serait justifié en cas de repli vers les 7 500-7 800 FCFA (borne inférieure des Bollinger) ou de confirmation d'un rebond technique avec un franchissement des moyennes mobiles.</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20260612   avis de convocation   assemblee generale ordinaire   biic bn</w:t>
      </w:r>
    </w:p>
    <w:p>
      <w:pPr>
        <w:spacing w:before="20"/>
        <w:ind w:left="400"/>
      </w:pPr>
      <w:r>
        <w:rPr>
          <w:color w:val="505050"/>
          <w:sz w:val="17"/>
        </w:rPr>
        <w:t xml:space="preserve">Date : 13/06/2026  |  Catégorie : convocation AG  |  Impact : </w:t>
      </w:r>
      <w:r>
        <w:rPr>
          <w:b/>
          <w:color w:val="646464"/>
          <w:sz w:val="17"/>
        </w:rPr>
        <w:t>⚪ NEUTRE</w:t>
      </w:r>
    </w:p>
    <w:p>
      <w:pPr>
        <w:spacing w:before="40"/>
        <w:ind w:left="400"/>
      </w:pPr>
      <w:r>
        <w:rPr>
          <w:sz w:val="18"/>
        </w:rPr>
        <w:t>Le document est un avis de convocation à l'Assemblée Générale Ordinaire de la Banque Internationale pour l'Industrie et le Commerce (BIIC). L'assemblée se tiendra le mardi 30 juin 2026 à 13h GMT à la Salle bleue du palais des congrès de Cotonou. L'ordre du jour inclut l'approbation des comptes de l'exercice 2025, l'affectation des résultats, la distribution de dividendes, et d'autres résolutions.</w:t>
      </w:r>
    </w:p>
    <w:p>
      <w:pPr>
        <w:spacing w:before="60"/>
        <w:ind w:left="400"/>
      </w:pPr>
      <w:r>
        <w:rPr>
          <w:b/>
          <w:sz w:val="18"/>
        </w:rPr>
        <w:t>Points clés :</w:t>
      </w:r>
    </w:p>
    <w:p>
      <w:pPr>
        <w:pStyle w:val="ListBullet"/>
        <w:spacing w:before="20" w:after="20"/>
        <w:ind w:left="700"/>
      </w:pPr>
      <w:r>
        <w:rPr>
          <w:sz w:val="18"/>
        </w:rPr>
        <w:t>Convocation de l'Assemblée Générale Ordinaire de BIIC le 30 juin 2026 à 13h GMT à la Salle bleue du palais des congrès de Cotonou.</w:t>
      </w:r>
    </w:p>
    <w:p>
      <w:pPr>
        <w:pStyle w:val="ListBullet"/>
        <w:spacing w:before="20" w:after="20"/>
        <w:ind w:left="700"/>
      </w:pPr>
      <w:r>
        <w:rPr>
          <w:sz w:val="18"/>
        </w:rPr>
        <w:t>Ordre du jour : approbation des comptes sociaux et IFRS de l'exercice clos le 31 décembre 2025, rapports du Conseil d'administration et des commissaires aux comptes.</w:t>
      </w:r>
    </w:p>
    <w:p>
      <w:pPr>
        <w:pStyle w:val="ListBullet"/>
        <w:spacing w:before="20" w:after="20"/>
        <w:ind w:left="700"/>
      </w:pPr>
      <w:r>
        <w:rPr>
          <w:sz w:val="18"/>
        </w:rPr>
        <w:t>Examen et approbation de l'affectation des résultats et de la distribution de dividendes.</w:t>
      </w:r>
    </w:p>
    <w:p>
      <w:pPr>
        <w:pStyle w:val="ListBullet"/>
        <w:spacing w:before="20" w:after="20"/>
        <w:ind w:left="700"/>
      </w:pPr>
      <w:r>
        <w:rPr>
          <w:sz w:val="18"/>
        </w:rPr>
        <w:t>Participation des actionnaires possible en présentiel ou par visioconférence, sur inscription préalable.</w:t>
      </w:r>
    </w:p>
    <w:p>
      <w:pPr>
        <w:pStyle w:val="ListBullet"/>
        <w:spacing w:before="20" w:after="20"/>
        <w:ind w:left="700"/>
      </w:pPr>
      <w:r>
        <w:rPr>
          <w:sz w:val="18"/>
        </w:rPr>
        <w:t>Les documents et formulaires de pouvoir seront disponibles à partir du 15 juin 2026 au siège social et par téléchargement.</w:t>
      </w:r>
    </w:p>
    <w:p/>
    <w:p>
      <w:pPr>
        <w:pStyle w:val="Heading3"/>
      </w:pPr>
      <w:r>
        <w:rPr>
          <w:color w:val="005A32"/>
        </w:rPr>
        <w:t>📋 RAPPORTS &amp; COMMUNIQUÉS OFFICIELS</w:t>
      </w:r>
    </w:p>
    <w:p>
      <w:r>
        <w:rPr>
          <w:i/>
          <w:color w:val="646464"/>
          <w:sz w:val="18"/>
        </w:rPr>
        <w:t>9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progression du PNB (+19 %) et du r\u00e9sultat brut d'exploitation (+31 %) traduit une rentabilit\u00e9 op\u00e9rationnelle solide, malgr\u00e9 un co\u00fbt du risque normalis\u00e9 apr\u00e8s des reprises exceptionnelles en 2025. Le r\u00e9sultat net reste en croissance de 11 % et le renforcement de la couverture des risques conforte la qualit\u00e9 des fondamentaux."}</w:t>
      </w:r>
    </w:p>
    <w:p>
      <w:pPr>
        <w:spacing w:before="40"/>
        <w:ind w:left="400"/>
      </w:pPr>
      <w:r>
        <w:rPr>
          <w:sz w:val="18"/>
        </w:rPr>
        <w:t>Au premier semestre 2026, BIIC affiche un Produit Net Bancaire de 31,9 milliards FCFA en progression de 19 % sur un an, porté par la dynamique commerciale et la bonne tenue des marges. La maîtrise des charges d'exploitation, en repli de 4 % à 9,0 milliards FCFA, permet au résultat brut d'exploitation de bondir de 31 % à 22,9 milliards FCFA. Le coût du risque redevient une charge de 3,6 milliards FCFA, contre un produit net de 2,4 milliards FCFA au S1 2025 qui intégrait d'importantes reprises de provisions. Malgré ce effet de base défavorable, le résultat net progresse de 11 % pour s'établir à 18,4 milliards FCFA, avec une rentabilité nette très élevée rapportée au PNB. Au bilan, le total s'é</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'-3 579 millions FCFA (vs +2 376 millions FCFA au S1 2025)', 'depots_clientele': '1 173 652 millions FCFA (-1 % vs déc.-25)', 'dotations_nettes': '6 100 millions FCFA (-13 %)', 'charges_exploitation': '-8 971 millions FCFA (-4 %)', 'produit_net_bancaire': '31 882 millions FCFA (+19 %)', 'resultat_avant_impot': '19 331 millions FCFA (-3 %)', 'titres_au_cout_amorti': '483 801 millions FCFA (-5 %)', 'credits_nets_clientele': '1 162 656 millions FCFA (+1 % vs déc.-25)', 'resultat_brut_exploitation': '22 910 millions FCFA (+31 %)', 'taux_de_couverture_credits_bruts': '1,65 %'}</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 58 % (résultat net / PNB)</w:t>
            </w:r>
          </w:p>
        </w:tc>
        <w:tc>
          <w:tcPr>
            <w:tcW w:type="dxa" w:w="2160"/>
          </w:tcPr>
          <w:p>
            <w:pPr>
              <w:ind w:left="100"/>
            </w:pPr>
            <w:r/>
            <w:r>
              <w:rPr>
                <w:b/>
                <w:sz w:val="16"/>
              </w:rPr>
              <w:t>total_actif</w:t>
              <w:br/>
            </w:r>
            <w:r>
              <w:rPr>
                <w:sz w:val="18"/>
              </w:rPr>
              <w:t>1 870 566 millions FCFA</w:t>
            </w:r>
          </w:p>
        </w:tc>
      </w:tr>
      <w:tr>
        <w:tc>
          <w:tcPr>
            <w:tcW w:type="dxa" w:w="2160"/>
          </w:tcPr>
          <w:p>
            <w:r/>
            <w:r>
              <w:rPr>
                <w:b/>
                <w:sz w:val="16"/>
              </w:rPr>
              <w:t>resultat_net</w:t>
              <w:br/>
            </w:r>
            <w:r>
              <w:rPr>
                <w:sz w:val="18"/>
              </w:rPr>
              <w:t>18 368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31 882 millions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de 31,9 milliards FCFA au S1 2026, en hausse de 19 % par rapport au S1 2025 (26,9 milliards FCFA).</w:t>
      </w:r>
    </w:p>
    <w:p>
      <w:pPr>
        <w:pStyle w:val="ListBullet"/>
        <w:spacing w:before="20" w:after="20"/>
        <w:ind w:left="700"/>
      </w:pPr>
      <w:r>
        <w:rPr>
          <w:sz w:val="18"/>
        </w:rPr>
        <w:t>Charges d'exploitation en recul de 4 % à 8,97 milliards FCFA, illustrant une discipline de coûts soutenue.</w:t>
      </w:r>
    </w:p>
    <w:p>
      <w:pPr>
        <w:pStyle w:val="ListBullet"/>
        <w:spacing w:before="20" w:after="20"/>
        <w:ind w:left="700"/>
      </w:pPr>
      <w:r>
        <w:rPr>
          <w:sz w:val="18"/>
        </w:rPr>
        <w:t>Résultat brut d'exploitation de 22,9 milliards FCFA, en progression de 31 %, soit une marge brute d'exploitation très confortable.</w:t>
      </w:r>
    </w:p>
    <w:p>
      <w:pPr>
        <w:pStyle w:val="ListBullet"/>
        <w:spacing w:before="20" w:after="20"/>
        <w:ind w:left="700"/>
      </w:pPr>
      <w:r>
        <w:rPr>
          <w:sz w:val="18"/>
        </w:rPr>
        <w:t>Coût du risque de -3,6 milliards FCFA contre un produit de 2,4 milliards FCFA au S1 2025, sous l'effet du niveau exceptionnel de reprises de l'an passé.</w:t>
      </w:r>
    </w:p>
    <w:p>
      <w:pPr>
        <w:pStyle w:val="ListBullet"/>
        <w:spacing w:before="20" w:after="20"/>
        <w:ind w:left="700"/>
      </w:pPr>
      <w:r>
        <w:rPr>
          <w:sz w:val="18"/>
        </w:rPr>
        <w:t>Résultat net de 18,4 milliards FCFA, en hausse de 11 % sur un an (16,6 milliards FCFA au S1 2025).</w:t>
      </w:r>
    </w:p>
    <w:p>
      <w:pPr>
        <w:pStyle w:val="ListBullet"/>
        <w:spacing w:before="20" w:after="20"/>
        <w:ind w:left="700"/>
      </w:pPr>
      <w:r>
        <w:rPr>
          <w:sz w:val="18"/>
        </w:rPr>
        <w:t>Dotations nettes en recul de 13 % à 6,1 milliards FCFA, avec un taux de couverture des crédits bruts porté à 1,65 % (19,5 milliards FCFA de dépréciations).</w:t>
      </w:r>
    </w:p>
    <w:p>
      <w:pPr>
        <w:spacing w:before="40"/>
        <w:ind w:left="400"/>
      </w:pPr>
      <w:r>
        <w:rPr>
          <w:b/>
          <w:color w:val="C05000"/>
          <w:sz w:val="18"/>
        </w:rPr>
        <w:t xml:space="preserve">⚠️ Risques : </w:t>
      </w:r>
      <w:r>
        <w:rPr>
          <w:sz w:val="18"/>
        </w:rPr>
        <w:t>["Normalisation du co\u00fbt du risque : retour \u00e0 une charge de 3,6 milliards FCFA, avec un r\u00e9sultat avant imp\u00f4t en l\u00e9ger repli (-3 %), la qualit\u00e9 des actifs restant un point de vigilance.", "L\u00e9ger retrait des d\u00e9p\u00f4ts client\u00e8le (-1 %) qui pourrait contrain</w:t>
      </w:r>
    </w:p>
    <w:p>
      <w:pPr>
        <w:spacing w:before="40"/>
        <w:ind w:left="400"/>
      </w:pPr>
      <w:r>
        <w:rPr>
          <w:b/>
          <w:color w:val="0064A0"/>
          <w:sz w:val="18"/>
        </w:rPr>
        <w:t xml:space="preserve">🔮 Perspectives : </w:t>
      </w:r>
      <w:r>
        <w:rPr>
          <w:sz w:val="18"/>
        </w:rPr>
        <w:t xml:space="preserve">La Direction Générale se déclare confiante dans sa capacité à atteindre les objectifs de l'exercice 2026, en poursuivant l'exécution disciplinée de son plan de développement. La Banque entend maintenir une gestion prudente des risques, une allocation rigoureuse des ressources et la consolidation de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croissance du r\u00e9sultat net et du PNB, soutenue par une collecte de d\u00e9p\u00f4ts dynamique, renforce la rentabilit\u00e9 de la banque. Nous recommandons d'acheter le titre malgr\u00e9 les risques de cr\u00e9dit potentiels."}</w:t>
      </w:r>
    </w:p>
    <w:p>
      <w:pPr>
        <w:spacing w:before="40"/>
        <w:ind w:left="400"/>
      </w:pPr>
      <w:r>
        <w:rPr>
          <w:sz w:val="18"/>
        </w:rPr>
        <w:t>La BIIC affiche une performance financière solide au premier trimestre 2026. Le Produit Net Bancaire a augmenté de 35% pour atteindre 14,6 milliards FCFA. Le Résultat Net progresse de 48%, à 8,0 milliards FCFA, grâce à une dynamique commerciale soutenue. Les dépôts de la clientèle et les crédits nets sont également en hausse, consolidant le bilan. La banque confirme ses ambitions stratégiques pour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{'total_bilan': '1 907,9 milliards FCFA', 'depots_clientele': '1 248,3 milliards FCFA', 'produit_net_bancaire': '14,6 milliards FCFA', 'resultat_avant_impots': '8,6 milliards FCFA', 'credits_nets_clientele': '1 187,9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54.3</w:t>
            </w:r>
          </w:p>
        </w:tc>
        <w:tc>
          <w:tcPr>
            <w:tcW w:type="dxa" w:w="2160"/>
          </w:tcPr>
          <w:p>
            <w:pPr>
              <w:ind w:left="100"/>
            </w:pPr>
            <w:r/>
            <w:r>
              <w:rPr>
                <w:b/>
                <w:sz w:val="16"/>
              </w:rPr>
              <w:t>total_actif</w:t>
              <w:br/>
            </w:r>
            <w:r>
              <w:rPr>
                <w:sz w:val="18"/>
              </w:rPr>
              <w:t>1 907,9 milliards FCFA</w:t>
            </w:r>
          </w:p>
        </w:tc>
      </w:tr>
      <w:tr>
        <w:tc>
          <w:tcPr>
            <w:tcW w:type="dxa" w:w="2160"/>
          </w:tcPr>
          <w:p>
            <w:r/>
            <w:r>
              <w:rPr>
                <w:b/>
                <w:sz w:val="16"/>
              </w:rPr>
              <w:t>resultat_net</w:t>
              <w:br/>
            </w:r>
            <w:r>
              <w:rPr>
                <w:sz w:val="18"/>
              </w:rPr>
              <w:t>8,0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hausse de 48% à 8,0 milliards FCFA au T1 2026.</w:t>
      </w:r>
    </w:p>
    <w:p>
      <w:pPr>
        <w:pStyle w:val="ListBullet"/>
        <w:spacing w:before="20" w:after="20"/>
        <w:ind w:left="700"/>
      </w:pPr>
      <w:r>
        <w:rPr>
          <w:sz w:val="18"/>
        </w:rPr>
        <w:t>Produit Net Bancaire en croissance de 35% à 14,6 milliards FCFA.</w:t>
      </w:r>
    </w:p>
    <w:p>
      <w:pPr>
        <w:pStyle w:val="ListBullet"/>
        <w:spacing w:before="20" w:after="20"/>
        <w:ind w:left="700"/>
      </w:pPr>
      <w:r>
        <w:rPr>
          <w:sz w:val="18"/>
        </w:rPr>
        <w:t>Dépôts de la clientèle en progression de 6% à 1 248,3 milliards FCFA.</w:t>
      </w:r>
    </w:p>
    <w:p>
      <w:pPr>
        <w:pStyle w:val="ListBullet"/>
        <w:spacing w:before="20" w:after="20"/>
        <w:ind w:left="700"/>
      </w:pPr>
      <w:r>
        <w:rPr>
          <w:sz w:val="18"/>
        </w:rPr>
        <w:t>Crédits nets à la clientèle en hausse de 3% à 1 187,9 milliards FCFA.</w:t>
      </w:r>
    </w:p>
    <w:p>
      <w:pPr>
        <w:pStyle w:val="ListBullet"/>
        <w:spacing w:before="20" w:after="20"/>
        <w:ind w:left="700"/>
      </w:pPr>
      <w:r>
        <w:rPr>
          <w:sz w:val="18"/>
        </w:rPr>
        <w:t>Total bilan de 1 907,9 milliards FCFA, en hausse de 3% vs décembre 2025.</w:t>
      </w:r>
    </w:p>
    <w:p>
      <w:pPr>
        <w:pStyle w:val="ListBullet"/>
        <w:spacing w:before="20" w:after="20"/>
        <w:ind w:left="700"/>
      </w:pPr>
      <w:r>
        <w:rPr>
          <w:sz w:val="18"/>
        </w:rPr>
        <w:t>Résultat avant impôts en forte hausse de 54% à 8,6 milliards FCFA.</w:t>
      </w:r>
    </w:p>
    <w:p>
      <w:pPr>
        <w:spacing w:before="40"/>
        <w:ind w:left="400"/>
      </w:pPr>
      <w:r>
        <w:rPr>
          <w:b/>
          <w:color w:val="C05000"/>
          <w:sz w:val="18"/>
        </w:rPr>
        <w:t xml:space="preserve">⚠️ Risques : </w:t>
      </w:r>
      <w:r>
        <w:rPr>
          <w:sz w:val="18"/>
        </w:rPr>
        <w:t>["Risque de cr\u00e9dit li\u00e9 \u00e0 l'augmentation des encours de pr\u00eats.", "Exposition aux fluctuations des march\u00e9s financiers, notamment sur les titres.", "Environnement r\u00e9glementaire et \u00e9conomique dans la zone UEMOA."]</w:t>
      </w:r>
    </w:p>
    <w:p>
      <w:pPr>
        <w:spacing w:before="40"/>
        <w:ind w:left="400"/>
      </w:pPr>
      <w:r>
        <w:rPr>
          <w:b/>
          <w:color w:val="0064A0"/>
          <w:sz w:val="18"/>
        </w:rPr>
        <w:t xml:space="preserve">🔮 Perspectives : </w:t>
      </w:r>
      <w:r>
        <w:rPr>
          <w:sz w:val="18"/>
        </w:rPr>
        <w:t>La BIIC prévoit de poursuivre le déploiement de ses activités au cours des prochains trimestres, avec une gestion rigoureuse des risques et des charges. L'objectif est de sécuriser l'atteinte des objectifs stratégiques 2026 via une croissance maîtrisée du bilan et une discipline opérationnelle. La d</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rentabilit\u00e9 positive et une solidit\u00e9 financi\u00e8re satisfaisante, mais les risques de cr\u00e9dit et la transition IFRS n\u00e9cessitent une surveillance prudente."}</w:t>
      </w:r>
    </w:p>
    <w:p>
      <w:pPr>
        <w:spacing w:before="40"/>
        <w:ind w:left="400"/>
      </w:pPr>
      <w:r>
        <w:rPr>
          <w:sz w:val="18"/>
        </w:rPr>
        <w:t>La BIIC SA a clôturé l'exercice 2025 avec des capitaux propres de 135 118 millions FCFA et un bénéfice net de 36 237 millions FCFA, selon les états financiers IFRS audités. Les commissaires aux comptes ont émis une opinion sans réserve, confirmant la régularité et la sincérité des états financiers. L'audit a mis en évidence des points clés relatifs au risque de crédit, aux systèmes d'information et à la première application des normes IFRS. La banque a adopté IFRS 9 pour le calcul des dépréciations, avec des encours de prêts à la clientèle de 1 461 256 millions FCFA et des dépréciations de 15 383 millions FCFA. La direction a adopté une approche prudente face aux risques de crédit et aux con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'1 135 millions FCFA', 'date_arretes_comptes': '12 juin 2026', 'encours_pret_clientele': '1 461 256 millions FCFA', 'depreciations_sur_prets': '15 383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36 237 millions FCFA</w:t>
            </w:r>
          </w:p>
        </w:tc>
        <w:tc>
          <w:tcPr>
            <w:tcW w:type="dxa" w:w="2160"/>
          </w:tcPr>
          <w:p>
            <w:r/>
            <w:r>
              <w:rPr>
                <w:b/>
                <w:sz w:val="16"/>
              </w:rPr>
              <w:t>capitaux_propres</w:t>
              <w:br/>
            </w:r>
            <w:r>
              <w:rPr>
                <w:sz w:val="18"/>
              </w:rPr>
              <w:t>135 118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Première application des normes IFRS (IFRS 1) pour les états financiers 2025.</w:t>
      </w:r>
    </w:p>
    <w:p>
      <w:pPr>
        <w:pStyle w:val="ListBullet"/>
        <w:spacing w:before="20" w:after="20"/>
        <w:ind w:left="700"/>
      </w:pPr>
      <w:r>
        <w:rPr>
          <w:sz w:val="18"/>
        </w:rPr>
        <w:t>Capitaux propres au 31 décembre 2025 : 135 118 millions FCFA.</w:t>
      </w:r>
    </w:p>
    <w:p>
      <w:pPr>
        <w:pStyle w:val="ListBullet"/>
        <w:spacing w:before="20" w:after="20"/>
        <w:ind w:left="700"/>
      </w:pPr>
      <w:r>
        <w:rPr>
          <w:sz w:val="18"/>
        </w:rPr>
        <w:t>Bénéfice net de l'exercice : 36 237 millions FCFA.</w:t>
      </w:r>
    </w:p>
    <w:p>
      <w:pPr>
        <w:pStyle w:val="ListBullet"/>
        <w:spacing w:before="20" w:after="20"/>
        <w:ind w:left="700"/>
      </w:pPr>
      <w:r>
        <w:rPr>
          <w:sz w:val="18"/>
        </w:rPr>
        <w:t>Encours de prêts à la clientèle exposés au risque de crédit : 1 461 256 millions FCFA (dont 1 160 920 millions au bilan).</w:t>
      </w:r>
    </w:p>
    <w:p>
      <w:pPr>
        <w:pStyle w:val="ListBullet"/>
        <w:spacing w:before="20" w:after="20"/>
        <w:ind w:left="700"/>
      </w:pPr>
      <w:r>
        <w:rPr>
          <w:sz w:val="18"/>
        </w:rPr>
        <w:t>Dépréciations pour pertes de crédit attendues : 15 383 millions FCFA, plus provisions de 1 135 millions FCFA.</w:t>
      </w:r>
    </w:p>
    <w:p>
      <w:pPr>
        <w:pStyle w:val="ListBullet"/>
        <w:spacing w:before="20" w:after="20"/>
        <w:ind w:left="700"/>
      </w:pPr>
      <w:r>
        <w:rPr>
          <w:sz w:val="18"/>
        </w:rPr>
        <w:t>Les risques d'audit clés concernent le risque de crédit (IFRS 9), le système informatique et la transition IFRS.</w:t>
      </w:r>
    </w:p>
    <w:p>
      <w:pPr>
        <w:spacing w:before="40"/>
        <w:ind w:left="400"/>
      </w:pPr>
      <w:r>
        <w:rPr>
          <w:b/>
          <w:color w:val="C05000"/>
          <w:sz w:val="18"/>
        </w:rPr>
        <w:t xml:space="preserve">⚠️ Risques : </w:t>
      </w:r>
      <w:r>
        <w:rPr>
          <w:sz w:val="18"/>
        </w:rPr>
        <w:t>["Risque de cr\u00e9dit li\u00e9 aux d\u00e9pr\u00e9ciations des pr\u00eats \u00e0 la client\u00e8le, n\u00e9cessitant des estimations et jugements importants.", "Risque informatique en raison de la complexit\u00e9 et de la volum\u00e9trie des transactions, pouvant affecter la fiabilit\u00e9 de l'in</w:t>
      </w:r>
    </w:p>
    <w:p>
      <w:pPr>
        <w:spacing w:before="40"/>
        <w:ind w:left="400"/>
      </w:pPr>
      <w:r>
        <w:rPr>
          <w:b/>
          <w:color w:val="0064A0"/>
          <w:sz w:val="18"/>
        </w:rPr>
        <w:t xml:space="preserve">🔮 Perspectives : </w:t>
      </w:r>
      <w:r>
        <w:rPr>
          <w:sz w:val="18"/>
        </w:rPr>
        <w:t>La BIIC devrait poursuivre l'amélioration de ses dispositifs de gestion du risque de crédit et de contrôle interne dans le cadre de l'adoption des IFRS. La banque pourrait bénéficier d'une meilleure transparence financière et d'une gouvernance renforcée, ce qui pourrait soutenir sa croissance future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rentable et une solvabilit\u00e9 solide, soutenue par des perspectives \u00e9conomiques favorables. Une gestion prudente des risques de liquidit\u00e9 et de cr\u00e9dit est n\u00e9cessaire, mais la dynamique positive justifie une position acheteuse."}</w:t>
      </w:r>
    </w:p>
    <w:p>
      <w:pPr>
        <w:spacing w:before="40"/>
        <w:ind w:left="400"/>
      </w:pPr>
      <w:r>
        <w:rPr>
          <w:sz w:val="18"/>
        </w:rPr>
        <w:t xml:space="preserve">BIIC a réalisé une performance financière solide en 2025, avec un PNB en hausse de 16,5% à 52,8 milliards FCFA et un résultat net en progression de 24,7% à 36,2 milliards FCFA. La banque a entamé sa première adoption des normes IFRS, aboutissant à une information financière plus transparente et comparative, avec un impact de transition de -10,4 milliards FCFA sur les capitaux propres d'ouverture. L'intermédiation s'est fortement accélérée, les crédits clientèle nets augmentant de 37,3% pour atteindre 1 151,5 milliards FCFA, tandis que les dépôts progressent de 29,4% à 1 181,0 milliards FCFA. La solvabilité demeure robuste avec un ratio de 19,64%, nettement au-dessus du minimum réglementaire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'2,0%', 'roe': '26,8%', 'solvabilite_totale': '19,64%', 'resultat_net_par_action': '627 FCFA', 'coefficient_exploitation': '31,1%', 'ratio_credits_net_depots': '97,5%'}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68,6%</w:t>
            </w:r>
          </w:p>
        </w:tc>
        <w:tc>
          <w:tcPr>
            <w:tcW w:type="dxa" w:w="2160"/>
          </w:tcPr>
          <w:p>
            <w:pPr>
              <w:ind w:left="100"/>
            </w:pPr>
            <w:r/>
            <w:r>
              <w:rPr>
                <w:b/>
                <w:sz w:val="16"/>
              </w:rPr>
              <w:t>total_actif</w:t>
              <w:br/>
            </w:r>
            <w:r>
              <w:rPr>
                <w:sz w:val="18"/>
              </w:rPr>
              <w:t>1 844,6 Md FCFA</w:t>
            </w:r>
          </w:p>
        </w:tc>
      </w:tr>
      <w:tr>
        <w:tc>
          <w:tcPr>
            <w:tcW w:type="dxa" w:w="2160"/>
          </w:tcPr>
          <w:p>
            <w:r/>
            <w:r>
              <w:rPr>
                <w:b/>
                <w:sz w:val="16"/>
              </w:rPr>
              <w:t>resultat_net</w:t>
              <w:br/>
            </w:r>
            <w:r>
              <w:rPr>
                <w:sz w:val="18"/>
              </w:rPr>
              <w:t>36,2 Md FCFA</w:t>
            </w:r>
          </w:p>
        </w:tc>
        <w:tc>
          <w:tcPr>
            <w:tcW w:type="dxa" w:w="2160"/>
          </w:tcPr>
          <w:p>
            <w:r/>
            <w:r>
              <w:rPr>
                <w:b/>
                <w:sz w:val="16"/>
              </w:rPr>
              <w:t>capitaux_propres</w:t>
              <w:br/>
            </w:r>
            <w:r>
              <w:rPr>
                <w:sz w:val="18"/>
              </w:rPr>
              <w:t>135,1 Md FCFA</w:t>
            </w:r>
          </w:p>
        </w:tc>
        <w:tc>
          <w:tcPr>
            <w:tcW w:type="dxa" w:w="2160"/>
          </w:tcPr>
          <w:p>
            <w:r/>
            <w:r>
              <w:rPr>
                <w:b/>
                <w:sz w:val="16"/>
              </w:rPr>
              <w:t>chiffre_affaires</w:t>
              <w:br/>
            </w:r>
            <w:r>
              <w:rPr>
                <w:sz w:val="18"/>
              </w:rPr>
              <w:t>52,8 Md FCFA</w:t>
            </w:r>
          </w:p>
        </w:tc>
        <w:tc>
          <w:tcPr>
            <w:tcW w:type="dxa" w:w="2160"/>
          </w:tcPr>
          <w:p/>
        </w:tc>
      </w:tr>
    </w:tbl>
    <w:p/>
    <w:p>
      <w:pPr>
        <w:spacing w:before="60"/>
        <w:ind w:left="400"/>
      </w:pPr>
      <w:r>
        <w:rPr>
          <w:b/>
          <w:sz w:val="18"/>
        </w:rPr>
        <w:t>Points clés :</w:t>
      </w:r>
    </w:p>
    <w:p>
      <w:pPr>
        <w:pStyle w:val="ListBullet"/>
        <w:spacing w:before="20" w:after="20"/>
        <w:ind w:left="700"/>
      </w:pPr>
      <w:r>
        <w:rPr>
          <w:sz w:val="18"/>
        </w:rPr>
        <w:t>Progression de 24,7% du résultat net à 36,2 milliards FCFA.</w:t>
      </w:r>
    </w:p>
    <w:p>
      <w:pPr>
        <w:pStyle w:val="ListBullet"/>
        <w:spacing w:before="20" w:after="20"/>
        <w:ind w:left="700"/>
      </w:pPr>
      <w:r>
        <w:rPr>
          <w:sz w:val="18"/>
        </w:rPr>
        <w:t>Hausse de 16,5% du PNB à 52,8 milliards FCFA.</w:t>
      </w:r>
    </w:p>
    <w:p>
      <w:pPr>
        <w:pStyle w:val="ListBullet"/>
        <w:spacing w:before="20" w:after="20"/>
        <w:ind w:left="700"/>
      </w:pPr>
      <w:r>
        <w:rPr>
          <w:sz w:val="18"/>
        </w:rPr>
        <w:t>Croissance de 37,3% des crédits clientèle nets à 1 151,5 milliards FCFA.</w:t>
      </w:r>
    </w:p>
    <w:p>
      <w:pPr>
        <w:pStyle w:val="ListBullet"/>
        <w:spacing w:before="20" w:after="20"/>
        <w:ind w:left="700"/>
      </w:pPr>
      <w:r>
        <w:rPr>
          <w:sz w:val="18"/>
        </w:rPr>
        <w:t>Augmentation de 29,4% des dépôts clientèle à 1 181,0 milliards FCFA.</w:t>
      </w:r>
    </w:p>
    <w:p>
      <w:pPr>
        <w:pStyle w:val="ListBullet"/>
        <w:spacing w:before="20" w:after="20"/>
        <w:ind w:left="700"/>
      </w:pPr>
      <w:r>
        <w:rPr>
          <w:sz w:val="18"/>
        </w:rPr>
        <w:t>Première adoption IFRS avec un impact de transition de -10,4 milliards FCFA sur les capitaux propres.</w:t>
      </w:r>
    </w:p>
    <w:p>
      <w:pPr>
        <w:pStyle w:val="ListBullet"/>
        <w:spacing w:before="20" w:after="20"/>
        <w:ind w:left="700"/>
      </w:pPr>
      <w:r>
        <w:rPr>
          <w:sz w:val="18"/>
        </w:rPr>
        <w:t>Ratio de solvabilité total de 19,64%, supérieur de 8,14 points au minimum BCEAO.</w:t>
      </w:r>
    </w:p>
    <w:p>
      <w:pPr>
        <w:spacing w:before="40"/>
        <w:ind w:left="400"/>
      </w:pPr>
      <w:r>
        <w:rPr>
          <w:b/>
          <w:color w:val="C05000"/>
          <w:sz w:val="18"/>
        </w:rPr>
        <w:t xml:space="preserve">⚠️ Risques : </w:t>
      </w:r>
      <w:r>
        <w:rPr>
          <w:sz w:val="18"/>
        </w:rPr>
        <w:t>["D\u00e9t\u00e9rioration du ratio de liquidit\u00e9 avec une baisse des actifs liquides nets sur ressources courtes \u00e0 11,03%.", "Risque de cr\u00e9dit li\u00e9 \u00e0 l'expansion rapide des cr\u00e9dits et \u00e0 la n\u00e9cessit\u00e9 de maintenir une couverture ad\u00e9quate.", "Sensibilit\u</w:t>
      </w:r>
    </w:p>
    <w:p>
      <w:pPr>
        <w:spacing w:before="40"/>
        <w:ind w:left="400"/>
      </w:pPr>
      <w:r>
        <w:rPr>
          <w:b/>
          <w:color w:val="0064A0"/>
          <w:sz w:val="18"/>
        </w:rPr>
        <w:t xml:space="preserve">🔮 Perspectives : </w:t>
      </w:r>
      <w:r>
        <w:rPr>
          <w:sz w:val="18"/>
        </w:rPr>
        <w:t>Pour 2026, BIIC prévoit de renforcer sa croissance dans un environnement économique régional porteur, avec une priorité à la gestion de la liquidité et à l'industrialisation des processus IFRS 9. La banque vise à maintenir sa rentabilité et sa solvabilité tout en finançant l'économie de manière séle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r\u00e9sultat net, BIIC maintient une croissance solide de son activit\u00e9 avec une progression significative des cr\u00e9ances et du produit net bancaire. La ma\u00eetrise du co\u00fbt du risque et la solidit\u00e9 du bilan justifient une position de conservation."}</w:t>
      </w:r>
    </w:p>
    <w:p>
      <w:pPr>
        <w:spacing w:before="40"/>
        <w:ind w:left="400"/>
      </w:pPr>
      <w:r>
        <w:rPr>
          <w:sz w:val="18"/>
        </w:rPr>
        <w:t>BIIC S.A. présente des résultats semestriels solides au 30 juin 2025 avec un résultat net de 7,903 milliards FCFA, en baisse par rapport aux 10,784 milliards FCFA du premier semestre 2024. Le total actif de la banque s'élève à 1,723 milliards FCFA contre 1,520 milliards FCFA fin décembre 2024, marquant une croissance significative. Les créances sur la clientèle ont connu une forte progression, passant de 856 milliards FCFA à 1,049 milliards FCFA. Les capitaux propres se renforcent à 118,339 milliards FCFA contre 125,910 milliards FCFA fin 2024. L'audit limité des commissaires aux comptes n'a relevé aucun fait significatif remettant en cause la conformité des états financiers.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'7,905 milliards FCFA', 'ratio_solvabilite': None, 'creances_clientele': '1,049,202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30,7%</w:t>
            </w:r>
          </w:p>
        </w:tc>
        <w:tc>
          <w:tcPr>
            <w:tcW w:type="dxa" w:w="2160"/>
          </w:tcPr>
          <w:p>
            <w:pPr>
              <w:ind w:left="100"/>
            </w:pPr>
            <w:r/>
            <w:r>
              <w:rPr>
                <w:b/>
                <w:sz w:val="16"/>
              </w:rPr>
              <w:t>total_actif</w:t>
              <w:br/>
            </w:r>
            <w:r>
              <w:rPr>
                <w:sz w:val="18"/>
              </w:rPr>
              <w:t>1,723,382 milliards FCFA</w:t>
            </w:r>
          </w:p>
        </w:tc>
      </w:tr>
      <w:tr>
        <w:tc>
          <w:tcPr>
            <w:tcW w:type="dxa" w:w="2160"/>
          </w:tcPr>
          <w:p>
            <w:r/>
            <w:r>
              <w:rPr>
                <w:b/>
                <w:sz w:val="16"/>
              </w:rPr>
              <w:t>resultat_net</w:t>
              <w:br/>
            </w:r>
            <w:r>
              <w:rPr>
                <w:sz w:val="18"/>
              </w:rPr>
              <w:t>7,903 milliards FCFA</w:t>
            </w:r>
          </w:p>
        </w:tc>
        <w:tc>
          <w:tcPr>
            <w:tcW w:type="dxa" w:w="2160"/>
          </w:tcPr>
          <w:p>
            <w:r/>
            <w:r>
              <w:rPr>
                <w:b/>
                <w:sz w:val="16"/>
              </w:rPr>
              <w:t>capitaux_propres</w:t>
              <w:br/>
            </w:r>
            <w:r>
              <w:rPr>
                <w:sz w:val="18"/>
              </w:rPr>
              <w:t>118,339 milliards FCFA</w:t>
            </w:r>
          </w:p>
        </w:tc>
        <w:tc>
          <w:tcPr>
            <w:tcW w:type="dxa" w:w="2160"/>
          </w:tcPr>
          <w:p>
            <w:r/>
            <w:r>
              <w:rPr>
                <w:b/>
                <w:sz w:val="16"/>
              </w:rPr>
              <w:t>chiffre_affaires</w:t>
              <w:br/>
            </w:r>
            <w:r>
              <w:rPr>
                <w:sz w:val="18"/>
              </w:rPr>
              <w:t>25,738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semestriel de 7,903 milliards FCFA, en baisse de 26,7% par rapport au S1 2024</w:t>
      </w:r>
    </w:p>
    <w:p>
      <w:pPr>
        <w:pStyle w:val="ListBullet"/>
        <w:spacing w:before="20" w:after="20"/>
        <w:ind w:left="700"/>
      </w:pPr>
      <w:r>
        <w:rPr>
          <w:sz w:val="18"/>
        </w:rPr>
        <w:t>Croissance du total actif de 13,4% à 1,723 milliards FCFA</w:t>
      </w:r>
    </w:p>
    <w:p>
      <w:pPr>
        <w:pStyle w:val="ListBullet"/>
        <w:spacing w:before="20" w:after="20"/>
        <w:ind w:left="700"/>
      </w:pPr>
      <w:r>
        <w:rPr>
          <w:sz w:val="18"/>
        </w:rPr>
        <w:t>Forte augmentation des créances sur la clientèle (+22,5% à 1,049 milliards FCFA)</w:t>
      </w:r>
    </w:p>
    <w:p>
      <w:pPr>
        <w:pStyle w:val="ListBullet"/>
        <w:spacing w:before="20" w:after="20"/>
        <w:ind w:left="700"/>
      </w:pPr>
      <w:r>
        <w:rPr>
          <w:sz w:val="18"/>
        </w:rPr>
        <w:t>Produit net bancaire en progression à 25,738 milliards FCFA contre 20,086 milliards FCFA</w:t>
      </w:r>
    </w:p>
    <w:p>
      <w:pPr>
        <w:pStyle w:val="ListBullet"/>
        <w:spacing w:before="20" w:after="20"/>
        <w:ind w:left="700"/>
      </w:pPr>
      <w:r>
        <w:rPr>
          <w:sz w:val="18"/>
        </w:rPr>
        <w:t>Coût du risque maîtrisé à 7,905 milliards FCFA</w:t>
      </w:r>
    </w:p>
    <w:p>
      <w:pPr>
        <w:pStyle w:val="ListBullet"/>
        <w:spacing w:before="20" w:after="20"/>
        <w:ind w:left="700"/>
      </w:pPr>
      <w:r>
        <w:rPr>
          <w:sz w:val="18"/>
        </w:rPr>
        <w:t>Engagements hors bilan en hausse à 415,485 milliards FCFA</w:t>
      </w:r>
    </w:p>
    <w:p>
      <w:pPr>
        <w:spacing w:before="40"/>
        <w:ind w:left="400"/>
      </w:pPr>
      <w:r>
        <w:rPr>
          <w:b/>
          <w:color w:val="C05000"/>
          <w:sz w:val="18"/>
        </w:rPr>
        <w:t xml:space="preserve">⚠️ Risques : </w:t>
      </w:r>
      <w:r>
        <w:rPr>
          <w:sz w:val="18"/>
        </w:rPr>
        <w:t>["D\u00e9t\u00e9rioration de la qualit\u00e9 des cr\u00e9ances avec une augmentation du co\u00fbt du risque", "Pression sur la rentabilit\u00e9 dans un environnement concurrentiel", "Risques op\u00e9rationnels li\u00e9s aux syst\u00e8mes d'information (migration AMPLITUDE non finalis\u00e9e)"]</w:t>
      </w:r>
    </w:p>
    <w:p>
      <w:pPr>
        <w:spacing w:before="40"/>
        <w:ind w:left="400"/>
      </w:pPr>
      <w:r>
        <w:rPr>
          <w:b/>
          <w:color w:val="0064A0"/>
          <w:sz w:val="18"/>
        </w:rPr>
        <w:t xml:space="preserve">🔮 Perspectives : </w:t>
      </w:r>
      <w:r>
        <w:rPr>
          <w:sz w:val="18"/>
        </w:rPr>
        <w:t>La banque devrait poursuivre sa croissance avec une expansion continue de son portefeuille crédit et une amélioration attendue de l'efficacité opérationnelle. L'optimisation de la gestion des risques et la finalisation des projets technologiques devraient contribuer à stabiliser la rentabilité sur l</w:t>
      </w:r>
    </w:p>
    <w:p/>
    <w:p>
      <w:r>
        <w:t>════════════════════════════════════════════════════════════════════════════════</w:t>
      </w:r>
    </w:p>
    <w:p>
      <w:r>
        <w:br w:type="page"/>
      </w:r>
    </w:p>
    <w:p>
      <w:pPr>
        <w:pStyle w:val="Heading2"/>
        <w:spacing w:before="360"/>
      </w:pPr>
      <w:r>
        <w:rPr>
          <w:color w:val="0066CC"/>
        </w:rPr>
        <w:t>4. BICC - BICI CI - Banque internationale pour le commerce et l'industrie de la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BICC</w:t>
            </w:r>
          </w:p>
          <w:p>
            <w:r>
              <w:rPr>
                <w:b/>
                <w:color w:val="323250"/>
                <w:sz w:val="16"/>
              </w:rPr>
              <w:t xml:space="preserve">Société : </w:t>
            </w:r>
            <w:r>
              <w:rPr>
                <w:color w:val="000000"/>
                <w:sz w:val="16"/>
              </w:rPr>
              <w:t>BICI CI - Banque internationale pour le ...</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518.17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721 titres</w:t>
            </w:r>
          </w:p>
        </w:tc>
        <w:tc>
          <w:tcPr>
            <w:tcW w:type="dxa" w:w="2268"/>
            <w:shd w:fill="FFF2CC" w:val="clear"/>
          </w:tcPr>
          <w:p>
            <w:r>
              <w:rPr>
                <w:b/>
                <w:color w:val="503200"/>
                <w:sz w:val="16"/>
              </w:rPr>
              <w:t xml:space="preserve">Cours actuel : </w:t>
            </w:r>
            <w:r>
              <w:rPr>
                <w:color w:val="000000"/>
                <w:sz w:val="17"/>
              </w:rPr>
              <w:t>31,090 FCFA</w:t>
            </w:r>
          </w:p>
          <w:p>
            <w:r>
              <w:rPr>
                <w:b/>
                <w:color w:val="503200"/>
                <w:sz w:val="16"/>
              </w:rPr>
              <w:t xml:space="preserve">Var. 100 jours : </w:t>
            </w:r>
            <w:r>
              <w:rPr>
                <w:b/>
                <w:color w:val="007800"/>
                <w:sz w:val="17"/>
              </w:rPr>
              <w:t>+15.15%</w:t>
            </w:r>
          </w:p>
          <w:p>
            <w:r>
              <w:rPr>
                <w:b/>
                <w:color w:val="503200"/>
                <w:sz w:val="16"/>
              </w:rPr>
              <w:t xml:space="preserve">Plus haut 100j : </w:t>
            </w:r>
            <w:r>
              <w:rPr>
                <w:color w:val="000000"/>
                <w:sz w:val="17"/>
              </w:rPr>
              <w:t>34,895 FCFA</w:t>
            </w:r>
          </w:p>
          <w:p>
            <w:r>
              <w:rPr>
                <w:b/>
                <w:color w:val="503200"/>
                <w:sz w:val="16"/>
              </w:rPr>
              <w:t xml:space="preserve">Plus bas 100j : </w:t>
            </w:r>
            <w:r>
              <w:rPr>
                <w:color w:val="000000"/>
                <w:sz w:val="17"/>
              </w:rPr>
              <w:t>27,000 FCFA</w:t>
            </w:r>
          </w:p>
          <w:p>
            <w:r>
              <w:rPr>
                <w:b/>
                <w:color w:val="503200"/>
                <w:sz w:val="16"/>
              </w:rPr>
              <w:t xml:space="preserve">Volatilité ann. : </w:t>
            </w:r>
            <w:r>
              <w:rPr>
                <w:color w:val="000000"/>
                <w:sz w:val="17"/>
              </w:rPr>
              <w:t>37.9%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22.3/100 → Moyen</w:t>
      </w:r>
    </w:p>
    <w:p>
      <w:pPr>
        <w:spacing w:before="40" w:after="80"/>
      </w:pPr>
      <w:r>
        <w:rPr>
          <w:rFonts w:ascii="Courier New" w:hAnsi="Courier New"/>
          <w:color w:val="825A00"/>
          <w:sz w:val="18"/>
        </w:rPr>
        <w:t>████░░░░░░░░░░░░░░░░  22.3/100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6.03% (Moyenne) — μ=29,720 FCFA, σ=1,791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β=1.0590 (Neutre (suit le marché)) — Cov=0.000079, Var(idx)=0.000075, ρ=0.378, n=96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FFEB9C" w:val="clear"/>
          </w:tcPr>
          <w:p>
            <w:r>
              <w:rPr>
                <w:b/>
                <w:sz w:val="15"/>
              </w:rPr>
              <w:t>721 titres/j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σ_j=2.39%/j (Stable) — Vol. annualisée≈37.9%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03190"/>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2026-10-16</w:t>
            </w:r>
          </w:p>
        </w:tc>
        <w:tc>
          <w:tcPr>
            <w:tcW w:type="dxa" w:w="1440"/>
            <w:shd w:fill="FAFAFA" w:val="clear"/>
          </w:tcPr>
          <w:p>
            <w:r>
              <w:rPr>
                <w:sz w:val="17"/>
              </w:rPr>
              <w:t>29,383</w:t>
            </w:r>
          </w:p>
        </w:tc>
        <w:tc>
          <w:tcPr>
            <w:tcW w:type="dxa" w:w="1440"/>
            <w:shd w:fill="FAFAFA" w:val="clear"/>
          </w:tcPr>
          <w:p>
            <w:r>
              <w:rPr>
                <w:b/>
                <w:sz w:val="17"/>
              </w:rPr>
              <w:t>31,251</w:t>
            </w:r>
          </w:p>
        </w:tc>
        <w:tc>
          <w:tcPr>
            <w:tcW w:type="dxa" w:w="1440"/>
            <w:shd w:fill="FAFAFA" w:val="clear"/>
          </w:tcPr>
          <w:p>
            <w:r>
              <w:rPr>
                <w:sz w:val="17"/>
              </w:rPr>
              <w:t>33,120</w:t>
            </w:r>
          </w:p>
        </w:tc>
        <w:tc>
          <w:tcPr>
            <w:tcW w:type="dxa" w:w="1440"/>
            <w:shd w:fill="FAFAFA" w:val="clear"/>
          </w:tcPr>
          <w:p>
            <w:r>
              <w:rPr>
                <w:b/>
                <w:color w:val="008000"/>
                <w:sz w:val="17"/>
              </w:rPr>
              <w:t>+0.5%</w:t>
            </w:r>
          </w:p>
        </w:tc>
      </w:tr>
      <w:tr>
        <w:tc>
          <w:tcPr>
            <w:tcW w:type="dxa" w:w="1440"/>
            <w:shd w:fill="FAFAFA" w:val="clear"/>
          </w:tcPr>
          <w:p>
            <w:r>
              <w:rPr>
                <w:sz w:val="17"/>
              </w:rPr>
              <w:t>J+2  Moyenne</w:t>
            </w:r>
          </w:p>
        </w:tc>
        <w:tc>
          <w:tcPr>
            <w:tcW w:type="dxa" w:w="1440"/>
            <w:shd w:fill="FAFAFA" w:val="clear"/>
          </w:tcPr>
          <w:p>
            <w:r>
              <w:rPr>
                <w:sz w:val="17"/>
              </w:rPr>
              <w:t>2026-10-19</w:t>
            </w:r>
          </w:p>
        </w:tc>
        <w:tc>
          <w:tcPr>
            <w:tcW w:type="dxa" w:w="1440"/>
            <w:shd w:fill="FAFAFA" w:val="clear"/>
          </w:tcPr>
          <w:p>
            <w:r>
              <w:rPr>
                <w:sz w:val="17"/>
              </w:rPr>
              <w:t>28,552</w:t>
            </w:r>
          </w:p>
        </w:tc>
        <w:tc>
          <w:tcPr>
            <w:tcW w:type="dxa" w:w="1440"/>
            <w:shd w:fill="FAFAFA" w:val="clear"/>
          </w:tcPr>
          <w:p>
            <w:r>
              <w:rPr>
                <w:b/>
                <w:sz w:val="17"/>
              </w:rPr>
              <w:t>31,189</w:t>
            </w:r>
          </w:p>
        </w:tc>
        <w:tc>
          <w:tcPr>
            <w:tcW w:type="dxa" w:w="1440"/>
            <w:shd w:fill="FAFAFA" w:val="clear"/>
          </w:tcPr>
          <w:p>
            <w:r>
              <w:rPr>
                <w:sz w:val="17"/>
              </w:rPr>
              <w:t>33,826</w:t>
            </w:r>
          </w:p>
        </w:tc>
        <w:tc>
          <w:tcPr>
            <w:tcW w:type="dxa" w:w="1440"/>
            <w:shd w:fill="FAFAFA" w:val="clear"/>
          </w:tcPr>
          <w:p>
            <w:r>
              <w:rPr>
                <w:b/>
                <w:color w:val="008000"/>
                <w:sz w:val="17"/>
              </w:rPr>
              <w:t>+0.3%</w:t>
            </w:r>
          </w:p>
        </w:tc>
      </w:tr>
      <w:tr>
        <w:tc>
          <w:tcPr>
            <w:tcW w:type="dxa" w:w="1440"/>
            <w:shd w:fill="FAFAFA" w:val="clear"/>
          </w:tcPr>
          <w:p>
            <w:r>
              <w:rPr>
                <w:sz w:val="17"/>
              </w:rPr>
              <w:t>J+3  Moyenne</w:t>
            </w:r>
          </w:p>
        </w:tc>
        <w:tc>
          <w:tcPr>
            <w:tcW w:type="dxa" w:w="1440"/>
            <w:shd w:fill="FAFAFA" w:val="clear"/>
          </w:tcPr>
          <w:p>
            <w:r>
              <w:rPr>
                <w:sz w:val="17"/>
              </w:rPr>
              <w:t>2026-10-20</w:t>
            </w:r>
          </w:p>
        </w:tc>
        <w:tc>
          <w:tcPr>
            <w:tcW w:type="dxa" w:w="1440"/>
            <w:shd w:fill="FAFAFA" w:val="clear"/>
          </w:tcPr>
          <w:p>
            <w:r>
              <w:rPr>
                <w:sz w:val="17"/>
              </w:rPr>
              <w:t>27,923</w:t>
            </w:r>
          </w:p>
        </w:tc>
        <w:tc>
          <w:tcPr>
            <w:tcW w:type="dxa" w:w="1440"/>
            <w:shd w:fill="FAFAFA" w:val="clear"/>
          </w:tcPr>
          <w:p>
            <w:r>
              <w:rPr>
                <w:b/>
                <w:sz w:val="17"/>
              </w:rPr>
              <w:t>31,149</w:t>
            </w:r>
          </w:p>
        </w:tc>
        <w:tc>
          <w:tcPr>
            <w:tcW w:type="dxa" w:w="1440"/>
            <w:shd w:fill="FAFAFA" w:val="clear"/>
          </w:tcPr>
          <w:p>
            <w:r>
              <w:rPr>
                <w:sz w:val="17"/>
              </w:rPr>
              <w:t>34,374</w:t>
            </w:r>
          </w:p>
        </w:tc>
        <w:tc>
          <w:tcPr>
            <w:tcW w:type="dxa" w:w="1440"/>
            <w:shd w:fill="FAFAFA" w:val="clear"/>
          </w:tcPr>
          <w:p>
            <w:r>
              <w:rPr>
                <w:b/>
                <w:color w:val="008000"/>
                <w:sz w:val="17"/>
              </w:rPr>
              <w:t>+0.2%</w:t>
            </w:r>
          </w:p>
        </w:tc>
      </w:tr>
      <w:tr>
        <w:tc>
          <w:tcPr>
            <w:tcW w:type="dxa" w:w="1440"/>
            <w:shd w:fill="FAFAFA" w:val="clear"/>
          </w:tcPr>
          <w:p>
            <w:r>
              <w:rPr>
                <w:sz w:val="17"/>
              </w:rPr>
              <w:t>J+4  ⭐</w:t>
            </w:r>
          </w:p>
        </w:tc>
        <w:tc>
          <w:tcPr>
            <w:tcW w:type="dxa" w:w="1440"/>
            <w:shd w:fill="FAFAFA" w:val="clear"/>
          </w:tcPr>
          <w:p>
            <w:r>
              <w:rPr>
                <w:sz w:val="17"/>
              </w:rPr>
              <w:t>2026-10-21</w:t>
            </w:r>
          </w:p>
        </w:tc>
        <w:tc>
          <w:tcPr>
            <w:tcW w:type="dxa" w:w="1440"/>
            <w:shd w:fill="FAFAFA" w:val="clear"/>
          </w:tcPr>
          <w:p>
            <w:r>
              <w:rPr>
                <w:sz w:val="17"/>
              </w:rPr>
              <w:t>27,385</w:t>
            </w:r>
          </w:p>
        </w:tc>
        <w:tc>
          <w:tcPr>
            <w:tcW w:type="dxa" w:w="1440"/>
            <w:shd w:fill="FAFAFA" w:val="clear"/>
          </w:tcPr>
          <w:p>
            <w:r>
              <w:rPr>
                <w:b/>
                <w:sz w:val="17"/>
              </w:rPr>
              <w:t>31,104</w:t>
            </w:r>
          </w:p>
        </w:tc>
        <w:tc>
          <w:tcPr>
            <w:tcW w:type="dxa" w:w="1440"/>
            <w:shd w:fill="FAFAFA" w:val="clear"/>
          </w:tcPr>
          <w:p>
            <w:r>
              <w:rPr>
                <w:sz w:val="17"/>
              </w:rPr>
              <w:t>34,823</w:t>
            </w:r>
          </w:p>
        </w:tc>
        <w:tc>
          <w:tcPr>
            <w:tcW w:type="dxa" w:w="1440"/>
            <w:shd w:fill="FAFAFA" w:val="clear"/>
          </w:tcPr>
          <w:p>
            <w:r>
              <w:rPr>
                <w:b/>
                <w:color w:val="008000"/>
                <w:sz w:val="17"/>
              </w:rPr>
              <w:t>+0.0%</w:t>
            </w:r>
          </w:p>
        </w:tc>
      </w:tr>
      <w:tr>
        <w:tc>
          <w:tcPr>
            <w:tcW w:type="dxa" w:w="1440"/>
            <w:shd w:fill="FAFAFA" w:val="clear"/>
          </w:tcPr>
          <w:p>
            <w:r>
              <w:rPr>
                <w:sz w:val="17"/>
              </w:rPr>
              <w:t>J+5  ⭐</w:t>
            </w:r>
          </w:p>
        </w:tc>
        <w:tc>
          <w:tcPr>
            <w:tcW w:type="dxa" w:w="1440"/>
            <w:shd w:fill="FAFAFA" w:val="clear"/>
          </w:tcPr>
          <w:p>
            <w:r>
              <w:rPr>
                <w:sz w:val="17"/>
              </w:rPr>
              <w:t>2026-10-22</w:t>
            </w:r>
          </w:p>
        </w:tc>
        <w:tc>
          <w:tcPr>
            <w:tcW w:type="dxa" w:w="1440"/>
            <w:shd w:fill="FAFAFA" w:val="clear"/>
          </w:tcPr>
          <w:p>
            <w:r>
              <w:rPr>
                <w:sz w:val="17"/>
              </w:rPr>
              <w:t>26,905</w:t>
            </w:r>
          </w:p>
        </w:tc>
        <w:tc>
          <w:tcPr>
            <w:tcW w:type="dxa" w:w="1440"/>
            <w:shd w:fill="FAFAFA" w:val="clear"/>
          </w:tcPr>
          <w:p>
            <w:r>
              <w:rPr>
                <w:b/>
                <w:sz w:val="17"/>
              </w:rPr>
              <w:t>31,056</w:t>
            </w:r>
          </w:p>
        </w:tc>
        <w:tc>
          <w:tcPr>
            <w:tcW w:type="dxa" w:w="1440"/>
            <w:shd w:fill="FAFAFA" w:val="clear"/>
          </w:tcPr>
          <w:p>
            <w:r>
              <w:rPr>
                <w:sz w:val="17"/>
              </w:rPr>
              <w:t>35,208</w:t>
            </w:r>
          </w:p>
        </w:tc>
        <w:tc>
          <w:tcPr>
            <w:tcW w:type="dxa" w:w="1440"/>
            <w:shd w:fill="FAFAFA" w:val="clear"/>
          </w:tcPr>
          <w:p>
            <w:r>
              <w:rPr>
                <w:b/>
                <w:color w:val="C00000"/>
                <w:sz w:val="17"/>
              </w:rPr>
              <w:t>-0.1%</w:t>
            </w:r>
          </w:p>
        </w:tc>
      </w:tr>
      <w:tr>
        <w:tc>
          <w:tcPr>
            <w:tcW w:type="dxa" w:w="1440"/>
            <w:shd w:fill="FAFAFA" w:val="clear"/>
          </w:tcPr>
          <w:p>
            <w:r>
              <w:rPr>
                <w:sz w:val="17"/>
              </w:rPr>
              <w:t>J+6  ⭐</w:t>
            </w:r>
          </w:p>
        </w:tc>
        <w:tc>
          <w:tcPr>
            <w:tcW w:type="dxa" w:w="1440"/>
            <w:shd w:fill="FAFAFA" w:val="clear"/>
          </w:tcPr>
          <w:p>
            <w:r>
              <w:rPr>
                <w:sz w:val="17"/>
              </w:rPr>
              <w:t>2026-10-23</w:t>
            </w:r>
          </w:p>
        </w:tc>
        <w:tc>
          <w:tcPr>
            <w:tcW w:type="dxa" w:w="1440"/>
            <w:shd w:fill="FAFAFA" w:val="clear"/>
          </w:tcPr>
          <w:p>
            <w:r>
              <w:rPr>
                <w:sz w:val="17"/>
              </w:rPr>
              <w:t>26,468</w:t>
            </w:r>
          </w:p>
        </w:tc>
        <w:tc>
          <w:tcPr>
            <w:tcW w:type="dxa" w:w="1440"/>
            <w:shd w:fill="FAFAFA" w:val="clear"/>
          </w:tcPr>
          <w:p>
            <w:r>
              <w:rPr>
                <w:b/>
                <w:sz w:val="17"/>
              </w:rPr>
              <w:t>31,008</w:t>
            </w:r>
          </w:p>
        </w:tc>
        <w:tc>
          <w:tcPr>
            <w:tcW w:type="dxa" w:w="1440"/>
            <w:shd w:fill="FAFAFA" w:val="clear"/>
          </w:tcPr>
          <w:p>
            <w:r>
              <w:rPr>
                <w:sz w:val="17"/>
              </w:rPr>
              <w:t>35,549</w:t>
            </w:r>
          </w:p>
        </w:tc>
        <w:tc>
          <w:tcPr>
            <w:tcW w:type="dxa" w:w="1440"/>
            <w:shd w:fill="FAFAFA" w:val="clear"/>
          </w:tcPr>
          <w:p>
            <w:r>
              <w:rPr>
                <w:b/>
                <w:color w:val="C00000"/>
                <w:sz w:val="17"/>
              </w:rPr>
              <w:t>-0.3%</w:t>
            </w:r>
          </w:p>
        </w:tc>
      </w:tr>
      <w:tr>
        <w:tc>
          <w:tcPr>
            <w:tcW w:type="dxa" w:w="1440"/>
            <w:shd w:fill="FAFAFA" w:val="clear"/>
          </w:tcPr>
          <w:p>
            <w:r>
              <w:rPr>
                <w:sz w:val="17"/>
              </w:rPr>
              <w:t>J+7  ⭐</w:t>
            </w:r>
          </w:p>
        </w:tc>
        <w:tc>
          <w:tcPr>
            <w:tcW w:type="dxa" w:w="1440"/>
            <w:shd w:fill="FAFAFA" w:val="clear"/>
          </w:tcPr>
          <w:p>
            <w:r>
              <w:rPr>
                <w:sz w:val="17"/>
              </w:rPr>
              <w:t>2026-10-26</w:t>
            </w:r>
          </w:p>
        </w:tc>
        <w:tc>
          <w:tcPr>
            <w:tcW w:type="dxa" w:w="1440"/>
            <w:shd w:fill="FAFAFA" w:val="clear"/>
          </w:tcPr>
          <w:p>
            <w:r>
              <w:rPr>
                <w:sz w:val="17"/>
              </w:rPr>
              <w:t>26,065</w:t>
            </w:r>
          </w:p>
        </w:tc>
        <w:tc>
          <w:tcPr>
            <w:tcW w:type="dxa" w:w="1440"/>
            <w:shd w:fill="FAFAFA" w:val="clear"/>
          </w:tcPr>
          <w:p>
            <w:r>
              <w:rPr>
                <w:b/>
                <w:sz w:val="17"/>
              </w:rPr>
              <w:t>30,962</w:t>
            </w:r>
          </w:p>
        </w:tc>
        <w:tc>
          <w:tcPr>
            <w:tcW w:type="dxa" w:w="1440"/>
            <w:shd w:fill="FAFAFA" w:val="clear"/>
          </w:tcPr>
          <w:p>
            <w:r>
              <w:rPr>
                <w:sz w:val="17"/>
              </w:rPr>
              <w:t>35,859</w:t>
            </w:r>
          </w:p>
        </w:tc>
        <w:tc>
          <w:tcPr>
            <w:tcW w:type="dxa" w:w="1440"/>
            <w:shd w:fill="FAFAFA" w:val="clear"/>
          </w:tcPr>
          <w:p>
            <w:r>
              <w:rPr>
                <w:b/>
                <w:color w:val="C00000"/>
                <w:sz w:val="17"/>
              </w:rPr>
              <w:t>-0.4%</w:t>
            </w:r>
          </w:p>
        </w:tc>
      </w:tr>
      <w:tr>
        <w:tc>
          <w:tcPr>
            <w:tcW w:type="dxa" w:w="1440"/>
            <w:shd w:fill="FAFAFA" w:val="clear"/>
          </w:tcPr>
          <w:p>
            <w:r>
              <w:rPr>
                <w:sz w:val="17"/>
              </w:rPr>
              <w:t>J+8  ⭐</w:t>
            </w:r>
          </w:p>
        </w:tc>
        <w:tc>
          <w:tcPr>
            <w:tcW w:type="dxa" w:w="1440"/>
            <w:shd w:fill="FAFAFA" w:val="clear"/>
          </w:tcPr>
          <w:p>
            <w:r>
              <w:rPr>
                <w:sz w:val="17"/>
              </w:rPr>
              <w:t>2026-10-27</w:t>
            </w:r>
          </w:p>
        </w:tc>
        <w:tc>
          <w:tcPr>
            <w:tcW w:type="dxa" w:w="1440"/>
            <w:shd w:fill="FAFAFA" w:val="clear"/>
          </w:tcPr>
          <w:p>
            <w:r>
              <w:rPr>
                <w:sz w:val="17"/>
              </w:rPr>
              <w:t>25,689</w:t>
            </w:r>
          </w:p>
        </w:tc>
        <w:tc>
          <w:tcPr>
            <w:tcW w:type="dxa" w:w="1440"/>
            <w:shd w:fill="FAFAFA" w:val="clear"/>
          </w:tcPr>
          <w:p>
            <w:r>
              <w:rPr>
                <w:b/>
                <w:sz w:val="17"/>
              </w:rPr>
              <w:t>30,917</w:t>
            </w:r>
          </w:p>
        </w:tc>
        <w:tc>
          <w:tcPr>
            <w:tcW w:type="dxa" w:w="1440"/>
            <w:shd w:fill="FAFAFA" w:val="clear"/>
          </w:tcPr>
          <w:p>
            <w:r>
              <w:rPr>
                <w:sz w:val="17"/>
              </w:rPr>
              <w:t>36,145</w:t>
            </w:r>
          </w:p>
        </w:tc>
        <w:tc>
          <w:tcPr>
            <w:tcW w:type="dxa" w:w="1440"/>
            <w:shd w:fill="FAFAFA" w:val="clear"/>
          </w:tcPr>
          <w:p>
            <w:r>
              <w:rPr>
                <w:b/>
                <w:color w:val="C00000"/>
                <w:sz w:val="17"/>
              </w:rPr>
              <w:t>-0.6%</w:t>
            </w:r>
          </w:p>
        </w:tc>
      </w:tr>
      <w:tr>
        <w:tc>
          <w:tcPr>
            <w:tcW w:type="dxa" w:w="1440"/>
            <w:shd w:fill="FAFAFA" w:val="clear"/>
          </w:tcPr>
          <w:p>
            <w:r>
              <w:rPr>
                <w:sz w:val="17"/>
              </w:rPr>
              <w:t>J+9  ⭐</w:t>
            </w:r>
          </w:p>
        </w:tc>
        <w:tc>
          <w:tcPr>
            <w:tcW w:type="dxa" w:w="1440"/>
            <w:shd w:fill="FAFAFA" w:val="clear"/>
          </w:tcPr>
          <w:p>
            <w:r>
              <w:rPr>
                <w:sz w:val="17"/>
              </w:rPr>
              <w:t>2026-10-28</w:t>
            </w:r>
          </w:p>
        </w:tc>
        <w:tc>
          <w:tcPr>
            <w:tcW w:type="dxa" w:w="1440"/>
            <w:shd w:fill="FAFAFA" w:val="clear"/>
          </w:tcPr>
          <w:p>
            <w:r>
              <w:rPr>
                <w:sz w:val="17"/>
              </w:rPr>
              <w:t>25,336</w:t>
            </w:r>
          </w:p>
        </w:tc>
        <w:tc>
          <w:tcPr>
            <w:tcW w:type="dxa" w:w="1440"/>
            <w:shd w:fill="FAFAFA" w:val="clear"/>
          </w:tcPr>
          <w:p>
            <w:r>
              <w:rPr>
                <w:b/>
                <w:sz w:val="17"/>
              </w:rPr>
              <w:t>30,873</w:t>
            </w:r>
          </w:p>
        </w:tc>
        <w:tc>
          <w:tcPr>
            <w:tcW w:type="dxa" w:w="1440"/>
            <w:shd w:fill="FAFAFA" w:val="clear"/>
          </w:tcPr>
          <w:p>
            <w:r>
              <w:rPr>
                <w:sz w:val="17"/>
              </w:rPr>
              <w:t>36,410</w:t>
            </w:r>
          </w:p>
        </w:tc>
        <w:tc>
          <w:tcPr>
            <w:tcW w:type="dxa" w:w="1440"/>
            <w:shd w:fill="FAFAFA" w:val="clear"/>
          </w:tcPr>
          <w:p>
            <w:r>
              <w:rPr>
                <w:b/>
                <w:color w:val="C00000"/>
                <w:sz w:val="17"/>
              </w:rPr>
              <w:t>-0.7%</w:t>
            </w:r>
          </w:p>
        </w:tc>
      </w:tr>
      <w:tr>
        <w:tc>
          <w:tcPr>
            <w:tcW w:type="dxa" w:w="1440"/>
            <w:shd w:fill="FAFAFA" w:val="clear"/>
          </w:tcPr>
          <w:p>
            <w:r>
              <w:rPr>
                <w:sz w:val="17"/>
              </w:rPr>
              <w:t>J+10  ⭐</w:t>
            </w:r>
          </w:p>
        </w:tc>
        <w:tc>
          <w:tcPr>
            <w:tcW w:type="dxa" w:w="1440"/>
            <w:shd w:fill="FAFAFA" w:val="clear"/>
          </w:tcPr>
          <w:p>
            <w:r>
              <w:rPr>
                <w:sz w:val="17"/>
              </w:rPr>
              <w:t>2026-10-29</w:t>
            </w:r>
          </w:p>
        </w:tc>
        <w:tc>
          <w:tcPr>
            <w:tcW w:type="dxa" w:w="1440"/>
            <w:shd w:fill="FAFAFA" w:val="clear"/>
          </w:tcPr>
          <w:p>
            <w:r>
              <w:rPr>
                <w:sz w:val="17"/>
              </w:rPr>
              <w:t>25,002</w:t>
            </w:r>
          </w:p>
        </w:tc>
        <w:tc>
          <w:tcPr>
            <w:tcW w:type="dxa" w:w="1440"/>
            <w:shd w:fill="FAFAFA" w:val="clear"/>
          </w:tcPr>
          <w:p>
            <w:r>
              <w:rPr>
                <w:b/>
                <w:sz w:val="17"/>
              </w:rPr>
              <w:t>30,830</w:t>
            </w:r>
          </w:p>
        </w:tc>
        <w:tc>
          <w:tcPr>
            <w:tcW w:type="dxa" w:w="1440"/>
            <w:shd w:fill="FAFAFA" w:val="clear"/>
          </w:tcPr>
          <w:p>
            <w:r>
              <w:rPr>
                <w:sz w:val="17"/>
              </w:rPr>
              <w:t>36,659</w:t>
            </w:r>
          </w:p>
        </w:tc>
        <w:tc>
          <w:tcPr>
            <w:tcW w:type="dxa" w:w="1440"/>
            <w:shd w:fill="FAFAFA" w:val="clear"/>
          </w:tcPr>
          <w:p>
            <w:r>
              <w:rPr>
                <w:b/>
                <w:color w:val="C00000"/>
                <w:sz w:val="17"/>
              </w:rPr>
              <w:t>-0.8%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126.381 Mds FCFA</w:t>
            </w:r>
          </w:p>
        </w:tc>
        <w:tc>
          <w:tcPr>
            <w:tcW w:type="dxa" w:w="5669"/>
            <w:shd w:fill="FFFFFF" w:val="clear"/>
          </w:tcPr>
          <w:p>
            <w:r>
              <w:rPr>
                <w:color w:val="282828"/>
                <w:sz w:val="15"/>
              </w:rPr>
              <w:t>Représente 11.2%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408.170 Mds FCFA</w:t>
            </w:r>
          </w:p>
        </w:tc>
        <w:tc>
          <w:tcPr>
            <w:tcW w:type="dxa" w:w="5669"/>
            <w:shd w:fill="FFFFFF" w:val="clear"/>
          </w:tcPr>
          <w:p>
            <w:r>
              <w:rPr>
                <w:color w:val="282828"/>
                <w:sz w:val="15"/>
              </w:rPr>
              <w:t>Titres d'État détenus (36.2%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26.918 Mds FCFA</w:t>
            </w:r>
          </w:p>
        </w:tc>
        <w:tc>
          <w:tcPr>
            <w:tcW w:type="dxa" w:w="5669"/>
            <w:shd w:fill="FFFFFF" w:val="clear"/>
          </w:tcPr>
          <w:p>
            <w:r>
              <w:rPr>
                <w:color w:val="282828"/>
                <w:sz w:val="15"/>
              </w:rPr>
              <w:t>Prêts aux autres banques (2.4%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524.439 Mds FCFA</w:t>
            </w:r>
          </w:p>
        </w:tc>
        <w:tc>
          <w:tcPr>
            <w:tcW w:type="dxa" w:w="5669"/>
            <w:shd w:fill="FFFFFF" w:val="clear"/>
          </w:tcPr>
          <w:p>
            <w:r>
              <w:rPr>
                <w:color w:val="282828"/>
                <w:sz w:val="15"/>
              </w:rPr>
              <w:t>Portefeuille crédits (46.6%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15.281 Mds FCFA</w:t>
            </w:r>
          </w:p>
        </w:tc>
        <w:tc>
          <w:tcPr>
            <w:tcW w:type="dxa" w:w="5669"/>
            <w:shd w:fill="FFFFFF" w:val="clear"/>
          </w:tcPr>
          <w:p>
            <w:r>
              <w:rPr>
                <w:color w:val="282828"/>
                <w:sz w:val="15"/>
              </w:rPr>
              <w:t>Brevets, logiciels, fonds commercial (1.4%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17.288 Mds FCFA</w:t>
            </w:r>
          </w:p>
        </w:tc>
        <w:tc>
          <w:tcPr>
            <w:tcW w:type="dxa" w:w="5669"/>
            <w:shd w:fill="FFFFFF" w:val="clear"/>
          </w:tcPr>
          <w:p>
            <w:r>
              <w:rPr>
                <w:color w:val="282828"/>
                <w:sz w:val="15"/>
              </w:rPr>
              <w:t>Outil industriel (1.5%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33.760 Mds FCFA</w:t>
            </w:r>
          </w:p>
        </w:tc>
        <w:tc>
          <w:tcPr>
            <w:tcW w:type="dxa" w:w="5669"/>
            <w:shd w:fill="FFFFFF" w:val="clear"/>
          </w:tcPr>
          <w:p>
            <w:r>
              <w:rPr>
                <w:color w:val="282828"/>
                <w:sz w:val="15"/>
              </w:rPr>
              <w:t>Actif immobilisé = 3.0%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153.299 Mds FCFA</w:t>
            </w:r>
          </w:p>
        </w:tc>
        <w:tc>
          <w:tcPr>
            <w:tcW w:type="dxa" w:w="5669"/>
            <w:shd w:fill="FFFFFF" w:val="clear"/>
          </w:tcPr>
          <w:p>
            <w:r>
              <w:rPr>
                <w:color w:val="282828"/>
                <w:sz w:val="15"/>
              </w:rPr>
              <w:t>Liquidités disponibles (13.6%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1126.270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25.000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57.188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120.570 Mds FCFA</w:t>
            </w:r>
          </w:p>
        </w:tc>
        <w:tc>
          <w:tcPr>
            <w:tcW w:type="dxa" w:w="5669"/>
            <w:shd w:fill="FFFFFF" w:val="clear"/>
          </w:tcPr>
          <w:p>
            <w:r>
              <w:rPr>
                <w:color w:val="282828"/>
                <w:sz w:val="15"/>
              </w:rPr>
              <w:t>Fonds propres = 10.7%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122.602 Mds FCFA</w:t>
            </w:r>
          </w:p>
        </w:tc>
        <w:tc>
          <w:tcPr>
            <w:tcW w:type="dxa" w:w="5669"/>
            <w:shd w:fill="FFFFFF" w:val="clear"/>
          </w:tcPr>
          <w:p>
            <w:r>
              <w:rPr>
                <w:color w:val="282828"/>
                <w:sz w:val="15"/>
              </w:rPr>
              <w:t>Capitaux permanents / Actif immobilisé = 3.63x.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16.942 Mds FCFA</w:t>
            </w:r>
          </w:p>
        </w:tc>
        <w:tc>
          <w:tcPr>
            <w:tcW w:type="dxa" w:w="5669"/>
            <w:shd w:fill="FFFFFF" w:val="clear"/>
          </w:tcPr>
          <w:p>
            <w:r>
              <w:rPr>
                <w:color w:val="282828"/>
                <w:sz w:val="15"/>
              </w:rPr>
              <w:t>Refinancement interbancaire (1.5%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952.872 Mds FCFA</w:t>
            </w:r>
          </w:p>
        </w:tc>
        <w:tc>
          <w:tcPr>
            <w:tcW w:type="dxa" w:w="5669"/>
            <w:shd w:fill="FFFFFF" w:val="clear"/>
          </w:tcPr>
          <w:p>
            <w:r>
              <w:rPr>
                <w:color w:val="282828"/>
                <w:sz w:val="15"/>
              </w:rPr>
              <w:t>Dépôts clients = 84.6%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16.942 Mds FCFA</w:t>
            </w:r>
          </w:p>
        </w:tc>
        <w:tc>
          <w:tcPr>
            <w:tcW w:type="dxa" w:w="5669"/>
            <w:shd w:fill="FFFFFF" w:val="clear"/>
          </w:tcPr>
          <w:p>
            <w:r>
              <w:rPr>
                <w:color w:val="282828"/>
                <w:sz w:val="15"/>
              </w:rPr>
              <w:t>Dette financière totale = 14%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1005.700 Mds FCFA</w:t>
            </w:r>
          </w:p>
        </w:tc>
        <w:tc>
          <w:tcPr>
            <w:tcW w:type="dxa" w:w="5669"/>
            <w:shd w:fill="FFFFFF" w:val="clear"/>
          </w:tcPr>
          <w:p>
            <w:r>
              <w:rPr>
                <w:color w:val="282828"/>
                <w:sz w:val="15"/>
              </w:rPr>
              <w:t>Dettes totales = 89.3%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79.563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79.563 Mds FCFA</w:t>
            </w:r>
          </w:p>
        </w:tc>
        <w:tc>
          <w:tcPr>
            <w:tcW w:type="dxa" w:w="5669"/>
            <w:shd w:fill="FFFFFF" w:val="clear"/>
          </w:tcPr>
          <w:p>
            <w:r>
              <w:rPr>
                <w:color w:val="282828"/>
                <w:sz w:val="15"/>
              </w:rPr>
              <w:t>Revenu bancaire central (≡ CA). Croissance: 16.9%.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62.121 Mds FCFA</w:t>
            </w:r>
          </w:p>
        </w:tc>
        <w:tc>
          <w:tcPr>
            <w:tcW w:type="dxa" w:w="5669"/>
            <w:shd w:fill="FFFFFF" w:val="clear"/>
          </w:tcPr>
          <w:p>
            <w:r>
              <w:rPr>
                <w:color w:val="282828"/>
                <w:sz w:val="15"/>
              </w:rPr>
              <w:t>Revenus d'intérêts sur crédits (78%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12.334 Mds FCFA</w:t>
            </w:r>
          </w:p>
        </w:tc>
        <w:tc>
          <w:tcPr>
            <w:tcW w:type="dxa" w:w="5669"/>
            <w:shd w:fill="FFFFFF" w:val="clear"/>
          </w:tcPr>
          <w:p>
            <w:r>
              <w:rPr>
                <w:color w:val="282828"/>
                <w:sz w:val="15"/>
              </w:rPr>
              <w:t>Coût des dépôts collectés (16%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30.883 Mds FCFA</w:t>
            </w:r>
          </w:p>
        </w:tc>
        <w:tc>
          <w:tcPr>
            <w:tcW w:type="dxa" w:w="5669"/>
            <w:shd w:fill="FFFFFF" w:val="clear"/>
          </w:tcPr>
          <w:p>
            <w:r>
              <w:rPr>
                <w:color w:val="282828"/>
                <w:sz w:val="15"/>
              </w:rPr>
              <w:t>Revenus de commissions (38.8%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34.248 Mds FCFA</w:t>
            </w:r>
          </w:p>
        </w:tc>
        <w:tc>
          <w:tcPr>
            <w:tcW w:type="dxa" w:w="5669"/>
            <w:shd w:fill="FFFFFF" w:val="clear"/>
          </w:tcPr>
          <w:p>
            <w:r>
              <w:rPr>
                <w:color w:val="282828"/>
                <w:sz w:val="15"/>
              </w:rPr>
              <w:t>43.0%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6.193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39.122 Mds FCFA</w:t>
            </w:r>
          </w:p>
        </w:tc>
        <w:tc>
          <w:tcPr>
            <w:tcW w:type="dxa" w:w="5669"/>
            <w:shd w:fill="FFFFFF" w:val="clear"/>
          </w:tcPr>
          <w:p>
            <w:r>
              <w:rPr>
                <w:color w:val="282828"/>
                <w:sz w:val="15"/>
              </w:rPr>
              <w:t>RBE = 49.2%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40.620 Mds FCFA</w:t>
            </w:r>
          </w:p>
        </w:tc>
        <w:tc>
          <w:tcPr>
            <w:tcW w:type="dxa" w:w="5669"/>
            <w:shd w:fill="FFFFFF" w:val="clear"/>
          </w:tcPr>
          <w:p>
            <w:r>
              <w:rPr>
                <w:color w:val="282828"/>
                <w:sz w:val="15"/>
              </w:rPr>
              <w:t>Profit d'exploitation = 51.1%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-1.498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36.520 Mds FCFA</w:t>
            </w:r>
          </w:p>
        </w:tc>
        <w:tc>
          <w:tcPr>
            <w:tcW w:type="dxa" w:w="5669"/>
            <w:shd w:fill="FFFFFF" w:val="clear"/>
          </w:tcPr>
          <w:p>
            <w:r>
              <w:rPr>
                <w:color w:val="282828"/>
                <w:sz w:val="15"/>
              </w:rPr>
              <w:t>Marge nette = 45.9%.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42.713 Mds FCFA</w:t>
            </w:r>
          </w:p>
        </w:tc>
        <w:tc>
          <w:tcPr>
            <w:tcW w:type="dxa" w:w="5669"/>
            <w:shd w:fill="FFFFFF" w:val="clear"/>
          </w:tcPr>
          <w:p>
            <w:r>
              <w:rPr>
                <w:color w:val="282828"/>
                <w:sz w:val="15"/>
              </w:rPr>
              <w:t>CAF = 42.71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136.357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49.17%</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45.90%</w:t>
            </w:r>
          </w:p>
        </w:tc>
        <w:tc>
          <w:tcPr>
            <w:tcW w:type="dxa" w:w="5669"/>
            <w:shd w:fill="FFFFFF" w:val="clear"/>
          </w:tcPr>
          <w:p>
            <w:r>
              <w:rPr>
                <w:color w:val="282828"/>
                <w:sz w:val="15"/>
              </w:rPr>
              <w:t>Résultat net / revenus = 45.90%.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51.05%</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30.29%</w:t>
            </w:r>
          </w:p>
        </w:tc>
        <w:tc>
          <w:tcPr>
            <w:tcW w:type="dxa" w:w="5669"/>
            <w:shd w:fill="FFFFFF" w:val="clear"/>
          </w:tcPr>
          <w:p>
            <w:r>
              <w:rPr>
                <w:color w:val="282828"/>
                <w:sz w:val="15"/>
              </w:rPr>
              <w:t>Résultat net / capitaux propres = 30.29%.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3.24%</w:t>
            </w:r>
          </w:p>
        </w:tc>
        <w:tc>
          <w:tcPr>
            <w:tcW w:type="dxa" w:w="5669"/>
            <w:shd w:fill="FFFFFF" w:val="clear"/>
          </w:tcPr>
          <w:p>
            <w:r>
              <w:rPr>
                <w:color w:val="282828"/>
                <w:sz w:val="15"/>
              </w:rPr>
              <w:t>Résultat net / total actif = 3.24%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7.06%</w:t>
            </w:r>
          </w:p>
        </w:tc>
        <w:tc>
          <w:tcPr>
            <w:tcW w:type="dxa" w:w="5669"/>
            <w:shd w:fill="FFFFFF" w:val="clear"/>
          </w:tcPr>
          <w:p>
            <w:r>
              <w:rPr>
                <w:color w:val="282828"/>
                <w:sz w:val="15"/>
              </w:rPr>
              <w:t>CA / total actif = 7.06x.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50.83%</w:t>
            </w:r>
          </w:p>
        </w:tc>
        <w:tc>
          <w:tcPr>
            <w:tcW w:type="dxa" w:w="5669"/>
            <w:shd w:fill="FFFFFF" w:val="clear"/>
          </w:tcPr>
          <w:p>
            <w:r>
              <w:rPr>
                <w:color w:val="282828"/>
                <w:sz w:val="15"/>
              </w:rPr>
              <w:t>Charges / PNB = 50.83% (cost-to-income). ✅ Efficiente (standard UEMOA).</w:t>
            </w:r>
          </w:p>
        </w:tc>
      </w:tr>
      <w:tr>
        <w:tc>
          <w:tcPr>
            <w:tcW w:type="dxa" w:w="2268"/>
            <w:shd w:fill="EEF2F7" w:val="clear"/>
          </w:tcPr>
          <w:p>
            <w:r>
              <w:rPr>
                <w:b/>
                <w:color w:val="1E1E3C"/>
                <w:sz w:val="16"/>
              </w:rPr>
              <w:t>Coût du risque</w:t>
            </w:r>
          </w:p>
        </w:tc>
        <w:tc>
          <w:tcPr>
            <w:tcW w:type="dxa" w:w="1984"/>
            <w:shd w:fill="FFC7CE" w:val="clear"/>
          </w:tcPr>
          <w:p>
            <w:r>
              <w:rPr>
                <w:b/>
                <w:color w:val="B40000"/>
                <w:sz w:val="17"/>
              </w:rPr>
              <w:t>-12.15%</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16.90%</w:t>
            </w:r>
          </w:p>
        </w:tc>
        <w:tc>
          <w:tcPr>
            <w:tcW w:type="dxa" w:w="5669"/>
            <w:shd w:fill="FFFFFF" w:val="clear"/>
          </w:tcPr>
          <w:p>
            <w:r>
              <w:rPr>
                <w:color w:val="282828"/>
                <w:sz w:val="15"/>
              </w:rPr>
              <w:t>Croissance PNB vs exercice précédent = 16.90%.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10.71%</w:t>
            </w:r>
          </w:p>
        </w:tc>
        <w:tc>
          <w:tcPr>
            <w:tcW w:type="dxa" w:w="5669"/>
            <w:shd w:fill="FFFFFF" w:val="clear"/>
          </w:tcPr>
          <w:p>
            <w:r>
              <w:rPr>
                <w:color w:val="282828"/>
                <w:sz w:val="15"/>
              </w:rPr>
              <w:t>Fonds propres / total bilan = 10.71%.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89.29%</w:t>
            </w:r>
          </w:p>
        </w:tc>
        <w:tc>
          <w:tcPr>
            <w:tcW w:type="dxa" w:w="5669"/>
            <w:shd w:fill="FFFFFF" w:val="clear"/>
          </w:tcPr>
          <w:p>
            <w:r>
              <w:rPr>
                <w:color w:val="282828"/>
                <w:sz w:val="15"/>
              </w:rPr>
              <w:t>Dettes financières / total bilan = 89.29%.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14.05%</w:t>
            </w:r>
          </w:p>
        </w:tc>
        <w:tc>
          <w:tcPr>
            <w:tcW w:type="dxa" w:w="5669"/>
            <w:shd w:fill="FFFFFF" w:val="clear"/>
          </w:tcPr>
          <w:p>
            <w:r>
              <w:rPr>
                <w:color w:val="282828"/>
                <w:sz w:val="15"/>
              </w:rPr>
              <w:t>Dettes totales / fonds propres = 14.05%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111.99%</w:t>
            </w:r>
          </w:p>
        </w:tc>
        <w:tc>
          <w:tcPr>
            <w:tcW w:type="dxa" w:w="5669"/>
            <w:shd w:fill="FFFFFF" w:val="clear"/>
          </w:tcPr>
          <w:p>
            <w:r>
              <w:rPr>
                <w:color w:val="282828"/>
                <w:sz w:val="15"/>
              </w:rPr>
              <w:t>Total actif / dettes totales = 111.99x.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357.14%</w:t>
            </w:r>
          </w:p>
        </w:tc>
        <w:tc>
          <w:tcPr>
            <w:tcW w:type="dxa" w:w="5669"/>
            <w:shd w:fill="FFFFFF" w:val="clear"/>
          </w:tcPr>
          <w:p>
            <w:r>
              <w:rPr>
                <w:color w:val="282828"/>
                <w:sz w:val="15"/>
              </w:rPr>
              <w:t>Capitaux permanents / actif immobilisé = 357.14x.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0.4 ans</w:t>
            </w:r>
          </w:p>
        </w:tc>
        <w:tc>
          <w:tcPr>
            <w:tcW w:type="dxa" w:w="5669"/>
            <w:shd w:fill="FFFFFF" w:val="clear"/>
          </w:tcPr>
          <w:p>
            <w:r>
              <w:rPr>
                <w:color w:val="282828"/>
                <w:sz w:val="15"/>
              </w:rPr>
              <w:t>Dettes financières / CAF = 0.4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329.33%</w:t>
            </w:r>
          </w:p>
        </w:tc>
        <w:tc>
          <w:tcPr>
            <w:tcW w:type="dxa" w:w="5669"/>
            <w:shd w:fill="FFFFFF" w:val="clear"/>
          </w:tcPr>
          <w:p>
            <w:r>
              <w:rPr>
                <w:color w:val="282828"/>
                <w:sz w:val="15"/>
              </w:rPr>
              <w:t>Résultat exploit. / charges financières = 329.33x. ✅ Excellente couverture des intérêts.</w:t>
            </w:r>
          </w:p>
        </w:tc>
      </w:tr>
    </w:tbl>
    <w:p/>
    <w:p>
      <w:pPr>
        <w:spacing w:after="120" w:line="276" w:lineRule="auto"/>
      </w:pPr>
      <w:r>
        <w:t># RAPPORT D'ANALYSE FINANCIÈRE — BICC (BICICI)</w:t>
        <w:br/>
        <w:t>**Bourse Régionale des Valeurs Mobilières (BRVM) — Secteur Bancaire**</w:t>
        <w:br/>
        <w:t>*Date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518,17 Mds FCFA, BICC s'impose comme l'une des valeurs bancaires de premier plan de la cote BRVM, reflétant la solidité d'un établissement leader du secteur bancaire ivoirien. Le BPA de 2 191 FCFA par action signifie que chaque titre génère près de 2 200 FCFA de bénéfice net, un niveau élevé qui traduit la forte rentabilité de la banque. Le PER de 14,2x se situe au-dessus de la moyenne du marché BRVM (généralement comprise entre 8 et 12x), ce qui indique que les investisseurs acceptent de payer une prime pour cette valeur de qualité — la valorisation reste toutefois modérée au regard de la croissance des bénéfices. Le P/B de 4,30x constitue en revanche un signal exigeant : le marché valorise BICC à plus de quatre fois sa valeur comptable, ce qui suppose une confiance forte dans la pérennité de ses rendements élevés (ROE de 30,3%). Enfin, l'EV/EBITDA de 10,2x, bien que dans la fourchette haute (10-15x), reste cohérent avec la capacité opérationnelle de la banque et sa génération de cash-flow (CAF de 42,7 Mds FCFA).</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BICC a enregistré une progression totale de +15,15%, portant le cours à 31 090 FCFA, malgré un léger repli de -1,24% lors de la dernière séance. Le range de trading s'est établi entre un plus bas de 27 000 FCFA et un plus haut de 34 895 FCFA, soit une amplitude d'environ 29%, témoignant d'une tendance générale haussière entrecoupée de phases de consolidation. Les statistiques descriptives révèlent une moyenne de 29 720 FCFA légèrement supérieure à la médiane de 29 000 FCFA, avec un mode identique à 29 000 FCFA : cet écart modéré entre moyenne et médiane, combiné à un skewness positif de 1,007, indique une asymétrie à droite — le cours a connu davantage de journées sous la moyenne, mais quelques séances de forte hausse ont tiré la moyenne vers le haut. L'écart-type de 1 800 FCFA (CV de 6,1%) traduit une dispersion relativement contenue du cours autour de sa moyenne, ce qui est rassurant pour la stabilité du titre. Le kurtosis de -0,025 (mésokurtique) suggère une distribution proche de la normale, sans risque excessif de pics extrêmes. Enfin, la volatilité annualisée de 37,9% positionne BICC dans la catégorie des titres à volatilité élevée (&gt;30%), ce qui implique un risque de marché non négligeable, à intégrer dans toute stratégie d'investissement.</w:t>
      </w:r>
    </w:p>
    <w:p>
      <w:pPr>
        <w:spacing w:after="120" w:line="276" w:lineRule="auto"/>
      </w:pPr>
      <w:r>
        <w:t>---</w:t>
      </w:r>
    </w:p>
    <w:p>
      <w:pPr>
        <w:spacing w:after="120" w:line="276" w:lineRule="auto"/>
      </w:pPr>
      <w:r>
        <w:t>## PARTIE 2 : ANALYSE TECHNIQUE DÉTAILLÉE</w:t>
      </w:r>
    </w:p>
    <w:p>
      <w:pPr>
        <w:spacing w:after="120" w:line="276" w:lineRule="auto"/>
      </w:pPr>
      <w:r>
        <w:t>**Moyennes Mobiles :** La MM20 s'établit à 31 808,25 FCFA et la MM50 à 30 991,20 FCFA, toutes deux supérieures au cours actuel de 31 090 FCFA. Cette configuration — cours sous les deux moyennes — signale une pression baissière de court terme, mais la décision technique globale reste à l'**Achat**, probablement en raison de la pente haussière des moyennes et de la proximité du cours avec la MM50, qui joue un rôle de support dynamique.</w:t>
      </w:r>
    </w:p>
    <w:p>
      <w:pPr>
        <w:spacing w:after="120" w:line="276" w:lineRule="auto"/>
      </w:pPr>
      <w:r>
        <w:t>**Bandes de Bollinger :** Le cours actuel (31 090 FCFA) se situe dans la partie médiane de la bande, entre la borne inférieure (29 562,08 FCFA) et la borne supérieure (34 054,42 FCFA). Cette position centrale, couplée à une largeur de bande significative, indique une volatilité modérée sans signal de surachat ou de survente. La décision est **Neutre**, le marché attendant un catalyseur pour choisir une direction.</w:t>
      </w:r>
    </w:p>
    <w:p>
      <w:pPr>
        <w:spacing w:after="120" w:line="276" w:lineRule="auto"/>
      </w:pPr>
      <w:r>
        <w:t>**MACD :** La valeur du MACD (83,014) est nettement inférieure à son signal (274,969), ce qui génère un croisement baissier et une divergence négative. Ce déséquilibre traduit un essoufflement du momentum haussier et justifie la décision de **Vente** à court terme, bien que la ligne MACD reste en territoire positif.</w:t>
      </w:r>
    </w:p>
    <w:p>
      <w:pPr>
        <w:spacing w:after="120" w:line="276" w:lineRule="auto"/>
      </w:pPr>
      <w:r>
        <w:t>**RSI :** À 52,073, le RSI se situe parfaitement dans la zone neutre (30-70), sans signal de surachat ni de survente. Cette configuration confirme l'absence de pression directionnelle forte et justifie la décision **Neutre**, le titre évoluant dans un équilibre relatif.</w:t>
      </w:r>
    </w:p>
    <w:p>
      <w:pPr>
        <w:spacing w:after="120" w:line="276" w:lineRule="auto"/>
      </w:pPr>
      <w:r>
        <w:t>**Stochastique :** Le %K est à 0,0 et le %D à 18,468, ce qui place l'indicateur en zone de survente (&lt;20). Un %K à zéro est un signal extrême qui précède souvent un rebond technique. La décision est donc à l'**Achat**, anticipant un retournement à la hausse après cette phase de faiblesse.</w:t>
      </w:r>
    </w:p>
    <w:p>
      <w:pPr>
        <w:spacing w:after="120" w:line="276" w:lineRule="auto"/>
      </w:pPr>
      <w:r>
        <w:t>**Conclusion technique :** Les indicateurs présentent une divergence notable : le MACD est baissier, les moyennes mobiles suggèrent une pression de court terme, tandis que le stochastique en survente et la décision globale des MM20/MM50 plaident pour un rebond. Le RSI neutre et les Bandes de Bollinger sans signal extrême confirment une phase de consolidation. Dans l'ensemble, le titre se trouve à un point d'inflexion : la convergence du stochastique et de la position du cours sur la MM50 suggère un potentiel de rebond, mais la prudence reste de mise tant que le MACD n'aura pas confirmé un retournement.</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BICC a réalisé un Produit Net Bancaire (PNB) de 79 563 Mds FCFA, en croissance de 16,90% par rapport à l'exercice précédent, confirmant une dynamique commerciale robuste. Le résultat net s'établit à 36 520 Mds FCFA, générant un ROE exceptionnel de 30,29% (largement supérieur au seuil de 15% considéré comme excellent) et un ROA de 3,24%, solide pour une banque. Le coefficient d'exploitation de 50,83% — inférieur au seuil de 60% — témoigne d'une excellente efficacité opérationnelle, avec des charges maîtrisées (frais de gestion en baisse de 2,2% au S1 2026). Le coût du risque, à -12,15% des charges financières, reste un point de vigilance : bien que négatif (provisions nettes), son évolution récente (+1 343,1% au S1 2026 selon le rapport du 31/12/2026) signale une dégradation de la qualité du portefeuille de crédits. La structure financière affiche une autonomie financière de 10,71% (capitaux propres/total bilan), typique d'une banque, avec un ratio de solvabilité générale de 111,99% (&gt;1 = solvable) et une capacité de remboursement de 0,40 an (dette financière/CAF), très confortable. Le ratio dépôts/crédits s'élève à 952,87/524,44 = 1,82x, indiquant une surliquidité et une forte capacité de transformation.</w:t>
      </w:r>
    </w:p>
    <w:p>
      <w:pPr>
        <w:spacing w:after="120" w:line="276" w:lineRule="auto"/>
      </w:pPr>
      <w:r>
        <w:t>**Estimations basées sur les rapports trimestriels :** Le rapport du **31 mars 2026** (T1 2026) fait état d'un PNB de 21 214 MFCFA (+17,0%) et d'un résultat net de 10 387 MFCFA (+29,7%), avec une marge nette de 49,0%. Le rapport du **30 juin 2026** (S1 2026) confirme cette tendance avec un PNB de 42 637 MXOF (+14,8%) et un résultat net de 19 948 MXOF (+22,7%). Sur la base de ces performances, on peut estimer que l'exercice 2026 devrait afficher un PNB annuel compris entre 85 000 et 88 000 MXOF (croissance de 7-10% vs 2025) et un résultat net de l'ordre de 40 000 à 42 000 MXOF, soit une progression de 10-15%. Le rapport du **30 septembre 2025** (T3 2025) soulignait déjà une marge nette de 47,1% et une croissance du résultat net de 50,8%, confirmant la trajectoire ascendante. Les rapports antérieurs (T1 2025, S1 2025, exercice 2024) montrent une amélioration continue de la rentabilité, avec un ROE passant de 28,6% en 2024 à 30,3% en 2025. La principale inquiétude réside dans l'envolée du coût du risque au S1 2026, qui pourrait peser sur la rentabilité future si la tendance se poursuit.</w:t>
      </w:r>
    </w:p>
    <w:p>
      <w:pPr>
        <w:spacing w:after="120" w:line="276" w:lineRule="auto"/>
      </w:pPr>
      <w:r>
        <w:t>**Recommandation fondamentale :** BICC présente des fondamentaux solides — croissance à deux chiffres, rentabilité exceptionnelle, efficacité opérationnelle et structure financière saine. Les risques identifiés (coût du risque, dépendance macroéconomique) sont réels mais gérables. La recommandation fondamentale est **ACHAT**, avec une surveillance accrue de l'évolution du coût du risque au S2 2026.</w:t>
      </w:r>
    </w:p>
    <w:p>
      <w:pPr>
        <w:spacing w:after="120" w:line="276" w:lineRule="auto"/>
      </w:pPr>
      <w:r>
        <w:t>---</w:t>
      </w:r>
    </w:p>
    <w:p>
      <w:pPr>
        <w:spacing w:after="120" w:line="276" w:lineRule="auto"/>
      </w:pPr>
      <w:r>
        <w:t>## PARTIE 4 : CONCLUSION D'INVESTISSEMENT</w:t>
      </w:r>
    </w:p>
    <w:p>
      <w:pPr>
        <w:spacing w:after="120" w:line="276" w:lineRule="auto"/>
      </w:pPr>
      <w:r>
        <w:t>La valorisation de BICC (PER 14,2x, P/B 4,30x, EV/EBITDA 10,2x) indique une prime modérée par rapport au marché BRVM, justifiée par la qualité des fondamentaux mais laissant peu de marge d'erreur. Le comportement du cours sur 100 jours (+15,15%) est haussier, avec une volatilité élevée (37,9%) et une distribution asymétrique positive (skewness 1,007) qui suggère un potentiel de hausse, mais le kurtosis proche de zéro écarte le risque de pics extrêmes. Les signaux techniques sont mitigés : le MACD baissier et les moyennes mobiles sous le cours tempèrent l'optimisme, tandis que le stochastique en survente et la décision d'achat des MM20/MM50 plaident pour un rebond à court terme. Les fondamentaux (PNB 2025 de 79 563 Mds FCFA, ROE de 30,29%, coefficient d'exploitation de 50,83%) confirment la solidité de la banque, et les estimations issues des rapports T1 2026 et S1 2026 (PNB +14,8%, résultat net +22,7%) projettent une année 2026 en croissance. Les prédictions IA (31 251 FCFA à J+1, puis une légère dérive baissière vers 31 056 FCFA à J+5) suggèrent une stabilisation autour des 31 000 FCFA, en ligne avec la phase de consolidation observée. **Recommandation finale : ACHAT**, avec un niveau de confiance **Moyen** et un risque global **Moyen**. La convergence entre fondamentaux solides, valorisation raisonnable et potentiel de rebond technique justifie cette position, mais l'incertitude sur le coût du risque et la volatilité élevée incitent à la prudence. **Horizon d'investissement optimal : moyen terme (3-12 mois)**, le temps que la banque confirme la maîtrise de ses risques et que le marché reconnaisse pleinement sa valeur.</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BICICI affiche une croissance solide de ses r\u00e9sultats et une am\u00e9lioration de son efficacit\u00e9 op\u00e9rationnelle, avec un R\u00e9sultat Net en hausse de 22,7%. La dynamique commerciale soutenue et la ma\u00eetrise des charges renforcent la confiance dans la poursuite de cette performance."}</w:t>
      </w:r>
    </w:p>
    <w:p>
      <w:pPr>
        <w:spacing w:before="40"/>
        <w:ind w:left="400"/>
      </w:pPr>
      <w:r>
        <w:rPr>
          <w:sz w:val="18"/>
        </w:rPr>
        <w:t>Au premier semestre 2026, la BICICI affiche une performance opérationnelle et financière en nette amélioration malgré un environnement international incertain et des conditions financières contraignantes. Le Produit Net Bancaire progresse de 14,8% à 42 637 MXOF, porté par la marge d'intermédiation (+18,0%) et les commissions nettes (+17,0%). Les frais de gestion reculent de 2,2% à 18 932 MXOF, ce qui permet au Résultat Brut d'Exploitation de bondir de 33,2% à 23 705 MXOF. Le Résultat Net s'établit à 19 948 MXOF, en hausse de 22,7% par rapport au premier semestre 2025. Les encours de crédits et les dépôts de la clientèle progressent respectivement de 4,1% et 6,4%, confirmant la dynamique comm</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'-1 778 MXOF', 'depots_clientele': '1 007 993 MXOF', 'frais_de_gestion': '18 932 MXOF', 'produit_net_bancaire': '42 637 MXOF', 'credits_nets_clientele': '533 422 MXOF', 'resultat_brut_exploitation': '23 705 MXOF', 'resultat_courant_avant_impot': '21 810 MXOF'}</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19 948 MXOF</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14,8% à 42 637 MXOF au S1 2026.</w:t>
      </w:r>
    </w:p>
    <w:p>
      <w:pPr>
        <w:pStyle w:val="ListBullet"/>
        <w:spacing w:before="20" w:after="20"/>
        <w:ind w:left="700"/>
      </w:pPr>
      <w:r>
        <w:rPr>
          <w:sz w:val="18"/>
        </w:rPr>
        <w:t>Marge d'intermédiation en progression de 18,0% et commissions nettes en hausse de 17,0%.</w:t>
      </w:r>
    </w:p>
    <w:p>
      <w:pPr>
        <w:pStyle w:val="ListBullet"/>
        <w:spacing w:before="20" w:after="20"/>
        <w:ind w:left="700"/>
      </w:pPr>
      <w:r>
        <w:rPr>
          <w:sz w:val="18"/>
        </w:rPr>
        <w:t>Frais de gestion en baisse de 2,2% à 18 932 MXOF, traduisant une bonne maîtrise des charges.</w:t>
      </w:r>
    </w:p>
    <w:p>
      <w:pPr>
        <w:pStyle w:val="ListBullet"/>
        <w:spacing w:before="20" w:after="20"/>
        <w:ind w:left="700"/>
      </w:pPr>
      <w:r>
        <w:rPr>
          <w:sz w:val="18"/>
        </w:rPr>
        <w:t>Résultat Brut d'Exploitation en forte croissance de 33,2% à 23 705 MXOF.</w:t>
      </w:r>
    </w:p>
    <w:p>
      <w:pPr>
        <w:pStyle w:val="ListBullet"/>
        <w:spacing w:before="20" w:after="20"/>
        <w:ind w:left="700"/>
      </w:pPr>
      <w:r>
        <w:rPr>
          <w:sz w:val="18"/>
        </w:rPr>
        <w:t>Résultat Net bénéficiaire de 19 948 MXOF, en progression de 22,7% sur un an.</w:t>
      </w:r>
    </w:p>
    <w:p>
      <w:pPr>
        <w:pStyle w:val="ListBullet"/>
        <w:spacing w:before="20" w:after="20"/>
        <w:ind w:left="700"/>
      </w:pPr>
      <w:r>
        <w:rPr>
          <w:sz w:val="18"/>
        </w:rPr>
        <w:t>Crédits nets à la clientèle en hausse de 4,1% à 533 422 MXOF.</w:t>
      </w:r>
    </w:p>
    <w:p>
      <w:pPr>
        <w:spacing w:before="40"/>
        <w:ind w:left="400"/>
      </w:pPr>
      <w:r>
        <w:rPr>
          <w:b/>
          <w:color w:val="C05000"/>
          <w:sz w:val="18"/>
        </w:rPr>
        <w:t xml:space="preserve">⚠️ Risques : </w:t>
      </w:r>
      <w:r>
        <w:rPr>
          <w:sz w:val="18"/>
        </w:rPr>
        <w:t xml:space="preserve">["D\u00e9gradation de l'environnement \u00e9conomique international et tensions g\u00e9opolitiques persistantes.", "Hausse significative du co\u00fbt du risque (+1 343,1%) pouvant impacter la qualit\u00e9 du portefeuille de cr\u00e9dits.", "Renforcement des exigences r\u00e9glementaires et pression </w:t>
      </w:r>
    </w:p>
    <w:p>
      <w:pPr>
        <w:spacing w:before="40"/>
        <w:ind w:left="400"/>
      </w:pPr>
      <w:r>
        <w:rPr>
          <w:b/>
          <w:color w:val="0064A0"/>
          <w:sz w:val="18"/>
        </w:rPr>
        <w:t xml:space="preserve">🔮 Perspectives : </w:t>
      </w:r>
      <w:r>
        <w:rPr>
          <w:sz w:val="18"/>
        </w:rPr>
        <w:t>Au second semestre 2026, la BICICI entend poursuivre sa dynamique de croissance et consolider ses niveaux de performance et de rentabilité. La banque veillera à la maîtrise des principaux facteurs de risque, notamment le coût du risque, tout en capitalisant sur la digitalisation et l'évolution des u</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excellentes performances financi\u00e8res avec une croissance \u00e0 deux chiffres de tous les indicateurs de rentabilit\u00e9 t\u00e9moignent de la solidit\u00e9 du mod\u00e8le \u00e9conomique. La progression soutenue des d\u00e9p\u00f4ts clients et la ma\u00eetrise des risques renforcent la confiance dans la trajectoire de croissance de BICICI."}</w:t>
      </w:r>
    </w:p>
    <w:p>
      <w:pPr>
        <w:spacing w:before="40"/>
        <w:ind w:left="400"/>
      </w:pPr>
      <w:r>
        <w:rPr>
          <w:sz w:val="18"/>
        </w:rPr>
        <w:t>BICICI poursuit sa dynamique de croissance au 1er trimestre 2026 avec d'excellentes performances financières. Le Produit Net Bancaire progresse de 17,0% à 21 214 MFCFA, soutenu par une bonne marge d'intermédiation et des commissions nettes solides. Le Résultat Net bondit de 29,7% à 10 387 MFCFA malgré une baisse des crédits de 4,5% due aux remboursements anticipés. Les dépôts clients affichent une forte croissance de 14,5% témoignant de la confiance de la clientèle. La banque maintient une bonne maîtrise des risques et des frais de gestion.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'996 392 MFCFA', 'credits_nets_clientele': '523 300 MFCFA', 'resultat_courant_avant_impot': '11 223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49,0%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10 387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21 214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+17,0% à 21 214 MFCFA</w:t>
      </w:r>
    </w:p>
    <w:p>
      <w:pPr>
        <w:pStyle w:val="ListBullet"/>
        <w:spacing w:before="20" w:after="20"/>
        <w:ind w:left="700"/>
      </w:pPr>
      <w:r>
        <w:rPr>
          <w:sz w:val="18"/>
        </w:rPr>
        <w:t>Résultat Net en hausse remarquable de +29,7% à 10 387 MFCFA</w:t>
      </w:r>
    </w:p>
    <w:p>
      <w:pPr>
        <w:pStyle w:val="ListBullet"/>
        <w:spacing w:before="20" w:after="20"/>
        <w:ind w:left="700"/>
      </w:pPr>
      <w:r>
        <w:rPr>
          <w:sz w:val="18"/>
        </w:rPr>
        <w:t>Résultat Courant Avant Impôt en progression de +21,1% à 11 223 MFCFA</w:t>
      </w:r>
    </w:p>
    <w:p>
      <w:pPr>
        <w:pStyle w:val="ListBullet"/>
        <w:spacing w:before="20" w:after="20"/>
        <w:ind w:left="700"/>
      </w:pPr>
      <w:r>
        <w:rPr>
          <w:sz w:val="18"/>
        </w:rPr>
        <w:t>Croissance significative des dépôts clients de +14,5% à 996 392 MFCFA</w:t>
      </w:r>
    </w:p>
    <w:p>
      <w:pPr>
        <w:pStyle w:val="ListBullet"/>
        <w:spacing w:before="20" w:after="20"/>
        <w:ind w:left="700"/>
      </w:pPr>
      <w:r>
        <w:rPr>
          <w:sz w:val="18"/>
        </w:rPr>
        <w:t>Baisse contrôlée des crédits nets de -4,5% due aux remboursements anticipés</w:t>
      </w:r>
    </w:p>
    <w:p>
      <w:pPr>
        <w:pStyle w:val="ListBullet"/>
        <w:spacing w:before="20" w:after="20"/>
        <w:ind w:left="700"/>
      </w:pPr>
      <w:r>
        <w:rPr>
          <w:sz w:val="18"/>
        </w:rPr>
        <w:t>Amélioration de la marge d'intermédiation et bonne tenue des commissions</w:t>
      </w:r>
    </w:p>
    <w:p>
      <w:pPr>
        <w:spacing w:before="40"/>
        <w:ind w:left="400"/>
      </w:pPr>
      <w:r>
        <w:rPr>
          <w:b/>
          <w:color w:val="C05000"/>
          <w:sz w:val="18"/>
        </w:rPr>
        <w:t xml:space="preserve">⚠️ Risques : </w:t>
      </w:r>
      <w:r>
        <w:rPr>
          <w:sz w:val="18"/>
        </w:rPr>
        <w:t>["Concentration potentielle du portefeuille de cr\u00e9dits suite \u00e0 la baisse des encours", "D\u00e9pendance \u00e0 l'\u00e9volution des taux d'int\u00e9r\u00eat pour maintenir la marge d'interm\u00e9diation", "Risques macro\u00e9conomiques li\u00e9s \u00e0 l'environnement \u00e9conomique de la</w:t>
      </w:r>
    </w:p>
    <w:p>
      <w:pPr>
        <w:spacing w:before="40"/>
        <w:ind w:left="400"/>
      </w:pPr>
      <w:r>
        <w:rPr>
          <w:b/>
          <w:color w:val="0064A0"/>
          <w:sz w:val="18"/>
        </w:rPr>
        <w:t xml:space="preserve">🔮 Perspectives : </w:t>
      </w:r>
      <w:r>
        <w:rPr>
          <w:sz w:val="18"/>
        </w:rPr>
        <w:t>BICICI entend poursuivre sa dynamique commerciale actuelle tout en maintenant une bonne maîtrise des risques et des frais de gestion. La banque semble bien positionnée pour continuer sa croissance rentable sur les prochains trimestres grâce à sa stratégie équilibrée.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montre un redressement remarquable avec un retour \u00e0 la rentabilit\u00e9 et une am\u00e9lioration du PNB. Cependant, la baisse des encours de cr\u00e9dits n\u00e9cessite une surveillance."}</w:t>
      </w:r>
    </w:p>
    <w:p>
      <w:pPr>
        <w:spacing w:before="40"/>
        <w:ind w:left="400"/>
      </w:pPr>
      <w:r>
        <w:rPr>
          <w:sz w:val="18"/>
        </w:rPr>
        <w:t>BICI CI présente un rapport d'activité mitigé pour le 4ème trimestre 2021. Les encours de crédits à la clientèle ont diminué de 11,8% à 424,989 millions FCFA, tandis que les dépôts progressent de 3,2% à 734,922 millions FCFA. Le Produit Net Bancaire s'améliore de 9,6% à 11,455 millions FCFA. La banque réussit un redressement spectaculaire de ses résultats avec un résultat net positif de 2,551 millions FCFA contre une perte de 2,168 millions FCFA en 2020. L'optimisation des coûts et la maîtrise du risque contribuent à cette amélioration des performances.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'734,922 millions FCFA', 'produit_net_bancaire': '11,455 millions FCFA', 'credits_nets_clientele': '424,989 millions FCFA', 'resultat_courant_avant_impot': '2,702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2,551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des encours de crédits nets de 11,8% à 424,989 millions FCFA</w:t>
      </w:r>
    </w:p>
    <w:p>
      <w:pPr>
        <w:pStyle w:val="ListBullet"/>
        <w:spacing w:before="20" w:after="20"/>
        <w:ind w:left="700"/>
      </w:pPr>
      <w:r>
        <w:rPr>
          <w:sz w:val="18"/>
        </w:rPr>
        <w:t>Progression des dépôts clientèle de 3,2% à 734,922 millions FCFA</w:t>
      </w:r>
    </w:p>
    <w:p>
      <w:pPr>
        <w:pStyle w:val="ListBullet"/>
        <w:spacing w:before="20" w:after="20"/>
        <w:ind w:left="700"/>
      </w:pPr>
      <w:r>
        <w:rPr>
          <w:sz w:val="18"/>
        </w:rPr>
        <w:t>Amélioration du Produit Net Bancaire de 9,6% à 11,455 millions FCFA</w:t>
      </w:r>
    </w:p>
    <w:p>
      <w:pPr>
        <w:pStyle w:val="ListBullet"/>
        <w:spacing w:before="20" w:after="20"/>
        <w:ind w:left="700"/>
      </w:pPr>
      <w:r>
        <w:rPr>
          <w:sz w:val="18"/>
        </w:rPr>
        <w:t>Retour à la rentabilité avec un résultat net de 2,551 millions FCFA contre -2,168 millions FCFA</w:t>
      </w:r>
    </w:p>
    <w:p>
      <w:pPr>
        <w:pStyle w:val="ListBullet"/>
        <w:spacing w:before="20" w:after="20"/>
        <w:ind w:left="700"/>
      </w:pPr>
      <w:r>
        <w:rPr>
          <w:sz w:val="18"/>
        </w:rPr>
        <w:t>Résultat Courant Avant Impôt positif à 2,702 millions FCFA contre -3,320 millions FCFA</w:t>
      </w:r>
    </w:p>
    <w:p>
      <w:pPr>
        <w:pStyle w:val="ListBullet"/>
        <w:spacing w:before="20" w:after="20"/>
        <w:ind w:left="700"/>
      </w:pPr>
      <w:r>
        <w:rPr>
          <w:sz w:val="18"/>
        </w:rPr>
        <w:t>Rationalisation efficace des frais de gestion et maîtrise du coût du risque</w:t>
      </w:r>
    </w:p>
    <w:p>
      <w:pPr>
        <w:spacing w:before="40"/>
        <w:ind w:left="400"/>
      </w:pPr>
      <w:r>
        <w:rPr>
          <w:b/>
          <w:color w:val="C05000"/>
          <w:sz w:val="18"/>
        </w:rPr>
        <w:t xml:space="preserve">⚠️ Risques : </w:t>
      </w:r>
      <w:r>
        <w:rPr>
          <w:sz w:val="18"/>
        </w:rPr>
        <w:t>["Diminution continue des encours de cr\u00e9dits client\u00e8le (-11,8%)", "Concentration du redressement sur la r\u00e9duction des co\u00fbts plut\u00f4t que la croissance", "Environnement \u00e9conomique incertain pouvant affecter la demande de cr\u00e9dit"]</w:t>
      </w:r>
    </w:p>
    <w:p>
      <w:pPr>
        <w:spacing w:before="40"/>
        <w:ind w:left="400"/>
      </w:pPr>
      <w:r>
        <w:rPr>
          <w:b/>
          <w:color w:val="0064A0"/>
          <w:sz w:val="18"/>
        </w:rPr>
        <w:t xml:space="preserve">🔮 Perspectives : </w:t>
      </w:r>
      <w:r>
        <w:rPr>
          <w:sz w:val="18"/>
        </w:rPr>
        <w:t>Les performances 2021 devraient confirmer l'amélioration significative par rapport à 2020 grâce aux efforts de rationalisation. La banque devra maintenir l'équilibre entre maîtrise des risques et développement de l'activité commerciale pour soutenir la croissance des encours.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doublement du r\u00e9sultat net et am\u00e9lioration significative de la rentabilit\u00e9. Politique de dividende attractive et renforcement de la structure financi\u00e8re t\u00e9moignent d'une gestion solide."}</w:t>
      </w:r>
    </w:p>
    <w:p>
      <w:pPr>
        <w:spacing w:before="40"/>
        <w:ind w:left="400"/>
      </w:pPr>
      <w:r>
        <w:rPr>
          <w:sz w:val="18"/>
        </w:rPr>
        <w:t>BICI CI affiche une performance solide en 2021 avec un résultat net de 9,6 milliards FCFA contre 4,7 milliards en 2020, soit une croissance de 104%. Le produit net bancaire progresse à 44,2 milliards FCFA (+21,8%). Le total du bilan s'établit à 847,7 milliards FCFA contre 831,4 milliards en 2020. Les capitaux propres atteignent 71,5 milliards FCFA, renforçant la solidité financière. La banque propose un dividende généreux de 576 FCFA par action avec un taux de distribution de 57,6%.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{'cout_de_risque': '2,3 milliards FCFA', 'dettes_clientele': '737,1 milliards FCFA', 'taux_distribution': '57,6%', 'creances_clientele': '424,3 milliards FCFA'}</w:t>
            </w:r>
          </w:p>
        </w:tc>
        <w:tc>
          <w:tcPr>
            <w:tcW w:type="dxa" w:w="2160"/>
          </w:tcPr>
          <w:p>
            <w:pPr>
              <w:ind w:left="100"/>
            </w:pPr>
            <w:r/>
            <w:r>
              <w:rPr>
                <w:b/>
                <w:sz w:val="16"/>
              </w:rPr>
              <w:t>dividende</w:t>
              <w:br/>
            </w:r>
            <w:r>
              <w:rPr>
                <w:sz w:val="18"/>
              </w:rPr>
              <w:t>576 FCFA par action</w:t>
            </w:r>
          </w:p>
        </w:tc>
        <w:tc>
          <w:tcPr>
            <w:tcW w:type="dxa" w:w="2160"/>
          </w:tcPr>
          <w:p>
            <w:pPr>
              <w:ind w:left="100"/>
            </w:pPr>
            <w:r/>
            <w:r>
              <w:rPr>
                <w:b/>
                <w:sz w:val="16"/>
              </w:rPr>
              <w:t>marge_nette</w:t>
              <w:br/>
            </w:r>
            <w:r>
              <w:rPr>
                <w:sz w:val="18"/>
              </w:rPr>
              <w:t>21,7%</w:t>
            </w:r>
          </w:p>
        </w:tc>
        <w:tc>
          <w:tcPr>
            <w:tcW w:type="dxa" w:w="2160"/>
          </w:tcPr>
          <w:p>
            <w:pPr>
              <w:ind w:left="100"/>
            </w:pPr>
            <w:r/>
            <w:r>
              <w:rPr>
                <w:b/>
                <w:sz w:val="16"/>
              </w:rPr>
              <w:t>total_actif</w:t>
              <w:br/>
            </w:r>
            <w:r>
              <w:rPr>
                <w:sz w:val="18"/>
              </w:rPr>
              <w:t>847,7 milliards FCFA</w:t>
            </w:r>
          </w:p>
        </w:tc>
      </w:tr>
      <w:tr>
        <w:tc>
          <w:tcPr>
            <w:tcW w:type="dxa" w:w="2160"/>
          </w:tcPr>
          <w:p>
            <w:r/>
            <w:r>
              <w:rPr>
                <w:b/>
                <w:sz w:val="16"/>
              </w:rPr>
              <w:t>resultat_net</w:t>
              <w:br/>
            </w:r>
            <w:r>
              <w:rPr>
                <w:sz w:val="18"/>
              </w:rPr>
              <w:t>9,6 milliards FCFA</w:t>
            </w:r>
          </w:p>
        </w:tc>
        <w:tc>
          <w:tcPr>
            <w:tcW w:type="dxa" w:w="2160"/>
          </w:tcPr>
          <w:p>
            <w:r/>
            <w:r>
              <w:rPr>
                <w:b/>
                <w:sz w:val="16"/>
              </w:rPr>
              <w:t>capitaux_propres</w:t>
              <w:br/>
            </w:r>
            <w:r>
              <w:rPr>
                <w:sz w:val="18"/>
              </w:rPr>
              <w:t>71,5 milliards FCFA</w:t>
            </w:r>
          </w:p>
        </w:tc>
        <w:tc>
          <w:tcPr>
            <w:tcW w:type="dxa" w:w="2160"/>
          </w:tcPr>
          <w:p>
            <w:r/>
            <w:r>
              <w:rPr>
                <w:b/>
                <w:sz w:val="16"/>
              </w:rPr>
              <w:t>chiffre_affaires</w:t>
              <w:br/>
            </w:r>
            <w:r>
              <w:rPr>
                <w:sz w:val="18"/>
              </w:rPr>
              <w:t>44,2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Doublement du résultat net à 9,6 milliards FCFA (+104% vs 2020)</w:t>
      </w:r>
    </w:p>
    <w:p>
      <w:pPr>
        <w:pStyle w:val="ListBullet"/>
        <w:spacing w:before="20" w:after="20"/>
        <w:ind w:left="700"/>
      </w:pPr>
      <w:r>
        <w:rPr>
          <w:sz w:val="18"/>
        </w:rPr>
        <w:t>Croissance du produit net bancaire de 21,8% à 44,2 milliards FCFA</w:t>
      </w:r>
    </w:p>
    <w:p>
      <w:pPr>
        <w:pStyle w:val="ListBullet"/>
        <w:spacing w:before="20" w:after="20"/>
        <w:ind w:left="700"/>
      </w:pPr>
      <w:r>
        <w:rPr>
          <w:sz w:val="18"/>
        </w:rPr>
        <w:t>Amélioration du résultat brut d'exploitation à 13,4 milliards FCFA contre 10,2 milliards</w:t>
      </w:r>
    </w:p>
    <w:p>
      <w:pPr>
        <w:pStyle w:val="ListBullet"/>
        <w:spacing w:before="20" w:after="20"/>
        <w:ind w:left="700"/>
      </w:pPr>
      <w:r>
        <w:rPr>
          <w:sz w:val="18"/>
        </w:rPr>
        <w:t>Maîtrise du coût de risque réduit à 2,3 milliards FCFA contre 5,5 milliards en 2020</w:t>
      </w:r>
    </w:p>
    <w:p>
      <w:pPr>
        <w:pStyle w:val="ListBullet"/>
        <w:spacing w:before="20" w:after="20"/>
        <w:ind w:left="700"/>
      </w:pPr>
      <w:r>
        <w:rPr>
          <w:sz w:val="18"/>
        </w:rPr>
        <w:t>Progression des créances sur la clientèle à 424,3 milliards FCFA</w:t>
      </w:r>
    </w:p>
    <w:p>
      <w:pPr>
        <w:pStyle w:val="ListBullet"/>
        <w:spacing w:before="20" w:after="20"/>
        <w:ind w:left="700"/>
      </w:pPr>
      <w:r>
        <w:rPr>
          <w:sz w:val="18"/>
        </w:rPr>
        <w:t>Renforcement des capitaux propres à 71,5 milliards FCFA (+13,8%)</w:t>
      </w:r>
    </w:p>
    <w:p>
      <w:pPr>
        <w:spacing w:before="40"/>
        <w:ind w:left="400"/>
      </w:pPr>
      <w:r>
        <w:rPr>
          <w:b/>
          <w:color w:val="C05000"/>
          <w:sz w:val="18"/>
        </w:rPr>
        <w:t xml:space="preserve">⚠️ Risques : </w:t>
      </w:r>
      <w:r>
        <w:rPr>
          <w:sz w:val="18"/>
        </w:rPr>
        <w:t>["Concentration potentielle du portefeuille de cr\u00e9dit sur certains secteurs \u00e9conomiques", "Exposition aux fluctuations des taux d'int\u00e9r\u00eat dans un contexte \u00e9conomique volatile", "Risque de cr\u00e9dit li\u00e9 \u00e0 l'\u00e9volution de la conjoncture \u00e9conomique en C\u00</w:t>
      </w:r>
    </w:p>
    <w:p>
      <w:pPr>
        <w:spacing w:before="40"/>
        <w:ind w:left="400"/>
      </w:pPr>
      <w:r>
        <w:rPr>
          <w:b/>
          <w:color w:val="0064A0"/>
          <w:sz w:val="18"/>
        </w:rPr>
        <w:t xml:space="preserve">🔮 Perspectives : </w:t>
      </w:r>
      <w:r>
        <w:rPr>
          <w:sz w:val="18"/>
        </w:rPr>
        <w:t>La forte amélioration de la rentabilité et la maîtrise du coût de risque positionnent BICI CI favorablement pour 2022. Le renforcement des capitaux propres et la croissance de l'activité commerciale devraient permettre de soutenir la dynamique positive. La politique de dividende généreuse devrait ég</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contraction de l'activit\u00e9 commerciale, la banque d\u00e9montre sa capacit\u00e9 \u00e0 am\u00e9liorer sa rentabilit\u00e9 avec une progression significative du r\u00e9sultat net. Les perspectives d'am\u00e9lioration de l'activit\u00e9 \u00e9conomique g\u00e9n\u00e9rale sont encourageantes."}</w:t>
      </w:r>
    </w:p>
    <w:p>
      <w:pPr>
        <w:spacing w:before="40"/>
        <w:ind w:left="400"/>
      </w:pPr>
      <w:r>
        <w:rPr>
          <w:sz w:val="18"/>
        </w:rPr>
        <w:t>BICI CI présente des résultats contrastés au T1 2022 avec une baisse de l'activité commerciale mais une amélioration de la rentabilité. Les crédits nets à la clientèle diminuent de 4,6% à 436,7 milliards FCFA et les dépôts de la clientèle reculent de 9,5% à 667,3 milliards FCFA. Malgré cette contraction de l'activité, le Produit Net Bancaire progresse de 3,9% à 10,957 milliards FCFA. Le Résultat Courant Avant Impôt s'améliore de 4,2% à 2,733 milliards FCFA. Le résultat net ressort en forte progression de 19% à 2,529 milliards FCFA au 31 mars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'667 295 millions FCFA', 'produit_net_bancaire': '10 957 millions FCFA', 'credits_nets_clientele': '436 711 millions FCFA', 'resultat_courant_avant_impot': '2 733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2 529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Baisse des crédits nets à la clientèle de 4,6% à 436,7 milliards FCFA</w:t>
      </w:r>
    </w:p>
    <w:p>
      <w:pPr>
        <w:pStyle w:val="ListBullet"/>
        <w:spacing w:before="20" w:after="20"/>
        <w:ind w:left="700"/>
      </w:pPr>
      <w:r>
        <w:rPr>
          <w:sz w:val="18"/>
        </w:rPr>
        <w:t>Diminution des dépôts de la clientèle de 9,5% à 667,3 milliards FCFA</w:t>
      </w:r>
    </w:p>
    <w:p>
      <w:pPr>
        <w:pStyle w:val="ListBullet"/>
        <w:spacing w:before="20" w:after="20"/>
        <w:ind w:left="700"/>
      </w:pPr>
      <w:r>
        <w:rPr>
          <w:sz w:val="18"/>
        </w:rPr>
        <w:t>Progression du Produit Net Bancaire de 3,9% à 10,957 milliards FCFA</w:t>
      </w:r>
    </w:p>
    <w:p>
      <w:pPr>
        <w:pStyle w:val="ListBullet"/>
        <w:spacing w:before="20" w:after="20"/>
        <w:ind w:left="700"/>
      </w:pPr>
      <w:r>
        <w:rPr>
          <w:sz w:val="18"/>
        </w:rPr>
        <w:t>Amélioration du Résultat Courant Avant Impôt de 4,2% à 2,733 milliards FCFA</w:t>
      </w:r>
    </w:p>
    <w:p>
      <w:pPr>
        <w:pStyle w:val="ListBullet"/>
        <w:spacing w:before="20" w:after="20"/>
        <w:ind w:left="700"/>
      </w:pPr>
      <w:r>
        <w:rPr>
          <w:sz w:val="18"/>
        </w:rPr>
        <w:t>Forte croissance du résultat net de 19% à 2,529 milliards FCFA</w:t>
      </w:r>
    </w:p>
    <w:p>
      <w:pPr>
        <w:pStyle w:val="ListBullet"/>
        <w:spacing w:before="20" w:after="20"/>
        <w:ind w:left="700"/>
      </w:pPr>
      <w:r>
        <w:rPr>
          <w:sz w:val="18"/>
        </w:rPr>
        <w:t>Reprise progressive de l'activité économique générale observée</w:t>
      </w:r>
    </w:p>
    <w:p>
      <w:pPr>
        <w:spacing w:before="40"/>
        <w:ind w:left="400"/>
      </w:pPr>
      <w:r>
        <w:rPr>
          <w:b/>
          <w:color w:val="C05000"/>
          <w:sz w:val="18"/>
        </w:rPr>
        <w:t xml:space="preserve">⚠️ Risques : </w:t>
      </w:r>
      <w:r>
        <w:rPr>
          <w:sz w:val="18"/>
        </w:rPr>
        <w:t>["Baisse continue de l'activit\u00e9 de cr\u00e9dit dans un environnement \u00e9conomique difficile", "Diminution des ressources client\u00e8le affectant la capacit\u00e9 de financement", "Concurrence exacerb\u00e9e dans le secteur bancaire national"]</w:t>
      </w:r>
    </w:p>
    <w:p>
      <w:pPr>
        <w:spacing w:before="40"/>
        <w:ind w:left="400"/>
      </w:pPr>
      <w:r>
        <w:rPr>
          <w:b/>
          <w:color w:val="0064A0"/>
          <w:sz w:val="18"/>
        </w:rPr>
        <w:t xml:space="preserve">🔮 Perspectives : </w:t>
      </w:r>
      <w:r>
        <w:rPr>
          <w:sz w:val="18"/>
        </w:rPr>
        <w:t>La direction anticipe une poursuite de la tendance positive au cours des prochains trimestres, soutenue par la qualité du carnet de commande et l'absence de retournement de conjoncture. La reprise progressive de l'activité économique générale devrait favoriser le développement des activités de la ba</w:t>
      </w:r>
    </w:p>
    <w:p/>
    <w:p>
      <w:r>
        <w:t>════════════════════════════════════════════════════════════════════════════════</w:t>
      </w:r>
    </w:p>
    <w:p>
      <w:r>
        <w:br w:type="page"/>
      </w:r>
    </w:p>
    <w:p>
      <w:pPr>
        <w:pStyle w:val="Heading2"/>
        <w:spacing w:before="360"/>
      </w:pPr>
      <w:r>
        <w:rPr>
          <w:color w:val="0066CC"/>
        </w:rPr>
        <w:t>5. BNBC - BNBC - BERNABE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BNBC</w:t>
            </w:r>
          </w:p>
          <w:p>
            <w:r>
              <w:rPr>
                <w:b/>
                <w:color w:val="323250"/>
                <w:sz w:val="16"/>
              </w:rPr>
              <w:t xml:space="preserve">Société : </w:t>
            </w:r>
            <w:r>
              <w:rPr>
                <w:color w:val="000000"/>
                <w:sz w:val="16"/>
              </w:rPr>
              <w:t>BNBC - BERNABE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11.76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2,878 titres</w:t>
            </w:r>
          </w:p>
        </w:tc>
        <w:tc>
          <w:tcPr>
            <w:tcW w:type="dxa" w:w="2268"/>
            <w:shd w:fill="FFF2CC" w:val="clear"/>
          </w:tcPr>
          <w:p>
            <w:r>
              <w:rPr>
                <w:b/>
                <w:color w:val="503200"/>
                <w:sz w:val="16"/>
              </w:rPr>
              <w:t xml:space="preserve">Cours actuel : </w:t>
            </w:r>
            <w:r>
              <w:rPr>
                <w:color w:val="000000"/>
                <w:sz w:val="17"/>
              </w:rPr>
              <w:t>1,775 FCFA</w:t>
            </w:r>
          </w:p>
          <w:p>
            <w:r>
              <w:rPr>
                <w:b/>
                <w:color w:val="503200"/>
                <w:sz w:val="16"/>
              </w:rPr>
              <w:t xml:space="preserve">Var. 100 jours : </w:t>
            </w:r>
            <w:r>
              <w:rPr>
                <w:b/>
                <w:color w:val="007800"/>
                <w:sz w:val="17"/>
              </w:rPr>
              <w:t>+18.33%</w:t>
            </w:r>
          </w:p>
          <w:p>
            <w:r>
              <w:rPr>
                <w:b/>
                <w:color w:val="503200"/>
                <w:sz w:val="16"/>
              </w:rPr>
              <w:t xml:space="preserve">Plus haut 100j : </w:t>
            </w:r>
            <w:r>
              <w:rPr>
                <w:color w:val="000000"/>
                <w:sz w:val="17"/>
              </w:rPr>
              <w:t>2,400 FCFA</w:t>
            </w:r>
          </w:p>
          <w:p>
            <w:r>
              <w:rPr>
                <w:b/>
                <w:color w:val="503200"/>
                <w:sz w:val="16"/>
              </w:rPr>
              <w:t xml:space="preserve">Plus bas 100j : </w:t>
            </w:r>
            <w:r>
              <w:rPr>
                <w:color w:val="000000"/>
                <w:sz w:val="17"/>
              </w:rPr>
              <w:t>1,495 FCFA</w:t>
            </w:r>
          </w:p>
          <w:p>
            <w:r>
              <w:rPr>
                <w:b/>
                <w:color w:val="503200"/>
                <w:sz w:val="16"/>
              </w:rPr>
              <w:t xml:space="preserve">Volatilité ann. : </w:t>
            </w:r>
            <w:r>
              <w:rPr>
                <w:color w:val="000000"/>
                <w:sz w:val="17"/>
              </w:rPr>
              <w:t>52.5%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18.8/100 → Faible</w:t>
      </w:r>
    </w:p>
    <w:p>
      <w:pPr>
        <w:spacing w:before="40" w:after="80"/>
      </w:pPr>
      <w:r>
        <w:rPr>
          <w:rFonts w:ascii="Courier New" w:hAnsi="Courier New"/>
          <w:color w:val="006400"/>
          <w:sz w:val="18"/>
        </w:rPr>
        <w:t>███░░░░░░░░░░░░░░░░░  18.8/100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8.68% (Moyenne) — μ=1,940 FCFA, σ=168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β=0.5210 (Défensif) — Cov=0.000039, Var(idx)=0.000075, ρ=0.136,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2,878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σ_j=3.31%/j (Modérée) — Vol. annualisée≈52.5%</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2026-10-16</w:t>
            </w:r>
          </w:p>
        </w:tc>
        <w:tc>
          <w:tcPr>
            <w:tcW w:type="dxa" w:w="1440"/>
            <w:shd w:fill="FAFAFA" w:val="clear"/>
          </w:tcPr>
          <w:p>
            <w:r>
              <w:rPr>
                <w:sz w:val="17"/>
              </w:rPr>
              <w:t>1,676</w:t>
            </w:r>
          </w:p>
        </w:tc>
        <w:tc>
          <w:tcPr>
            <w:tcW w:type="dxa" w:w="1440"/>
            <w:shd w:fill="FAFAFA" w:val="clear"/>
          </w:tcPr>
          <w:p>
            <w:r>
              <w:rPr>
                <w:b/>
                <w:sz w:val="17"/>
              </w:rPr>
              <w:t>1,781</w:t>
            </w:r>
          </w:p>
        </w:tc>
        <w:tc>
          <w:tcPr>
            <w:tcW w:type="dxa" w:w="1440"/>
            <w:shd w:fill="FAFAFA" w:val="clear"/>
          </w:tcPr>
          <w:p>
            <w:r>
              <w:rPr>
                <w:sz w:val="17"/>
              </w:rPr>
              <w:t>1,885</w:t>
            </w:r>
          </w:p>
        </w:tc>
        <w:tc>
          <w:tcPr>
            <w:tcW w:type="dxa" w:w="1440"/>
            <w:shd w:fill="FAFAFA" w:val="clear"/>
          </w:tcPr>
          <w:p>
            <w:r>
              <w:rPr>
                <w:b/>
                <w:color w:val="008000"/>
                <w:sz w:val="17"/>
              </w:rPr>
              <w:t>+0.3%</w:t>
            </w:r>
          </w:p>
        </w:tc>
      </w:tr>
      <w:tr>
        <w:tc>
          <w:tcPr>
            <w:tcW w:type="dxa" w:w="1440"/>
            <w:shd w:fill="FAFAFA" w:val="clear"/>
          </w:tcPr>
          <w:p>
            <w:r>
              <w:rPr>
                <w:sz w:val="17"/>
              </w:rPr>
              <w:t>J+2  Moyenne</w:t>
            </w:r>
          </w:p>
        </w:tc>
        <w:tc>
          <w:tcPr>
            <w:tcW w:type="dxa" w:w="1440"/>
            <w:shd w:fill="FAFAFA" w:val="clear"/>
          </w:tcPr>
          <w:p>
            <w:r>
              <w:rPr>
                <w:sz w:val="17"/>
              </w:rPr>
              <w:t>2026-10-19</w:t>
            </w:r>
          </w:p>
        </w:tc>
        <w:tc>
          <w:tcPr>
            <w:tcW w:type="dxa" w:w="1440"/>
            <w:shd w:fill="FAFAFA" w:val="clear"/>
          </w:tcPr>
          <w:p>
            <w:r>
              <w:rPr>
                <w:sz w:val="17"/>
              </w:rPr>
              <w:t>1,630</w:t>
            </w:r>
          </w:p>
        </w:tc>
        <w:tc>
          <w:tcPr>
            <w:tcW w:type="dxa" w:w="1440"/>
            <w:shd w:fill="FAFAFA" w:val="clear"/>
          </w:tcPr>
          <w:p>
            <w:r>
              <w:rPr>
                <w:b/>
                <w:sz w:val="17"/>
              </w:rPr>
              <w:t>1,778</w:t>
            </w:r>
          </w:p>
        </w:tc>
        <w:tc>
          <w:tcPr>
            <w:tcW w:type="dxa" w:w="1440"/>
            <w:shd w:fill="FAFAFA" w:val="clear"/>
          </w:tcPr>
          <w:p>
            <w:r>
              <w:rPr>
                <w:sz w:val="17"/>
              </w:rPr>
              <w:t>1,926</w:t>
            </w:r>
          </w:p>
        </w:tc>
        <w:tc>
          <w:tcPr>
            <w:tcW w:type="dxa" w:w="1440"/>
            <w:shd w:fill="FAFAFA" w:val="clear"/>
          </w:tcPr>
          <w:p>
            <w:r>
              <w:rPr>
                <w:b/>
                <w:color w:val="008000"/>
                <w:sz w:val="17"/>
              </w:rPr>
              <w:t>+0.2%</w:t>
            </w:r>
          </w:p>
        </w:tc>
      </w:tr>
      <w:tr>
        <w:tc>
          <w:tcPr>
            <w:tcW w:type="dxa" w:w="1440"/>
            <w:shd w:fill="FAFAFA" w:val="clear"/>
          </w:tcPr>
          <w:p>
            <w:r>
              <w:rPr>
                <w:sz w:val="17"/>
              </w:rPr>
              <w:t>J+3  Moyenne</w:t>
            </w:r>
          </w:p>
        </w:tc>
        <w:tc>
          <w:tcPr>
            <w:tcW w:type="dxa" w:w="1440"/>
            <w:shd w:fill="FAFAFA" w:val="clear"/>
          </w:tcPr>
          <w:p>
            <w:r>
              <w:rPr>
                <w:sz w:val="17"/>
              </w:rPr>
              <w:t>2026-10-20</w:t>
            </w:r>
          </w:p>
        </w:tc>
        <w:tc>
          <w:tcPr>
            <w:tcW w:type="dxa" w:w="1440"/>
            <w:shd w:fill="FAFAFA" w:val="clear"/>
          </w:tcPr>
          <w:p>
            <w:r>
              <w:rPr>
                <w:sz w:val="17"/>
              </w:rPr>
              <w:t>1,600</w:t>
            </w:r>
          </w:p>
        </w:tc>
        <w:tc>
          <w:tcPr>
            <w:tcW w:type="dxa" w:w="1440"/>
            <w:shd w:fill="FAFAFA" w:val="clear"/>
          </w:tcPr>
          <w:p>
            <w:r>
              <w:rPr>
                <w:b/>
                <w:sz w:val="17"/>
              </w:rPr>
              <w:t>1,782</w:t>
            </w:r>
          </w:p>
        </w:tc>
        <w:tc>
          <w:tcPr>
            <w:tcW w:type="dxa" w:w="1440"/>
            <w:shd w:fill="FAFAFA" w:val="clear"/>
          </w:tcPr>
          <w:p>
            <w:r>
              <w:rPr>
                <w:sz w:val="17"/>
              </w:rPr>
              <w:t>1,964</w:t>
            </w:r>
          </w:p>
        </w:tc>
        <w:tc>
          <w:tcPr>
            <w:tcW w:type="dxa" w:w="1440"/>
            <w:shd w:fill="FAFAFA" w:val="clear"/>
          </w:tcPr>
          <w:p>
            <w:r>
              <w:rPr>
                <w:b/>
                <w:color w:val="008000"/>
                <w:sz w:val="17"/>
              </w:rPr>
              <w:t>+0.4%</w:t>
            </w:r>
          </w:p>
        </w:tc>
      </w:tr>
      <w:tr>
        <w:tc>
          <w:tcPr>
            <w:tcW w:type="dxa" w:w="1440"/>
            <w:shd w:fill="FAFAFA" w:val="clear"/>
          </w:tcPr>
          <w:p>
            <w:r>
              <w:rPr>
                <w:sz w:val="17"/>
              </w:rPr>
              <w:t>J+4  ⭐</w:t>
            </w:r>
          </w:p>
        </w:tc>
        <w:tc>
          <w:tcPr>
            <w:tcW w:type="dxa" w:w="1440"/>
            <w:shd w:fill="FAFAFA" w:val="clear"/>
          </w:tcPr>
          <w:p>
            <w:r>
              <w:rPr>
                <w:sz w:val="17"/>
              </w:rPr>
              <w:t>2026-10-21</w:t>
            </w:r>
          </w:p>
        </w:tc>
        <w:tc>
          <w:tcPr>
            <w:tcW w:type="dxa" w:w="1440"/>
            <w:shd w:fill="FAFAFA" w:val="clear"/>
          </w:tcPr>
          <w:p>
            <w:r>
              <w:rPr>
                <w:sz w:val="17"/>
              </w:rPr>
              <w:t>1,576</w:t>
            </w:r>
          </w:p>
        </w:tc>
        <w:tc>
          <w:tcPr>
            <w:tcW w:type="dxa" w:w="1440"/>
            <w:shd w:fill="FAFAFA" w:val="clear"/>
          </w:tcPr>
          <w:p>
            <w:r>
              <w:rPr>
                <w:b/>
                <w:sz w:val="17"/>
              </w:rPr>
              <w:t>1,786</w:t>
            </w:r>
          </w:p>
        </w:tc>
        <w:tc>
          <w:tcPr>
            <w:tcW w:type="dxa" w:w="1440"/>
            <w:shd w:fill="FAFAFA" w:val="clear"/>
          </w:tcPr>
          <w:p>
            <w:r>
              <w:rPr>
                <w:sz w:val="17"/>
              </w:rPr>
              <w:t>1,996</w:t>
            </w:r>
          </w:p>
        </w:tc>
        <w:tc>
          <w:tcPr>
            <w:tcW w:type="dxa" w:w="1440"/>
            <w:shd w:fill="FAFAFA" w:val="clear"/>
          </w:tcPr>
          <w:p>
            <w:r>
              <w:rPr>
                <w:b/>
                <w:color w:val="008000"/>
                <w:sz w:val="17"/>
              </w:rPr>
              <w:t>+0.6%</w:t>
            </w:r>
          </w:p>
        </w:tc>
      </w:tr>
      <w:tr>
        <w:tc>
          <w:tcPr>
            <w:tcW w:type="dxa" w:w="1440"/>
            <w:shd w:fill="FAFAFA" w:val="clear"/>
          </w:tcPr>
          <w:p>
            <w:r>
              <w:rPr>
                <w:sz w:val="17"/>
              </w:rPr>
              <w:t>J+5  ⭐</w:t>
            </w:r>
          </w:p>
        </w:tc>
        <w:tc>
          <w:tcPr>
            <w:tcW w:type="dxa" w:w="1440"/>
            <w:shd w:fill="FAFAFA" w:val="clear"/>
          </w:tcPr>
          <w:p>
            <w:r>
              <w:rPr>
                <w:sz w:val="17"/>
              </w:rPr>
              <w:t>2026-10-22</w:t>
            </w:r>
          </w:p>
        </w:tc>
        <w:tc>
          <w:tcPr>
            <w:tcW w:type="dxa" w:w="1440"/>
            <w:shd w:fill="FAFAFA" w:val="clear"/>
          </w:tcPr>
          <w:p>
            <w:r>
              <w:rPr>
                <w:sz w:val="17"/>
              </w:rPr>
              <w:t>1,553</w:t>
            </w:r>
          </w:p>
        </w:tc>
        <w:tc>
          <w:tcPr>
            <w:tcW w:type="dxa" w:w="1440"/>
            <w:shd w:fill="FAFAFA" w:val="clear"/>
          </w:tcPr>
          <w:p>
            <w:r>
              <w:rPr>
                <w:b/>
                <w:sz w:val="17"/>
              </w:rPr>
              <w:t>1,789</w:t>
            </w:r>
          </w:p>
        </w:tc>
        <w:tc>
          <w:tcPr>
            <w:tcW w:type="dxa" w:w="1440"/>
            <w:shd w:fill="FAFAFA" w:val="clear"/>
          </w:tcPr>
          <w:p>
            <w:r>
              <w:rPr>
                <w:sz w:val="17"/>
              </w:rPr>
              <w:t>2,024</w:t>
            </w:r>
          </w:p>
        </w:tc>
        <w:tc>
          <w:tcPr>
            <w:tcW w:type="dxa" w:w="1440"/>
            <w:shd w:fill="FAFAFA" w:val="clear"/>
          </w:tcPr>
          <w:p>
            <w:r>
              <w:rPr>
                <w:b/>
                <w:color w:val="008000"/>
                <w:sz w:val="17"/>
              </w:rPr>
              <w:t>+0.8%</w:t>
            </w:r>
          </w:p>
        </w:tc>
      </w:tr>
      <w:tr>
        <w:tc>
          <w:tcPr>
            <w:tcW w:type="dxa" w:w="1440"/>
            <w:shd w:fill="FAFAFA" w:val="clear"/>
          </w:tcPr>
          <w:p>
            <w:r>
              <w:rPr>
                <w:sz w:val="17"/>
              </w:rPr>
              <w:t>J+6  ⭐</w:t>
            </w:r>
          </w:p>
        </w:tc>
        <w:tc>
          <w:tcPr>
            <w:tcW w:type="dxa" w:w="1440"/>
            <w:shd w:fill="FAFAFA" w:val="clear"/>
          </w:tcPr>
          <w:p>
            <w:r>
              <w:rPr>
                <w:sz w:val="17"/>
              </w:rPr>
              <w:t>2026-10-23</w:t>
            </w:r>
          </w:p>
        </w:tc>
        <w:tc>
          <w:tcPr>
            <w:tcW w:type="dxa" w:w="1440"/>
            <w:shd w:fill="FAFAFA" w:val="clear"/>
          </w:tcPr>
          <w:p>
            <w:r>
              <w:rPr>
                <w:sz w:val="17"/>
              </w:rPr>
              <w:t>1,533</w:t>
            </w:r>
          </w:p>
        </w:tc>
        <w:tc>
          <w:tcPr>
            <w:tcW w:type="dxa" w:w="1440"/>
            <w:shd w:fill="FAFAFA" w:val="clear"/>
          </w:tcPr>
          <w:p>
            <w:r>
              <w:rPr>
                <w:b/>
                <w:sz w:val="17"/>
              </w:rPr>
              <w:t>1,791</w:t>
            </w:r>
          </w:p>
        </w:tc>
        <w:tc>
          <w:tcPr>
            <w:tcW w:type="dxa" w:w="1440"/>
            <w:shd w:fill="FAFAFA" w:val="clear"/>
          </w:tcPr>
          <w:p>
            <w:r>
              <w:rPr>
                <w:sz w:val="17"/>
              </w:rPr>
              <w:t>2,050</w:t>
            </w:r>
          </w:p>
        </w:tc>
        <w:tc>
          <w:tcPr>
            <w:tcW w:type="dxa" w:w="1440"/>
            <w:shd w:fill="FAFAFA" w:val="clear"/>
          </w:tcPr>
          <w:p>
            <w:r>
              <w:rPr>
                <w:b/>
                <w:color w:val="008000"/>
                <w:sz w:val="17"/>
              </w:rPr>
              <w:t>+0.9%</w:t>
            </w:r>
          </w:p>
        </w:tc>
      </w:tr>
      <w:tr>
        <w:tc>
          <w:tcPr>
            <w:tcW w:type="dxa" w:w="1440"/>
            <w:shd w:fill="FAFAFA" w:val="clear"/>
          </w:tcPr>
          <w:p>
            <w:r>
              <w:rPr>
                <w:sz w:val="17"/>
              </w:rPr>
              <w:t>J+7  ⭐</w:t>
            </w:r>
          </w:p>
        </w:tc>
        <w:tc>
          <w:tcPr>
            <w:tcW w:type="dxa" w:w="1440"/>
            <w:shd w:fill="FAFAFA" w:val="clear"/>
          </w:tcPr>
          <w:p>
            <w:r>
              <w:rPr>
                <w:sz w:val="17"/>
              </w:rPr>
              <w:t>2026-10-26</w:t>
            </w:r>
          </w:p>
        </w:tc>
        <w:tc>
          <w:tcPr>
            <w:tcW w:type="dxa" w:w="1440"/>
            <w:shd w:fill="FAFAFA" w:val="clear"/>
          </w:tcPr>
          <w:p>
            <w:r>
              <w:rPr>
                <w:sz w:val="17"/>
              </w:rPr>
              <w:t>1,514</w:t>
            </w:r>
          </w:p>
        </w:tc>
        <w:tc>
          <w:tcPr>
            <w:tcW w:type="dxa" w:w="1440"/>
            <w:shd w:fill="FAFAFA" w:val="clear"/>
          </w:tcPr>
          <w:p>
            <w:r>
              <w:rPr>
                <w:b/>
                <w:sz w:val="17"/>
              </w:rPr>
              <w:t>1,793</w:t>
            </w:r>
          </w:p>
        </w:tc>
        <w:tc>
          <w:tcPr>
            <w:tcW w:type="dxa" w:w="1440"/>
            <w:shd w:fill="FAFAFA" w:val="clear"/>
          </w:tcPr>
          <w:p>
            <w:r>
              <w:rPr>
                <w:sz w:val="17"/>
              </w:rPr>
              <w:t>2,073</w:t>
            </w:r>
          </w:p>
        </w:tc>
        <w:tc>
          <w:tcPr>
            <w:tcW w:type="dxa" w:w="1440"/>
            <w:shd w:fill="FAFAFA" w:val="clear"/>
          </w:tcPr>
          <w:p>
            <w:r>
              <w:rPr>
                <w:b/>
                <w:color w:val="008000"/>
                <w:sz w:val="17"/>
              </w:rPr>
              <w:t>+1.0%</w:t>
            </w:r>
          </w:p>
        </w:tc>
      </w:tr>
      <w:tr>
        <w:tc>
          <w:tcPr>
            <w:tcW w:type="dxa" w:w="1440"/>
            <w:shd w:fill="FAFAFA" w:val="clear"/>
          </w:tcPr>
          <w:p>
            <w:r>
              <w:rPr>
                <w:sz w:val="17"/>
              </w:rPr>
              <w:t>J+8  ⭐</w:t>
            </w:r>
          </w:p>
        </w:tc>
        <w:tc>
          <w:tcPr>
            <w:tcW w:type="dxa" w:w="1440"/>
            <w:shd w:fill="FAFAFA" w:val="clear"/>
          </w:tcPr>
          <w:p>
            <w:r>
              <w:rPr>
                <w:sz w:val="17"/>
              </w:rPr>
              <w:t>2026-10-27</w:t>
            </w:r>
          </w:p>
        </w:tc>
        <w:tc>
          <w:tcPr>
            <w:tcW w:type="dxa" w:w="1440"/>
            <w:shd w:fill="FAFAFA" w:val="clear"/>
          </w:tcPr>
          <w:p>
            <w:r>
              <w:rPr>
                <w:sz w:val="17"/>
              </w:rPr>
              <w:t>1,496</w:t>
            </w:r>
          </w:p>
        </w:tc>
        <w:tc>
          <w:tcPr>
            <w:tcW w:type="dxa" w:w="1440"/>
            <w:shd w:fill="FAFAFA" w:val="clear"/>
          </w:tcPr>
          <w:p>
            <w:r>
              <w:rPr>
                <w:b/>
                <w:sz w:val="17"/>
              </w:rPr>
              <w:t>1,795</w:t>
            </w:r>
          </w:p>
        </w:tc>
        <w:tc>
          <w:tcPr>
            <w:tcW w:type="dxa" w:w="1440"/>
            <w:shd w:fill="FAFAFA" w:val="clear"/>
          </w:tcPr>
          <w:p>
            <w:r>
              <w:rPr>
                <w:sz w:val="17"/>
              </w:rPr>
              <w:t>2,094</w:t>
            </w:r>
          </w:p>
        </w:tc>
        <w:tc>
          <w:tcPr>
            <w:tcW w:type="dxa" w:w="1440"/>
            <w:shd w:fill="FAFAFA" w:val="clear"/>
          </w:tcPr>
          <w:p>
            <w:r>
              <w:rPr>
                <w:b/>
                <w:color w:val="008000"/>
                <w:sz w:val="17"/>
              </w:rPr>
              <w:t>+1.1%</w:t>
            </w:r>
          </w:p>
        </w:tc>
      </w:tr>
      <w:tr>
        <w:tc>
          <w:tcPr>
            <w:tcW w:type="dxa" w:w="1440"/>
            <w:shd w:fill="FAFAFA" w:val="clear"/>
          </w:tcPr>
          <w:p>
            <w:r>
              <w:rPr>
                <w:sz w:val="17"/>
              </w:rPr>
              <w:t>J+9  ⭐</w:t>
            </w:r>
          </w:p>
        </w:tc>
        <w:tc>
          <w:tcPr>
            <w:tcW w:type="dxa" w:w="1440"/>
            <w:shd w:fill="FAFAFA" w:val="clear"/>
          </w:tcPr>
          <w:p>
            <w:r>
              <w:rPr>
                <w:sz w:val="17"/>
              </w:rPr>
              <w:t>2026-10-28</w:t>
            </w:r>
          </w:p>
        </w:tc>
        <w:tc>
          <w:tcPr>
            <w:tcW w:type="dxa" w:w="1440"/>
            <w:shd w:fill="FAFAFA" w:val="clear"/>
          </w:tcPr>
          <w:p>
            <w:r>
              <w:rPr>
                <w:sz w:val="17"/>
              </w:rPr>
              <w:t>1,479</w:t>
            </w:r>
          </w:p>
        </w:tc>
        <w:tc>
          <w:tcPr>
            <w:tcW w:type="dxa" w:w="1440"/>
            <w:shd w:fill="FAFAFA" w:val="clear"/>
          </w:tcPr>
          <w:p>
            <w:r>
              <w:rPr>
                <w:b/>
                <w:sz w:val="17"/>
              </w:rPr>
              <w:t>1,796</w:t>
            </w:r>
          </w:p>
        </w:tc>
        <w:tc>
          <w:tcPr>
            <w:tcW w:type="dxa" w:w="1440"/>
            <w:shd w:fill="FAFAFA" w:val="clear"/>
          </w:tcPr>
          <w:p>
            <w:r>
              <w:rPr>
                <w:sz w:val="17"/>
              </w:rPr>
              <w:t>2,114</w:t>
            </w:r>
          </w:p>
        </w:tc>
        <w:tc>
          <w:tcPr>
            <w:tcW w:type="dxa" w:w="1440"/>
            <w:shd w:fill="FAFAFA" w:val="clear"/>
          </w:tcPr>
          <w:p>
            <w:r>
              <w:rPr>
                <w:b/>
                <w:color w:val="008000"/>
                <w:sz w:val="17"/>
              </w:rPr>
              <w:t>+1.2%</w:t>
            </w:r>
          </w:p>
        </w:tc>
      </w:tr>
      <w:tr>
        <w:tc>
          <w:tcPr>
            <w:tcW w:type="dxa" w:w="1440"/>
            <w:shd w:fill="FAFAFA" w:val="clear"/>
          </w:tcPr>
          <w:p>
            <w:r>
              <w:rPr>
                <w:sz w:val="17"/>
              </w:rPr>
              <w:t>J+10  ⭐</w:t>
            </w:r>
          </w:p>
        </w:tc>
        <w:tc>
          <w:tcPr>
            <w:tcW w:type="dxa" w:w="1440"/>
            <w:shd w:fill="FAFAFA" w:val="clear"/>
          </w:tcPr>
          <w:p>
            <w:r>
              <w:rPr>
                <w:sz w:val="17"/>
              </w:rPr>
              <w:t>2026-10-29</w:t>
            </w:r>
          </w:p>
        </w:tc>
        <w:tc>
          <w:tcPr>
            <w:tcW w:type="dxa" w:w="1440"/>
            <w:shd w:fill="FAFAFA" w:val="clear"/>
          </w:tcPr>
          <w:p>
            <w:r>
              <w:rPr>
                <w:sz w:val="17"/>
              </w:rPr>
              <w:t>1,463</w:t>
            </w:r>
          </w:p>
        </w:tc>
        <w:tc>
          <w:tcPr>
            <w:tcW w:type="dxa" w:w="1440"/>
            <w:shd w:fill="FAFAFA" w:val="clear"/>
          </w:tcPr>
          <w:p>
            <w:r>
              <w:rPr>
                <w:b/>
                <w:sz w:val="17"/>
              </w:rPr>
              <w:t>1,798</w:t>
            </w:r>
          </w:p>
        </w:tc>
        <w:tc>
          <w:tcPr>
            <w:tcW w:type="dxa" w:w="1440"/>
            <w:shd w:fill="FAFAFA" w:val="clear"/>
          </w:tcPr>
          <w:p>
            <w:r>
              <w:rPr>
                <w:sz w:val="17"/>
              </w:rPr>
              <w:t>2,133</w:t>
            </w:r>
          </w:p>
        </w:tc>
        <w:tc>
          <w:tcPr>
            <w:tcW w:type="dxa" w:w="1440"/>
            <w:shd w:fill="FAFAFA" w:val="clear"/>
          </w:tcPr>
          <w:p>
            <w:r>
              <w:rPr>
                <w:b/>
                <w:color w:val="008000"/>
                <w:sz w:val="17"/>
              </w:rPr>
              <w:t>+1.3%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12.312 Mds FCFA</w:t>
            </w:r>
          </w:p>
        </w:tc>
        <w:tc>
          <w:tcPr>
            <w:tcW w:type="dxa" w:w="5669"/>
            <w:shd w:fill="FFFFFF" w:val="clear"/>
          </w:tcPr>
          <w:p>
            <w:r>
              <w:rPr>
                <w:color w:val="282828"/>
                <w:sz w:val="15"/>
              </w:rPr>
              <w:t>Créances clients = 29.0% du CA. ⚠️ Risque de retard de paiement significatif.</w:t>
            </w:r>
          </w:p>
        </w:tc>
      </w:tr>
      <w:tr>
        <w:tc>
          <w:tcPr>
            <w:tcW w:type="dxa" w:w="2268"/>
            <w:shd w:fill="EEF2F7" w:val="clear"/>
          </w:tcPr>
          <w:p>
            <w:r>
              <w:rPr>
                <w:b/>
                <w:color w:val="1E1E3C"/>
                <w:sz w:val="16"/>
              </w:rPr>
              <w:t>Stocks</w:t>
            </w:r>
          </w:p>
        </w:tc>
        <w:tc>
          <w:tcPr>
            <w:tcW w:type="dxa" w:w="1984"/>
            <w:shd w:fill="FFEB9C" w:val="clear"/>
          </w:tcPr>
          <w:p>
            <w:r>
              <w:rPr>
                <w:b/>
                <w:color w:val="006400"/>
                <w:sz w:val="17"/>
              </w:rPr>
              <w:t>28.949 Mds FCFA</w:t>
            </w:r>
          </w:p>
        </w:tc>
        <w:tc>
          <w:tcPr>
            <w:tcW w:type="dxa" w:w="5669"/>
            <w:shd w:fill="FFFFFF" w:val="clear"/>
          </w:tcPr>
          <w:p>
            <w:r>
              <w:rPr>
                <w:color w:val="282828"/>
                <w:sz w:val="15"/>
              </w:rPr>
              <w:t>Rotation stocks = 1.5x/an.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41.261 Mds FCFA</w:t>
            </w:r>
          </w:p>
        </w:tc>
        <w:tc>
          <w:tcPr>
            <w:tcW w:type="dxa" w:w="5669"/>
            <w:shd w:fill="FFFFFF" w:val="clear"/>
          </w:tcPr>
          <w:p>
            <w:r>
              <w:rPr>
                <w:color w:val="282828"/>
                <w:sz w:val="15"/>
              </w:rPr>
              <w:t>Ratio actif circ./passif circ. = 3.47x.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215.66 M FCFA</w:t>
            </w:r>
          </w:p>
        </w:tc>
        <w:tc>
          <w:tcPr>
            <w:tcW w:type="dxa" w:w="5669"/>
            <w:shd w:fill="FFFFFF" w:val="clear"/>
          </w:tcPr>
          <w:p>
            <w:r>
              <w:rPr>
                <w:color w:val="282828"/>
                <w:sz w:val="15"/>
              </w:rPr>
              <w:t>Brevets, logiciels, fonds commercial (0.4%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5.731 Mds FCFA</w:t>
            </w:r>
          </w:p>
        </w:tc>
        <w:tc>
          <w:tcPr>
            <w:tcW w:type="dxa" w:w="5669"/>
            <w:shd w:fill="FFFFFF" w:val="clear"/>
          </w:tcPr>
          <w:p>
            <w:r>
              <w:rPr>
                <w:color w:val="282828"/>
                <w:sz w:val="15"/>
              </w:rPr>
              <w:t>Outil industriel (11.7%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6.033 Mds FCFA</w:t>
            </w:r>
          </w:p>
        </w:tc>
        <w:tc>
          <w:tcPr>
            <w:tcW w:type="dxa" w:w="5669"/>
            <w:shd w:fill="FFFFFF" w:val="clear"/>
          </w:tcPr>
          <w:p>
            <w:r>
              <w:rPr>
                <w:color w:val="282828"/>
                <w:sz w:val="15"/>
              </w:rPr>
              <w:t>Actif immobilisé = 12.3%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1.847 Mds FCFA</w:t>
            </w:r>
          </w:p>
        </w:tc>
        <w:tc>
          <w:tcPr>
            <w:tcW w:type="dxa" w:w="5669"/>
            <w:shd w:fill="FFFFFF" w:val="clear"/>
          </w:tcPr>
          <w:p>
            <w:r>
              <w:rPr>
                <w:color w:val="282828"/>
                <w:sz w:val="15"/>
              </w:rPr>
              <w:t>Liquidités disponibles (3.8%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49.141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1.656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16.092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17.770 Mds FCFA</w:t>
            </w:r>
          </w:p>
        </w:tc>
        <w:tc>
          <w:tcPr>
            <w:tcW w:type="dxa" w:w="5669"/>
            <w:shd w:fill="FFFFFF" w:val="clear"/>
          </w:tcPr>
          <w:p>
            <w:r>
              <w:rPr>
                <w:color w:val="282828"/>
                <w:sz w:val="15"/>
              </w:rPr>
              <w:t>Fonds propres = 36.2%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18.712 Mds FCFA</w:t>
            </w:r>
          </w:p>
        </w:tc>
        <w:tc>
          <w:tcPr>
            <w:tcW w:type="dxa" w:w="5669"/>
            <w:shd w:fill="FFFFFF" w:val="clear"/>
          </w:tcPr>
          <w:p>
            <w:r>
              <w:rPr>
                <w:color w:val="282828"/>
                <w:sz w:val="15"/>
              </w:rPr>
              <w:t>Capitaux permanents / Actif immobilisé = 3.10x.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9.907 Mds FCFA</w:t>
            </w:r>
          </w:p>
        </w:tc>
        <w:tc>
          <w:tcPr>
            <w:tcW w:type="dxa" w:w="5669"/>
            <w:shd w:fill="FFFFFF" w:val="clear"/>
          </w:tcPr>
          <w:p>
            <w:r>
              <w:rPr>
                <w:color w:val="282828"/>
                <w:sz w:val="15"/>
              </w:rPr>
              <w:t>Délai fournisseurs implicite ≈ 85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208.53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18.744 Mds FCFA</w:t>
            </w:r>
          </w:p>
        </w:tc>
        <w:tc>
          <w:tcPr>
            <w:tcW w:type="dxa" w:w="5669"/>
            <w:shd w:fill="FFFFFF" w:val="clear"/>
          </w:tcPr>
          <w:p>
            <w:r>
              <w:rPr>
                <w:color w:val="282828"/>
                <w:sz w:val="15"/>
              </w:rPr>
              <w:t>Dette financière totale = 105%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31.371 Mds FCFA</w:t>
            </w:r>
          </w:p>
        </w:tc>
        <w:tc>
          <w:tcPr>
            <w:tcW w:type="dxa" w:w="5669"/>
            <w:shd w:fill="FFFFFF" w:val="clear"/>
          </w:tcPr>
          <w:p>
            <w:r>
              <w:rPr>
                <w:color w:val="282828"/>
                <w:sz w:val="15"/>
              </w:rPr>
              <w:t>Dettes totales = 63.8%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42.454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42.454 Mds FCFA</w:t>
            </w:r>
          </w:p>
        </w:tc>
        <w:tc>
          <w:tcPr>
            <w:tcW w:type="dxa" w:w="5669"/>
            <w:shd w:fill="FFFFFF" w:val="clear"/>
          </w:tcPr>
          <w:p>
            <w:r>
              <w:rPr>
                <w:color w:val="282828"/>
                <w:sz w:val="15"/>
              </w:rPr>
              <w:t>Chiffre d'affaires. Croissance: -6.3%.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2.046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4.007 Mds FCFA</w:t>
            </w:r>
          </w:p>
        </w:tc>
        <w:tc>
          <w:tcPr>
            <w:tcW w:type="dxa" w:w="5669"/>
            <w:shd w:fill="FFFFFF" w:val="clear"/>
          </w:tcPr>
          <w:p>
            <w:r>
              <w:rPr>
                <w:color w:val="282828"/>
                <w:sz w:val="15"/>
              </w:rPr>
              <w:t>Masse salariale = 9.4%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6.017 Mds FCFA</w:t>
            </w:r>
          </w:p>
        </w:tc>
        <w:tc>
          <w:tcPr>
            <w:tcW w:type="dxa" w:w="5669"/>
            <w:shd w:fill="FFFFFF" w:val="clear"/>
          </w:tcPr>
          <w:p>
            <w:r>
              <w:rPr>
                <w:color w:val="282828"/>
                <w:sz w:val="15"/>
              </w:rPr>
              <w:t>VA = 14.2%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2.009 Mds FCFA</w:t>
            </w:r>
          </w:p>
        </w:tc>
        <w:tc>
          <w:tcPr>
            <w:tcW w:type="dxa" w:w="5669"/>
            <w:shd w:fill="FFFFFF" w:val="clear"/>
          </w:tcPr>
          <w:p>
            <w:r>
              <w:rPr>
                <w:color w:val="282828"/>
                <w:sz w:val="15"/>
              </w:rPr>
              <w:t>EBE = 4.7%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1.049 Mds FCFA</w:t>
            </w:r>
          </w:p>
        </w:tc>
        <w:tc>
          <w:tcPr>
            <w:tcW w:type="dxa" w:w="5669"/>
            <w:shd w:fill="FFFFFF" w:val="clear"/>
          </w:tcPr>
          <w:p>
            <w:r>
              <w:rPr>
                <w:color w:val="282828"/>
                <w:sz w:val="15"/>
              </w:rPr>
              <w:t>Profit d'exploitation = 2.5%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2.046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22.32 M FCFA</w:t>
            </w:r>
          </w:p>
        </w:tc>
        <w:tc>
          <w:tcPr>
            <w:tcW w:type="dxa" w:w="5669"/>
            <w:shd w:fill="FFFFFF" w:val="clear"/>
          </w:tcPr>
          <w:p>
            <w:r>
              <w:rPr>
                <w:color w:val="282828"/>
                <w:sz w:val="15"/>
              </w:rPr>
              <w:t>Marge nette = 0.1%.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977.75 M FCFA</w:t>
            </w:r>
          </w:p>
        </w:tc>
        <w:tc>
          <w:tcPr>
            <w:tcW w:type="dxa" w:w="5669"/>
            <w:shd w:fill="FFFFFF" w:val="clear"/>
          </w:tcPr>
          <w:p>
            <w:r>
              <w:rPr>
                <w:color w:val="282828"/>
                <w:sz w:val="15"/>
              </w:rPr>
              <w:t>CAF = 0.98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-786.11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-453.31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-761.93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-1.239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29.373 Mds FCFA</w:t>
            </w:r>
          </w:p>
        </w:tc>
        <w:tc>
          <w:tcPr>
            <w:tcW w:type="dxa" w:w="5669"/>
            <w:shd w:fill="FFFFFF" w:val="clear"/>
          </w:tcPr>
          <w:p>
            <w:r>
              <w:rPr>
                <w:color w:val="282828"/>
                <w:sz w:val="15"/>
              </w:rPr>
              <w:t>BFR = 69.2%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12.680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-16.689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4.73%</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0.05%</w:t>
            </w:r>
          </w:p>
        </w:tc>
        <w:tc>
          <w:tcPr>
            <w:tcW w:type="dxa" w:w="5669"/>
            <w:shd w:fill="FFFFFF" w:val="clear"/>
          </w:tcPr>
          <w:p>
            <w:r>
              <w:rPr>
                <w:color w:val="282828"/>
                <w:sz w:val="15"/>
              </w:rPr>
              <w:t>Résultat net / revenus = 0.05%.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2.47%</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0.13%</w:t>
            </w:r>
          </w:p>
        </w:tc>
        <w:tc>
          <w:tcPr>
            <w:tcW w:type="dxa" w:w="5669"/>
            <w:shd w:fill="FFFFFF" w:val="clear"/>
          </w:tcPr>
          <w:p>
            <w:r>
              <w:rPr>
                <w:color w:val="282828"/>
                <w:sz w:val="15"/>
              </w:rPr>
              <w:t>Résultat net / capitaux propres = 0.13%.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0.05%</w:t>
            </w:r>
          </w:p>
        </w:tc>
        <w:tc>
          <w:tcPr>
            <w:tcW w:type="dxa" w:w="5669"/>
            <w:shd w:fill="FFFFFF" w:val="clear"/>
          </w:tcPr>
          <w:p>
            <w:r>
              <w:rPr>
                <w:color w:val="282828"/>
                <w:sz w:val="15"/>
              </w:rPr>
              <w:t>Résultat net / total actif = 0.05%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86.39%</w:t>
            </w:r>
          </w:p>
        </w:tc>
        <w:tc>
          <w:tcPr>
            <w:tcW w:type="dxa" w:w="5669"/>
            <w:shd w:fill="FFFFFF" w:val="clear"/>
          </w:tcPr>
          <w:p>
            <w:r>
              <w:rPr>
                <w:color w:val="282828"/>
                <w:sz w:val="15"/>
              </w:rPr>
              <w:t>CA / total actif = 86.39x.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198.54%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-6.31%</w:t>
            </w:r>
          </w:p>
        </w:tc>
        <w:tc>
          <w:tcPr>
            <w:tcW w:type="dxa" w:w="5669"/>
            <w:shd w:fill="FFFFFF" w:val="clear"/>
          </w:tcPr>
          <w:p>
            <w:r>
              <w:rPr>
                <w:color w:val="282828"/>
                <w:sz w:val="15"/>
              </w:rPr>
              <w:t>Croissance CA vs exercice précédent = -6.31%.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36.16%</w:t>
            </w:r>
          </w:p>
        </w:tc>
        <w:tc>
          <w:tcPr>
            <w:tcW w:type="dxa" w:w="5669"/>
            <w:shd w:fill="FFFFFF" w:val="clear"/>
          </w:tcPr>
          <w:p>
            <w:r>
              <w:rPr>
                <w:color w:val="282828"/>
                <w:sz w:val="15"/>
              </w:rPr>
              <w:t>Fonds propres / total bilan = 36.16%. ✅ Solide indépendance financière.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63.84%</w:t>
            </w:r>
          </w:p>
        </w:tc>
        <w:tc>
          <w:tcPr>
            <w:tcW w:type="dxa" w:w="5669"/>
            <w:shd w:fill="FFFFFF" w:val="clear"/>
          </w:tcPr>
          <w:p>
            <w:r>
              <w:rPr>
                <w:color w:val="282828"/>
                <w:sz w:val="15"/>
              </w:rPr>
              <w:t>Dettes financières / total bilan = 63.84%.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105.48%</w:t>
            </w:r>
          </w:p>
        </w:tc>
        <w:tc>
          <w:tcPr>
            <w:tcW w:type="dxa" w:w="5669"/>
            <w:shd w:fill="FFFFFF" w:val="clear"/>
          </w:tcPr>
          <w:p>
            <w:r>
              <w:rPr>
                <w:color w:val="282828"/>
                <w:sz w:val="15"/>
              </w:rPr>
              <w:t>Dettes totales / fonds propres = 105.48%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156.64%</w:t>
            </w:r>
          </w:p>
        </w:tc>
        <w:tc>
          <w:tcPr>
            <w:tcW w:type="dxa" w:w="5669"/>
            <w:shd w:fill="FFFFFF" w:val="clear"/>
          </w:tcPr>
          <w:p>
            <w:r>
              <w:rPr>
                <w:color w:val="282828"/>
                <w:sz w:val="15"/>
              </w:rPr>
              <w:t>Total actif / dettes totales = 156.64x.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141.69%</w:t>
            </w:r>
          </w:p>
        </w:tc>
        <w:tc>
          <w:tcPr>
            <w:tcW w:type="dxa" w:w="5669"/>
            <w:shd w:fill="FFFFFF" w:val="clear"/>
          </w:tcPr>
          <w:p>
            <w:r>
              <w:rPr>
                <w:color w:val="282828"/>
                <w:sz w:val="15"/>
              </w:rPr>
              <w:t>Actif circulant / passif circulant = 141.69x.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15.54%</w:t>
            </w:r>
          </w:p>
        </w:tc>
        <w:tc>
          <w:tcPr>
            <w:tcW w:type="dxa" w:w="5669"/>
            <w:shd w:fill="FFFFFF" w:val="clear"/>
          </w:tcPr>
          <w:p>
            <w:r>
              <w:rPr>
                <w:color w:val="282828"/>
                <w:sz w:val="15"/>
              </w:rPr>
              <w:t>Trésorerie / passif circulant = 15.54x. ⚠️ Trésorerie immédiate limitée.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46.54%</w:t>
            </w:r>
          </w:p>
        </w:tc>
        <w:tc>
          <w:tcPr>
            <w:tcW w:type="dxa" w:w="5669"/>
            <w:shd w:fill="FFFFFF" w:val="clear"/>
          </w:tcPr>
          <w:p>
            <w:r>
              <w:rPr>
                <w:color w:val="282828"/>
                <w:sz w:val="15"/>
              </w:rPr>
              <w:t>(Actif circ. - stocks) / passif circ. = 46.54x.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310.18%</w:t>
            </w:r>
          </w:p>
        </w:tc>
        <w:tc>
          <w:tcPr>
            <w:tcW w:type="dxa" w:w="5669"/>
            <w:shd w:fill="FFFFFF" w:val="clear"/>
          </w:tcPr>
          <w:p>
            <w:r>
              <w:rPr>
                <w:color w:val="282828"/>
                <w:sz w:val="15"/>
              </w:rPr>
              <w:t>Capitaux permanents / actif immobilisé = 310.18x.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19.2 ans</w:t>
            </w:r>
          </w:p>
        </w:tc>
        <w:tc>
          <w:tcPr>
            <w:tcW w:type="dxa" w:w="5669"/>
            <w:shd w:fill="FFFFFF" w:val="clear"/>
          </w:tcPr>
          <w:p>
            <w:r>
              <w:rPr>
                <w:color w:val="282828"/>
                <w:sz w:val="15"/>
              </w:rPr>
              <w:t>Dettes financières / CAF = 19.2 ans. ❌ Capacité de remboursement très dégradée.</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101.74%</w:t>
            </w:r>
          </w:p>
        </w:tc>
        <w:tc>
          <w:tcPr>
            <w:tcW w:type="dxa" w:w="5669"/>
            <w:shd w:fill="FFFFFF" w:val="clear"/>
          </w:tcPr>
          <w:p>
            <w:r>
              <w:rPr>
                <w:color w:val="282828"/>
                <w:sz w:val="15"/>
              </w:rPr>
              <w:t>Résultat exploit. / charges financières = 101.74x. ⚠️ Couverture limite — sensible aux hausses de taux.</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215.69%</w:t>
            </w:r>
          </w:p>
        </w:tc>
        <w:tc>
          <w:tcPr>
            <w:tcW w:type="dxa" w:w="5669"/>
            <w:shd w:fill="FFFFFF" w:val="clear"/>
          </w:tcPr>
          <w:p>
            <w:r>
              <w:rPr>
                <w:color w:val="282828"/>
                <w:sz w:val="15"/>
              </w:rPr>
              <w:t>CAF / investissements = 215.69x.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104.4 j</w:t>
            </w:r>
          </w:p>
        </w:tc>
        <w:tc>
          <w:tcPr>
            <w:tcW w:type="dxa" w:w="5669"/>
            <w:shd w:fill="FFFFFF" w:val="clear"/>
          </w:tcPr>
          <w:p>
            <w:r>
              <w:rPr>
                <w:color w:val="282828"/>
                <w:sz w:val="15"/>
              </w:rPr>
              <w:t>Les clients paient en moyenne en 104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116.1 j</w:t>
            </w:r>
          </w:p>
        </w:tc>
        <w:tc>
          <w:tcPr>
            <w:tcW w:type="dxa" w:w="5669"/>
            <w:shd w:fill="FFFFFF" w:val="clear"/>
          </w:tcPr>
          <w:p>
            <w:r>
              <w:rPr>
                <w:color w:val="282828"/>
                <w:sz w:val="15"/>
              </w:rPr>
              <w:t>Paiement des fournisseurs en 116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339.2 j</w:t>
            </w:r>
          </w:p>
        </w:tc>
        <w:tc>
          <w:tcPr>
            <w:tcW w:type="dxa" w:w="5669"/>
            <w:shd w:fill="FFFFFF" w:val="clear"/>
          </w:tcPr>
          <w:p>
            <w:r>
              <w:rPr>
                <w:color w:val="282828"/>
                <w:sz w:val="15"/>
              </w:rPr>
              <w:t>Stock écoulé en 339 jours. ❌ Stock quasi-bloqué — risque d'obsolescence ou de surstock.</w:t>
            </w:r>
          </w:p>
        </w:tc>
      </w:tr>
    </w:tbl>
    <w:p/>
    <w:p>
      <w:pPr>
        <w:spacing w:after="120" w:line="276" w:lineRule="auto"/>
      </w:pPr>
      <w:r>
        <w:t>**RAPPORT D'ANALYSE FINANCIÈRE — BNBC (BERNABÉ CÔTE D'IVOIRE)**</w:t>
        <w:br/>
        <w:t>**Bourse Régionale des Valeurs Mobilières (BRVM) — Secteur : Entreprise (Distribution industrielle / Matériaux / Équipement)**</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11,76 milliards FCFA, BNBC se situe dans la catégorie des petites capitalisations de la BRVM, ce qui limite sa liquidité et son attrait pour les investisseurs institutionnels. Le BPA de 3 FCFA/action est extrêmement faible, reflet d'une rentabilité nette quasi-nulle (marge nette de 0,05% en 2025). Le PER de 526,8x traduit une valorisation boursière totalement déconnectée des bénéfices : les investisseurs paient environ 527 fois les profits annuels, contre une moyenne BRVM de 8 à 12x — signal de surévaluation manifeste ou de spéculation sur un retournement futur. À l'inverse, le P/B de 0,66x indique que le marché valorise l'action à 34% en dessous de sa valeur comptable (capitaux propres de 17,77 Mds FCFA), ce qui constitue une opportunité potentielle en cas de redressement. L'EV/EBITDA de 23,5x, très supérieur au seuil de 15x, confirme que la valeur d'entreprise intègre une prime spéculative que la capacité opérationnelle actuelle (EBE de 2,009 Mds FCFA) ne justifie pas pleinement.</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BNBC affiche une progression totale de +18,33%, malgré un repli de -1,39% lors de la dernière séance, portant le cours à 1 775 FCFA. Le range de trading est large, entre un plus bas de 1 495 FCFA et un plus haut de 2 400 FCFA, soit une amplitude de 60,5% qui témoigne d'une forte nervosité du marché. La tendance générale reste haussière sur la période, mais le cours actuel (1 775 FCFA) se situe nettement sous la moyenne (1 940 FCFA) et la médiane (1 962 FCFA), signalant une correction en cours depuis les sommets. L'écart faible entre moyenne et médiane (22 FCFA) indique une distribution quasi-symétrique, confirmée par un skewness de -0,050 (symétrie parfaite). L'écart-type de 169 FCFA avec un coefficient de variation de 8,7% traduit une dispersion modérée autour de la moyenne. Le kurtosis de 0,716 (mésokurtique) suggère une distribution proche de la normale, sans risque excessif de pics extrêmes. La volatilité annualisée de 52,5% classe le titre dans la catégorie des valeurs à volatilité élevée (&gt;30%), ce qui implique un risque de perte en capital significatif à court terme.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(1 910,25 FCFA) et la MM50 (2 020,8 FCFA) se situent toutes deux au-dessus du cours actuel (1 775 FCFA), confirmant une configuration baissière de court et moyen terme. Le cours évolue sous ses deux moyennes, ce qui valide la décision de vente émise par le système, avec une pression vendeuse persistante.</w:t>
      </w:r>
    </w:p>
    <w:p>
      <w:pPr>
        <w:spacing w:after="120" w:line="276" w:lineRule="auto"/>
      </w:pPr>
      <w:r>
        <w:t>**Bandes de Bollinger :** Le cours (1 775 FCFA) se situe juste au-dessus de la borne inférieure (1 752,99 FCFA) et loin de la borne supérieure (2 067,51 FCFA), indiquant une position de faiblesse relative. La décision neutre reflète l'absence de signal extrême, mais la proximité de la borne basse suggère un potentiel de rebond technique ou une continuation baissière si le support cède.</w:t>
      </w:r>
    </w:p>
    <w:p>
      <w:pPr>
        <w:spacing w:after="120" w:line="276" w:lineRule="auto"/>
      </w:pPr>
      <w:r>
        <w:t>**MACD :** La valeur du MACD (-63,652) est inférieure à son signal (-52,877), avec un histogramme négatif, confirmant un momentum baissier. La décision de vente est justifiée par cette divergence négative persistante, bien que l'écart entre les deux lignes tende à se réduire, ce qui pourrait annoncer un ralentissement de la baisse.</w:t>
      </w:r>
    </w:p>
    <w:p>
      <w:pPr>
        <w:spacing w:after="120" w:line="276" w:lineRule="auto"/>
      </w:pPr>
      <w:r>
        <w:t>**RSI :** À 43,275, le RSI se situe en zone neutre (30-70), sans signal de surachat ni de survente. Cette position médiane indique un équilibre précaire entre acheteurs et vendeurs, avec une légère prédominance baissière, mais sans pression extrême.</w:t>
      </w:r>
    </w:p>
    <w:p>
      <w:pPr>
        <w:spacing w:after="120" w:line="276" w:lineRule="auto"/>
      </w:pPr>
      <w:r>
        <w:t>**Stochastique :** Le %K à 0,0 et le %D à 13,492 indiquent une position de survente extrême, avec un croisement potentiel à venir. La décision d'achat émise par cet indicateur contredit les autres signaux techniques, suggérant qu'un rebond technique à court terme est possible, mais fragile.</w:t>
      </w:r>
    </w:p>
    <w:p>
      <w:pPr>
        <w:spacing w:after="120" w:line="276" w:lineRule="auto"/>
      </w:pPr>
      <w:r>
        <w:t>**Conclusion technique :** Les indicateurs techniques sont majoritairement baissiers (MM, MACD), avec un RSI neutre et un stochastique en survente qui offre une lueur d'espoir pour un rebond. La convergence des signaux négatifs (cours sous les MM, MACD négatif) domine, mais la divergence du stochastique invite à la prudence avant toute décision de vente agressive. Le titre se trouve dans une zone de correction qui pourrait se poursuivre vers les 1 750 FCFA, sauf réaction haussière sur le support des Bandes de Bollinger.</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BNBC a réalisé un chiffre d'affaires de 42,454 milliards FCFA, en recul de -6,31% par rapport à 2024 (45,312 milliards FCFA), signalant une perte de dynamique commerciale. Le résultat net s'établit à 22,318 millions FCFA, en amélioration par rapport aux 7,313 millions de 2024, mais la marge nette reste anémique à 0,0526%, et le ROE est quasi-nul à 0,1256%, très loin du seuil de 15% considéré comme excellent. Le ROA de 0,0454% confirme l'inefficacité de l'utilisation des actifs. La structure financière révèle des fragilités majeures : une trésorerie nette de -16,689 milliards FCFA (découvert bancaire massif), un BFR de 29,373 milliards FCFA (délai clients de 104,40 jours et durée de stockage de 339,23 jours, très élevés), et un ratio d'endettement de 105,48% (dettes totales &gt; capitaux propres). La capacité de remboursement est préoccupante à 19,17 années de CAF. Les rapports trimestriels confirment ces tendances : le T1 2026 (publié le 31/12/2026) affiche un CA stable à 11,194 milliards FCFA (-0,12%) mais un résultat net positif de 65,566 millions FCFA contre une perte de 16,147 millions au T1 2025, grâce à l'intégration de la division Équipement. Le rapport du T3 2025 (30/09/2025) faisait état d'une perte nette de -157,03 millions FCFA sur 9 mois, avec un CA en recul de -3%. Le rapport annuel 2025 (31/12/2025) confirme l'absence de dividende (0 FCFA) et une trésorerie nette négative de -16,69 milliards FCFA. Sur la base du T1 2026, on estime que l'exercice 2026 pourrait renouer avec une légère rentabilité si la division Équipement monte en puissance, mais les risques de liquidité et la faiblesse structurelle de la marge nette persistent. La recommandation fondamentale est de **conserver avec une surveillance accrue**, en attendant la confirmation d'un redressement durable au T2 2026.</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(Partie 0) présente un paradoxe : un PER de 526,8x et un EV/EBITDA de 23,5x suggèrent une surévaluation spéculative, tandis que le P/B de 0,66x indique une décote sur les fonds propres. Le comportement du cours (Partie 1) est haussier sur 100 jours (+18,33%) mais en correction récente (-1,39% J-1), avec une volatilité élevée (52,5%) et une distribution symétrique (skewness -0,05, kurtosis 0,716) qui n'écarte pas de pics baissiers. Les signaux techniques (Partie 2) sont majoritairement baissiers (cours sous MM20/MM50, MACD négatif), mais le stochastique en survente (%K=0) et le RSI neutre (43,3) suggèrent un possible rebond à court terme. Les fondamentaux (Partie 3) restent fragiles : rentabilité quasi-nulle (ROE 0,13%), trésorerie nette de -16,69 Mds FCFA, et absence de dividende, malgré une amélioration du résultat net au T1 2026 (65,6 M FCFA). Les prédictions IA (J+1 à J+10) tablent sur une légère reprise vers 1 781-1 789 FCFA, ce qui confirme un rebond technique modéré mais ne contredit pas la tendance baissière de fond. Sur la base de cette synthèse, la recommandation finale est **CONSERVER**, avec un niveau de confiance **Moyen** et un risque global **Élevé**. L'horizon d'investissement optimal est le **moyen terme (3-12 mois)**, en attendant la confirmation d'un redressement opérationnel et d'une amélioration de la trésorerie. Une position vendeuse serait justifiée si le cours casse le support de 1 750 FCFA, tandis qu'un passage à l'achat nécessiterait une confirmation de la rentabilité au T2 2026 et un retour du cours au-dessus de la MM20 (1 910 FCFA).</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"Retournement spectaculaire vers la rentabilit\u00e9 avec un r\u00e9sultat net positif de 65,6 millions FCFA contre une perte l'an dernier. Les perspectives de croissance sont solides gr\u00e2ce \u00e0 la mont\u00e9e en puissance des nouvelles divisions et aux investissements r\u00e9alis\u00e9s."}</w:t>
      </w:r>
    </w:p>
    <w:p>
      <w:pPr>
        <w:spacing w:before="40"/>
        <w:ind w:left="400"/>
      </w:pPr>
      <w:r>
        <w:rPr>
          <w:sz w:val="18"/>
        </w:rPr>
        <w:t xml:space="preserve">BERNABE COTE D'IVOIRE affiche des résultats mitigés au 1er trimestre 2026 avec un chiffre d'affaires stable à 11,194 milliards FCFA mais en léger recul de 13 MCFA par rapport à 2025. Le résultat net s'établit à 65,566 millions FCFA contre une perte de 16,147 millions en 2025, soit une amélioration significative de 81,7 millions FCFA. Cette performance positive est néanmoins impactée par l'intégration de la division Équipement qui est encore en phase de montée en puissance. La société mise sur le développement de ses départements Équipement, Power et Matériaux pour soutenir sa croissance future. Les perspectives restent optimistes avec un retour attendu vers un résultat net positif durable à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'1,656 milliards FCFA', 'variation_resultat_net': '+506%', 'resultat_activites_ordinaires': '65,566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0,59%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65,566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11,194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11,194 milliards FCFA (-0,1% vs T1 2025)</w:t>
      </w:r>
    </w:p>
    <w:p>
      <w:pPr>
        <w:pStyle w:val="ListBullet"/>
        <w:spacing w:before="20" w:after="20"/>
        <w:ind w:left="700"/>
      </w:pPr>
      <w:r>
        <w:rPr>
          <w:sz w:val="18"/>
        </w:rPr>
        <w:t>Amélioration spectaculaire du résultat net : +81,7 millions FCFA (passage de -16,147 à +65,566 millions FCFA)</w:t>
      </w:r>
    </w:p>
    <w:p>
      <w:pPr>
        <w:pStyle w:val="ListBullet"/>
        <w:spacing w:before="20" w:after="20"/>
        <w:ind w:left="700"/>
      </w:pPr>
      <w:r>
        <w:rPr>
          <w:sz w:val="18"/>
        </w:rPr>
        <w:t>Intégration réussie de la division Équipement au 01/01/2026, encore en phase de montée en puissance</w:t>
      </w:r>
    </w:p>
    <w:p>
      <w:pPr>
        <w:pStyle w:val="ListBullet"/>
        <w:spacing w:before="20" w:after="20"/>
        <w:ind w:left="700"/>
      </w:pPr>
      <w:r>
        <w:rPr>
          <w:sz w:val="18"/>
        </w:rPr>
        <w:t>Baisse du chiffre d'affaires expliquée par la non-reconduction d'affaires exceptionnelles de 2025</w:t>
      </w:r>
    </w:p>
    <w:p>
      <w:pPr>
        <w:pStyle w:val="ListBullet"/>
        <w:spacing w:before="20" w:after="20"/>
        <w:ind w:left="700"/>
      </w:pPr>
      <w:r>
        <w:rPr>
          <w:sz w:val="18"/>
        </w:rPr>
        <w:t>Bonne maîtrise des charges d'exploitation et financières par la direction</w:t>
      </w:r>
    </w:p>
    <w:p>
      <w:pPr>
        <w:pStyle w:val="ListBullet"/>
        <w:spacing w:before="20" w:after="20"/>
        <w:ind w:left="700"/>
      </w:pPr>
      <w:r>
        <w:rPr>
          <w:sz w:val="18"/>
        </w:rPr>
        <w:t>Mise en service du nouveau showroom Technibat KM4 pour soutenir l'activité Matériaux</w:t>
      </w:r>
    </w:p>
    <w:p>
      <w:pPr>
        <w:spacing w:before="40"/>
        <w:ind w:left="400"/>
      </w:pPr>
      <w:r>
        <w:rPr>
          <w:b/>
          <w:color w:val="C05000"/>
          <w:sz w:val="18"/>
        </w:rPr>
        <w:t xml:space="preserve">⚠️ Risques : </w:t>
      </w:r>
      <w:r>
        <w:rPr>
          <w:sz w:val="18"/>
        </w:rPr>
        <w:t>["D\u00e9pendance aux affaires exceptionnelles pour soutenir le niveau d'activit\u00e9", "Phase de mont\u00e9e en puissance de la division \u00c9quipement qui pourrait impacter temporairement la rentabilit\u00e9", "N\u00e9cessit\u00e9 de maintenir la ma\u00eetrise des charges dans un contexte de d\u</w:t>
      </w:r>
    </w:p>
    <w:p>
      <w:pPr>
        <w:spacing w:before="40"/>
        <w:ind w:left="400"/>
      </w:pPr>
      <w:r>
        <w:rPr>
          <w:b/>
          <w:color w:val="0064A0"/>
          <w:sz w:val="18"/>
        </w:rPr>
        <w:t xml:space="preserve">🔮 Perspectives : </w:t>
      </w:r>
      <w:r>
        <w:rPr>
          <w:sz w:val="18"/>
        </w:rPr>
        <w:t>La société anticipe une croissance soutenue grâce à la montée en puissance des départements Équipement et Power, ainsi qu'au développement de l'activité Matériaux appuyée par le nouveau showroom. Les transformations organisationnelles et la maîtrise des charges devraient permettre un retour progress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am\u00e9lioration du r\u00e9sultat net, la soci\u00e9t\u00e9 pr\u00e9sente des d\u00e9fis de tr\u00e9sorerie et une rentabilit\u00e9 tr\u00e8s faible. Les fondamentaux restent solides avec des capitaux propres importants mais n\u00e9cessitent une surveillance."}</w:t>
      </w:r>
    </w:p>
    <w:p>
      <w:pPr>
        <w:spacing w:before="40"/>
        <w:ind w:left="400"/>
      </w:pPr>
      <w:r>
        <w:rPr>
          <w:sz w:val="18"/>
        </w:rPr>
        <w:t>BERNABE CI présente des états financiers de synthèse au 31 décembre 2025 avec un chiffre d'affaires en hausse à 42,45 milliards FCFA contre 49,14 milliards en 2024. La société affiche un résultat net positif de 22,3 millions FCFA en 2025, en amélioration par rapport aux 7,3 millions de 2024. Le total actif s'élève à 49,14 milliards FCFA avec des capitaux propres solides de 17,77 milliards FCFA. La trésorerie reste négative mais s'améliore légèrement. Aucun dividende n'est prévu pour distribution, les bénéfices étant mis en report à nouveau.</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'6 016 717 235 FCFA', 'tresorerie_nette': '-16 688 923 003 FCFA', 'endettement_financier': '896 547 706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0,05%</w:t>
            </w:r>
          </w:p>
        </w:tc>
        <w:tc>
          <w:tcPr>
            <w:tcW w:type="dxa" w:w="2160"/>
          </w:tcPr>
          <w:p>
            <w:pPr>
              <w:ind w:left="100"/>
            </w:pPr>
            <w:r/>
            <w:r>
              <w:rPr>
                <w:b/>
                <w:sz w:val="16"/>
              </w:rPr>
              <w:t>total_actif</w:t>
              <w:br/>
            </w:r>
            <w:r>
              <w:rPr>
                <w:sz w:val="18"/>
              </w:rPr>
              <w:t>49 140 780 873 FCFA</w:t>
            </w:r>
          </w:p>
        </w:tc>
      </w:tr>
      <w:tr>
        <w:tc>
          <w:tcPr>
            <w:tcW w:type="dxa" w:w="2160"/>
          </w:tcPr>
          <w:p>
            <w:r/>
            <w:r>
              <w:rPr>
                <w:b/>
                <w:sz w:val="16"/>
              </w:rPr>
              <w:t>resultat_net</w:t>
              <w:br/>
            </w:r>
            <w:r>
              <w:rPr>
                <w:sz w:val="18"/>
              </w:rPr>
              <w:t>22 318 122 FCFA</w:t>
            </w:r>
          </w:p>
        </w:tc>
        <w:tc>
          <w:tcPr>
            <w:tcW w:type="dxa" w:w="2160"/>
          </w:tcPr>
          <w:p>
            <w:r/>
            <w:r>
              <w:rPr>
                <w:b/>
                <w:sz w:val="16"/>
              </w:rPr>
              <w:t>capitaux_propres</w:t>
              <w:br/>
            </w:r>
            <w:r>
              <w:rPr>
                <w:sz w:val="18"/>
              </w:rPr>
              <w:t>17 769 953 951 FCFA</w:t>
            </w:r>
          </w:p>
        </w:tc>
        <w:tc>
          <w:tcPr>
            <w:tcW w:type="dxa" w:w="2160"/>
          </w:tcPr>
          <w:p>
            <w:r/>
            <w:r>
              <w:rPr>
                <w:b/>
                <w:sz w:val="16"/>
              </w:rPr>
              <w:t>chiffre_affaires</w:t>
              <w:br/>
            </w:r>
            <w:r>
              <w:rPr>
                <w:sz w:val="18"/>
              </w:rPr>
              <w:t>42 454 188 321 FCFA</w:t>
            </w:r>
          </w:p>
        </w:tc>
        <w:tc>
          <w:tcPr>
            <w:tcW w:type="dxa" w:w="2160"/>
          </w:tcPr>
          <w:p/>
        </w:tc>
      </w:tr>
    </w:tbl>
    <w:p/>
    <w:p>
      <w:pPr>
        <w:spacing w:before="60"/>
        <w:ind w:left="400"/>
      </w:pPr>
      <w:r>
        <w:rPr>
          <w:b/>
          <w:sz w:val="18"/>
        </w:rPr>
        <w:t>Points clés :</w:t>
      </w:r>
    </w:p>
    <w:p>
      <w:pPr>
        <w:pStyle w:val="ListBullet"/>
        <w:spacing w:before="20" w:after="20"/>
        <w:ind w:left="700"/>
      </w:pPr>
      <w:r>
        <w:rPr>
          <w:sz w:val="18"/>
        </w:rPr>
        <w:t>Amélioration du résultat net de 205% passant de 7,3 à 22,3 millions FCFA</w:t>
      </w:r>
    </w:p>
    <w:p>
      <w:pPr>
        <w:pStyle w:val="ListBullet"/>
        <w:spacing w:before="20" w:after="20"/>
        <w:ind w:left="700"/>
      </w:pPr>
      <w:r>
        <w:rPr>
          <w:sz w:val="18"/>
        </w:rPr>
        <w:t>Chiffre d'affaires stable autour de 42-49 milliards FCFA selon les périodes comparées</w:t>
      </w:r>
    </w:p>
    <w:p>
      <w:pPr>
        <w:pStyle w:val="ListBullet"/>
        <w:spacing w:before="20" w:after="20"/>
        <w:ind w:left="700"/>
      </w:pPr>
      <w:r>
        <w:rPr>
          <w:sz w:val="18"/>
        </w:rPr>
        <w:t>Capitaux propres stables à 17,77 milliards FCFA démontrant une solidité financière</w:t>
      </w:r>
    </w:p>
    <w:p>
      <w:pPr>
        <w:pStyle w:val="ListBullet"/>
        <w:spacing w:before="20" w:after="20"/>
        <w:ind w:left="700"/>
      </w:pPr>
      <w:r>
        <w:rPr>
          <w:sz w:val="18"/>
        </w:rPr>
        <w:t>Trésorerie nette négative de 16,69 milliards FCFA mais en légère amélioration</w:t>
      </w:r>
    </w:p>
    <w:p>
      <w:pPr>
        <w:pStyle w:val="ListBullet"/>
        <w:spacing w:before="20" w:after="20"/>
        <w:ind w:left="700"/>
      </w:pPr>
      <w:r>
        <w:rPr>
          <w:sz w:val="18"/>
        </w:rPr>
        <w:t>Politique de non-distribution de dividendes avec mise en report à nouveau de 13,32 milliards FCFA</w:t>
      </w:r>
    </w:p>
    <w:p>
      <w:pPr>
        <w:pStyle w:val="ListBullet"/>
        <w:spacing w:before="20" w:after="20"/>
        <w:ind w:left="700"/>
      </w:pPr>
      <w:r>
        <w:rPr>
          <w:sz w:val="18"/>
        </w:rPr>
        <w:t>Endettement financier en hausse à 896,5 millions FCFA contre 208,5 millions en 2024</w:t>
      </w:r>
    </w:p>
    <w:p>
      <w:pPr>
        <w:spacing w:before="40"/>
        <w:ind w:left="400"/>
      </w:pPr>
      <w:r>
        <w:rPr>
          <w:b/>
          <w:color w:val="C05000"/>
          <w:sz w:val="18"/>
        </w:rPr>
        <w:t xml:space="preserve">⚠️ Risques : </w:t>
      </w:r>
      <w:r>
        <w:rPr>
          <w:sz w:val="18"/>
        </w:rPr>
        <w:t>["Tr\u00e9sorerie nette fortement n\u00e9gative cr\u00e9ant un risque de liquidit\u00e9 important", "Rentabilit\u00e9 tr\u00e8s faible avec une marge nette de seulement 0,05%", "Augmentation significative de l'endettement financier multipli\u00e9 par plus de 4"]</w:t>
      </w:r>
    </w:p>
    <w:p>
      <w:pPr>
        <w:spacing w:before="40"/>
        <w:ind w:left="400"/>
      </w:pPr>
      <w:r>
        <w:rPr>
          <w:b/>
          <w:color w:val="0064A0"/>
          <w:sz w:val="18"/>
        </w:rPr>
        <w:t xml:space="preserve">🔮 Perspectives : </w:t>
      </w:r>
      <w:r>
        <w:rPr>
          <w:sz w:val="18"/>
        </w:rPr>
        <w:t>L'assemblée générale du 15 juin 2026 devra valider ces comptes et définir la stratégie pour améliorer la génération de cash-flows opérationnels. La société devra gérer attentivement sa trésorerie et optimiser sa rentabilité pour assurer sa pérennité financière.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"Performances exceptionnelles avec une rentabilit\u00e9 qui explose et une croissance soutenue du CA. La ma\u00eetrise des co\u00fbts et les perspectives optimistes justifient un potentiel d'appr\u00e9ciation."}</w:t>
      </w:r>
    </w:p>
    <w:p>
      <w:pPr>
        <w:spacing w:before="40"/>
        <w:ind w:left="400"/>
      </w:pPr>
      <w:r>
        <w:rPr>
          <w:sz w:val="18"/>
        </w:rPr>
        <w:t>BERNABE CI affiche d'excellentes performances au 3ème trimestre 2021 avec un chiffre d'affaires de 33,829 milliards FCFA, en hausse de 15,95% par rapport à 2020. Le résultat net explose de 291,20% à 1,422 milliards FCFA contre 363,52 millions en 2020, témoignant d'une forte amélioration de la rentabilité. Cette croissance s'explique par la reprise post-COVID, la hausse des prix dans la métallurgie et l'expansion dans les groupes électrogènes. La maîtrise des coûts d'exploitation et la baisse des charges financières contribuent à cette performance exceptionnelle. La société vise à maintenir cette dynamique sur le 4ème trimestre avec des mesures d'optimisation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 '466,20 millions FCFA', 'marge_exploitation': '6,60%', 'resultat_avant_impot': '1,888 milliards FCFA', 'resultat_exploitation': '2,231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1,422 milliards FCFA (9 mois)</w:t>
            </w:r>
          </w:p>
        </w:tc>
        <w:tc>
          <w:tcPr>
            <w:tcW w:type="dxa" w:w="2160"/>
          </w:tcPr>
          <w:p>
            <w:r/>
            <w:r>
              <w:rPr>
                <w:b/>
                <w:sz w:val="16"/>
              </w:rPr>
              <w:t>capitaux_propres</w:t>
              <w:br/>
            </w:r>
            <w:r>
              <w:rPr>
                <w:sz w:val="18"/>
              </w:rPr>
              <w:t>None</w:t>
            </w:r>
          </w:p>
        </w:tc>
        <w:tc>
          <w:tcPr>
            <w:tcW w:type="dxa" w:w="2160"/>
          </w:tcPr>
          <w:p>
            <w:r/>
            <w:r>
              <w:rPr>
                <w:b/>
                <w:sz w:val="16"/>
              </w:rPr>
              <w:t>chiffre_affaires</w:t>
              <w:br/>
            </w:r>
            <w:r>
              <w:rPr>
                <w:sz w:val="18"/>
              </w:rPr>
              <w:t>33,829 milliards FCFA (9 mois)</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15,95% à 33,829 milliards FCFA au T3 2021</w:t>
      </w:r>
    </w:p>
    <w:p>
      <w:pPr>
        <w:pStyle w:val="ListBullet"/>
        <w:spacing w:before="20" w:after="20"/>
        <w:ind w:left="700"/>
      </w:pPr>
      <w:r>
        <w:rPr>
          <w:sz w:val="18"/>
        </w:rPr>
        <w:t>Explosion du résultat net de 291,20% à 1,422 milliards FCFA</w:t>
      </w:r>
    </w:p>
    <w:p>
      <w:pPr>
        <w:pStyle w:val="ListBullet"/>
        <w:spacing w:before="20" w:after="20"/>
        <w:ind w:left="700"/>
      </w:pPr>
      <w:r>
        <w:rPr>
          <w:sz w:val="18"/>
        </w:rPr>
        <w:t>Résultat d'exploitation multiplié par 2,3 (128,97% de croissance)</w:t>
      </w:r>
    </w:p>
    <w:p>
      <w:pPr>
        <w:pStyle w:val="ListBullet"/>
        <w:spacing w:before="20" w:after="20"/>
        <w:ind w:left="700"/>
      </w:pPr>
      <w:r>
        <w:rPr>
          <w:sz w:val="18"/>
        </w:rPr>
        <w:t>Amélioration du résultat financier avec réduction des coûts de 25,34%</w:t>
      </w:r>
    </w:p>
    <w:p>
      <w:pPr>
        <w:pStyle w:val="ListBullet"/>
        <w:spacing w:before="20" w:after="20"/>
        <w:ind w:left="700"/>
      </w:pPr>
      <w:r>
        <w:rPr>
          <w:sz w:val="18"/>
        </w:rPr>
        <w:t>Reprise d'activité post-COVID avec hausse des prix dans la métallurgie</w:t>
      </w:r>
    </w:p>
    <w:p>
      <w:pPr>
        <w:pStyle w:val="ListBullet"/>
        <w:spacing w:before="20" w:after="20"/>
        <w:ind w:left="700"/>
      </w:pPr>
      <w:r>
        <w:rPr>
          <w:sz w:val="18"/>
        </w:rPr>
        <w:t>Expansion réussie dans le secteur des groupes électrogènes</w:t>
      </w:r>
    </w:p>
    <w:p>
      <w:pPr>
        <w:spacing w:before="40"/>
        <w:ind w:left="400"/>
      </w:pPr>
      <w:r>
        <w:rPr>
          <w:b/>
          <w:color w:val="C05000"/>
          <w:sz w:val="18"/>
        </w:rPr>
        <w:t xml:space="preserve">⚠️ Risques : </w:t>
      </w:r>
      <w:r>
        <w:rPr>
          <w:sz w:val="18"/>
        </w:rPr>
        <w:t>["D\u00e9pendance \u00e0 l'\u00e9volution de la crise sanitaire COVID-19", "Volatilit\u00e9 des prix des mati\u00e8res premi\u00e8res dans le secteur m\u00e9tallurgique", "Risque de d\u00e9gradation des cr\u00e9ances clients dans un contexte \u00e9conomique incertain"]</w:t>
      </w:r>
    </w:p>
    <w:p>
      <w:pPr>
        <w:spacing w:before="40"/>
        <w:ind w:left="400"/>
      </w:pPr>
      <w:r>
        <w:rPr>
          <w:b/>
          <w:color w:val="0064A0"/>
          <w:sz w:val="18"/>
        </w:rPr>
        <w:t xml:space="preserve">🔮 Perspectives : </w:t>
      </w:r>
      <w:r>
        <w:rPr>
          <w:sz w:val="18"/>
        </w:rPr>
        <w:t>La direction affiche un optimisme prudent pour le T4 2021 avec des objectifs de maintien du niveau d'activité et de rentabilité. Les mesures d'amélioration du cash-flow et de maîtrise des charges devraient soutenir les performances. L'élargissement des gammes et la formation des équipes visent à ren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de la rentabilit\u00e9 et l'am\u00e9lioration des marges sont encourageantes. Cependant, la tr\u00e9sorerie nette n\u00e9gative et l'absence de dividendes incitent \u00e0 la prudence \u00e0 court terme."}</w:t>
      </w:r>
    </w:p>
    <w:p>
      <w:pPr>
        <w:spacing w:before="40"/>
        <w:ind w:left="400"/>
      </w:pPr>
      <w:r>
        <w:rPr>
          <w:sz w:val="18"/>
        </w:rPr>
        <w:t>BERNABE CI affiche une solide performance financière pour l'exercice 2021 avec un chiffre d'affaires en hausse de 12,5% à 44,4 milliards FCFA. Le résultat net a plus que doublé, passant de 629,8 millions à 1,6 milliard FCFA, témoignant d'une amélioration significative de la rentabilité. La marge nette s'établit à 3,6% contre 1,6% en 2020, reflétant une meilleure maîtrise des coûts. La société maintient une structure financière équilibrée avec des capitaux propres renforcés à 17 milliards FCFA. Aucun dividende n'est proposé pour 2021, la société privilégiant le renforcement de ses fonds propres.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'7,98 milliards FCFA', 'tresorerie_nette': '-7,99 milliards FCFA', 'excedent_brut_exploitation': '3,8 milliards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3,6%</w:t>
            </w:r>
          </w:p>
        </w:tc>
        <w:tc>
          <w:tcPr>
            <w:tcW w:type="dxa" w:w="2160"/>
          </w:tcPr>
          <w:p>
            <w:pPr>
              <w:ind w:left="100"/>
            </w:pPr>
            <w:r/>
            <w:r>
              <w:rPr>
                <w:b/>
                <w:sz w:val="16"/>
              </w:rPr>
              <w:t>total_actif</w:t>
              <w:br/>
            </w:r>
            <w:r>
              <w:rPr>
                <w:sz w:val="18"/>
              </w:rPr>
              <w:t>46 milliards FCFA</w:t>
            </w:r>
          </w:p>
        </w:tc>
      </w:tr>
      <w:tr>
        <w:tc>
          <w:tcPr>
            <w:tcW w:type="dxa" w:w="2160"/>
          </w:tcPr>
          <w:p>
            <w:r/>
            <w:r>
              <w:rPr>
                <w:b/>
                <w:sz w:val="16"/>
              </w:rPr>
              <w:t>resultat_net</w:t>
              <w:br/>
            </w:r>
            <w:r>
              <w:rPr>
                <w:sz w:val="18"/>
              </w:rPr>
              <w:t>1,6 milliard FCFA</w:t>
            </w:r>
          </w:p>
        </w:tc>
        <w:tc>
          <w:tcPr>
            <w:tcW w:type="dxa" w:w="2160"/>
          </w:tcPr>
          <w:p>
            <w:r/>
            <w:r>
              <w:rPr>
                <w:b/>
                <w:sz w:val="16"/>
              </w:rPr>
              <w:t>capitaux_propres</w:t>
              <w:br/>
            </w:r>
            <w:r>
              <w:rPr>
                <w:sz w:val="18"/>
              </w:rPr>
              <w:t>17 milliards FCFA</w:t>
            </w:r>
          </w:p>
        </w:tc>
        <w:tc>
          <w:tcPr>
            <w:tcW w:type="dxa" w:w="2160"/>
          </w:tcPr>
          <w:p>
            <w:r/>
            <w:r>
              <w:rPr>
                <w:b/>
                <w:sz w:val="16"/>
              </w:rPr>
              <w:t>chiffre_affaires</w:t>
              <w:br/>
            </w:r>
            <w:r>
              <w:rPr>
                <w:sz w:val="18"/>
              </w:rPr>
              <w:t>44,4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12,5% à 44,4 milliards FCFA</w:t>
      </w:r>
    </w:p>
    <w:p>
      <w:pPr>
        <w:pStyle w:val="ListBullet"/>
        <w:spacing w:before="20" w:after="20"/>
        <w:ind w:left="700"/>
      </w:pPr>
      <w:r>
        <w:rPr>
          <w:sz w:val="18"/>
        </w:rPr>
        <w:t>Doublement du résultat net à 1,6 milliard FCFA (+153,9%)</w:t>
      </w:r>
    </w:p>
    <w:p>
      <w:pPr>
        <w:pStyle w:val="ListBullet"/>
        <w:spacing w:before="20" w:after="20"/>
        <w:ind w:left="700"/>
      </w:pPr>
      <w:r>
        <w:rPr>
          <w:sz w:val="18"/>
        </w:rPr>
        <w:t>Amélioration significative de la marge nette de 1,6% à 3,6%</w:t>
      </w:r>
    </w:p>
    <w:p>
      <w:pPr>
        <w:pStyle w:val="ListBullet"/>
        <w:spacing w:before="20" w:after="20"/>
        <w:ind w:left="700"/>
      </w:pPr>
      <w:r>
        <w:rPr>
          <w:sz w:val="18"/>
        </w:rPr>
        <w:t>Progression de la valeur ajoutée de 24,8% à 7,98 milliards FCFA</w:t>
      </w:r>
    </w:p>
    <w:p>
      <w:pPr>
        <w:pStyle w:val="ListBullet"/>
        <w:spacing w:before="20" w:after="20"/>
        <w:ind w:left="700"/>
      </w:pPr>
      <w:r>
        <w:rPr>
          <w:sz w:val="18"/>
        </w:rPr>
        <w:t>Renforcement des capitaux propres à 17 milliards FCFA (+10,4%)</w:t>
      </w:r>
    </w:p>
    <w:p>
      <w:pPr>
        <w:pStyle w:val="ListBullet"/>
        <w:spacing w:before="20" w:after="20"/>
        <w:ind w:left="700"/>
      </w:pPr>
      <w:r>
        <w:rPr>
          <w:sz w:val="18"/>
        </w:rPr>
        <w:t>Augmentation du besoin en fonds de roulement de 756,8 millions FCFA</w:t>
      </w:r>
    </w:p>
    <w:p>
      <w:pPr>
        <w:spacing w:before="40"/>
        <w:ind w:left="400"/>
      </w:pPr>
      <w:r>
        <w:rPr>
          <w:b/>
          <w:color w:val="C05000"/>
          <w:sz w:val="18"/>
        </w:rPr>
        <w:t xml:space="preserve">⚠️ Risques : </w:t>
      </w:r>
      <w:r>
        <w:rPr>
          <w:sz w:val="18"/>
        </w:rPr>
        <w:t>["Tr\u00e9sorerie nette n\u00e9gative de 7,99 milliards FCFA cr\u00e9ant une d\u00e9pendance aux financements externes", "Augmentation significative du besoin en fonds de roulement pesant sur la liquidit\u00e9", "Endettement financier important avec 9,1 milliards FCFA de dettes de tr\u00e9sorerie"]</w:t>
      </w:r>
    </w:p>
    <w:p>
      <w:pPr>
        <w:spacing w:before="40"/>
        <w:ind w:left="400"/>
      </w:pPr>
      <w:r>
        <w:rPr>
          <w:b/>
          <w:color w:val="0064A0"/>
          <w:sz w:val="18"/>
        </w:rPr>
        <w:t xml:space="preserve">🔮 Perspectives : </w:t>
      </w:r>
      <w:r>
        <w:rPr>
          <w:sz w:val="18"/>
        </w:rPr>
        <w:t>La société devrait poursuivre sa croissance portée par l'amélioration de ses marges opérationnelles et la dynamique de son activité. L'enjeu principal sera la gestion de la trésorerie et l'optimisation du besoin en fonds de roulement pour retrouver un équilibre financier plus sain.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sans r\u00e9serve des commissaires aux comptes t\u00e9moigne de la transparence et de la conformit\u00e9 r\u00e9glementaire de la soci\u00e9t\u00e9. Cependant, l'absence de donn\u00e9es financi\u00e8res d\u00e9taill\u00e9es limite l'\u00e9valuation de la performance op\u00e9rationnelle."}</w:t>
      </w:r>
    </w:p>
    <w:p>
      <w:pPr>
        <w:spacing w:before="40"/>
        <w:ind w:left="400"/>
      </w:pPr>
      <w:r>
        <w:rPr>
          <w:sz w:val="18"/>
        </w:rPr>
        <w:t>Ce document est une attestation des commissaires aux comptes de BERNABE CÔTE D'IVOIRE S.A. pour la période du 1er janvier au 30 juin 2021. Les commissaires aux comptes UNICONSEIL et CCM - Audit &amp; Conseil attestent avoir effectué leurs contrôles selon les normes professionnelles sur le tableau d'activité et de résultat et le rapport semestriel. Ils confirment que la vérification des informations a été effectuée conformément à la norme ISRE 2410 et aux diligences requises par les autorités de régulation. Aucune observation particulière n'a été formulée sur la sincérité des informations présentées. Le document valide la conformité des états financiers semestriels aux normes en vigueur.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le semestre clos au 30 juin 2021</w:t>
      </w:r>
    </w:p>
    <w:p>
      <w:pPr>
        <w:pStyle w:val="ListBullet"/>
        <w:spacing w:before="20" w:after="20"/>
        <w:ind w:left="700"/>
      </w:pPr>
      <w:r>
        <w:rPr>
          <w:sz w:val="18"/>
        </w:rPr>
        <w:t>Contrôles effectués selon les normes de la profession par deux cabinets indépendants</w:t>
      </w:r>
    </w:p>
    <w:p>
      <w:pPr>
        <w:pStyle w:val="ListBullet"/>
        <w:spacing w:before="20" w:after="20"/>
        <w:ind w:left="700"/>
      </w:pPr>
      <w:r>
        <w:rPr>
          <w:sz w:val="18"/>
        </w:rPr>
        <w:t>Examen analytique des données financières présentées dans le tableau d'activité et de résultat</w:t>
      </w:r>
    </w:p>
    <w:p>
      <w:pPr>
        <w:pStyle w:val="ListBullet"/>
        <w:spacing w:before="20" w:after="20"/>
        <w:ind w:left="700"/>
      </w:pPr>
      <w:r>
        <w:rPr>
          <w:sz w:val="18"/>
        </w:rPr>
        <w:t>Vérification conforme à la norme ISRE 2410 relative à l'examen limité d'informations financières intermédiaires</w:t>
      </w:r>
    </w:p>
    <w:p>
      <w:pPr>
        <w:pStyle w:val="ListBullet"/>
        <w:spacing w:before="20" w:after="20"/>
        <w:ind w:left="700"/>
      </w:pPr>
      <w:r>
        <w:rPr>
          <w:sz w:val="18"/>
        </w:rPr>
        <w:t>Respect des diligences requises par le CREPMF pour les émetteurs sur le marché régional UMOA</w:t>
      </w:r>
    </w:p>
    <w:p>
      <w:pPr>
        <w:pStyle w:val="ListBullet"/>
        <w:spacing w:before="20" w:after="20"/>
        <w:ind w:left="700"/>
      </w:pPr>
      <w:r>
        <w:rPr>
          <w:sz w:val="18"/>
        </w:rPr>
        <w:t>Aucune observation formulée sur la sincérité des informations financières présentées</w:t>
      </w:r>
    </w:p>
    <w:p>
      <w:pPr>
        <w:spacing w:before="40"/>
        <w:ind w:left="400"/>
      </w:pPr>
      <w:r>
        <w:rPr>
          <w:b/>
          <w:color w:val="C05000"/>
          <w:sz w:val="18"/>
        </w:rPr>
        <w:t xml:space="preserve">⚠️ Risques : </w:t>
      </w:r>
      <w:r>
        <w:rPr>
          <w:sz w:val="18"/>
        </w:rPr>
        <w:t>["Manque de transparence sur les performances financi\u00e8res d\u00e9taill\u00e9es du semestre", "Absence d'informations sur l'\u00e9volution des indicateurs cl\u00e9s d'activit\u00e9", "D\u00e9pendance aux conditions du march\u00e9 r\u00e9gional UMOA non d\u00e9taill\u00e9es"]</w:t>
      </w:r>
    </w:p>
    <w:p>
      <w:pPr>
        <w:spacing w:before="40"/>
        <w:ind w:left="400"/>
      </w:pPr>
      <w:r>
        <w:rPr>
          <w:b/>
          <w:color w:val="0064A0"/>
          <w:sz w:val="18"/>
        </w:rPr>
        <w:t xml:space="preserve">🔮 Perspectives : </w:t>
      </w:r>
      <w:r>
        <w:rPr>
          <w:sz w:val="18"/>
        </w:rPr>
        <w:t>Les perspectives restent incertaines en l'absence d'indicateurs financiers spécifiques dans cette attestation. La conformité réglementaire attestée constitue néanmoins une base solide pour la poursuite des activités selon les standards du marché régional.</w:t>
      </w:r>
    </w:p>
    <w:p/>
    <w:p>
      <w:r>
        <w:t>════════════════════════════════════════════════════════════════════════════════</w:t>
      </w:r>
    </w:p>
    <w:p>
      <w:r>
        <w:br w:type="page"/>
      </w:r>
    </w:p>
    <w:p>
      <w:pPr>
        <w:pStyle w:val="Heading2"/>
        <w:spacing w:before="360"/>
      </w:pPr>
      <w:r>
        <w:rPr>
          <w:color w:val="0066CC"/>
        </w:rPr>
        <w:t>6. BOAB - BANK OF AFRICA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BOAB</w:t>
            </w:r>
          </w:p>
          <w:p>
            <w:r>
              <w:rPr>
                <w:b/>
                <w:color w:val="323250"/>
                <w:sz w:val="16"/>
              </w:rPr>
              <w:t xml:space="preserve">Société : </w:t>
            </w:r>
            <w:r>
              <w:rPr>
                <w:color w:val="000000"/>
                <w:sz w:val="16"/>
              </w:rPr>
              <w:t>BANK OF AFRICA BENIN</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373.36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5,493 titres</w:t>
            </w:r>
          </w:p>
        </w:tc>
        <w:tc>
          <w:tcPr>
            <w:tcW w:type="dxa" w:w="2268"/>
            <w:shd w:fill="FFF2CC" w:val="clear"/>
          </w:tcPr>
          <w:p>
            <w:r>
              <w:rPr>
                <w:b/>
                <w:color w:val="503200"/>
                <w:sz w:val="16"/>
              </w:rPr>
              <w:t xml:space="preserve">Cours actuel : </w:t>
            </w:r>
            <w:r>
              <w:rPr>
                <w:color w:val="000000"/>
                <w:sz w:val="17"/>
              </w:rPr>
              <w:t>9,205 FCFA</w:t>
            </w:r>
          </w:p>
          <w:p>
            <w:r>
              <w:rPr>
                <w:b/>
                <w:color w:val="503200"/>
                <w:sz w:val="16"/>
              </w:rPr>
              <w:t xml:space="preserve">Var. 100 jours : </w:t>
            </w:r>
            <w:r>
              <w:rPr>
                <w:b/>
                <w:color w:val="007800"/>
                <w:sz w:val="17"/>
              </w:rPr>
              <w:t>+2.85%</w:t>
            </w:r>
          </w:p>
          <w:p>
            <w:r>
              <w:rPr>
                <w:b/>
                <w:color w:val="503200"/>
                <w:sz w:val="16"/>
              </w:rPr>
              <w:t xml:space="preserve">Plus haut 100j : </w:t>
            </w:r>
            <w:r>
              <w:rPr>
                <w:color w:val="000000"/>
                <w:sz w:val="17"/>
              </w:rPr>
              <w:t>10,350 FCFA</w:t>
            </w:r>
          </w:p>
          <w:p>
            <w:r>
              <w:rPr>
                <w:b/>
                <w:color w:val="503200"/>
                <w:sz w:val="16"/>
              </w:rPr>
              <w:t xml:space="preserve">Plus bas 100j : </w:t>
            </w:r>
            <w:r>
              <w:rPr>
                <w:color w:val="000000"/>
                <w:sz w:val="17"/>
              </w:rPr>
              <w:t>8,520 FCFA</w:t>
            </w:r>
          </w:p>
          <w:p>
            <w:r>
              <w:rPr>
                <w:b/>
                <w:color w:val="503200"/>
                <w:sz w:val="16"/>
              </w:rPr>
              <w:t xml:space="preserve">Volatilité ann. : </w:t>
            </w:r>
            <w:r>
              <w:rPr>
                <w:color w:val="000000"/>
                <w:sz w:val="17"/>
              </w:rPr>
              <w:t>27.4%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15.5/100 → Faible</w:t>
      </w:r>
    </w:p>
    <w:p>
      <w:pPr>
        <w:spacing w:before="40" w:after="80"/>
      </w:pPr>
      <w:r>
        <w:rPr>
          <w:rFonts w:ascii="Courier New" w:hAnsi="Courier New"/>
          <w:color w:val="006400"/>
          <w:sz w:val="18"/>
        </w:rPr>
        <w:t>███░░░░░░░░░░░░░░░░░  15.5/100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6.02% (Moyenne) — μ=9,174 FCFA, σ=552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β=0.6014 (Défensif) — Cov=0.000045, Var(idx)=0.000075, ρ=0.299,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5,493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σ_j=1.73%/j (Stable) — Vol. annualisée≈27.4%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61/100  (Bon)</w:t>
      </w:r>
    </w:p>
    <w:p/>
    <w:p>
      <w:pPr>
        <w:jc w:val="center"/>
      </w:pPr>
      <w:r>
        <w:drawing>
          <wp:inline xmlns:a="http://schemas.openxmlformats.org/drawingml/2006/main" xmlns:pic="http://schemas.openxmlformats.org/drawingml/2006/picture">
            <wp:extent cx="5669280" cy="2616976"/>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2026-10-16</w:t>
            </w:r>
          </w:p>
        </w:tc>
        <w:tc>
          <w:tcPr>
            <w:tcW w:type="dxa" w:w="1440"/>
            <w:shd w:fill="FAFAFA" w:val="clear"/>
          </w:tcPr>
          <w:p>
            <w:r>
              <w:rPr>
                <w:sz w:val="17"/>
              </w:rPr>
              <w:t>8,918</w:t>
            </w:r>
          </w:p>
        </w:tc>
        <w:tc>
          <w:tcPr>
            <w:tcW w:type="dxa" w:w="1440"/>
            <w:shd w:fill="FAFAFA" w:val="clear"/>
          </w:tcPr>
          <w:p>
            <w:r>
              <w:rPr>
                <w:b/>
                <w:sz w:val="17"/>
              </w:rPr>
              <w:t>9,211</w:t>
            </w:r>
          </w:p>
        </w:tc>
        <w:tc>
          <w:tcPr>
            <w:tcW w:type="dxa" w:w="1440"/>
            <w:shd w:fill="FAFAFA" w:val="clear"/>
          </w:tcPr>
          <w:p>
            <w:r>
              <w:rPr>
                <w:sz w:val="17"/>
              </w:rPr>
              <w:t>9,504</w:t>
            </w:r>
          </w:p>
        </w:tc>
        <w:tc>
          <w:tcPr>
            <w:tcW w:type="dxa" w:w="1440"/>
            <w:shd w:fill="FAFAFA" w:val="clear"/>
          </w:tcPr>
          <w:p>
            <w:r>
              <w:rPr>
                <w:b/>
                <w:color w:val="008000"/>
                <w:sz w:val="17"/>
              </w:rPr>
              <w:t>+0.1%</w:t>
            </w:r>
          </w:p>
        </w:tc>
      </w:tr>
      <w:tr>
        <w:tc>
          <w:tcPr>
            <w:tcW w:type="dxa" w:w="1440"/>
            <w:shd w:fill="FAFAFA" w:val="clear"/>
          </w:tcPr>
          <w:p>
            <w:r>
              <w:rPr>
                <w:sz w:val="17"/>
              </w:rPr>
              <w:t>J+2  ⭐⭐⭐</w:t>
            </w:r>
          </w:p>
        </w:tc>
        <w:tc>
          <w:tcPr>
            <w:tcW w:type="dxa" w:w="1440"/>
            <w:shd w:fill="FAFAFA" w:val="clear"/>
          </w:tcPr>
          <w:p>
            <w:r>
              <w:rPr>
                <w:sz w:val="17"/>
              </w:rPr>
              <w:t>2026-10-19</w:t>
            </w:r>
          </w:p>
        </w:tc>
        <w:tc>
          <w:tcPr>
            <w:tcW w:type="dxa" w:w="1440"/>
            <w:shd w:fill="FAFAFA" w:val="clear"/>
          </w:tcPr>
          <w:p>
            <w:r>
              <w:rPr>
                <w:sz w:val="17"/>
              </w:rPr>
              <w:t>8,778</w:t>
            </w:r>
          </w:p>
        </w:tc>
        <w:tc>
          <w:tcPr>
            <w:tcW w:type="dxa" w:w="1440"/>
            <w:shd w:fill="FAFAFA" w:val="clear"/>
          </w:tcPr>
          <w:p>
            <w:r>
              <w:rPr>
                <w:b/>
                <w:sz w:val="17"/>
              </w:rPr>
              <w:t>9,191</w:t>
            </w:r>
          </w:p>
        </w:tc>
        <w:tc>
          <w:tcPr>
            <w:tcW w:type="dxa" w:w="1440"/>
            <w:shd w:fill="FAFAFA" w:val="clear"/>
          </w:tcPr>
          <w:p>
            <w:r>
              <w:rPr>
                <w:sz w:val="17"/>
              </w:rPr>
              <w:t>9,605</w:t>
            </w:r>
          </w:p>
        </w:tc>
        <w:tc>
          <w:tcPr>
            <w:tcW w:type="dxa" w:w="1440"/>
            <w:shd w:fill="FAFAFA" w:val="clear"/>
          </w:tcPr>
          <w:p>
            <w:r>
              <w:rPr>
                <w:b/>
                <w:color w:val="C00000"/>
                <w:sz w:val="17"/>
              </w:rPr>
              <w:t>-0.1%</w:t>
            </w:r>
          </w:p>
        </w:tc>
      </w:tr>
      <w:tr>
        <w:tc>
          <w:tcPr>
            <w:tcW w:type="dxa" w:w="1440"/>
            <w:shd w:fill="FAFAFA" w:val="clear"/>
          </w:tcPr>
          <w:p>
            <w:r>
              <w:rPr>
                <w:sz w:val="17"/>
              </w:rPr>
              <w:t>J+3  ⭐⭐⭐</w:t>
            </w:r>
          </w:p>
        </w:tc>
        <w:tc>
          <w:tcPr>
            <w:tcW w:type="dxa" w:w="1440"/>
            <w:shd w:fill="FAFAFA" w:val="clear"/>
          </w:tcPr>
          <w:p>
            <w:r>
              <w:rPr>
                <w:sz w:val="17"/>
              </w:rPr>
              <w:t>2026-10-20</w:t>
            </w:r>
          </w:p>
        </w:tc>
        <w:tc>
          <w:tcPr>
            <w:tcW w:type="dxa" w:w="1440"/>
            <w:shd w:fill="FAFAFA" w:val="clear"/>
          </w:tcPr>
          <w:p>
            <w:r>
              <w:rPr>
                <w:sz w:val="17"/>
              </w:rPr>
              <w:t>8,672</w:t>
            </w:r>
          </w:p>
        </w:tc>
        <w:tc>
          <w:tcPr>
            <w:tcW w:type="dxa" w:w="1440"/>
            <w:shd w:fill="FAFAFA" w:val="clear"/>
          </w:tcPr>
          <w:p>
            <w:r>
              <w:rPr>
                <w:b/>
                <w:sz w:val="17"/>
              </w:rPr>
              <w:t>9,178</w:t>
            </w:r>
          </w:p>
        </w:tc>
        <w:tc>
          <w:tcPr>
            <w:tcW w:type="dxa" w:w="1440"/>
            <w:shd w:fill="FAFAFA" w:val="clear"/>
          </w:tcPr>
          <w:p>
            <w:r>
              <w:rPr>
                <w:sz w:val="17"/>
              </w:rPr>
              <w:t>9,683</w:t>
            </w:r>
          </w:p>
        </w:tc>
        <w:tc>
          <w:tcPr>
            <w:tcW w:type="dxa" w:w="1440"/>
            <w:shd w:fill="FAFAFA" w:val="clear"/>
          </w:tcPr>
          <w:p>
            <w:r>
              <w:rPr>
                <w:b/>
                <w:color w:val="C00000"/>
                <w:sz w:val="17"/>
              </w:rPr>
              <w:t>-0.3%</w:t>
            </w:r>
          </w:p>
        </w:tc>
      </w:tr>
      <w:tr>
        <w:tc>
          <w:tcPr>
            <w:tcW w:type="dxa" w:w="1440"/>
            <w:shd w:fill="FAFAFA" w:val="clear"/>
          </w:tcPr>
          <w:p>
            <w:r>
              <w:rPr>
                <w:sz w:val="17"/>
              </w:rPr>
              <w:t>J+4  Moyenne</w:t>
            </w:r>
          </w:p>
        </w:tc>
        <w:tc>
          <w:tcPr>
            <w:tcW w:type="dxa" w:w="1440"/>
            <w:shd w:fill="FAFAFA" w:val="clear"/>
          </w:tcPr>
          <w:p>
            <w:r>
              <w:rPr>
                <w:sz w:val="17"/>
              </w:rPr>
              <w:t>2026-10-21</w:t>
            </w:r>
          </w:p>
        </w:tc>
        <w:tc>
          <w:tcPr>
            <w:tcW w:type="dxa" w:w="1440"/>
            <w:shd w:fill="FAFAFA" w:val="clear"/>
          </w:tcPr>
          <w:p>
            <w:r>
              <w:rPr>
                <w:sz w:val="17"/>
              </w:rPr>
              <w:t>8,580</w:t>
            </w:r>
          </w:p>
        </w:tc>
        <w:tc>
          <w:tcPr>
            <w:tcW w:type="dxa" w:w="1440"/>
            <w:shd w:fill="FAFAFA" w:val="clear"/>
          </w:tcPr>
          <w:p>
            <w:r>
              <w:rPr>
                <w:b/>
                <w:sz w:val="17"/>
              </w:rPr>
              <w:t>9,163</w:t>
            </w:r>
          </w:p>
        </w:tc>
        <w:tc>
          <w:tcPr>
            <w:tcW w:type="dxa" w:w="1440"/>
            <w:shd w:fill="FAFAFA" w:val="clear"/>
          </w:tcPr>
          <w:p>
            <w:r>
              <w:rPr>
                <w:sz w:val="17"/>
              </w:rPr>
              <w:t>9,746</w:t>
            </w:r>
          </w:p>
        </w:tc>
        <w:tc>
          <w:tcPr>
            <w:tcW w:type="dxa" w:w="1440"/>
            <w:shd w:fill="FAFAFA" w:val="clear"/>
          </w:tcPr>
          <w:p>
            <w:r>
              <w:rPr>
                <w:b/>
                <w:color w:val="C00000"/>
                <w:sz w:val="17"/>
              </w:rPr>
              <w:t>-0.5%</w:t>
            </w:r>
          </w:p>
        </w:tc>
      </w:tr>
      <w:tr>
        <w:tc>
          <w:tcPr>
            <w:tcW w:type="dxa" w:w="1440"/>
            <w:shd w:fill="FAFAFA" w:val="clear"/>
          </w:tcPr>
          <w:p>
            <w:r>
              <w:rPr>
                <w:sz w:val="17"/>
              </w:rPr>
              <w:t>J+5  Moyenne</w:t>
            </w:r>
          </w:p>
        </w:tc>
        <w:tc>
          <w:tcPr>
            <w:tcW w:type="dxa" w:w="1440"/>
            <w:shd w:fill="FAFAFA" w:val="clear"/>
          </w:tcPr>
          <w:p>
            <w:r>
              <w:rPr>
                <w:sz w:val="17"/>
              </w:rPr>
              <w:t>2026-10-22</w:t>
            </w:r>
          </w:p>
        </w:tc>
        <w:tc>
          <w:tcPr>
            <w:tcW w:type="dxa" w:w="1440"/>
            <w:shd w:fill="FAFAFA" w:val="clear"/>
          </w:tcPr>
          <w:p>
            <w:r>
              <w:rPr>
                <w:sz w:val="17"/>
              </w:rPr>
              <w:t>8,497</w:t>
            </w:r>
          </w:p>
        </w:tc>
        <w:tc>
          <w:tcPr>
            <w:tcW w:type="dxa" w:w="1440"/>
            <w:shd w:fill="FAFAFA" w:val="clear"/>
          </w:tcPr>
          <w:p>
            <w:r>
              <w:rPr>
                <w:b/>
                <w:sz w:val="17"/>
              </w:rPr>
              <w:t>9,147</w:t>
            </w:r>
          </w:p>
        </w:tc>
        <w:tc>
          <w:tcPr>
            <w:tcW w:type="dxa" w:w="1440"/>
            <w:shd w:fill="FAFAFA" w:val="clear"/>
          </w:tcPr>
          <w:p>
            <w:r>
              <w:rPr>
                <w:sz w:val="17"/>
              </w:rPr>
              <w:t>9,798</w:t>
            </w:r>
          </w:p>
        </w:tc>
        <w:tc>
          <w:tcPr>
            <w:tcW w:type="dxa" w:w="1440"/>
            <w:shd w:fill="FAFAFA" w:val="clear"/>
          </w:tcPr>
          <w:p>
            <w:r>
              <w:rPr>
                <w:b/>
                <w:color w:val="C00000"/>
                <w:sz w:val="17"/>
              </w:rPr>
              <w:t>-0.6%</w:t>
            </w:r>
          </w:p>
        </w:tc>
      </w:tr>
      <w:tr>
        <w:tc>
          <w:tcPr>
            <w:tcW w:type="dxa" w:w="1440"/>
            <w:shd w:fill="FAFAFA" w:val="clear"/>
          </w:tcPr>
          <w:p>
            <w:r>
              <w:rPr>
                <w:sz w:val="17"/>
              </w:rPr>
              <w:t>J+6  Moyenne</w:t>
            </w:r>
          </w:p>
        </w:tc>
        <w:tc>
          <w:tcPr>
            <w:tcW w:type="dxa" w:w="1440"/>
            <w:shd w:fill="FAFAFA" w:val="clear"/>
          </w:tcPr>
          <w:p>
            <w:r>
              <w:rPr>
                <w:sz w:val="17"/>
              </w:rPr>
              <w:t>2026-10-23</w:t>
            </w:r>
          </w:p>
        </w:tc>
        <w:tc>
          <w:tcPr>
            <w:tcW w:type="dxa" w:w="1440"/>
            <w:shd w:fill="FAFAFA" w:val="clear"/>
          </w:tcPr>
          <w:p>
            <w:r>
              <w:rPr>
                <w:sz w:val="17"/>
              </w:rPr>
              <w:t>8,421</w:t>
            </w:r>
          </w:p>
        </w:tc>
        <w:tc>
          <w:tcPr>
            <w:tcW w:type="dxa" w:w="1440"/>
            <w:shd w:fill="FAFAFA" w:val="clear"/>
          </w:tcPr>
          <w:p>
            <w:r>
              <w:rPr>
                <w:b/>
                <w:sz w:val="17"/>
              </w:rPr>
              <w:t>9,133</w:t>
            </w:r>
          </w:p>
        </w:tc>
        <w:tc>
          <w:tcPr>
            <w:tcW w:type="dxa" w:w="1440"/>
            <w:shd w:fill="FAFAFA" w:val="clear"/>
          </w:tcPr>
          <w:p>
            <w:r>
              <w:rPr>
                <w:sz w:val="17"/>
              </w:rPr>
              <w:t>9,844</w:t>
            </w:r>
          </w:p>
        </w:tc>
        <w:tc>
          <w:tcPr>
            <w:tcW w:type="dxa" w:w="1440"/>
            <w:shd w:fill="FAFAFA" w:val="clear"/>
          </w:tcPr>
          <w:p>
            <w:r>
              <w:rPr>
                <w:b/>
                <w:color w:val="C00000"/>
                <w:sz w:val="17"/>
              </w:rPr>
              <w:t>-0.8%</w:t>
            </w:r>
          </w:p>
        </w:tc>
      </w:tr>
      <w:tr>
        <w:tc>
          <w:tcPr>
            <w:tcW w:type="dxa" w:w="1440"/>
            <w:shd w:fill="FAFAFA" w:val="clear"/>
          </w:tcPr>
          <w:p>
            <w:r>
              <w:rPr>
                <w:sz w:val="17"/>
              </w:rPr>
              <w:t>J+7  Moyenne</w:t>
            </w:r>
          </w:p>
        </w:tc>
        <w:tc>
          <w:tcPr>
            <w:tcW w:type="dxa" w:w="1440"/>
            <w:shd w:fill="FAFAFA" w:val="clear"/>
          </w:tcPr>
          <w:p>
            <w:r>
              <w:rPr>
                <w:sz w:val="17"/>
              </w:rPr>
              <w:t>2026-10-26</w:t>
            </w:r>
          </w:p>
        </w:tc>
        <w:tc>
          <w:tcPr>
            <w:tcW w:type="dxa" w:w="1440"/>
            <w:shd w:fill="FAFAFA" w:val="clear"/>
          </w:tcPr>
          <w:p>
            <w:r>
              <w:rPr>
                <w:sz w:val="17"/>
              </w:rPr>
              <w:t>8,351</w:t>
            </w:r>
          </w:p>
        </w:tc>
        <w:tc>
          <w:tcPr>
            <w:tcW w:type="dxa" w:w="1440"/>
            <w:shd w:fill="FAFAFA" w:val="clear"/>
          </w:tcPr>
          <w:p>
            <w:r>
              <w:rPr>
                <w:b/>
                <w:sz w:val="17"/>
              </w:rPr>
              <w:t>9,118</w:t>
            </w:r>
          </w:p>
        </w:tc>
        <w:tc>
          <w:tcPr>
            <w:tcW w:type="dxa" w:w="1440"/>
            <w:shd w:fill="FAFAFA" w:val="clear"/>
          </w:tcPr>
          <w:p>
            <w:r>
              <w:rPr>
                <w:sz w:val="17"/>
              </w:rPr>
              <w:t>9,886</w:t>
            </w:r>
          </w:p>
        </w:tc>
        <w:tc>
          <w:tcPr>
            <w:tcW w:type="dxa" w:w="1440"/>
            <w:shd w:fill="FAFAFA" w:val="clear"/>
          </w:tcPr>
          <w:p>
            <w:r>
              <w:rPr>
                <w:b/>
                <w:color w:val="C00000"/>
                <w:sz w:val="17"/>
              </w:rPr>
              <w:t>-0.9%</w:t>
            </w:r>
          </w:p>
        </w:tc>
      </w:tr>
      <w:tr>
        <w:tc>
          <w:tcPr>
            <w:tcW w:type="dxa" w:w="1440"/>
            <w:shd w:fill="FAFAFA" w:val="clear"/>
          </w:tcPr>
          <w:p>
            <w:r>
              <w:rPr>
                <w:sz w:val="17"/>
              </w:rPr>
              <w:t>J+8  Moyenne</w:t>
            </w:r>
          </w:p>
        </w:tc>
        <w:tc>
          <w:tcPr>
            <w:tcW w:type="dxa" w:w="1440"/>
            <w:shd w:fill="FAFAFA" w:val="clear"/>
          </w:tcPr>
          <w:p>
            <w:r>
              <w:rPr>
                <w:sz w:val="17"/>
              </w:rPr>
              <w:t>2026-10-27</w:t>
            </w:r>
          </w:p>
        </w:tc>
        <w:tc>
          <w:tcPr>
            <w:tcW w:type="dxa" w:w="1440"/>
            <w:shd w:fill="FAFAFA" w:val="clear"/>
          </w:tcPr>
          <w:p>
            <w:r>
              <w:rPr>
                <w:sz w:val="17"/>
              </w:rPr>
              <w:t>8,286</w:t>
            </w:r>
          </w:p>
        </w:tc>
        <w:tc>
          <w:tcPr>
            <w:tcW w:type="dxa" w:w="1440"/>
            <w:shd w:fill="FAFAFA" w:val="clear"/>
          </w:tcPr>
          <w:p>
            <w:r>
              <w:rPr>
                <w:b/>
                <w:sz w:val="17"/>
              </w:rPr>
              <w:t>9,105</w:t>
            </w:r>
          </w:p>
        </w:tc>
        <w:tc>
          <w:tcPr>
            <w:tcW w:type="dxa" w:w="1440"/>
            <w:shd w:fill="FAFAFA" w:val="clear"/>
          </w:tcPr>
          <w:p>
            <w:r>
              <w:rPr>
                <w:sz w:val="17"/>
              </w:rPr>
              <w:t>9,924</w:t>
            </w:r>
          </w:p>
        </w:tc>
        <w:tc>
          <w:tcPr>
            <w:tcW w:type="dxa" w:w="1440"/>
            <w:shd w:fill="FAFAFA" w:val="clear"/>
          </w:tcPr>
          <w:p>
            <w:r>
              <w:rPr>
                <w:b/>
                <w:color w:val="C00000"/>
                <w:sz w:val="17"/>
              </w:rPr>
              <w:t>-1.1%</w:t>
            </w:r>
          </w:p>
        </w:tc>
      </w:tr>
      <w:tr>
        <w:tc>
          <w:tcPr>
            <w:tcW w:type="dxa" w:w="1440"/>
            <w:shd w:fill="FAFAFA" w:val="clear"/>
          </w:tcPr>
          <w:p>
            <w:r>
              <w:rPr>
                <w:sz w:val="17"/>
              </w:rPr>
              <w:t>J+9  Moyenne</w:t>
            </w:r>
          </w:p>
        </w:tc>
        <w:tc>
          <w:tcPr>
            <w:tcW w:type="dxa" w:w="1440"/>
            <w:shd w:fill="FAFAFA" w:val="clear"/>
          </w:tcPr>
          <w:p>
            <w:r>
              <w:rPr>
                <w:sz w:val="17"/>
              </w:rPr>
              <w:t>2026-10-28</w:t>
            </w:r>
          </w:p>
        </w:tc>
        <w:tc>
          <w:tcPr>
            <w:tcW w:type="dxa" w:w="1440"/>
            <w:shd w:fill="FAFAFA" w:val="clear"/>
          </w:tcPr>
          <w:p>
            <w:r>
              <w:rPr>
                <w:sz w:val="17"/>
              </w:rPr>
              <w:t>8,224</w:t>
            </w:r>
          </w:p>
        </w:tc>
        <w:tc>
          <w:tcPr>
            <w:tcW w:type="dxa" w:w="1440"/>
            <w:shd w:fill="FAFAFA" w:val="clear"/>
          </w:tcPr>
          <w:p>
            <w:r>
              <w:rPr>
                <w:b/>
                <w:sz w:val="17"/>
              </w:rPr>
              <w:t>9,092</w:t>
            </w:r>
          </w:p>
        </w:tc>
        <w:tc>
          <w:tcPr>
            <w:tcW w:type="dxa" w:w="1440"/>
            <w:shd w:fill="FAFAFA" w:val="clear"/>
          </w:tcPr>
          <w:p>
            <w:r>
              <w:rPr>
                <w:sz w:val="17"/>
              </w:rPr>
              <w:t>9,959</w:t>
            </w:r>
          </w:p>
        </w:tc>
        <w:tc>
          <w:tcPr>
            <w:tcW w:type="dxa" w:w="1440"/>
            <w:shd w:fill="FAFAFA" w:val="clear"/>
          </w:tcPr>
          <w:p>
            <w:r>
              <w:rPr>
                <w:b/>
                <w:color w:val="C00000"/>
                <w:sz w:val="17"/>
              </w:rPr>
              <w:t>-1.2%</w:t>
            </w:r>
          </w:p>
        </w:tc>
      </w:tr>
      <w:tr>
        <w:tc>
          <w:tcPr>
            <w:tcW w:type="dxa" w:w="1440"/>
            <w:shd w:fill="FAFAFA" w:val="clear"/>
          </w:tcPr>
          <w:p>
            <w:r>
              <w:rPr>
                <w:sz w:val="17"/>
              </w:rPr>
              <w:t>J+10  Moyenne</w:t>
            </w:r>
          </w:p>
        </w:tc>
        <w:tc>
          <w:tcPr>
            <w:tcW w:type="dxa" w:w="1440"/>
            <w:shd w:fill="FAFAFA" w:val="clear"/>
          </w:tcPr>
          <w:p>
            <w:r>
              <w:rPr>
                <w:sz w:val="17"/>
              </w:rPr>
              <w:t>2026-10-29</w:t>
            </w:r>
          </w:p>
        </w:tc>
        <w:tc>
          <w:tcPr>
            <w:tcW w:type="dxa" w:w="1440"/>
            <w:shd w:fill="FAFAFA" w:val="clear"/>
          </w:tcPr>
          <w:p>
            <w:r>
              <w:rPr>
                <w:sz w:val="17"/>
              </w:rPr>
              <w:t>8,166</w:t>
            </w:r>
          </w:p>
        </w:tc>
        <w:tc>
          <w:tcPr>
            <w:tcW w:type="dxa" w:w="1440"/>
            <w:shd w:fill="FAFAFA" w:val="clear"/>
          </w:tcPr>
          <w:p>
            <w:r>
              <w:rPr>
                <w:b/>
                <w:sz w:val="17"/>
              </w:rPr>
              <w:t>9,079</w:t>
            </w:r>
          </w:p>
        </w:tc>
        <w:tc>
          <w:tcPr>
            <w:tcW w:type="dxa" w:w="1440"/>
            <w:shd w:fill="FAFAFA" w:val="clear"/>
          </w:tcPr>
          <w:p>
            <w:r>
              <w:rPr>
                <w:sz w:val="17"/>
              </w:rPr>
              <w:t>9,993</w:t>
            </w:r>
          </w:p>
        </w:tc>
        <w:tc>
          <w:tcPr>
            <w:tcW w:type="dxa" w:w="1440"/>
            <w:shd w:fill="FAFAFA" w:val="clear"/>
          </w:tcPr>
          <w:p>
            <w:r>
              <w:rPr>
                <w:b/>
                <w:color w:val="C00000"/>
                <w:sz w:val="17"/>
              </w:rPr>
              <w:t>-1.4%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84.438 Mds FCFA</w:t>
            </w:r>
          </w:p>
        </w:tc>
        <w:tc>
          <w:tcPr>
            <w:tcW w:type="dxa" w:w="5669"/>
            <w:shd w:fill="FFFFFF" w:val="clear"/>
          </w:tcPr>
          <w:p>
            <w:r>
              <w:rPr>
                <w:color w:val="282828"/>
                <w:sz w:val="15"/>
              </w:rPr>
              <w:t>Représente 8.8%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329.253 Mds FCFA</w:t>
            </w:r>
          </w:p>
        </w:tc>
        <w:tc>
          <w:tcPr>
            <w:tcW w:type="dxa" w:w="5669"/>
            <w:shd w:fill="FFFFFF" w:val="clear"/>
          </w:tcPr>
          <w:p>
            <w:r>
              <w:rPr>
                <w:color w:val="282828"/>
                <w:sz w:val="15"/>
              </w:rPr>
              <w:t>Titres d'État détenus (34.1%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23.165 Mds FCFA</w:t>
            </w:r>
          </w:p>
        </w:tc>
        <w:tc>
          <w:tcPr>
            <w:tcW w:type="dxa" w:w="5669"/>
            <w:shd w:fill="FFFFFF" w:val="clear"/>
          </w:tcPr>
          <w:p>
            <w:r>
              <w:rPr>
                <w:color w:val="282828"/>
                <w:sz w:val="15"/>
              </w:rPr>
              <w:t>Prêts aux autres banques (2.4%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391.724 Mds FCFA</w:t>
            </w:r>
          </w:p>
        </w:tc>
        <w:tc>
          <w:tcPr>
            <w:tcW w:type="dxa" w:w="5669"/>
            <w:shd w:fill="FFFFFF" w:val="clear"/>
          </w:tcPr>
          <w:p>
            <w:r>
              <w:rPr>
                <w:color w:val="282828"/>
                <w:sz w:val="15"/>
              </w:rPr>
              <w:t>Portefeuille crédits (40.6%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2.911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29.215 Mds FCFA</w:t>
            </w:r>
          </w:p>
        </w:tc>
        <w:tc>
          <w:tcPr>
            <w:tcW w:type="dxa" w:w="5669"/>
            <w:shd w:fill="FFFFFF" w:val="clear"/>
          </w:tcPr>
          <w:p>
            <w:r>
              <w:rPr>
                <w:color w:val="282828"/>
                <w:sz w:val="15"/>
              </w:rPr>
              <w:t>Outil industriel (3.0%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54.588 Mds FCFA</w:t>
            </w:r>
          </w:p>
        </w:tc>
        <w:tc>
          <w:tcPr>
            <w:tcW w:type="dxa" w:w="5669"/>
            <w:shd w:fill="FFFFFF" w:val="clear"/>
          </w:tcPr>
          <w:p>
            <w:r>
              <w:rPr>
                <w:color w:val="282828"/>
                <w:sz w:val="15"/>
              </w:rPr>
              <w:t>Actif immobilisé = 5.7%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107.603 Mds FCFA</w:t>
            </w:r>
          </w:p>
        </w:tc>
        <w:tc>
          <w:tcPr>
            <w:tcW w:type="dxa" w:w="5669"/>
            <w:shd w:fill="FFFFFF" w:val="clear"/>
          </w:tcPr>
          <w:p>
            <w:r>
              <w:rPr>
                <w:color w:val="282828"/>
                <w:sz w:val="15"/>
              </w:rPr>
              <w:t>Liquidités disponibles (11.2%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964.663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40.561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56.839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117.507 Mds FCFA</w:t>
            </w:r>
          </w:p>
        </w:tc>
        <w:tc>
          <w:tcPr>
            <w:tcW w:type="dxa" w:w="5669"/>
            <w:shd w:fill="FFFFFF" w:val="clear"/>
          </w:tcPr>
          <w:p>
            <w:r>
              <w:rPr>
                <w:color w:val="282828"/>
                <w:sz w:val="15"/>
              </w:rPr>
              <w:t>Fonds propres = 12.2%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121.590 Mds FCFA</w:t>
            </w:r>
          </w:p>
        </w:tc>
        <w:tc>
          <w:tcPr>
            <w:tcW w:type="dxa" w:w="5669"/>
            <w:shd w:fill="FFFFFF" w:val="clear"/>
          </w:tcPr>
          <w:p>
            <w:r>
              <w:rPr>
                <w:color w:val="282828"/>
                <w:sz w:val="15"/>
              </w:rPr>
              <w:t>Capitaux permanents / Actif immobilisé = 2.23x.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116.059 Mds FCFA</w:t>
            </w:r>
          </w:p>
        </w:tc>
        <w:tc>
          <w:tcPr>
            <w:tcW w:type="dxa" w:w="5669"/>
            <w:shd w:fill="FFFFFF" w:val="clear"/>
          </w:tcPr>
          <w:p>
            <w:r>
              <w:rPr>
                <w:color w:val="282828"/>
                <w:sz w:val="15"/>
              </w:rPr>
              <w:t>Refinancement interbancaire (12.0%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711.642 Mds FCFA</w:t>
            </w:r>
          </w:p>
        </w:tc>
        <w:tc>
          <w:tcPr>
            <w:tcW w:type="dxa" w:w="5669"/>
            <w:shd w:fill="FFFFFF" w:val="clear"/>
          </w:tcPr>
          <w:p>
            <w:r>
              <w:rPr>
                <w:color w:val="282828"/>
                <w:sz w:val="15"/>
              </w:rPr>
              <w:t>Dépôts clients = 73.8%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116.059 Mds FCFA</w:t>
            </w:r>
          </w:p>
        </w:tc>
        <w:tc>
          <w:tcPr>
            <w:tcW w:type="dxa" w:w="5669"/>
            <w:shd w:fill="FFFFFF" w:val="clear"/>
          </w:tcPr>
          <w:p>
            <w:r>
              <w:rPr>
                <w:color w:val="282828"/>
                <w:sz w:val="15"/>
              </w:rPr>
              <w:t>Dette financière totale = 99%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847.156 Mds FCFA</w:t>
            </w:r>
          </w:p>
        </w:tc>
        <w:tc>
          <w:tcPr>
            <w:tcW w:type="dxa" w:w="5669"/>
            <w:shd w:fill="FFFFFF" w:val="clear"/>
          </w:tcPr>
          <w:p>
            <w:r>
              <w:rPr>
                <w:color w:val="282828"/>
                <w:sz w:val="15"/>
              </w:rPr>
              <w:t>Dettes totales = 87.8%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51.274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51.274 Mds FCFA</w:t>
            </w:r>
          </w:p>
        </w:tc>
        <w:tc>
          <w:tcPr>
            <w:tcW w:type="dxa" w:w="5669"/>
            <w:shd w:fill="FFFFFF" w:val="clear"/>
          </w:tcPr>
          <w:p>
            <w:r>
              <w:rPr>
                <w:color w:val="282828"/>
                <w:sz w:val="15"/>
              </w:rPr>
              <w:t>Revenu bancaire central (≡ CA). Croissance: 10.2%.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55.728 Mds FCFA</w:t>
            </w:r>
          </w:p>
        </w:tc>
        <w:tc>
          <w:tcPr>
            <w:tcW w:type="dxa" w:w="5669"/>
            <w:shd w:fill="FFFFFF" w:val="clear"/>
          </w:tcPr>
          <w:p>
            <w:r>
              <w:rPr>
                <w:color w:val="282828"/>
                <w:sz w:val="15"/>
              </w:rPr>
              <w:t>Revenus d'intérêts sur crédits (109% du PNB). Principal moteur de revenus de la banque.</w:t>
            </w:r>
          </w:p>
        </w:tc>
      </w:tr>
      <w:tr>
        <w:tc>
          <w:tcPr>
            <w:tcW w:type="dxa" w:w="2268"/>
            <w:shd w:fill="EEF2F7" w:val="clear"/>
          </w:tcPr>
          <w:p>
            <w:r>
              <w:rPr>
                <w:b/>
                <w:color w:val="1E1E3C"/>
                <w:sz w:val="16"/>
              </w:rPr>
              <w:t>Intérêts &amp; charges assimilées</w:t>
            </w:r>
          </w:p>
        </w:tc>
        <w:tc>
          <w:tcPr>
            <w:tcW w:type="dxa" w:w="1984"/>
            <w:shd w:fill="FFEB9C" w:val="clear"/>
          </w:tcPr>
          <w:p>
            <w:r>
              <w:rPr>
                <w:b/>
                <w:color w:val="006400"/>
                <w:sz w:val="17"/>
              </w:rPr>
              <w:t>20.822 Mds FCFA</w:t>
            </w:r>
          </w:p>
        </w:tc>
        <w:tc>
          <w:tcPr>
            <w:tcW w:type="dxa" w:w="5669"/>
            <w:shd w:fill="FFFFFF" w:val="clear"/>
          </w:tcPr>
          <w:p>
            <w:r>
              <w:rPr>
                <w:color w:val="282828"/>
                <w:sz w:val="15"/>
              </w:rPr>
              <w:t>Coût des dépôts collectés (41% du PNB). ⚠️ Charges d'intérêts élevées — pression sur les marges.</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12.339 Mds FCFA</w:t>
            </w:r>
          </w:p>
        </w:tc>
        <w:tc>
          <w:tcPr>
            <w:tcW w:type="dxa" w:w="5669"/>
            <w:shd w:fill="FFFFFF" w:val="clear"/>
          </w:tcPr>
          <w:p>
            <w:r>
              <w:rPr>
                <w:color w:val="282828"/>
                <w:sz w:val="15"/>
              </w:rPr>
              <w:t>Revenus de commissions (24.1%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22.704 Mds FCFA</w:t>
            </w:r>
          </w:p>
        </w:tc>
        <w:tc>
          <w:tcPr>
            <w:tcW w:type="dxa" w:w="5669"/>
            <w:shd w:fill="FFFFFF" w:val="clear"/>
          </w:tcPr>
          <w:p>
            <w:r>
              <w:rPr>
                <w:color w:val="282828"/>
                <w:sz w:val="15"/>
              </w:rPr>
              <w:t>44.3%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2.693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25.876 Mds FCFA</w:t>
            </w:r>
          </w:p>
        </w:tc>
        <w:tc>
          <w:tcPr>
            <w:tcW w:type="dxa" w:w="5669"/>
            <w:shd w:fill="FFFFFF" w:val="clear"/>
          </w:tcPr>
          <w:p>
            <w:r>
              <w:rPr>
                <w:color w:val="282828"/>
                <w:sz w:val="15"/>
              </w:rPr>
              <w:t>RBE = 50.5%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21.191 Mds FCFA</w:t>
            </w:r>
          </w:p>
        </w:tc>
        <w:tc>
          <w:tcPr>
            <w:tcW w:type="dxa" w:w="5669"/>
            <w:shd w:fill="FFFFFF" w:val="clear"/>
          </w:tcPr>
          <w:p>
            <w:r>
              <w:rPr>
                <w:color w:val="282828"/>
                <w:sz w:val="15"/>
              </w:rPr>
              <w:t>Profit d'exploitation = 41.3%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4.686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20.107 Mds FCFA</w:t>
            </w:r>
          </w:p>
        </w:tc>
        <w:tc>
          <w:tcPr>
            <w:tcW w:type="dxa" w:w="5669"/>
            <w:shd w:fill="FFFFFF" w:val="clear"/>
          </w:tcPr>
          <w:p>
            <w:r>
              <w:rPr>
                <w:color w:val="282828"/>
                <w:sz w:val="15"/>
              </w:rPr>
              <w:t>Marge nette = 39.2%.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22.801 Mds FCFA</w:t>
            </w:r>
          </w:p>
        </w:tc>
        <w:tc>
          <w:tcPr>
            <w:tcW w:type="dxa" w:w="5669"/>
            <w:shd w:fill="FFFFFF" w:val="clear"/>
          </w:tcPr>
          <w:p>
            <w:r>
              <w:rPr>
                <w:color w:val="282828"/>
                <w:sz w:val="15"/>
              </w:rPr>
              <w:t>CAF = 22.80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FFC7CE" w:val="clear"/>
          </w:tcPr>
          <w:p>
            <w:r>
              <w:rPr>
                <w:b/>
                <w:color w:val="B40000"/>
                <w:sz w:val="17"/>
              </w:rPr>
              <w:t>-8.456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50.47%</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39.22%</w:t>
            </w:r>
          </w:p>
        </w:tc>
        <w:tc>
          <w:tcPr>
            <w:tcW w:type="dxa" w:w="5669"/>
            <w:shd w:fill="FFFFFF" w:val="clear"/>
          </w:tcPr>
          <w:p>
            <w:r>
              <w:rPr>
                <w:color w:val="282828"/>
                <w:sz w:val="15"/>
              </w:rPr>
              <w:t>Résultat net / revenus = 39.22%.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41.33%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17.11%</w:t>
            </w:r>
          </w:p>
        </w:tc>
        <w:tc>
          <w:tcPr>
            <w:tcW w:type="dxa" w:w="5669"/>
            <w:shd w:fill="FFFFFF" w:val="clear"/>
          </w:tcPr>
          <w:p>
            <w:r>
              <w:rPr>
                <w:color w:val="282828"/>
                <w:sz w:val="15"/>
              </w:rPr>
              <w:t>Résultat net / capitaux propres = 17.11%.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2.08%</w:t>
            </w:r>
          </w:p>
        </w:tc>
        <w:tc>
          <w:tcPr>
            <w:tcW w:type="dxa" w:w="5669"/>
            <w:shd w:fill="FFFFFF" w:val="clear"/>
          </w:tcPr>
          <w:p>
            <w:r>
              <w:rPr>
                <w:color w:val="282828"/>
                <w:sz w:val="15"/>
              </w:rPr>
              <w:t>Résultat net / total actif = 2.08%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5.32%</w:t>
            </w:r>
          </w:p>
        </w:tc>
        <w:tc>
          <w:tcPr>
            <w:tcW w:type="dxa" w:w="5669"/>
            <w:shd w:fill="FFFFFF" w:val="clear"/>
          </w:tcPr>
          <w:p>
            <w:r>
              <w:rPr>
                <w:color w:val="282828"/>
                <w:sz w:val="15"/>
              </w:rPr>
              <w:t>CA / total actif = 5.32x.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49.53%</w:t>
            </w:r>
          </w:p>
        </w:tc>
        <w:tc>
          <w:tcPr>
            <w:tcW w:type="dxa" w:w="5669"/>
            <w:shd w:fill="FFFFFF" w:val="clear"/>
          </w:tcPr>
          <w:p>
            <w:r>
              <w:rPr>
                <w:color w:val="282828"/>
                <w:sz w:val="15"/>
              </w:rPr>
              <w:t>Charges / PNB = 49.53%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22.50%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10.20%</w:t>
            </w:r>
          </w:p>
        </w:tc>
        <w:tc>
          <w:tcPr>
            <w:tcW w:type="dxa" w:w="5669"/>
            <w:shd w:fill="FFFFFF" w:val="clear"/>
          </w:tcPr>
          <w:p>
            <w:r>
              <w:rPr>
                <w:color w:val="282828"/>
                <w:sz w:val="15"/>
              </w:rPr>
              <w:t>Croissance PNB vs exercice précédent = 10.20%.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12.18%</w:t>
            </w:r>
          </w:p>
        </w:tc>
        <w:tc>
          <w:tcPr>
            <w:tcW w:type="dxa" w:w="5669"/>
            <w:shd w:fill="FFFFFF" w:val="clear"/>
          </w:tcPr>
          <w:p>
            <w:r>
              <w:rPr>
                <w:color w:val="282828"/>
                <w:sz w:val="15"/>
              </w:rPr>
              <w:t>Fonds propres / total bilan = 12.18%.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87.82%</w:t>
            </w:r>
          </w:p>
        </w:tc>
        <w:tc>
          <w:tcPr>
            <w:tcW w:type="dxa" w:w="5669"/>
            <w:shd w:fill="FFFFFF" w:val="clear"/>
          </w:tcPr>
          <w:p>
            <w:r>
              <w:rPr>
                <w:color w:val="282828"/>
                <w:sz w:val="15"/>
              </w:rPr>
              <w:t>Dettes financières / total bilan = 87.82%.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98.77%</w:t>
            </w:r>
          </w:p>
        </w:tc>
        <w:tc>
          <w:tcPr>
            <w:tcW w:type="dxa" w:w="5669"/>
            <w:shd w:fill="FFFFFF" w:val="clear"/>
          </w:tcPr>
          <w:p>
            <w:r>
              <w:rPr>
                <w:color w:val="282828"/>
                <w:sz w:val="15"/>
              </w:rPr>
              <w:t>Dettes totales / fonds propres = 98.77%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113.87%</w:t>
            </w:r>
          </w:p>
        </w:tc>
        <w:tc>
          <w:tcPr>
            <w:tcW w:type="dxa" w:w="5669"/>
            <w:shd w:fill="FFFFFF" w:val="clear"/>
          </w:tcPr>
          <w:p>
            <w:r>
              <w:rPr>
                <w:color w:val="282828"/>
                <w:sz w:val="15"/>
              </w:rPr>
              <w:t>Total actif / dettes totales = 113.87x.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215.26%</w:t>
            </w:r>
          </w:p>
        </w:tc>
        <w:tc>
          <w:tcPr>
            <w:tcW w:type="dxa" w:w="5669"/>
            <w:shd w:fill="FFFFFF" w:val="clear"/>
          </w:tcPr>
          <w:p>
            <w:r>
              <w:rPr>
                <w:color w:val="282828"/>
                <w:sz w:val="15"/>
              </w:rPr>
              <w:t>Capitaux permanents / actif immobilisé = 215.26x.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5.1 ans</w:t>
            </w:r>
          </w:p>
        </w:tc>
        <w:tc>
          <w:tcPr>
            <w:tcW w:type="dxa" w:w="5669"/>
            <w:shd w:fill="FFFFFF" w:val="clear"/>
          </w:tcPr>
          <w:p>
            <w:r>
              <w:rPr>
                <w:color w:val="282828"/>
                <w:sz w:val="15"/>
              </w:rPr>
              <w:t>Dettes financières / CAF = 5.1 ans. ⚠️ Remboursement long — endettement fort par rapport au cash.</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101.77%</w:t>
            </w:r>
          </w:p>
        </w:tc>
        <w:tc>
          <w:tcPr>
            <w:tcW w:type="dxa" w:w="5669"/>
            <w:shd w:fill="FFFFFF" w:val="clear"/>
          </w:tcPr>
          <w:p>
            <w:r>
              <w:rPr>
                <w:color w:val="282828"/>
                <w:sz w:val="15"/>
              </w:rPr>
              <w:t>Résultat exploit. / charges financières = 101.77x. ⚠️ Couverture limite — sensible aux hausses de taux.</w:t>
            </w:r>
          </w:p>
        </w:tc>
      </w:tr>
    </w:tbl>
    <w:p/>
    <w:p>
      <w:pPr>
        <w:spacing w:after="120" w:line="276" w:lineRule="auto"/>
      </w:pPr>
      <w:r>
        <w:t># 📊 RAPPORT D'ANALYSE FINANCIÈRE — BOAB (Bank of Africa Bénin)</w:t>
        <w:br/>
        <w:t>**Marché : BRVM | Secteur : Banque | 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**373,36 milliards FCFA**, BOAB figure parmi les valeurs bancaires de premier plan de la BRVM, ce qui témoigne de sa liquidité relative et de son poids dans l'indice sectoriel. Le **BPA de 496 FCFA/action** confère au titre un rendement bénéficiaire direct, mais le **PER de 18,6x** place clairement BOAB au-dessus de la moyenne du marché BRVM (généralement située entre 8 et 12x), signalant que les investisseurs paient une prime significative pour cette valeur bancaire. Le **P/B de 3,18x** confirme cette tendance : le marché valorise BOAB à plus de trois fois sa valeur comptable, une prime de croissance qui se justifie uniquement si la rentabilité future reste soutenue. Enfin, l'**EV/EBITDA de 19,2x** (au-delà du seuil de 15x généralement considéré comme exigeant) traduit une valorisation tendue par rapport à la capacité opérationnelle de la banque, ce qui laisse peu de marge d'erreur en cas de déception sur les résultats.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BOAB affiche une **variation totale de +2,85%**, mais la dernière séance (J-1) enregistre un repli de **-1,07%**, signalant une pression vendeuse récente. Le cours actuel de **9 205 FCFA** se situe dans la partie médiane du range de trading, entre un plus haut de **10 350 FCFA** et un plus bas de **8 520 FCFA**, soit une amplitude de 21,5% qui reflète une certaine nervosité. La tendance générale reste légèrement haussière sur la période, mais le repli récent et la position sous les moyennes mobiles suggèrent un essoufflement. Les statistiques descriptives révèlent une **moyenne de 9 174 FCFA** supérieure à la **médiane de 8 950 FCFA**, avec un **skewness positif de 0,941** indiquant une asymétrie à droite : la majorité des séances se sont déroulées sous la moyenne, mais quelques pics haussiers tirent la moyenne vers le haut. Le **mode à 8 700 FCFA** confirme que le prix le plus fréquemment observé est inférieur au cours actuel. L'**écart-type de 555 FCFA** (CV de 6,0%) traduit une dispersion modérée, tandis que le **kurtosis de -0,514** (mésokurtique) indique une distribution proche de la normale, sans risque excessif de pics extrêmes. La **volatilité annualisée de 27,4%** classe le titre dans la catégorie modérée (15-30%), acceptable pour une valeur bancaire mais nécessitant une gestion rigoureuse du risque.</w:t>
      </w:r>
    </w:p>
    <w:p>
      <w:pPr>
        <w:spacing w:after="120" w:line="276" w:lineRule="auto"/>
      </w:pPr>
      <w:r>
        <w:t>---</w:t>
      </w:r>
    </w:p>
    <w:p>
      <w:pPr>
        <w:spacing w:after="120" w:line="276" w:lineRule="auto"/>
      </w:pPr>
      <w:r>
        <w:t>## PARTIE 2 : ANALYSE TECHNIQUE DÉTAILLÉE</w:t>
      </w:r>
    </w:p>
    <w:p>
      <w:pPr>
        <w:spacing w:after="120" w:line="276" w:lineRule="auto"/>
      </w:pPr>
      <w:r>
        <w:t>**Moyennes Mobiles** : La MM20 (9 348,75 FCFA) et la MM50 (9 528,80 FCFA) se situent toutes deux au-dessus du cours actuel (9 205 FCFA), avec la MM20 sous la MM50, configurant un croisement baissier. Cette configuration confirme la **décision de Vente** : le titre évolue sous ses moyennes, et la pression baissière à court terme est avérée.</w:t>
      </w:r>
    </w:p>
    <w:p>
      <w:pPr>
        <w:spacing w:after="120" w:line="276" w:lineRule="auto"/>
      </w:pPr>
      <w:r>
        <w:t>**Bandes de Bollinger** : Le cours (9 205 FCFA) se situe dans la partie basse de la bande, entre la borne inférieure (8 740,20 FCFA) et la borne supérieure (9 957,30 FCFA), sans atteindre les extrêmes. La **décision Neutre** s'explique par cette position médiane : ni suracheté, ni survendu, le titre évolue dans un canal sans signal directionnel fort.</w:t>
      </w:r>
    </w:p>
    <w:p>
      <w:pPr>
        <w:spacing w:after="120" w:line="276" w:lineRule="auto"/>
      </w:pPr>
      <w:r>
        <w:t>**MACD** : La valeur du MACD (-94,795) est inférieure à son signal (-83,631), confirmant une divergence baissière et un momentum négatif. La **décision de Vente** est justifiée : la dynamique de court terme reste défavorable, et aucun croisement haussier n'est en vue.</w:t>
      </w:r>
    </w:p>
    <w:p>
      <w:pPr>
        <w:spacing w:after="120" w:line="276" w:lineRule="auto"/>
      </w:pPr>
      <w:r>
        <w:t>**RSI** : À **57,025**, le RSI se situe en zone neutre (30-70), sans surachat ni survente. La **décision Neutre** reflète l'absence de signal fort : le titre n'est ni épuisé à la hausse, ni survendu, laissant la porte ouverte à une consolidation.</w:t>
      </w:r>
    </w:p>
    <w:p>
      <w:pPr>
        <w:spacing w:after="120" w:line="276" w:lineRule="auto"/>
      </w:pPr>
      <w:r>
        <w:t>**Stochastique** : Le %K (31,875) est inférieur au %D (45,729), avec un croisement baissier en zone basse. La **décision Neutre** masque une pression baissière naissante : le %K sous le %D suggère que la dynamique pourrait se retourner à la baisse si le %K franchit le seuil de 20.</w:t>
      </w:r>
    </w:p>
    <w:p>
      <w:pPr>
        <w:spacing w:after="120" w:line="276" w:lineRule="auto"/>
      </w:pPr>
      <w:r>
        <w:t>**Conclusion technique** : Les indicateurs sont majoritairement baissiers (MM, MACD) ou neutres (Bollinger, RSI, Stochastique), sans signal d'achat. Le titre évolue sous ses moyennes mobiles avec un momentum négatif, mais la position médiane dans les bandes de Bollinger et le RSI neutre limitent le risque de chute brutale. Une consolidation voire une légère correction est probable à court terme, en attendant un signal de retournement.</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BOAB affiche un **Produit Net Bancaire (PNB) de 51,274 milliards FCFA**, en croissance de **10,20%** sur un an, confirmant la dynamique commerciale de la banque. Le **résultat net s'établit à 20,107 milliards FCFA**, avec une **marge nette de 39,22%** et un **ROE de 17,11%** (supérieur au seuil de 15% considéré comme excellent), témoignant d'une rentabilité solide des fonds propres. Le **ROA de 2,08%** reste modéré, typique du secteur bancaire, mais le **coefficient d'exploitation de 49,53%** (inférieur à 50%) classe BOAB parmi les banques les plus efficaces, avec des charges maîtrisées. Le **coût du risque de 22,50%** (provisions/charges financières) est élevé et constitue un point de vigilance : il signale une exposition significative au risque de crédit, bien que le **taux de couverture des intérêts de 101,77%** indique une capacité à absorber les charges financières. La structure financière reste solide avec une **autonomie financière de 12,18%** (faible mais normale pour une banque) et un **ratio de solvabilité générale de 113,87%** (&gt;1, donc solvable). Les **dépôts clientèle (711,642 milliards FCFA)** financent largement les **créances clientèle (391,724 milliards FCFA)**, avec un ratio de transformation de 55%, reflétant une activité de crédit prudente.</w:t>
      </w:r>
    </w:p>
    <w:p>
      <w:pPr>
        <w:spacing w:after="120" w:line="276" w:lineRule="auto"/>
      </w:pPr>
      <w:r>
        <w:t>**Estimations basées sur les rapports trimestriels** : Le **rapport T1 2026 (publié en 2026)** indique un **PNB de 12,329 milliards FCFA (+11%)**, un **résultat net de 4,502 milliards FCFA (+1%)** et une **progression des dépôts de 3,5% à 753,7 milliards FCFA**. On estime donc que l'exercice 2026 devrait maintenir une croissance à deux chiffres du PNB, mais la faible progression du résultat net (+1%) suggère une pression sur les coûts (probablement liée à la hausse du coût du risque). Le **rapport T3 2025 (daté du 30/09/2025)** confirmait déjà cette dynamique avec un **PNB de 37,065 milliards FCFA (+9%)** et un **résultat net de 15,880 milliards FCFA (+13%)**, malgré une contraction des crédits (-10%) et des dépôts (-5%). Cette capacité à générer plus de profit avec moins d'actifs est remarquable, mais la durabilité de cette performance reste incertaine.</w:t>
      </w:r>
    </w:p>
    <w:p>
      <w:pPr>
        <w:spacing w:after="120" w:line="276" w:lineRule="auto"/>
      </w:pPr>
      <w:r>
        <w:t>**Recommandation fondamentale** : BOAB présente des fondamentaux solides (ROE &gt;15%, coefficient d'exploitation &lt;50%, croissance du PNB à deux chiffres), mais les risques sont réels : coût du risque élevé, dépendance à l'environnement économique béninois, et valorisation boursière tendue (PER 18,6x). La banque est bien gérée, mais le marché intègre déjà une grande partie de ces bonnes performances dans le cours.</w:t>
      </w:r>
    </w:p>
    <w:p>
      <w:pPr>
        <w:spacing w:after="120" w:line="276" w:lineRule="auto"/>
      </w:pPr>
      <w:r>
        <w:t>---</w:t>
      </w:r>
    </w:p>
    <w:p>
      <w:pPr>
        <w:spacing w:after="120" w:line="276" w:lineRule="auto"/>
      </w:pPr>
      <w:r>
        <w:t>## PARTIE 4 : CONCLUSION D'INVESTISSEMENT</w:t>
      </w:r>
    </w:p>
    <w:p>
      <w:pPr>
        <w:spacing w:after="120" w:line="276" w:lineRule="auto"/>
      </w:pPr>
      <w:r>
        <w:t>La **valorisation (Partie 0)** apparaît tendue : avec un PER de 18,6x et un EV/EBITDA de 19,2x, BOAB se paie une prime significative par rapport à la moyenne du marché BRVM, ce qui limite le potentiel de réévaluation à court terme. Le **comportement du cours (Partie 1)** montre une tendance haussière fragile (+2,85% sur 100 jours) avec un repli récent (-1,07% en J-1), une volatilité modérée (27,4%) et une asymétrie positive (skewness 0,941) qui suggère que les hausses passées pourraient ne pas se répéter. Les **signaux techniques (Partie 2)** sont majoritairement baissiers ou neutres : le titre évolue sous ses moyennes mobiles, le MACD est en divergence baissière, et seul le RSI neutre empêche un signal de vente franc. Les **fondamentaux (Partie 3)** restent solides (ROE 17,11%, PNB +10,20% en 2025, coefficient d'exploitation 49,53%), mais la croissance du résultat net marque le pas (+1% au T1 2026), et le coût du risque élevé (22,50%) constitue une épée de Damoclès. Les **prédictions IA (J+1 à J+10)** anticipent une légère dérive baissière (9 211 → 9 147 FCFA), confirmant la pression technique actuelle. **Synthèse** : la convergence entre valorisation tendue, technique baissière et fondamentaux solides mais sans surprise majeure plaide pour une **recommandation CONSERVER**, avec un **niveau de confiance Moyen** et un **risque global Moyen**. L'horizon optimal est le **moyen terme (3-12 mois)**, en attendant une correction qui ramènerait le titre vers des niveaux de valorisation plus attractifs (PER &lt;15x) ou une accélération des bénéfices qui justifierait la prime actuelle.</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solide du PNB (+11%) et des revenus de commissions, mais croissance limit\u00e9e du r\u00e9sultat net (+1%) qui traduit une pression sur les co\u00fbts. Fondamentaux stables avec une base de d\u00e9p\u00f4ts en progression."}</w:t>
      </w:r>
    </w:p>
    <w:p>
      <w:pPr>
        <w:spacing w:before="40"/>
        <w:ind w:left="400"/>
      </w:pPr>
      <w:r>
        <w:rPr>
          <w:sz w:val="18"/>
        </w:rPr>
        <w:t>Bank of Africa Benin présente des résultats satisfaisants pour le premier trimestre 2026 avec une croissance du PNB de 11% à 12,329 milliards FCFA. Le résultat avant impôt progresse de 3% à 4,951 milliards FCFA tandis que le résultat net n'augmente que de 1% à 4,502 milliards FCFA. Les dépôts de la clientèle affichent une progression de 3,5% pour atteindre 753,7 milliards FCFA sur l'année glissante. L'amélioration du PNB est principalement due à la hausse des commissions (+18,9%) et de la marge nette bancaire (+8,5%). Les créances sur la clientèle restent stables à 386,5 milliards FCFA au cours du trimestre.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'753,7 milliards FCFA', 'creances_clientele': '386,5 milliards FCFA', 'resultat_avant_impot': '4,951 milliards FCFA', 'croissance_commissions': '+18,9%', 'croissance_marge_nette_bancaire': '+8,5%'}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4,502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12,329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PNB de 11% à 12,329 milliards FCFA au T1 2026</w:t>
      </w:r>
    </w:p>
    <w:p>
      <w:pPr>
        <w:pStyle w:val="ListBullet"/>
        <w:spacing w:before="20" w:after="20"/>
        <w:ind w:left="700"/>
      </w:pPr>
      <w:r>
        <w:rPr>
          <w:sz w:val="18"/>
        </w:rPr>
        <w:t>Progression des commissions de +18,9% soutenant la performance</w:t>
      </w:r>
    </w:p>
    <w:p>
      <w:pPr>
        <w:pStyle w:val="ListBullet"/>
        <w:spacing w:before="20" w:after="20"/>
        <w:ind w:left="700"/>
      </w:pPr>
      <w:r>
        <w:rPr>
          <w:sz w:val="18"/>
        </w:rPr>
        <w:t>Hausse de la marge nette bancaire de +8,5%</w:t>
      </w:r>
    </w:p>
    <w:p>
      <w:pPr>
        <w:pStyle w:val="ListBullet"/>
        <w:spacing w:before="20" w:after="20"/>
        <w:ind w:left="700"/>
      </w:pPr>
      <w:r>
        <w:rPr>
          <w:sz w:val="18"/>
        </w:rPr>
        <w:t>Dépôts clientèle en progression de 3,5% sur l'année glissante à 753,7 milliards FCFA</w:t>
      </w:r>
    </w:p>
    <w:p>
      <w:pPr>
        <w:pStyle w:val="ListBullet"/>
        <w:spacing w:before="20" w:after="20"/>
        <w:ind w:left="700"/>
      </w:pPr>
      <w:r>
        <w:rPr>
          <w:sz w:val="18"/>
        </w:rPr>
        <w:t>Créances sur la clientèle stables à 386,5 milliards FCFA</w:t>
      </w:r>
    </w:p>
    <w:p>
      <w:pPr>
        <w:pStyle w:val="ListBullet"/>
        <w:spacing w:before="20" w:after="20"/>
        <w:ind w:left="700"/>
      </w:pPr>
      <w:r>
        <w:rPr>
          <w:sz w:val="18"/>
        </w:rPr>
        <w:t>Résultat net en faible progression de +1% à 4,502 milliards FCFA</w:t>
      </w:r>
    </w:p>
    <w:p>
      <w:pPr>
        <w:spacing w:before="40"/>
        <w:ind w:left="400"/>
      </w:pPr>
      <w:r>
        <w:rPr>
          <w:b/>
          <w:color w:val="C05000"/>
          <w:sz w:val="18"/>
        </w:rPr>
        <w:t xml:space="preserve">⚠️ Risques : </w:t>
      </w:r>
      <w:r>
        <w:rPr>
          <w:sz w:val="18"/>
        </w:rPr>
        <w:t>["Pression sur la rentabilit\u00e9 nette malgr\u00e9 la croissance des revenus", "Stagnation des cr\u00e9ances client\u00e8le pouvant limiter le d\u00e9veloppement futur", "Augmentation apparente de la charge fiscale impactant le r\u00e9sultat net"]</w:t>
      </w:r>
    </w:p>
    <w:p>
      <w:pPr>
        <w:spacing w:before="40"/>
        <w:ind w:left="400"/>
      </w:pPr>
      <w:r>
        <w:rPr>
          <w:b/>
          <w:color w:val="0064A0"/>
          <w:sz w:val="18"/>
        </w:rPr>
        <w:t xml:space="preserve">🔮 Perspectives : </w:t>
      </w:r>
      <w:r>
        <w:rPr>
          <w:sz w:val="18"/>
        </w:rPr>
        <w:t>L'évolution positive des commissions et de la marge nette bancaire laisse entrevoir un potentiel d'amélioration des performances. La stabilité des dépôts clients et la croissance du PNB constituent des bases solides pour la suite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"Obligation souveraine ivoirienne offrant un rendement attractif de 5,90% avec la garantie de l'\u00c9tat. Excellent profil risque/rendement pour les investisseurs recherchant des revenus r\u00e9guliers sur 10 ans."}</w:t>
      </w:r>
    </w:p>
    <w:p>
      <w:pPr>
        <w:spacing w:before="40"/>
        <w:ind w:left="400"/>
      </w:pPr>
      <w:r>
        <w:rPr>
          <w:sz w:val="18"/>
        </w:rPr>
        <w:t>Il s'agit d'un avis de la BRVM concernant la première cotation d'un emprunt obligataire émis par le Trésor Public de Côte d'Ivoire (TPCI 5,90% 2021-2031). L'État ivoirien a levé 165 milliards FCFA via l'émission de 16,5 millions d'obligations à 10 000 FCFA l'unité. L'objectif est de financer les investissements publics prévus au budget 2021. La première cotation en bourse aura lieu le 21 décembre 2021 avec le symbole TPCI.O66. Société Générale Capital Securities West Africa assure l'introduction en bourse de cette obligation souveraine.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{'duree': '10 ans', 'taux_coupon': '5,90%', 'prix_emission': '10 000 FCFA', 'cours_reference': '10 000 FCFA', 'montant_emission': '165 000 000 000 FCFA', 'nombre_obligations': '16 500 000'}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Émission obligataire souveraine de l'État de Côte d'Ivoire d'un montant de 165 milliards FCFA</w:t>
      </w:r>
    </w:p>
    <w:p>
      <w:pPr>
        <w:pStyle w:val="ListBullet"/>
        <w:spacing w:before="20" w:after="20"/>
        <w:ind w:left="700"/>
      </w:pPr>
      <w:r>
        <w:rPr>
          <w:sz w:val="18"/>
        </w:rPr>
        <w:t>Taux d'intérêt attractif de 5,90% sur une durée de 10 ans (2021-2031)</w:t>
      </w:r>
    </w:p>
    <w:p>
      <w:pPr>
        <w:pStyle w:val="ListBullet"/>
        <w:spacing w:before="20" w:after="20"/>
        <w:ind w:left="700"/>
      </w:pPr>
      <w:r>
        <w:rPr>
          <w:sz w:val="18"/>
        </w:rPr>
        <w:t>Prix d'émission fixé à 10 000 FCFA par obligation avec 16,5 millions de titres souscrits</w:t>
      </w:r>
    </w:p>
    <w:p>
      <w:pPr>
        <w:pStyle w:val="ListBullet"/>
        <w:spacing w:before="20" w:after="20"/>
        <w:ind w:left="700"/>
      </w:pPr>
      <w:r>
        <w:rPr>
          <w:sz w:val="18"/>
        </w:rPr>
        <w:t>Financement destiné aux investissements publics inscrits au budget 2021</w:t>
      </w:r>
    </w:p>
    <w:p>
      <w:pPr>
        <w:pStyle w:val="ListBullet"/>
        <w:spacing w:before="20" w:after="20"/>
        <w:ind w:left="700"/>
      </w:pPr>
      <w:r>
        <w:rPr>
          <w:sz w:val="18"/>
        </w:rPr>
        <w:t>Date de jouissance fixée au 5 novembre 2021</w:t>
      </w:r>
    </w:p>
    <w:p>
      <w:pPr>
        <w:pStyle w:val="ListBullet"/>
        <w:spacing w:before="20" w:after="20"/>
        <w:ind w:left="700"/>
      </w:pPr>
      <w:r>
        <w:rPr>
          <w:sz w:val="18"/>
        </w:rPr>
        <w:t>Première cotation prévue le 21 décembre 2021 sur le compartiment obligations de la BRVM</w:t>
      </w:r>
    </w:p>
    <w:p>
      <w:pPr>
        <w:spacing w:before="40"/>
        <w:ind w:left="400"/>
      </w:pPr>
      <w:r>
        <w:rPr>
          <w:b/>
          <w:color w:val="C05000"/>
          <w:sz w:val="18"/>
        </w:rPr>
        <w:t xml:space="preserve">⚠️ Risques : </w:t>
      </w:r>
      <w:r>
        <w:rPr>
          <w:sz w:val="18"/>
        </w:rPr>
        <w:t>["Risque souverain li\u00e9 \u00e0 la capacit\u00e9 de remboursement de l'\u00c9tat ivoirien", "Risque de taux d'int\u00e9r\u00eat pouvant affecter la valorisation des obligations", "Risque de liquidit\u00e9 sur le march\u00e9 secondaire des obligations BRVM"]</w:t>
      </w:r>
    </w:p>
    <w:p>
      <w:pPr>
        <w:spacing w:before="40"/>
        <w:ind w:left="400"/>
      </w:pPr>
      <w:r>
        <w:rPr>
          <w:b/>
          <w:color w:val="0064A0"/>
          <w:sz w:val="18"/>
        </w:rPr>
        <w:t xml:space="preserve">🔮 Perspectives : </w:t>
      </w:r>
      <w:r>
        <w:rPr>
          <w:sz w:val="18"/>
        </w:rPr>
        <w:t>Cette émission reflète les besoins de financement des investissements publics ivoiriens et la confiance du marché régional. Le succès de cette levée pourrait encourager de nouvelles émissions obligataires souveraines sur la BRVM pour financer les projets de développement.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du r\u00e9sultat net et la ma\u00eetrise des co\u00fbts t\u00e9moignent d'une gestion efficace. Cependant, la baisse du total actif et des cr\u00e9ances sugg\u00e8re une prudence dans l'expansion qui limite le potentiel de croissance \u00e0 court terme."}</w:t>
      </w:r>
    </w:p>
    <w:p>
      <w:pPr>
        <w:spacing w:before="40"/>
        <w:ind w:left="400"/>
      </w:pPr>
      <w:r>
        <w:rPr>
          <w:sz w:val="18"/>
        </w:rPr>
        <w:t>BOA Bénin affiche une performance solide en 2021 avec un résultat net en hausse de 25% à 16,66 milliards FCFA contre 13,31 milliards en 2020. Le total des actifs a diminué de 2% à 884,43 milliards FCFA, reflétant une optimisation du bilan. Le produit net bancaire reste stable à 45,26 milliards FCFA malgré la baisse des charges d'intérêts. La banque maintient une structure financière solide avec des capitaux propres de 97,19 milliards FCFA. Les créances sur la clientèle représentent toujours le principal poste d'actif avec 395,86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'611 263 316 FCFA', 'depots_clientele': '645 871 763 234 FCFA', 'creances_clientele': '395 861 521 329 FCFA', 'charges_exploitation': '21 655 848 586 FCFA', 'produit_net_bancaire': '45 259 365 692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884 426 057 334 FCFA</w:t>
            </w:r>
          </w:p>
        </w:tc>
      </w:tr>
      <w:tr>
        <w:tc>
          <w:tcPr>
            <w:tcW w:type="dxa" w:w="2160"/>
          </w:tcPr>
          <w:p>
            <w:r/>
            <w:r>
              <w:rPr>
                <w:b/>
                <w:sz w:val="16"/>
              </w:rPr>
              <w:t>resultat_net</w:t>
              <w:br/>
            </w:r>
            <w:r>
              <w:rPr>
                <w:sz w:val="18"/>
              </w:rPr>
              <w:t>16 663 938 680 FCFA</w:t>
            </w:r>
          </w:p>
        </w:tc>
        <w:tc>
          <w:tcPr>
            <w:tcW w:type="dxa" w:w="2160"/>
          </w:tcPr>
          <w:p>
            <w:r/>
            <w:r>
              <w:rPr>
                <w:b/>
                <w:sz w:val="16"/>
              </w:rPr>
              <w:t>capitaux_propres</w:t>
              <w:br/>
            </w:r>
            <w:r>
              <w:rPr>
                <w:sz w:val="18"/>
              </w:rPr>
              <w:t>97 192 147 880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croissance de +25% à 16,66 milliards FCFA</w:t>
      </w:r>
    </w:p>
    <w:p>
      <w:pPr>
        <w:pStyle w:val="ListBullet"/>
        <w:spacing w:before="20" w:after="20"/>
        <w:ind w:left="700"/>
      </w:pPr>
      <w:r>
        <w:rPr>
          <w:sz w:val="18"/>
        </w:rPr>
        <w:t>Produit net bancaire stable à 45,26 milliards FCFA</w:t>
      </w:r>
    </w:p>
    <w:p>
      <w:pPr>
        <w:pStyle w:val="ListBullet"/>
        <w:spacing w:before="20" w:after="20"/>
        <w:ind w:left="700"/>
      </w:pPr>
      <w:r>
        <w:rPr>
          <w:sz w:val="18"/>
        </w:rPr>
        <w:t>Diminution des charges d'exploitation de 2% à 21,66 milliards FCFA</w:t>
      </w:r>
    </w:p>
    <w:p>
      <w:pPr>
        <w:pStyle w:val="ListBullet"/>
        <w:spacing w:before="20" w:after="20"/>
        <w:ind w:left="700"/>
      </w:pPr>
      <w:r>
        <w:rPr>
          <w:sz w:val="18"/>
        </w:rPr>
        <w:t>Réduction significative du coût du risque de 5,49 à 0,61 milliard FCFA</w:t>
      </w:r>
    </w:p>
    <w:p>
      <w:pPr>
        <w:pStyle w:val="ListBullet"/>
        <w:spacing w:before="20" w:after="20"/>
        <w:ind w:left="700"/>
      </w:pPr>
      <w:r>
        <w:rPr>
          <w:sz w:val="18"/>
        </w:rPr>
        <w:t>Baisse des créances sur la clientèle de 2% à 395,86 milliards FCFA</w:t>
      </w:r>
    </w:p>
    <w:p>
      <w:pPr>
        <w:pStyle w:val="ListBullet"/>
        <w:spacing w:before="20" w:after="20"/>
        <w:ind w:left="700"/>
      </w:pPr>
      <w:r>
        <w:rPr>
          <w:sz w:val="18"/>
        </w:rPr>
        <w:t>Augmentation des capitaux propres et ressources assimilées à 97,19 milliards FCFA</w:t>
      </w:r>
    </w:p>
    <w:p>
      <w:pPr>
        <w:spacing w:before="40"/>
        <w:ind w:left="400"/>
      </w:pPr>
      <w:r>
        <w:rPr>
          <w:b/>
          <w:color w:val="C05000"/>
          <w:sz w:val="18"/>
        </w:rPr>
        <w:t xml:space="preserve">⚠️ Risques : </w:t>
      </w:r>
      <w:r>
        <w:rPr>
          <w:sz w:val="18"/>
        </w:rPr>
        <w:t>["Contraction de l'activit\u00e9 de cr\u00e9dit avec une baisse des cr\u00e9ances clients", "R\u00e9duction de la taille du bilan pouvant limiter les opportunit\u00e9s de croissance", "Exposition aux risques souverains et \u00e9conomiques du march\u00e9 b\u00e9ninois"]</w:t>
      </w:r>
    </w:p>
    <w:p>
      <w:pPr>
        <w:spacing w:before="40"/>
        <w:ind w:left="400"/>
      </w:pPr>
      <w:r>
        <w:rPr>
          <w:b/>
          <w:color w:val="0064A0"/>
          <w:sz w:val="18"/>
        </w:rPr>
        <w:t xml:space="preserve">🔮 Perspectives : </w:t>
      </w:r>
      <w:r>
        <w:rPr>
          <w:sz w:val="18"/>
        </w:rPr>
        <w:t>BOA Bénin devrait continuer à bénéficier de sa gestion prudente et efficace des coûts, mais la croissance pourrait être limitée par la stratégie de contraction du bilan. L'amélioration significative du coût du risque offre une marge de manœuvre pour un redéploiement éventuel des activités de crédit.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conventions intragroupes semblent \u00e9quilibr\u00e9es et conformes \u00e0 la r\u00e9glementation. Le ratio d'encours aux personnes li\u00e9es reste bien en dessous du seuil r\u00e9glementaire de 20%."}</w:t>
      </w:r>
    </w:p>
    <w:p>
      <w:pPr>
        <w:spacing w:before="40"/>
        <w:ind w:left="400"/>
      </w:pPr>
      <w:r>
        <w:rPr>
          <w:sz w:val="18"/>
        </w:rPr>
        <w:t xml:space="preserve">Ce document présente le rapport spécial des commissaires aux comptes de Bank of Africa Benin sur les conventions réglementées pour l'exercice clos le 31 décembre 2021. Il détaille trois conventions principales : une convention d'assistance technique avec BOA Services, une convention de prestation de services avec AISSA, et une convention de garantie avec BOA Group. L'encours total des prêts consentis aux personnes liées s'élève à 8,164 milliards FCFA au 31 décembre 2021. Les conventions visent principalement l'assistance technique, la maintenance informatique et les garanties intragroupes. Le rapport confirme la conformité des procédures avec les exigences réglementaires de l'OHADA et de la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{'garantie_BOA_Group': '20,6 milliards FCFA', 'frais_maintenance_AISSA': '276,6 millions FCFA', 'ratio_encours_fonds_propres': '11,28%', 'charges_assistance_technique': '1,330 milliards FCFA', 'encours_prets_personnes_liees': '8,164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Aucune nouvelle convention soumise à approbation de l'assemblée générale en 2021</w:t>
      </w:r>
    </w:p>
    <w:p>
      <w:pPr>
        <w:pStyle w:val="ListBullet"/>
        <w:spacing w:before="20" w:after="20"/>
        <w:ind w:left="700"/>
      </w:pPr>
      <w:r>
        <w:rPr>
          <w:sz w:val="18"/>
        </w:rPr>
        <w:t>Convention d'assistance technique BOA Services génère 1,330 milliards FCFA de charges pour BOA BENIN</w:t>
      </w:r>
    </w:p>
    <w:p>
      <w:pPr>
        <w:pStyle w:val="ListBullet"/>
        <w:spacing w:before="20" w:after="20"/>
        <w:ind w:left="700"/>
      </w:pPr>
      <w:r>
        <w:rPr>
          <w:sz w:val="18"/>
        </w:rPr>
        <w:t>Frais de maintenance AISSA de 276,6 millions FCFA supportés par BOA BENIN en 2021</w:t>
      </w:r>
    </w:p>
    <w:p>
      <w:pPr>
        <w:pStyle w:val="ListBullet"/>
        <w:spacing w:before="20" w:after="20"/>
        <w:ind w:left="700"/>
      </w:pPr>
      <w:r>
        <w:rPr>
          <w:sz w:val="18"/>
        </w:rPr>
        <w:t>Convention de garantie BOA Group pour 20,6 milliards FCFA sur titres BOA KENYA</w:t>
      </w:r>
    </w:p>
    <w:p>
      <w:pPr>
        <w:pStyle w:val="ListBullet"/>
        <w:spacing w:before="20" w:after="20"/>
        <w:ind w:left="700"/>
      </w:pPr>
      <w:r>
        <w:rPr>
          <w:sz w:val="18"/>
        </w:rPr>
        <w:t>Encours total des prêts aux personnes liées de 8,164 milliards FCFA</w:t>
      </w:r>
    </w:p>
    <w:p>
      <w:pPr>
        <w:pStyle w:val="ListBullet"/>
        <w:spacing w:before="20" w:after="20"/>
        <w:ind w:left="700"/>
      </w:pPr>
      <w:r>
        <w:rPr>
          <w:sz w:val="18"/>
        </w:rPr>
        <w:t>Représente 11,28% des fonds propres effectifs contre norme maximum de 20%</w:t>
      </w:r>
    </w:p>
    <w:p>
      <w:pPr>
        <w:spacing w:before="40"/>
        <w:ind w:left="400"/>
      </w:pPr>
      <w:r>
        <w:rPr>
          <w:b/>
          <w:color w:val="C05000"/>
          <w:sz w:val="18"/>
        </w:rPr>
        <w:t xml:space="preserve">⚠️ Risques : </w:t>
      </w:r>
      <w:r>
        <w:rPr>
          <w:sz w:val="18"/>
        </w:rPr>
        <w:t>["Concentration des risques avec les entit\u00e9s du groupe BOA", "D\u00e9pendance aux services techniques et informatiques externes du groupe", "Exposition via la garantie sur les titres BOA KENYA"]</w:t>
      </w:r>
    </w:p>
    <w:p>
      <w:pPr>
        <w:spacing w:before="40"/>
        <w:ind w:left="400"/>
      </w:pPr>
      <w:r>
        <w:rPr>
          <w:b/>
          <w:color w:val="0064A0"/>
          <w:sz w:val="18"/>
        </w:rPr>
        <w:t xml:space="preserve">🔮 Perspectives : </w:t>
      </w:r>
      <w:r>
        <w:rPr>
          <w:sz w:val="18"/>
        </w:rPr>
        <w:t>Les conventions intragroupes devraient se poursuivre dans un cadre réglementaire maîtrisé. La banque devra continuer à surveiller le respect des ratios prudentiels sur les engagements envers les personnes liées.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rentabilit\u00e9 en am\u00e9lioration avec une marge nette \u00e9lev\u00e9e de 36,8%. Cependant, l'exposition aux risques g\u00e9opolitiques au Mali et Burkina Faso n\u00e9cessite une surveillance accrue."}</w:t>
      </w:r>
    </w:p>
    <w:p>
      <w:pPr>
        <w:spacing w:before="40"/>
        <w:ind w:left="400"/>
      </w:pPr>
      <w:r>
        <w:rPr>
          <w:sz w:val="18"/>
        </w:rPr>
        <w:t>Bank of Africa Bénin présente des résultats solides pour l'exercice 2021 avec un résultat net de 16,66 milliards de FCFA contre 13,31 milliards en 2020, soit une hausse de 25,2%. Le produit net bancaire s'établit à 45,26 milliards de FCFA, restant stable par rapport à 2020. Le total du bilan atteint 884,43 milliards de FCFA contre 902,79 milliards en 2020, marquant une légère contraction. Les créances sur la clientèle représentent 395,86 milliards de FCFA avec un taux de provisionnement élevé de 82% sur les créances en souffrance. La banque fait face à des défis liés à la crise socio-politique au Mali et au Burkina Faso qui impactent ses expositions.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'4,41 milliards de FCFA', 'capital_souscrit': '20,28 milliards de FCFA', 'creances_clientele': '395,86 milliards de FCFA', 'portefeuille_titres': '348,74 milliards de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36,8%</w:t>
            </w:r>
          </w:p>
        </w:tc>
        <w:tc>
          <w:tcPr>
            <w:tcW w:type="dxa" w:w="2160"/>
          </w:tcPr>
          <w:p>
            <w:pPr>
              <w:ind w:left="100"/>
            </w:pPr>
            <w:r/>
            <w:r>
              <w:rPr>
                <w:b/>
                <w:sz w:val="16"/>
              </w:rPr>
              <w:t>total_actif</w:t>
              <w:br/>
            </w:r>
            <w:r>
              <w:rPr>
                <w:sz w:val="18"/>
              </w:rPr>
              <w:t>884,43 milliards de FCFA</w:t>
            </w:r>
          </w:p>
        </w:tc>
      </w:tr>
      <w:tr>
        <w:tc>
          <w:tcPr>
            <w:tcW w:type="dxa" w:w="2160"/>
          </w:tcPr>
          <w:p>
            <w:r/>
            <w:r>
              <w:rPr>
                <w:b/>
                <w:sz w:val="16"/>
              </w:rPr>
              <w:t>resultat_net</w:t>
              <w:br/>
            </w:r>
            <w:r>
              <w:rPr>
                <w:sz w:val="18"/>
              </w:rPr>
              <w:t>16,66 milliards de FCFA</w:t>
            </w:r>
          </w:p>
        </w:tc>
        <w:tc>
          <w:tcPr>
            <w:tcW w:type="dxa" w:w="2160"/>
          </w:tcPr>
          <w:p>
            <w:r/>
            <w:r>
              <w:rPr>
                <w:b/>
                <w:sz w:val="16"/>
              </w:rPr>
              <w:t>capitaux_propres</w:t>
              <w:br/>
            </w:r>
            <w:r>
              <w:rPr>
                <w:sz w:val="18"/>
              </w:rPr>
              <w:t>97,19 milliards de FCFA</w:t>
            </w:r>
          </w:p>
        </w:tc>
        <w:tc>
          <w:tcPr>
            <w:tcW w:type="dxa" w:w="2160"/>
          </w:tcPr>
          <w:p>
            <w:r/>
            <w:r>
              <w:rPr>
                <w:b/>
                <w:sz w:val="16"/>
              </w:rPr>
              <w:t>chiffre_affaires</w:t>
              <w:br/>
            </w:r>
            <w:r>
              <w:rPr>
                <w:sz w:val="18"/>
              </w:rPr>
              <w:t>45,26 milliards de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25,2% à 16,66 milliards de FCFA en 2021</w:t>
      </w:r>
    </w:p>
    <w:p>
      <w:pPr>
        <w:pStyle w:val="ListBullet"/>
        <w:spacing w:before="20" w:after="20"/>
        <w:ind w:left="700"/>
      </w:pPr>
      <w:r>
        <w:rPr>
          <w:sz w:val="18"/>
        </w:rPr>
        <w:t>Stabilité du produit net bancaire à 45,26 milliards de FCFA</w:t>
      </w:r>
    </w:p>
    <w:p>
      <w:pPr>
        <w:pStyle w:val="ListBullet"/>
        <w:spacing w:before="20" w:after="20"/>
        <w:ind w:left="700"/>
      </w:pPr>
      <w:r>
        <w:rPr>
          <w:sz w:val="18"/>
        </w:rPr>
        <w:t>Contraction du total bilan de 2% à 884,43 milliards de FCFA</w:t>
      </w:r>
    </w:p>
    <w:p>
      <w:pPr>
        <w:pStyle w:val="ListBullet"/>
        <w:spacing w:before="20" w:after="20"/>
        <w:ind w:left="700"/>
      </w:pPr>
      <w:r>
        <w:rPr>
          <w:sz w:val="18"/>
        </w:rPr>
        <w:t>Créances sur clientèle de 395,86 milliards de FCFA représentant 45% du bilan</w:t>
      </w:r>
    </w:p>
    <w:p>
      <w:pPr>
        <w:pStyle w:val="ListBullet"/>
        <w:spacing w:before="20" w:after="20"/>
        <w:ind w:left="700"/>
      </w:pPr>
      <w:r>
        <w:rPr>
          <w:sz w:val="18"/>
        </w:rPr>
        <w:t>Provisionnement important sur créances douteuses avec 71,23 milliards de FCFA de créances en souffrance</w:t>
      </w:r>
    </w:p>
    <w:p>
      <w:pPr>
        <w:pStyle w:val="ListBullet"/>
        <w:spacing w:before="20" w:after="20"/>
        <w:ind w:left="700"/>
      </w:pPr>
      <w:r>
        <w:rPr>
          <w:sz w:val="18"/>
        </w:rPr>
        <w:t>Exposition aux risques pays Mali (25,03 milliards) et Burkina Faso (76,25 milliards)</w:t>
      </w:r>
    </w:p>
    <w:p>
      <w:pPr>
        <w:spacing w:before="40"/>
        <w:ind w:left="400"/>
      </w:pPr>
      <w:r>
        <w:rPr>
          <w:b/>
          <w:color w:val="C05000"/>
          <w:sz w:val="18"/>
        </w:rPr>
        <w:t xml:space="preserve">⚠️ Risques : </w:t>
      </w:r>
      <w:r>
        <w:rPr>
          <w:sz w:val="18"/>
        </w:rPr>
        <w:t>["Exposition significative aux crises socio-politiques au Mali et Burkina Faso", "Niveau \u00e9lev\u00e9 des cr\u00e9ances en souffrance (71,23 milliards de FCFA)", "Retard dans l'adoption compl\u00e8te des normes IFRS"]</w:t>
      </w:r>
    </w:p>
    <w:p>
      <w:pPr>
        <w:spacing w:before="40"/>
        <w:ind w:left="400"/>
      </w:pPr>
      <w:r>
        <w:rPr>
          <w:b/>
          <w:color w:val="0064A0"/>
          <w:sz w:val="18"/>
        </w:rPr>
        <w:t xml:space="preserve">🔮 Perspectives : </w:t>
      </w:r>
      <w:r>
        <w:rPr>
          <w:sz w:val="18"/>
        </w:rPr>
        <w:t>La banque devra gérer prudemment ses expositions dans les pays en crise tout en maintenant sa rentabilité. L'impact de la situation géopolitique régionale sur la qualité du portefeuille de crédit sera déterminant pour les performances futures.</w:t>
      </w:r>
    </w:p>
    <w:p/>
    <w:p>
      <w:r>
        <w:t>════════════════════════════════════════════════════════════════════════════════</w:t>
      </w:r>
    </w:p>
    <w:p>
      <w:r>
        <w:br w:type="page"/>
      </w:r>
    </w:p>
    <w:p>
      <w:pPr>
        <w:pStyle w:val="Heading2"/>
        <w:spacing w:before="360"/>
      </w:pPr>
      <w:r>
        <w:rPr>
          <w:color w:val="0066CC"/>
        </w:rPr>
        <w:t>7. BOABF - BANK OF AFRICA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BOABF</w:t>
            </w:r>
          </w:p>
          <w:p>
            <w:r>
              <w:rPr>
                <w:b/>
                <w:color w:val="323250"/>
                <w:sz w:val="16"/>
              </w:rPr>
              <w:t xml:space="preserve">Société : </w:t>
            </w:r>
            <w:r>
              <w:rPr>
                <w:color w:val="000000"/>
                <w:sz w:val="16"/>
              </w:rPr>
              <w:t>BANK OF AFRICA BURKINA FASO</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352.44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6,338 titres</w:t>
            </w:r>
          </w:p>
        </w:tc>
        <w:tc>
          <w:tcPr>
            <w:tcW w:type="dxa" w:w="2268"/>
            <w:shd w:fill="FFF2CC" w:val="clear"/>
          </w:tcPr>
          <w:p>
            <w:r>
              <w:rPr>
                <w:b/>
                <w:color w:val="503200"/>
                <w:sz w:val="16"/>
              </w:rPr>
              <w:t xml:space="preserve">Cours actuel : </w:t>
            </w:r>
            <w:r>
              <w:rPr>
                <w:color w:val="000000"/>
                <w:sz w:val="17"/>
              </w:rPr>
              <w:t>8,010 FCFA</w:t>
            </w:r>
          </w:p>
          <w:p>
            <w:r>
              <w:rPr>
                <w:b/>
                <w:color w:val="503200"/>
                <w:sz w:val="16"/>
              </w:rPr>
              <w:t xml:space="preserve">Var. 100 jours : </w:t>
            </w:r>
            <w:r>
              <w:rPr>
                <w:b/>
                <w:color w:val="007800"/>
                <w:sz w:val="17"/>
              </w:rPr>
              <w:t>+47.24%</w:t>
            </w:r>
          </w:p>
          <w:p>
            <w:r>
              <w:rPr>
                <w:b/>
                <w:color w:val="503200"/>
                <w:sz w:val="16"/>
              </w:rPr>
              <w:t xml:space="preserve">Plus haut 100j : </w:t>
            </w:r>
            <w:r>
              <w:rPr>
                <w:color w:val="000000"/>
                <w:sz w:val="17"/>
              </w:rPr>
              <w:t>9,090 FCFA</w:t>
            </w:r>
          </w:p>
          <w:p>
            <w:r>
              <w:rPr>
                <w:b/>
                <w:color w:val="503200"/>
                <w:sz w:val="16"/>
              </w:rPr>
              <w:t xml:space="preserve">Plus bas 100j : </w:t>
            </w:r>
            <w:r>
              <w:rPr>
                <w:color w:val="000000"/>
                <w:sz w:val="17"/>
              </w:rPr>
              <w:t>5,300 FCFA</w:t>
            </w:r>
          </w:p>
          <w:p>
            <w:r>
              <w:rPr>
                <w:b/>
                <w:color w:val="503200"/>
                <w:sz w:val="16"/>
              </w:rPr>
              <w:t xml:space="preserve">Volatilité ann. : </w:t>
            </w:r>
            <w:r>
              <w:rPr>
                <w:color w:val="000000"/>
                <w:sz w:val="17"/>
              </w:rPr>
              <w:t>35.9%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24.5/100 → Moyen</w:t>
      </w:r>
    </w:p>
    <w:p>
      <w:pPr>
        <w:spacing w:before="40" w:after="80"/>
      </w:pPr>
      <w:r>
        <w:rPr>
          <w:rFonts w:ascii="Courier New" w:hAnsi="Courier New"/>
          <w:color w:val="825A00"/>
          <w:sz w:val="18"/>
        </w:rPr>
        <w:t>████░░░░░░░░░░░░░░░░  24.5/100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16.73% (Élevée) — μ=7,071 FCFA, σ=1,183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β=0.7568 (Défensif) — Cov=0.000056, Var(idx)=0.000075, ρ=0.285,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6,338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σ_j=2.26%/j (Stable) — Vol. annualisée≈35.9%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59/100  (Bon)</w:t>
      </w:r>
    </w:p>
    <w:p/>
    <w:p>
      <w:pPr>
        <w:jc w:val="center"/>
      </w:pPr>
      <w:r>
        <w:drawing>
          <wp:inline xmlns:a="http://schemas.openxmlformats.org/drawingml/2006/main" xmlns:pic="http://schemas.openxmlformats.org/drawingml/2006/picture">
            <wp:extent cx="5669280" cy="2635585"/>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2026-10-16</w:t>
            </w:r>
          </w:p>
        </w:tc>
        <w:tc>
          <w:tcPr>
            <w:tcW w:type="dxa" w:w="1440"/>
            <w:shd w:fill="FAFAFA" w:val="clear"/>
          </w:tcPr>
          <w:p>
            <w:r>
              <w:rPr>
                <w:sz w:val="17"/>
              </w:rPr>
              <w:t>7,681</w:t>
            </w:r>
          </w:p>
        </w:tc>
        <w:tc>
          <w:tcPr>
            <w:tcW w:type="dxa" w:w="1440"/>
            <w:shd w:fill="FAFAFA" w:val="clear"/>
          </w:tcPr>
          <w:p>
            <w:r>
              <w:rPr>
                <w:b/>
                <w:sz w:val="17"/>
              </w:rPr>
              <w:t>7,966</w:t>
            </w:r>
          </w:p>
        </w:tc>
        <w:tc>
          <w:tcPr>
            <w:tcW w:type="dxa" w:w="1440"/>
            <w:shd w:fill="FAFAFA" w:val="clear"/>
          </w:tcPr>
          <w:p>
            <w:r>
              <w:rPr>
                <w:sz w:val="17"/>
              </w:rPr>
              <w:t>8,251</w:t>
            </w:r>
          </w:p>
        </w:tc>
        <w:tc>
          <w:tcPr>
            <w:tcW w:type="dxa" w:w="1440"/>
            <w:shd w:fill="FAFAFA" w:val="clear"/>
          </w:tcPr>
          <w:p>
            <w:r>
              <w:rPr>
                <w:b/>
                <w:color w:val="C00000"/>
                <w:sz w:val="17"/>
              </w:rPr>
              <w:t>-0.5%</w:t>
            </w:r>
          </w:p>
        </w:tc>
      </w:tr>
      <w:tr>
        <w:tc>
          <w:tcPr>
            <w:tcW w:type="dxa" w:w="1440"/>
            <w:shd w:fill="FAFAFA" w:val="clear"/>
          </w:tcPr>
          <w:p>
            <w:r>
              <w:rPr>
                <w:sz w:val="17"/>
              </w:rPr>
              <w:t>J+2  Moyenne</w:t>
            </w:r>
          </w:p>
        </w:tc>
        <w:tc>
          <w:tcPr>
            <w:tcW w:type="dxa" w:w="1440"/>
            <w:shd w:fill="FAFAFA" w:val="clear"/>
          </w:tcPr>
          <w:p>
            <w:r>
              <w:rPr>
                <w:sz w:val="17"/>
              </w:rPr>
              <w:t>2026-10-19</w:t>
            </w:r>
          </w:p>
        </w:tc>
        <w:tc>
          <w:tcPr>
            <w:tcW w:type="dxa" w:w="1440"/>
            <w:shd w:fill="FAFAFA" w:val="clear"/>
          </w:tcPr>
          <w:p>
            <w:r>
              <w:rPr>
                <w:sz w:val="17"/>
              </w:rPr>
              <w:t>7,531</w:t>
            </w:r>
          </w:p>
        </w:tc>
        <w:tc>
          <w:tcPr>
            <w:tcW w:type="dxa" w:w="1440"/>
            <w:shd w:fill="FAFAFA" w:val="clear"/>
          </w:tcPr>
          <w:p>
            <w:r>
              <w:rPr>
                <w:b/>
                <w:sz w:val="17"/>
              </w:rPr>
              <w:t>7,932</w:t>
            </w:r>
          </w:p>
        </w:tc>
        <w:tc>
          <w:tcPr>
            <w:tcW w:type="dxa" w:w="1440"/>
            <w:shd w:fill="FAFAFA" w:val="clear"/>
          </w:tcPr>
          <w:p>
            <w:r>
              <w:rPr>
                <w:sz w:val="17"/>
              </w:rPr>
              <w:t>8,333</w:t>
            </w:r>
          </w:p>
        </w:tc>
        <w:tc>
          <w:tcPr>
            <w:tcW w:type="dxa" w:w="1440"/>
            <w:shd w:fill="FAFAFA" w:val="clear"/>
          </w:tcPr>
          <w:p>
            <w:r>
              <w:rPr>
                <w:b/>
                <w:color w:val="C00000"/>
                <w:sz w:val="17"/>
              </w:rPr>
              <w:t>-1.0%</w:t>
            </w:r>
          </w:p>
        </w:tc>
      </w:tr>
      <w:tr>
        <w:tc>
          <w:tcPr>
            <w:tcW w:type="dxa" w:w="1440"/>
            <w:shd w:fill="FAFAFA" w:val="clear"/>
          </w:tcPr>
          <w:p>
            <w:r>
              <w:rPr>
                <w:sz w:val="17"/>
              </w:rPr>
              <w:t>J+3  Moyenne</w:t>
            </w:r>
          </w:p>
        </w:tc>
        <w:tc>
          <w:tcPr>
            <w:tcW w:type="dxa" w:w="1440"/>
            <w:shd w:fill="FAFAFA" w:val="clear"/>
          </w:tcPr>
          <w:p>
            <w:r>
              <w:rPr>
                <w:sz w:val="17"/>
              </w:rPr>
              <w:t>2026-10-20</w:t>
            </w:r>
          </w:p>
        </w:tc>
        <w:tc>
          <w:tcPr>
            <w:tcW w:type="dxa" w:w="1440"/>
            <w:shd w:fill="FAFAFA" w:val="clear"/>
          </w:tcPr>
          <w:p>
            <w:r>
              <w:rPr>
                <w:sz w:val="17"/>
              </w:rPr>
              <w:t>7,417</w:t>
            </w:r>
          </w:p>
        </w:tc>
        <w:tc>
          <w:tcPr>
            <w:tcW w:type="dxa" w:w="1440"/>
            <w:shd w:fill="FAFAFA" w:val="clear"/>
          </w:tcPr>
          <w:p>
            <w:r>
              <w:rPr>
                <w:b/>
                <w:sz w:val="17"/>
              </w:rPr>
              <w:t>7,906</w:t>
            </w:r>
          </w:p>
        </w:tc>
        <w:tc>
          <w:tcPr>
            <w:tcW w:type="dxa" w:w="1440"/>
            <w:shd w:fill="FAFAFA" w:val="clear"/>
          </w:tcPr>
          <w:p>
            <w:r>
              <w:rPr>
                <w:sz w:val="17"/>
              </w:rPr>
              <w:t>8,396</w:t>
            </w:r>
          </w:p>
        </w:tc>
        <w:tc>
          <w:tcPr>
            <w:tcW w:type="dxa" w:w="1440"/>
            <w:shd w:fill="FAFAFA" w:val="clear"/>
          </w:tcPr>
          <w:p>
            <w:r>
              <w:rPr>
                <w:b/>
                <w:color w:val="C00000"/>
                <w:sz w:val="17"/>
              </w:rPr>
              <w:t>-1.3%</w:t>
            </w:r>
          </w:p>
        </w:tc>
      </w:tr>
      <w:tr>
        <w:tc>
          <w:tcPr>
            <w:tcW w:type="dxa" w:w="1440"/>
            <w:shd w:fill="FAFAFA" w:val="clear"/>
          </w:tcPr>
          <w:p>
            <w:r>
              <w:rPr>
                <w:sz w:val="17"/>
              </w:rPr>
              <w:t>J+4  ⭐</w:t>
            </w:r>
          </w:p>
        </w:tc>
        <w:tc>
          <w:tcPr>
            <w:tcW w:type="dxa" w:w="1440"/>
            <w:shd w:fill="FAFAFA" w:val="clear"/>
          </w:tcPr>
          <w:p>
            <w:r>
              <w:rPr>
                <w:sz w:val="17"/>
              </w:rPr>
              <w:t>2026-10-21</w:t>
            </w:r>
          </w:p>
        </w:tc>
        <w:tc>
          <w:tcPr>
            <w:tcW w:type="dxa" w:w="1440"/>
            <w:shd w:fill="FAFAFA" w:val="clear"/>
          </w:tcPr>
          <w:p>
            <w:r>
              <w:rPr>
                <w:sz w:val="17"/>
              </w:rPr>
              <w:t>7,321</w:t>
            </w:r>
          </w:p>
        </w:tc>
        <w:tc>
          <w:tcPr>
            <w:tcW w:type="dxa" w:w="1440"/>
            <w:shd w:fill="FAFAFA" w:val="clear"/>
          </w:tcPr>
          <w:p>
            <w:r>
              <w:rPr>
                <w:b/>
                <w:sz w:val="17"/>
              </w:rPr>
              <w:t>7,885</w:t>
            </w:r>
          </w:p>
        </w:tc>
        <w:tc>
          <w:tcPr>
            <w:tcW w:type="dxa" w:w="1440"/>
            <w:shd w:fill="FAFAFA" w:val="clear"/>
          </w:tcPr>
          <w:p>
            <w:r>
              <w:rPr>
                <w:sz w:val="17"/>
              </w:rPr>
              <w:t>8,448</w:t>
            </w:r>
          </w:p>
        </w:tc>
        <w:tc>
          <w:tcPr>
            <w:tcW w:type="dxa" w:w="1440"/>
            <w:shd w:fill="FAFAFA" w:val="clear"/>
          </w:tcPr>
          <w:p>
            <w:r>
              <w:rPr>
                <w:b/>
                <w:color w:val="C00000"/>
                <w:sz w:val="17"/>
              </w:rPr>
              <w:t>-1.6%</w:t>
            </w:r>
          </w:p>
        </w:tc>
      </w:tr>
      <w:tr>
        <w:tc>
          <w:tcPr>
            <w:tcW w:type="dxa" w:w="1440"/>
            <w:shd w:fill="FAFAFA" w:val="clear"/>
          </w:tcPr>
          <w:p>
            <w:r>
              <w:rPr>
                <w:sz w:val="17"/>
              </w:rPr>
              <w:t>J+5  ⭐</w:t>
            </w:r>
          </w:p>
        </w:tc>
        <w:tc>
          <w:tcPr>
            <w:tcW w:type="dxa" w:w="1440"/>
            <w:shd w:fill="FAFAFA" w:val="clear"/>
          </w:tcPr>
          <w:p>
            <w:r>
              <w:rPr>
                <w:sz w:val="17"/>
              </w:rPr>
              <w:t>2026-10-22</w:t>
            </w:r>
          </w:p>
        </w:tc>
        <w:tc>
          <w:tcPr>
            <w:tcW w:type="dxa" w:w="1440"/>
            <w:shd w:fill="FAFAFA" w:val="clear"/>
          </w:tcPr>
          <w:p>
            <w:r>
              <w:rPr>
                <w:sz w:val="17"/>
              </w:rPr>
              <w:t>7,237</w:t>
            </w:r>
          </w:p>
        </w:tc>
        <w:tc>
          <w:tcPr>
            <w:tcW w:type="dxa" w:w="1440"/>
            <w:shd w:fill="FAFAFA" w:val="clear"/>
          </w:tcPr>
          <w:p>
            <w:r>
              <w:rPr>
                <w:b/>
                <w:sz w:val="17"/>
              </w:rPr>
              <w:t>7,865</w:t>
            </w:r>
          </w:p>
        </w:tc>
        <w:tc>
          <w:tcPr>
            <w:tcW w:type="dxa" w:w="1440"/>
            <w:shd w:fill="FAFAFA" w:val="clear"/>
          </w:tcPr>
          <w:p>
            <w:r>
              <w:rPr>
                <w:sz w:val="17"/>
              </w:rPr>
              <w:t>8,494</w:t>
            </w:r>
          </w:p>
        </w:tc>
        <w:tc>
          <w:tcPr>
            <w:tcW w:type="dxa" w:w="1440"/>
            <w:shd w:fill="FAFAFA" w:val="clear"/>
          </w:tcPr>
          <w:p>
            <w:r>
              <w:rPr>
                <w:b/>
                <w:color w:val="C00000"/>
                <w:sz w:val="17"/>
              </w:rPr>
              <w:t>-1.8%</w:t>
            </w:r>
          </w:p>
        </w:tc>
      </w:tr>
      <w:tr>
        <w:tc>
          <w:tcPr>
            <w:tcW w:type="dxa" w:w="1440"/>
            <w:shd w:fill="FFDCE0" w:val="clear"/>
          </w:tcPr>
          <w:p>
            <w:r>
              <w:rPr>
                <w:sz w:val="17"/>
              </w:rPr>
              <w:t>J+6  ⭐</w:t>
            </w:r>
          </w:p>
        </w:tc>
        <w:tc>
          <w:tcPr>
            <w:tcW w:type="dxa" w:w="1440"/>
            <w:shd w:fill="FFDCE0" w:val="clear"/>
          </w:tcPr>
          <w:p>
            <w:r>
              <w:rPr>
                <w:sz w:val="17"/>
              </w:rPr>
              <w:t>2026-10-23</w:t>
            </w:r>
          </w:p>
        </w:tc>
        <w:tc>
          <w:tcPr>
            <w:tcW w:type="dxa" w:w="1440"/>
            <w:shd w:fill="FFDCE0" w:val="clear"/>
          </w:tcPr>
          <w:p>
            <w:r>
              <w:rPr>
                <w:sz w:val="17"/>
              </w:rPr>
              <w:t>7,161</w:t>
            </w:r>
          </w:p>
        </w:tc>
        <w:tc>
          <w:tcPr>
            <w:tcW w:type="dxa" w:w="1440"/>
            <w:shd w:fill="FFDCE0" w:val="clear"/>
          </w:tcPr>
          <w:p>
            <w:r>
              <w:rPr>
                <w:b/>
                <w:sz w:val="17"/>
              </w:rPr>
              <w:t>7,848</w:t>
            </w:r>
          </w:p>
        </w:tc>
        <w:tc>
          <w:tcPr>
            <w:tcW w:type="dxa" w:w="1440"/>
            <w:shd w:fill="FFDCE0" w:val="clear"/>
          </w:tcPr>
          <w:p>
            <w:r>
              <w:rPr>
                <w:sz w:val="17"/>
              </w:rPr>
              <w:t>8,535</w:t>
            </w:r>
          </w:p>
        </w:tc>
        <w:tc>
          <w:tcPr>
            <w:tcW w:type="dxa" w:w="1440"/>
            <w:shd w:fill="FFDCE0" w:val="clear"/>
          </w:tcPr>
          <w:p>
            <w:r>
              <w:rPr>
                <w:b/>
                <w:color w:val="C00000"/>
                <w:sz w:val="17"/>
              </w:rPr>
              <w:t>-2.0%</w:t>
            </w:r>
          </w:p>
        </w:tc>
      </w:tr>
      <w:tr>
        <w:tc>
          <w:tcPr>
            <w:tcW w:type="dxa" w:w="1440"/>
            <w:shd w:fill="FFDCE0" w:val="clear"/>
          </w:tcPr>
          <w:p>
            <w:r>
              <w:rPr>
                <w:sz w:val="17"/>
              </w:rPr>
              <w:t>J+7  ⭐</w:t>
            </w:r>
          </w:p>
        </w:tc>
        <w:tc>
          <w:tcPr>
            <w:tcW w:type="dxa" w:w="1440"/>
            <w:shd w:fill="FFDCE0" w:val="clear"/>
          </w:tcPr>
          <w:p>
            <w:r>
              <w:rPr>
                <w:sz w:val="17"/>
              </w:rPr>
              <w:t>2026-10-26</w:t>
            </w:r>
          </w:p>
        </w:tc>
        <w:tc>
          <w:tcPr>
            <w:tcW w:type="dxa" w:w="1440"/>
            <w:shd w:fill="FFDCE0" w:val="clear"/>
          </w:tcPr>
          <w:p>
            <w:r>
              <w:rPr>
                <w:sz w:val="17"/>
              </w:rPr>
              <w:t>7,090</w:t>
            </w:r>
          </w:p>
        </w:tc>
        <w:tc>
          <w:tcPr>
            <w:tcW w:type="dxa" w:w="1440"/>
            <w:shd w:fill="FFDCE0" w:val="clear"/>
          </w:tcPr>
          <w:p>
            <w:r>
              <w:rPr>
                <w:b/>
                <w:sz w:val="17"/>
              </w:rPr>
              <w:t>7,830</w:t>
            </w:r>
          </w:p>
        </w:tc>
        <w:tc>
          <w:tcPr>
            <w:tcW w:type="dxa" w:w="1440"/>
            <w:shd w:fill="FFDCE0" w:val="clear"/>
          </w:tcPr>
          <w:p>
            <w:r>
              <w:rPr>
                <w:sz w:val="17"/>
              </w:rPr>
              <w:t>8,571</w:t>
            </w:r>
          </w:p>
        </w:tc>
        <w:tc>
          <w:tcPr>
            <w:tcW w:type="dxa" w:w="1440"/>
            <w:shd w:fill="FFDCE0" w:val="clear"/>
          </w:tcPr>
          <w:p>
            <w:r>
              <w:rPr>
                <w:b/>
                <w:color w:val="C00000"/>
                <w:sz w:val="17"/>
              </w:rPr>
              <w:t>-2.2%</w:t>
            </w:r>
          </w:p>
        </w:tc>
      </w:tr>
      <w:tr>
        <w:tc>
          <w:tcPr>
            <w:tcW w:type="dxa" w:w="1440"/>
            <w:shd w:fill="FFDCE0" w:val="clear"/>
          </w:tcPr>
          <w:p>
            <w:r>
              <w:rPr>
                <w:sz w:val="17"/>
              </w:rPr>
              <w:t>J+8  ⭐</w:t>
            </w:r>
          </w:p>
        </w:tc>
        <w:tc>
          <w:tcPr>
            <w:tcW w:type="dxa" w:w="1440"/>
            <w:shd w:fill="FFDCE0" w:val="clear"/>
          </w:tcPr>
          <w:p>
            <w:r>
              <w:rPr>
                <w:sz w:val="17"/>
              </w:rPr>
              <w:t>2026-10-27</w:t>
            </w:r>
          </w:p>
        </w:tc>
        <w:tc>
          <w:tcPr>
            <w:tcW w:type="dxa" w:w="1440"/>
            <w:shd w:fill="FFDCE0" w:val="clear"/>
          </w:tcPr>
          <w:p>
            <w:r>
              <w:rPr>
                <w:sz w:val="17"/>
              </w:rPr>
              <w:t>7,024</w:t>
            </w:r>
          </w:p>
        </w:tc>
        <w:tc>
          <w:tcPr>
            <w:tcW w:type="dxa" w:w="1440"/>
            <w:shd w:fill="FFDCE0" w:val="clear"/>
          </w:tcPr>
          <w:p>
            <w:r>
              <w:rPr>
                <w:b/>
                <w:sz w:val="17"/>
              </w:rPr>
              <w:t>7,814</w:t>
            </w:r>
          </w:p>
        </w:tc>
        <w:tc>
          <w:tcPr>
            <w:tcW w:type="dxa" w:w="1440"/>
            <w:shd w:fill="FFDCE0" w:val="clear"/>
          </w:tcPr>
          <w:p>
            <w:r>
              <w:rPr>
                <w:sz w:val="17"/>
              </w:rPr>
              <w:t>8,604</w:t>
            </w:r>
          </w:p>
        </w:tc>
        <w:tc>
          <w:tcPr>
            <w:tcW w:type="dxa" w:w="1440"/>
            <w:shd w:fill="FFDCE0" w:val="clear"/>
          </w:tcPr>
          <w:p>
            <w:r>
              <w:rPr>
                <w:b/>
                <w:color w:val="C00000"/>
                <w:sz w:val="17"/>
              </w:rPr>
              <w:t>-2.4%</w:t>
            </w:r>
          </w:p>
        </w:tc>
      </w:tr>
      <w:tr>
        <w:tc>
          <w:tcPr>
            <w:tcW w:type="dxa" w:w="1440"/>
            <w:shd w:fill="FFDCE0" w:val="clear"/>
          </w:tcPr>
          <w:p>
            <w:r>
              <w:rPr>
                <w:sz w:val="17"/>
              </w:rPr>
              <w:t>J+9  ⭐</w:t>
            </w:r>
          </w:p>
        </w:tc>
        <w:tc>
          <w:tcPr>
            <w:tcW w:type="dxa" w:w="1440"/>
            <w:shd w:fill="FFDCE0" w:val="clear"/>
          </w:tcPr>
          <w:p>
            <w:r>
              <w:rPr>
                <w:sz w:val="17"/>
              </w:rPr>
              <w:t>2026-10-28</w:t>
            </w:r>
          </w:p>
        </w:tc>
        <w:tc>
          <w:tcPr>
            <w:tcW w:type="dxa" w:w="1440"/>
            <w:shd w:fill="FFDCE0" w:val="clear"/>
          </w:tcPr>
          <w:p>
            <w:r>
              <w:rPr>
                <w:sz w:val="17"/>
              </w:rPr>
              <w:t>6,961</w:t>
            </w:r>
          </w:p>
        </w:tc>
        <w:tc>
          <w:tcPr>
            <w:tcW w:type="dxa" w:w="1440"/>
            <w:shd w:fill="FFDCE0" w:val="clear"/>
          </w:tcPr>
          <w:p>
            <w:r>
              <w:rPr>
                <w:b/>
                <w:sz w:val="17"/>
              </w:rPr>
              <w:t>7,798</w:t>
            </w:r>
          </w:p>
        </w:tc>
        <w:tc>
          <w:tcPr>
            <w:tcW w:type="dxa" w:w="1440"/>
            <w:shd w:fill="FFDCE0" w:val="clear"/>
          </w:tcPr>
          <w:p>
            <w:r>
              <w:rPr>
                <w:sz w:val="17"/>
              </w:rPr>
              <w:t>8,634</w:t>
            </w:r>
          </w:p>
        </w:tc>
        <w:tc>
          <w:tcPr>
            <w:tcW w:type="dxa" w:w="1440"/>
            <w:shd w:fill="FFDCE0" w:val="clear"/>
          </w:tcPr>
          <w:p>
            <w:r>
              <w:rPr>
                <w:b/>
                <w:color w:val="C00000"/>
                <w:sz w:val="17"/>
              </w:rPr>
              <w:t>-2.7%</w:t>
            </w:r>
          </w:p>
        </w:tc>
      </w:tr>
      <w:tr>
        <w:tc>
          <w:tcPr>
            <w:tcW w:type="dxa" w:w="1440"/>
            <w:shd w:fill="FFDCE0" w:val="clear"/>
          </w:tcPr>
          <w:p>
            <w:r>
              <w:rPr>
                <w:sz w:val="17"/>
              </w:rPr>
              <w:t>J+10  ⭐</w:t>
            </w:r>
          </w:p>
        </w:tc>
        <w:tc>
          <w:tcPr>
            <w:tcW w:type="dxa" w:w="1440"/>
            <w:shd w:fill="FFDCE0" w:val="clear"/>
          </w:tcPr>
          <w:p>
            <w:r>
              <w:rPr>
                <w:sz w:val="17"/>
              </w:rPr>
              <w:t>2026-10-29</w:t>
            </w:r>
          </w:p>
        </w:tc>
        <w:tc>
          <w:tcPr>
            <w:tcW w:type="dxa" w:w="1440"/>
            <w:shd w:fill="FFDCE0" w:val="clear"/>
          </w:tcPr>
          <w:p>
            <w:r>
              <w:rPr>
                <w:sz w:val="17"/>
              </w:rPr>
              <w:t>6,902</w:t>
            </w:r>
          </w:p>
        </w:tc>
        <w:tc>
          <w:tcPr>
            <w:tcW w:type="dxa" w:w="1440"/>
            <w:shd w:fill="FFDCE0" w:val="clear"/>
          </w:tcPr>
          <w:p>
            <w:r>
              <w:rPr>
                <w:b/>
                <w:sz w:val="17"/>
              </w:rPr>
              <w:t>7,782</w:t>
            </w:r>
          </w:p>
        </w:tc>
        <w:tc>
          <w:tcPr>
            <w:tcW w:type="dxa" w:w="1440"/>
            <w:shd w:fill="FFDCE0" w:val="clear"/>
          </w:tcPr>
          <w:p>
            <w:r>
              <w:rPr>
                <w:sz w:val="17"/>
              </w:rPr>
              <w:t>8,661</w:t>
            </w:r>
          </w:p>
        </w:tc>
        <w:tc>
          <w:tcPr>
            <w:tcW w:type="dxa" w:w="1440"/>
            <w:shd w:fill="FFDCE0" w:val="clear"/>
          </w:tcPr>
          <w:p>
            <w:r>
              <w:rPr>
                <w:b/>
                <w:color w:val="C00000"/>
                <w:sz w:val="17"/>
              </w:rPr>
              <w:t>-2.9%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136.292 Mds FCFA</w:t>
            </w:r>
          </w:p>
        </w:tc>
        <w:tc>
          <w:tcPr>
            <w:tcW w:type="dxa" w:w="5669"/>
            <w:shd w:fill="FFFFFF" w:val="clear"/>
          </w:tcPr>
          <w:p>
            <w:r>
              <w:rPr>
                <w:color w:val="282828"/>
                <w:sz w:val="15"/>
              </w:rPr>
              <w:t>Représente 11.9%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271.159 Mds FCFA</w:t>
            </w:r>
          </w:p>
        </w:tc>
        <w:tc>
          <w:tcPr>
            <w:tcW w:type="dxa" w:w="5669"/>
            <w:shd w:fill="FFFFFF" w:val="clear"/>
          </w:tcPr>
          <w:p>
            <w:r>
              <w:rPr>
                <w:color w:val="282828"/>
                <w:sz w:val="15"/>
              </w:rPr>
              <w:t>Titres d'État détenus (23.6% du bilan). Actif très sécurisé, source de liquidité secondaire.</w:t>
            </w:r>
          </w:p>
        </w:tc>
      </w:tr>
      <w:tr>
        <w:tc>
          <w:tcPr>
            <w:tcW w:type="dxa" w:w="2268"/>
            <w:shd w:fill="EEF2F7" w:val="clear"/>
          </w:tcPr>
          <w:p>
            <w:r>
              <w:rPr>
                <w:b/>
                <w:color w:val="1E1E3C"/>
                <w:sz w:val="16"/>
              </w:rPr>
              <w:t>Créances interbancaires</w:t>
            </w:r>
          </w:p>
        </w:tc>
        <w:tc>
          <w:tcPr>
            <w:tcW w:type="dxa" w:w="1984"/>
            <w:shd w:fill="FFEB9C" w:val="clear"/>
          </w:tcPr>
          <w:p>
            <w:r>
              <w:rPr>
                <w:b/>
                <w:color w:val="006400"/>
                <w:sz w:val="17"/>
              </w:rPr>
              <w:t>213.132 Mds FCFA</w:t>
            </w:r>
          </w:p>
        </w:tc>
        <w:tc>
          <w:tcPr>
            <w:tcW w:type="dxa" w:w="5669"/>
            <w:shd w:fill="FFFFFF" w:val="clear"/>
          </w:tcPr>
          <w:p>
            <w:r>
              <w:rPr>
                <w:color w:val="282828"/>
                <w:sz w:val="15"/>
              </w:rPr>
              <w:t>Prêts aux autres banques (18.6% du bilan). ⚠️ Exposition significative — risque de contagion en cas de crise 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474.064 Mds FCFA</w:t>
            </w:r>
          </w:p>
        </w:tc>
        <w:tc>
          <w:tcPr>
            <w:tcW w:type="dxa" w:w="5669"/>
            <w:shd w:fill="FFFFFF" w:val="clear"/>
          </w:tcPr>
          <w:p>
            <w:r>
              <w:rPr>
                <w:color w:val="282828"/>
                <w:sz w:val="15"/>
              </w:rPr>
              <w:t>Portefeuille crédits (41.3%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70.47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14.084 Mds FCFA</w:t>
            </w:r>
          </w:p>
        </w:tc>
        <w:tc>
          <w:tcPr>
            <w:tcW w:type="dxa" w:w="5669"/>
            <w:shd w:fill="FFFFFF" w:val="clear"/>
          </w:tcPr>
          <w:p>
            <w:r>
              <w:rPr>
                <w:color w:val="282828"/>
                <w:sz w:val="15"/>
              </w:rPr>
              <w:t>Outil industriel (1.2%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15.176 Mds FCFA</w:t>
            </w:r>
          </w:p>
        </w:tc>
        <w:tc>
          <w:tcPr>
            <w:tcW w:type="dxa" w:w="5669"/>
            <w:shd w:fill="FFFFFF" w:val="clear"/>
          </w:tcPr>
          <w:p>
            <w:r>
              <w:rPr>
                <w:color w:val="282828"/>
                <w:sz w:val="15"/>
              </w:rPr>
              <w:t>Actif immobilisé = 1.3%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349.424 Mds FCFA</w:t>
            </w:r>
          </w:p>
        </w:tc>
        <w:tc>
          <w:tcPr>
            <w:tcW w:type="dxa" w:w="5669"/>
            <w:shd w:fill="FFFFFF" w:val="clear"/>
          </w:tcPr>
          <w:p>
            <w:r>
              <w:rPr>
                <w:color w:val="282828"/>
                <w:sz w:val="15"/>
              </w:rPr>
              <w:t>Liquidités disponibles (30.4%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1148.675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56.141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126.516 Mds FCFA</w:t>
            </w:r>
          </w:p>
        </w:tc>
        <w:tc>
          <w:tcPr>
            <w:tcW w:type="dxa" w:w="5669"/>
            <w:shd w:fill="FFFFFF" w:val="clear"/>
          </w:tcPr>
          <w:p>
            <w:r>
              <w:rPr>
                <w:color w:val="282828"/>
                <w:sz w:val="15"/>
              </w:rPr>
              <w:t>Fonds propres = 11.0%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132.166 Mds FCFA</w:t>
            </w:r>
          </w:p>
        </w:tc>
        <w:tc>
          <w:tcPr>
            <w:tcW w:type="dxa" w:w="5669"/>
            <w:shd w:fill="FFFFFF" w:val="clear"/>
          </w:tcPr>
          <w:p>
            <w:r>
              <w:rPr>
                <w:color w:val="282828"/>
                <w:sz w:val="15"/>
              </w:rPr>
              <w:t>Capitaux permanents / Actif immobilisé = 8.71x.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122.224 Mds FCFA</w:t>
            </w:r>
          </w:p>
        </w:tc>
        <w:tc>
          <w:tcPr>
            <w:tcW w:type="dxa" w:w="5669"/>
            <w:shd w:fill="FFFFFF" w:val="clear"/>
          </w:tcPr>
          <w:p>
            <w:r>
              <w:rPr>
                <w:color w:val="282828"/>
                <w:sz w:val="15"/>
              </w:rPr>
              <w:t>Refinancement interbancaire (10.6%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877.822 Mds FCFA</w:t>
            </w:r>
          </w:p>
        </w:tc>
        <w:tc>
          <w:tcPr>
            <w:tcW w:type="dxa" w:w="5669"/>
            <w:shd w:fill="FFFFFF" w:val="clear"/>
          </w:tcPr>
          <w:p>
            <w:r>
              <w:rPr>
                <w:color w:val="282828"/>
                <w:sz w:val="15"/>
              </w:rPr>
              <w:t>Dépôts clients = 76.4%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122.224 Mds FCFA</w:t>
            </w:r>
          </w:p>
        </w:tc>
        <w:tc>
          <w:tcPr>
            <w:tcW w:type="dxa" w:w="5669"/>
            <w:shd w:fill="FFFFFF" w:val="clear"/>
          </w:tcPr>
          <w:p>
            <w:r>
              <w:rPr>
                <w:color w:val="282828"/>
                <w:sz w:val="15"/>
              </w:rPr>
              <w:t>Dette financière totale = 97%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1022.159 Mds FCFA</w:t>
            </w:r>
          </w:p>
        </w:tc>
        <w:tc>
          <w:tcPr>
            <w:tcW w:type="dxa" w:w="5669"/>
            <w:shd w:fill="FFFFFF" w:val="clear"/>
          </w:tcPr>
          <w:p>
            <w:r>
              <w:rPr>
                <w:color w:val="282828"/>
                <w:sz w:val="15"/>
              </w:rPr>
              <w:t>Dettes totales = 89.0%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57.820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57.820 Mds FCFA</w:t>
            </w:r>
          </w:p>
        </w:tc>
        <w:tc>
          <w:tcPr>
            <w:tcW w:type="dxa" w:w="5669"/>
            <w:shd w:fill="FFFFFF" w:val="clear"/>
          </w:tcPr>
          <w:p>
            <w:r>
              <w:rPr>
                <w:color w:val="282828"/>
                <w:sz w:val="15"/>
              </w:rPr>
              <w:t>Revenu bancaire central (≡ CA). Croissance: 0.6%.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62.860 Mds FCFA</w:t>
            </w:r>
          </w:p>
        </w:tc>
        <w:tc>
          <w:tcPr>
            <w:tcW w:type="dxa" w:w="5669"/>
            <w:shd w:fill="FFFFFF" w:val="clear"/>
          </w:tcPr>
          <w:p>
            <w:r>
              <w:rPr>
                <w:color w:val="282828"/>
                <w:sz w:val="15"/>
              </w:rPr>
              <w:t>Revenus d'intérêts sur crédits (109% du PNB). Principal moteur de revenus de la banque.</w:t>
            </w:r>
          </w:p>
        </w:tc>
      </w:tr>
      <w:tr>
        <w:tc>
          <w:tcPr>
            <w:tcW w:type="dxa" w:w="2268"/>
            <w:shd w:fill="EEF2F7" w:val="clear"/>
          </w:tcPr>
          <w:p>
            <w:r>
              <w:rPr>
                <w:b/>
                <w:color w:val="1E1E3C"/>
                <w:sz w:val="16"/>
              </w:rPr>
              <w:t>Intérêts &amp; charges assimilées</w:t>
            </w:r>
          </w:p>
        </w:tc>
        <w:tc>
          <w:tcPr>
            <w:tcW w:type="dxa" w:w="1984"/>
            <w:shd w:fill="FFEB9C" w:val="clear"/>
          </w:tcPr>
          <w:p>
            <w:r>
              <w:rPr>
                <w:b/>
                <w:color w:val="006400"/>
                <w:sz w:val="17"/>
              </w:rPr>
              <w:t>24.633 Mds FCFA</w:t>
            </w:r>
          </w:p>
        </w:tc>
        <w:tc>
          <w:tcPr>
            <w:tcW w:type="dxa" w:w="5669"/>
            <w:shd w:fill="FFFFFF" w:val="clear"/>
          </w:tcPr>
          <w:p>
            <w:r>
              <w:rPr>
                <w:color w:val="282828"/>
                <w:sz w:val="15"/>
              </w:rPr>
              <w:t>Coût des dépôts collectés (43% du PNB). ⚠️ Charges d'intérêts élevées — pression sur les marges.</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15.017 Mds FCFA</w:t>
            </w:r>
          </w:p>
        </w:tc>
        <w:tc>
          <w:tcPr>
            <w:tcW w:type="dxa" w:w="5669"/>
            <w:shd w:fill="FFFFFF" w:val="clear"/>
          </w:tcPr>
          <w:p>
            <w:r>
              <w:rPr>
                <w:color w:val="282828"/>
                <w:sz w:val="15"/>
              </w:rPr>
              <w:t>Revenus de commissions (26.0%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25.418 Mds FCFA</w:t>
            </w:r>
          </w:p>
        </w:tc>
        <w:tc>
          <w:tcPr>
            <w:tcW w:type="dxa" w:w="5669"/>
            <w:shd w:fill="FFFFFF" w:val="clear"/>
          </w:tcPr>
          <w:p>
            <w:r>
              <w:rPr>
                <w:color w:val="282828"/>
                <w:sz w:val="15"/>
              </w:rPr>
              <w:t>44.0%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1.865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30.537 Mds FCFA</w:t>
            </w:r>
          </w:p>
        </w:tc>
        <w:tc>
          <w:tcPr>
            <w:tcW w:type="dxa" w:w="5669"/>
            <w:shd w:fill="FFFFFF" w:val="clear"/>
          </w:tcPr>
          <w:p>
            <w:r>
              <w:rPr>
                <w:color w:val="282828"/>
                <w:sz w:val="15"/>
              </w:rPr>
              <w:t>RBE = 52.8%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22.182 Mds FCFA</w:t>
            </w:r>
          </w:p>
        </w:tc>
        <w:tc>
          <w:tcPr>
            <w:tcW w:type="dxa" w:w="5669"/>
            <w:shd w:fill="FFFFFF" w:val="clear"/>
          </w:tcPr>
          <w:p>
            <w:r>
              <w:rPr>
                <w:color w:val="282828"/>
                <w:sz w:val="15"/>
              </w:rPr>
              <w:t>Profit d'exploitation = 38.4%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8.355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19.252 Mds FCFA</w:t>
            </w:r>
          </w:p>
        </w:tc>
        <w:tc>
          <w:tcPr>
            <w:tcW w:type="dxa" w:w="5669"/>
            <w:shd w:fill="FFFFFF" w:val="clear"/>
          </w:tcPr>
          <w:p>
            <w:r>
              <w:rPr>
                <w:color w:val="282828"/>
                <w:sz w:val="15"/>
              </w:rPr>
              <w:t>Marge nette = 33.3%.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21.117 Mds FCFA</w:t>
            </w:r>
          </w:p>
        </w:tc>
        <w:tc>
          <w:tcPr>
            <w:tcW w:type="dxa" w:w="5669"/>
            <w:shd w:fill="FFFFFF" w:val="clear"/>
          </w:tcPr>
          <w:p>
            <w:r>
              <w:rPr>
                <w:color w:val="282828"/>
                <w:sz w:val="15"/>
              </w:rPr>
              <w:t>CAF = 21.12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227.200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52.81%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33.30%</w:t>
            </w:r>
          </w:p>
        </w:tc>
        <w:tc>
          <w:tcPr>
            <w:tcW w:type="dxa" w:w="5669"/>
            <w:shd w:fill="FFFFFF" w:val="clear"/>
          </w:tcPr>
          <w:p>
            <w:r>
              <w:rPr>
                <w:color w:val="282828"/>
                <w:sz w:val="15"/>
              </w:rPr>
              <w:t>Résultat net / revenus = 33.30%.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38.36%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15.22%</w:t>
            </w:r>
          </w:p>
        </w:tc>
        <w:tc>
          <w:tcPr>
            <w:tcW w:type="dxa" w:w="5669"/>
            <w:shd w:fill="FFFFFF" w:val="clear"/>
          </w:tcPr>
          <w:p>
            <w:r>
              <w:rPr>
                <w:color w:val="282828"/>
                <w:sz w:val="15"/>
              </w:rPr>
              <w:t>Résultat net / capitaux propres = 15.22%.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1.68%</w:t>
            </w:r>
          </w:p>
        </w:tc>
        <w:tc>
          <w:tcPr>
            <w:tcW w:type="dxa" w:w="5669"/>
            <w:shd w:fill="FFFFFF" w:val="clear"/>
          </w:tcPr>
          <w:p>
            <w:r>
              <w:rPr>
                <w:color w:val="282828"/>
                <w:sz w:val="15"/>
              </w:rPr>
              <w:t>Résultat net / total actif = 1.68%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5.03%</w:t>
            </w:r>
          </w:p>
        </w:tc>
        <w:tc>
          <w:tcPr>
            <w:tcW w:type="dxa" w:w="5669"/>
            <w:shd w:fill="FFFFFF" w:val="clear"/>
          </w:tcPr>
          <w:p>
            <w:r>
              <w:rPr>
                <w:color w:val="282828"/>
                <w:sz w:val="15"/>
              </w:rPr>
              <w:t>CA / total actif = 5.03x.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47.19%</w:t>
            </w:r>
          </w:p>
        </w:tc>
        <w:tc>
          <w:tcPr>
            <w:tcW w:type="dxa" w:w="5669"/>
            <w:shd w:fill="FFFFFF" w:val="clear"/>
          </w:tcPr>
          <w:p>
            <w:r>
              <w:rPr>
                <w:color w:val="282828"/>
                <w:sz w:val="15"/>
              </w:rPr>
              <w:t>Charges / PNB = 47.19%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33.92%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0.57%</w:t>
            </w:r>
          </w:p>
        </w:tc>
        <w:tc>
          <w:tcPr>
            <w:tcW w:type="dxa" w:w="5669"/>
            <w:shd w:fill="FFFFFF" w:val="clear"/>
          </w:tcPr>
          <w:p>
            <w:r>
              <w:rPr>
                <w:color w:val="282828"/>
                <w:sz w:val="15"/>
              </w:rPr>
              <w:t>Croissance PNB vs exercice précédent = 0.57%.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11.01%</w:t>
            </w:r>
          </w:p>
        </w:tc>
        <w:tc>
          <w:tcPr>
            <w:tcW w:type="dxa" w:w="5669"/>
            <w:shd w:fill="FFFFFF" w:val="clear"/>
          </w:tcPr>
          <w:p>
            <w:r>
              <w:rPr>
                <w:color w:val="282828"/>
                <w:sz w:val="15"/>
              </w:rPr>
              <w:t>Fonds propres / total bilan = 11.01%.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88.99%</w:t>
            </w:r>
          </w:p>
        </w:tc>
        <w:tc>
          <w:tcPr>
            <w:tcW w:type="dxa" w:w="5669"/>
            <w:shd w:fill="FFFFFF" w:val="clear"/>
          </w:tcPr>
          <w:p>
            <w:r>
              <w:rPr>
                <w:color w:val="282828"/>
                <w:sz w:val="15"/>
              </w:rPr>
              <w:t>Dettes financières / total bilan = 88.99%.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96.61%</w:t>
            </w:r>
          </w:p>
        </w:tc>
        <w:tc>
          <w:tcPr>
            <w:tcW w:type="dxa" w:w="5669"/>
            <w:shd w:fill="FFFFFF" w:val="clear"/>
          </w:tcPr>
          <w:p>
            <w:r>
              <w:rPr>
                <w:color w:val="282828"/>
                <w:sz w:val="15"/>
              </w:rPr>
              <w:t>Dettes totales / fonds propres = 96.61%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112.38%</w:t>
            </w:r>
          </w:p>
        </w:tc>
        <w:tc>
          <w:tcPr>
            <w:tcW w:type="dxa" w:w="5669"/>
            <w:shd w:fill="FFFFFF" w:val="clear"/>
          </w:tcPr>
          <w:p>
            <w:r>
              <w:rPr>
                <w:color w:val="282828"/>
                <w:sz w:val="15"/>
              </w:rPr>
              <w:t>Total actif / dettes totales = 112.38x.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833.63%</w:t>
            </w:r>
          </w:p>
        </w:tc>
        <w:tc>
          <w:tcPr>
            <w:tcW w:type="dxa" w:w="5669"/>
            <w:shd w:fill="FFFFFF" w:val="clear"/>
          </w:tcPr>
          <w:p>
            <w:r>
              <w:rPr>
                <w:color w:val="282828"/>
                <w:sz w:val="15"/>
              </w:rPr>
              <w:t>Capitaux permanents / actif immobilisé = 833.63x.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5.8 ans</w:t>
            </w:r>
          </w:p>
        </w:tc>
        <w:tc>
          <w:tcPr>
            <w:tcW w:type="dxa" w:w="5669"/>
            <w:shd w:fill="FFFFFF" w:val="clear"/>
          </w:tcPr>
          <w:p>
            <w:r>
              <w:rPr>
                <w:color w:val="282828"/>
                <w:sz w:val="15"/>
              </w:rPr>
              <w:t>Dettes financières / CAF = 5.8 ans. ⚠️ Remboursement long — endettement fort par rapport au cash.</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90.05%</w:t>
            </w:r>
          </w:p>
        </w:tc>
        <w:tc>
          <w:tcPr>
            <w:tcW w:type="dxa" w:w="5669"/>
            <w:shd w:fill="FFFFFF" w:val="clear"/>
          </w:tcPr>
          <w:p>
            <w:r>
              <w:rPr>
                <w:color w:val="282828"/>
                <w:sz w:val="15"/>
              </w:rPr>
              <w:t>Résultat exploit. / charges financières = 90.05x. ❌ L'exploitation ne couvre pas les charges financières.</w:t>
            </w:r>
          </w:p>
        </w:tc>
      </w:tr>
    </w:tbl>
    <w:p/>
    <w:p>
      <w:pPr>
        <w:spacing w:after="120" w:line="276" w:lineRule="auto"/>
      </w:pPr>
      <w:r>
        <w:t>**RAPPORT D'ANALYSE FINANCIÈRE — BOABF (BANK OF AFRICA BURKINA FASO)**</w:t>
        <w:br/>
        <w:t>*Bourse Régionale des Valeurs Mobilières (BRVM)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352,44 milliards FCFA, BOABF s'impose comme l'une des valeurs bancaires de référence de la cote BRVM, se classant parmi les capitalisations les plus importantes du compartiment financier régional. Le BPA de 438 FCFA par action signifie que chaque titre génère annuellement près de 438 FCFA de bénéfice net, ce qui, rapporté au cours actuel de 8 010 FCFA, donne un PER de 18,3x — nettement supérieur à la moyenne BRVM (8-12x), traduisant une prime de valorisation significative que le marché accorde à cette valeur. Le P/B de 2,79x confirme cette lecture : les investisseurs paient près de 2,8 fois la valeur comptable des fonds propres, ce qui positionne le titre dans la fourchette 2-4x caractéristique des sociétés bénéficiant d'une prime de croissance et de qualité perçue. L'EV/EBITDA de 8,1x, situé dans la zone raisonnable de 5-10x, suggère que la valeur totale de l'entreprise reste cohérente avec sa capacité opérationnelle, offrant un contrepoids modérateur à la cherté relative du PER et du P/B.</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BOABF a enregistré une progression spectaculaire de +47,24%, passant d'un plus bas de 5 300 FCFA à un plus haut de 9 090 FCFA, avant de se stabiliser à 8 010 FCFA, en léger repli de -0,44% sur la dernière séance. Ce range de trading de 3 790 FCFA (soit un rapport de 1,7x entre le plus haut et le plus bas) témoigne d'une dynamique haussière puissante, bien que le cours actuel se situe à environ 12% sous son sommet, signalant une phase de consolidation après le rallye. Les statistiques descriptives révèlent une moyenne de 7 071 FCFA légèrement inférieure à la médiane de 7 200 FCFA, avec un mode à 7 100 FCFA — l'écart modéré entre moyenne et médiane, combiné à un skewness quasi nul (0,034), indique une distribution symétrique du cours, sans biais directionnel marqué. L'écart-type de 1 189 FCFA (CV=16,8%) traduit une dispersion modérée autour de la moyenne, tandis que le kurtosis négatif (-1,267, distribution platykurtique) signale une faible concentration des valeurs extrêmes — le titre évite les pics brutaux et évolue dans une tendance relativement lisse. La volatilité annualisée de 35,9% classe BOABF dans la catégorie des titres à volatilité élevée (&gt;30%), ce qui implique un risque de fluctuation important mais cohérent avec le potentiel de rendement offert sur la période.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(7 945,5 FCFA) et la MM50 (8 058,9 FCFA) encadrent le cours actuel de 8 010 FCFA, ce dernier se situant au-dessus de la MM20 mais légèrement en dessous de la MM50. Cette configuration — cours coincé entre les deux moyennes — traduit une indécision du marché, avec une pression baissière à court terme (cours sous MM50) compensée par un support dynamique (cours au-dessus de MM20). La décision technique "Vente" s'explique par la position du cours sous la MM50, signal classique de faiblesse relative.</w:t>
      </w:r>
    </w:p>
    <w:p>
      <w:pPr>
        <w:spacing w:after="120" w:line="276" w:lineRule="auto"/>
      </w:pPr>
      <w:r>
        <w:t>**Bandes de Bollinger** : Le cours (8 010 FCFA) évolue dans la partie médiane de la bande, entre la borne inférieure (7 498,19 FCFA) et la borne supérieure (8 392,81 FCFA), à environ 55% de la largeur totale. Cette position centrale, ni proche de la surchauffe ni de la survente, justifie la décision "Neutre" — le titre n'offre pas de signal directionnel clair selon cet indicateur, la volatilité restant contenue dans les limites des bandes.</w:t>
      </w:r>
    </w:p>
    <w:p>
      <w:pPr>
        <w:spacing w:after="120" w:line="276" w:lineRule="auto"/>
      </w:pPr>
      <w:r>
        <w:t>**MACD** : La valeur du MACD (-29,737) est inférieure à son signal (-26,464), confirmant une configuration baissière avec un momentum négatif. L'écart entre les deux lignes (-3,273) reste modéré, suggérant une pression vendeuse sans accélération marquée. La décision "Vente" reflète cette divergence négative, bien que l'absence de creusement significatif de l'écart invite à la prudence quant à la poursuite du mouvement baissier.</w:t>
      </w:r>
    </w:p>
    <w:p>
      <w:pPr>
        <w:spacing w:after="120" w:line="276" w:lineRule="auto"/>
      </w:pPr>
      <w:r>
        <w:t>**RSI** : À 53,125, le RSI se situe dans la zone neutre (30-70), légèrement au-dessus du seuil médian de 50, indiquant un léger avantage aux acheteurs sans condition de surachat. La décision "Neutre" est cohérente : le titre dispose d'une marge de progression avant d'atteindre la zone de surachat (&gt;70), mais manque de momentum pour un signal d'achat franc.</w:t>
      </w:r>
    </w:p>
    <w:p>
      <w:pPr>
        <w:spacing w:after="120" w:line="276" w:lineRule="auto"/>
      </w:pPr>
      <w:r>
        <w:t>**Stochastique** : Le %K (27,5) est nettement inférieur au %D (45,324), avec un croisement baissier en zone de quasi-survente. Cette configuration suggère que le titre approche d'une zone de rebond potentiel (le %K sous 30 signalant une survente relative), mais le croisement baissier actuel maintient la décision "Neutre" — un retournement haussier du %K au-dessus du %D serait nécessaire pour valider un signal d'achat.</w:t>
      </w:r>
    </w:p>
    <w:p>
      <w:pPr>
        <w:spacing w:after="120" w:line="276" w:lineRule="auto"/>
      </w:pPr>
      <w:r>
        <w:t>**Conclusion technique** : Les indicateurs techniques présentent un tableau mitigé, avec une majorité de signaux "Neutre" (Bollinger, RSI, Stochastique) et deux signaux "Vente" (MM, MACD). Le cours évolue dans une zone de consolidation entre 7 500 et 8 400 FCFA, sans direction claire à court terme. La configuration du Stochastique en zone de survente relative constitue le principal signal potentiellement haussier, mais il nécessite une confirmation par un croisement positif du %K au-dessus du %D pour être validé.</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**Données structurées (exercice 2025)** : En 2025, BOABF a réalisé un Produit Net Bancaire (PNB) de 57 820 millions FCFA, quasi stable par rapport à 2024 (+0,6%), pour un résultat net de 19 252 millions FCFA, en recul de -14,1% sur un an. Le ROE s'établit à 15,22% (niveau excellent, &gt;15%) et le ROA à 1,68%, confirmant la solidité de la rentabilité des fonds propres malgré la pression sur le résultat. Le coefficient d'exploitation de 47,19% classe la banque parmi les établissements les plus efficaces (&lt;50% = excellente efficacité), tandis que le coût du risque de 33,92% (provisions/charges financières) reste élevé, reflétant un portefeuille de crédits sous tension. La structure financière affiche une autonomie financière de 11,01% (faible, mais caractéristique du modèle bancaire) et un ratio d'endettement de 96,61%, avec une solvabilité générale de 112,38% (&gt;1 = solvable). Les dépôts clientèle (877 822 millions FCFA) couvrent largement les créances clientèle (474 064 millions FCFA), avec un ratio de transformation de 54%, indiquant une gestion prudente des liquidités.</w:t>
      </w:r>
    </w:p>
    <w:p>
      <w:pPr>
        <w:spacing w:after="120" w:line="276" w:lineRule="auto"/>
      </w:pPr>
      <w:r>
        <w:t>**Estimations basées sur les rapports trimestriels** : Le rapport du T1 2026 (publié le 31/03/2026) révèle un PNB de 12 694 millions FCFA, en baisse de -10,75% sur un an, et un résultat net de 4 520 millions FCFA (-12,99%), marquant le trimestre le plus faible de la période analysée. Cependant, le rapport du S1 2026 (publié le 30/06/2026) montre une amélioration spectaculaire du résultat net à 10 770 millions FCFA (+31,0% vs S1 2025), portée par une réduction de -65,2% du coût du risque (-2 396 millions vs -6 876 millions). Le PNB semestriel reste en repli de -5,2% à 27 539 millions FCFA, mais la normalisation du risque constitue un signal positif majeur. Sur la base de ces tendances, on estime que l'exercice 2026 devrait afficher un résultat net en amélioration significative par rapport à 2025, potentiellement autour de 22-24 milliards FCFA si la dynamique du S1 se poursuit, bien que la faiblesse structurelle du PNB reste un point de vigilance. Le rapport du T3 2025 (30/09/2025) confirmait déjà la stagnation de l'activité (+0,85% de PNB sur 9 mois) et la pression du coût du risque, mais les rapports plus récents (T1 et S1 2026) montrent une nette amélioration de la qualité du portefeuille. La recommandation fondamentale est de **CONSERVER** : la banque affiche des fondamentaux solides (ROE &gt;15%, coefficient d'exploitation &lt;50%), une amélioration récente de la rentabilité, mais fait face à une stagnation de son PNB et à un environnement sécuritaire et économique difficile au Burkina Faso.</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BOABF (Partie 0) apparaît tendue avec un PER de 18,3x et un P/B de 2,79x, nettement supérieurs aux moyennes du marché BRVM, ce qui suggère une surévaluation relative malgré un EV/EBITDA raisonnable de 8,1x. Le comportement du cours (Partie 1) révèle une tendance haussière puissante (+47,24% sur 100 jours) mais une volatilité élevée (35,9%) et une distribution platykurtique (kurtosis -1,267) indiquant une absence de pics extrêmes — un profil de risque modéré pour un titre ayant fortement progressé. Les signaux techniques (Partie 2) sont mitigés, avec une majorité de décisions "Neutre" et deux signaux "Vente" (MM, MACD), le cours évoluant dans une zone de consolidation sans direction claire. Les fondamentaux (Partie 3) demeurent solides (ROE 15,22%, coefficient d'exploitation 47,19%) mais montrent une stagnation du PNB et une dépendance à la normalisation du coût du risque pour la progression du résultat net. Les prédictions IA (J+1 à J+10) anticipent une légère tendance baissière, avec un cours passant de 7 966 FCFA à 7 865 FCFA, confirmant la phase de consolidation technique actuelle. Sur la base de cette synthèse globale, la recommandation finale est de **CONSERVER** : la convergence entre une valorisation tendue, des signaux techniques neutres à baissiers, des fondamentaux solides mais sans croissance du PNB, et des prédictions baissières à court terme plaide pour une position attentiste. Le niveau de confiance est **Moyen** (les indicateurs sont divergents, avec un potentiel haussier limité par la valorisation et un potentiel baissier contenu par la solidité fondamentale). Le niveau de risque global est **Moyen** (volatilité élevée mais fondamentaux solides). L'horizon d'investissement optimal est le **moyen terme (3-12 mois)**, en attendant une confirmation de la reprise du PNB et une clarification des signaux techniques avant d'envisager un renforcement de position.</w:t>
      </w:r>
    </w:p>
    <w:p/>
    <w:p/>
    <w:p>
      <w:pPr>
        <w:pStyle w:val="Heading3"/>
      </w:pPr>
      <w:r>
        <w:rPr>
          <w:color w:val="00467F"/>
        </w:rPr>
        <w:t>📎 DOCUMENTS &amp; COMMUNICATIONS OFFICIELS BRVM</w:t>
      </w:r>
    </w:p>
    <w:p>
      <w:r>
        <w:rPr>
          <w:i/>
          <w:color w:val="646464"/>
          <w:sz w:val="18"/>
        </w:rPr>
        <w:t>5 document(s) disponible(s) pour cette société (affichage des 5 plus récents).</w:t>
      </w:r>
    </w:p>
    <w:p>
      <w:pPr>
        <w:spacing w:before="160"/>
      </w:pPr>
      <w:r>
        <w:rPr>
          <w:b/>
          <w:color w:val="0066CC"/>
          <w:sz w:val="20"/>
        </w:rPr>
        <w:t xml:space="preserve">[1] </w:t>
      </w:r>
      <w:r>
        <w:rPr>
          <w:b/>
          <w:sz w:val="20"/>
        </w:rPr>
        <w:t>20260720   calendrier de paiement des dividendes   exercice 2025</w:t>
      </w:r>
    </w:p>
    <w:p>
      <w:pPr>
        <w:spacing w:before="20"/>
        <w:ind w:left="400"/>
      </w:pPr>
      <w:r>
        <w:rPr>
          <w:color w:val="505050"/>
          <w:sz w:val="17"/>
        </w:rPr>
        <w:t xml:space="preserve">Date : 21/07/2026  |  Catégorie : dividende  |  Impact : </w:t>
      </w:r>
      <w:r>
        <w:rPr>
          <w:b/>
          <w:color w:val="646464"/>
          <w:sz w:val="17"/>
        </w:rPr>
        <w:t>⚪ NEUTRE</w:t>
      </w:r>
    </w:p>
    <w:p>
      <w:pPr>
        <w:spacing w:before="40"/>
        <w:ind w:left="400"/>
      </w:pPr>
      <w:r>
        <w:rPr>
          <w:sz w:val="18"/>
        </w:rPr>
        <w:t>La BRVM publie le calendrier de paiement des dividendes pour l'exercice 2025, listant les dates ex-dividende et de paiement pour 20 sociétés cotées. Le premier dividende est payé par BOA Burkina Faso le 23 avril 2026, et le dernier par Loterie Nationale du Bénin le 3 août 2026. Les montants varient de 0,9184 FCFA à 2127 FCFA par action.</w:t>
      </w:r>
    </w:p>
    <w:p>
      <w:pPr>
        <w:spacing w:before="60"/>
        <w:ind w:left="400"/>
      </w:pPr>
      <w:r>
        <w:rPr>
          <w:b/>
          <w:sz w:val="18"/>
        </w:rPr>
        <w:t>Points clés :</w:t>
      </w:r>
    </w:p>
    <w:p>
      <w:pPr>
        <w:pStyle w:val="ListBullet"/>
        <w:spacing w:before="20" w:after="20"/>
        <w:ind w:left="700"/>
      </w:pPr>
      <w:r>
        <w:rPr>
          <w:sz w:val="18"/>
        </w:rPr>
        <w:t>Le document liste les dividendes de 20 sociétés pour l'exercice 2025.</w:t>
      </w:r>
    </w:p>
    <w:p>
      <w:pPr>
        <w:pStyle w:val="ListBullet"/>
        <w:spacing w:before="20" w:after="20"/>
        <w:ind w:left="700"/>
      </w:pPr>
      <w:r>
        <w:rPr>
          <w:sz w:val="18"/>
        </w:rPr>
        <w:t>Les paiements s'échelonnent du 23 avril au 3 août 2026.</w:t>
      </w:r>
    </w:p>
    <w:p>
      <w:pPr>
        <w:pStyle w:val="ListBullet"/>
        <w:spacing w:before="20" w:after="20"/>
        <w:ind w:left="700"/>
      </w:pPr>
      <w:r>
        <w:rPr>
          <w:sz w:val="18"/>
        </w:rPr>
        <w:t>Les montants nets par action vont de 0,9184 FCFA (ETI TG) à 2127 FCFA (Solibra CI).</w:t>
      </w:r>
    </w:p>
    <w:p>
      <w:pPr>
        <w:pStyle w:val="ListBullet"/>
        <w:spacing w:before="20" w:after="20"/>
        <w:ind w:left="700"/>
      </w:pPr>
      <w:r>
        <w:rPr>
          <w:sz w:val="18"/>
        </w:rPr>
        <w:t>Certains dividendes sont bruts avec une IRVM de 12% pour les personnes physiques et 10% pour les personnes morales.</w:t>
      </w:r>
    </w:p>
    <w:p>
      <w:pPr>
        <w:pStyle w:val="ListBullet"/>
        <w:spacing w:before="20" w:after="20"/>
        <w:ind w:left="700"/>
      </w:pPr>
      <w:r>
        <w:rPr>
          <w:sz w:val="18"/>
        </w:rPr>
        <w:t>Le calendrier précise pour chaque société le numéro d'avis, la date de publication au BOC, la date ex-dividende et la date de paiement.</w:t>
      </w:r>
    </w:p>
    <w:p>
      <w:pPr>
        <w:ind w:left="400"/>
      </w:pPr>
      <w:r>
        <w:rPr>
          <w:color w:val="B4B4B4"/>
          <w:sz w:val="14"/>
        </w:rPr>
        <w:t xml:space="preserve">· · · · · · · · · · · · · · · · · · · · · · · · · · · · · · </w:t>
      </w:r>
    </w:p>
    <w:p>
      <w:pPr>
        <w:spacing w:before="160"/>
      </w:pPr>
      <w:r>
        <w:rPr>
          <w:b/>
          <w:color w:val="0066CC"/>
          <w:sz w:val="20"/>
        </w:rPr>
        <w:t xml:space="preserve">[2] </w:t>
      </w:r>
      <w:r>
        <w:rPr>
          <w:b/>
          <w:sz w:val="20"/>
        </w:rPr>
        <w:t>20261009   calendrier de paiement des dividendes   exercice 2025</w:t>
      </w:r>
    </w:p>
    <w:p>
      <w:pPr>
        <w:spacing w:before="20"/>
        <w:ind w:left="400"/>
      </w:pPr>
      <w:r>
        <w:rPr>
          <w:color w:val="505050"/>
          <w:sz w:val="17"/>
        </w:rPr>
        <w:t xml:space="preserve">Date : 12/10/2026  |  Catégorie : dividende  |  Impact : </w:t>
      </w:r>
      <w:r>
        <w:rPr>
          <w:b/>
          <w:color w:val="008000"/>
          <w:sz w:val="17"/>
        </w:rPr>
        <w:t>🟢 POSITIF</w:t>
      </w:r>
    </w:p>
    <w:p>
      <w:pPr>
        <w:spacing w:before="40"/>
        <w:ind w:left="400"/>
      </w:pPr>
      <w:r>
        <w:rPr>
          <w:sz w:val="18"/>
        </w:rPr>
        <w:t>La BRVM publie le calendrier de paiement des dividendes au titre de l'exercice 2025 pour les sociétés cotées, avec les montants nets par action, les dates de publication d'avis, les dates ex-dividende et les dates de paiement. Le document couvre plus de trente sociétés de la zone UEMOA, avec des paiements échelonnés d'avril à octobre 2026. Les montants indiqués sont nets, sauf pour les sociétés marquées d'un astérisque dont le dividende est brut avec application de l'IRVM.</w:t>
      </w:r>
    </w:p>
    <w:p>
      <w:pPr>
        <w:spacing w:before="60"/>
        <w:ind w:left="400"/>
      </w:pPr>
      <w:r>
        <w:rPr>
          <w:b/>
          <w:sz w:val="18"/>
        </w:rPr>
        <w:t>Points clés :</w:t>
      </w:r>
    </w:p>
    <w:p>
      <w:pPr>
        <w:pStyle w:val="ListBullet"/>
        <w:spacing w:before="20" w:after="20"/>
        <w:ind w:left="700"/>
      </w:pPr>
      <w:r>
        <w:rPr>
          <w:sz w:val="18"/>
        </w:rPr>
        <w:t>Le calendrier couvre les dividendes de l'exercice 2025 pour plus de 30 sociétés cotées à la BRVM</w:t>
      </w:r>
    </w:p>
    <w:p>
      <w:pPr>
        <w:pStyle w:val="ListBullet"/>
        <w:spacing w:before="20" w:after="20"/>
        <w:ind w:left="700"/>
      </w:pPr>
      <w:r>
        <w:rPr>
          <w:sz w:val="18"/>
        </w:rPr>
        <w:t>Les paiements s'échelonnent du 23 avril 2026 (BOA Burkina Faso) au 27 octobre 2026 (Africa Global Logistics CI)</w:t>
      </w:r>
    </w:p>
    <w:p>
      <w:pPr>
        <w:pStyle w:val="ListBullet"/>
        <w:spacing w:before="20" w:after="20"/>
        <w:ind w:left="700"/>
      </w:pPr>
      <w:r>
        <w:rPr>
          <w:sz w:val="18"/>
        </w:rPr>
        <w:t>Les montants nets par action varient de 0,9184 FCFA (Ecobank Transnational Incorporated) à 2 606 FCFA (Société Générale CI)</w:t>
      </w:r>
    </w:p>
    <w:p>
      <w:pPr>
        <w:pStyle w:val="ListBullet"/>
        <w:spacing w:before="20" w:after="20"/>
        <w:ind w:left="700"/>
      </w:pPr>
      <w:r>
        <w:rPr>
          <w:sz w:val="18"/>
        </w:rPr>
        <w:t>Les sociétés marquées d'un astérisque affichent un dividende brut soumis à l'IRVM de 12% pour les personnes physiques et 10% pour les personnes morales</w:t>
      </w:r>
    </w:p>
    <w:p>
      <w:pPr>
        <w:pStyle w:val="ListBullet"/>
        <w:spacing w:before="20" w:after="20"/>
        <w:ind w:left="700"/>
      </w:pPr>
      <w:r>
        <w:rPr>
          <w:sz w:val="18"/>
        </w:rPr>
        <w:t>Chaque ligne précise le numéro d'avis, la date de publication au BOC, la date ex-dividende (T-1) et la date de paiement (T)</w:t>
      </w:r>
    </w:p>
    <w:p>
      <w:pPr>
        <w:ind w:left="400"/>
      </w:pPr>
      <w:r>
        <w:rPr>
          <w:color w:val="B4B4B4"/>
          <w:sz w:val="14"/>
        </w:rPr>
        <w:t xml:space="preserve">· · · · · · · · · · · · · · · · · · · · · · · · · · · · · · </w:t>
      </w:r>
    </w:p>
    <w:p>
      <w:pPr>
        <w:spacing w:before="160"/>
      </w:pPr>
      <w:r>
        <w:rPr>
          <w:b/>
          <w:color w:val="0066CC"/>
          <w:sz w:val="20"/>
        </w:rPr>
        <w:t xml:space="preserve">[3] </w:t>
      </w:r>
      <w:r>
        <w:rPr>
          <w:b/>
          <w:sz w:val="20"/>
        </w:rPr>
        <w:t>20260812   calendrier de paiement des dividendes   exercice 2025</w:t>
      </w:r>
    </w:p>
    <w:p>
      <w:pPr>
        <w:spacing w:before="20"/>
        <w:ind w:left="400"/>
      </w:pPr>
      <w:r>
        <w:rPr>
          <w:color w:val="505050"/>
          <w:sz w:val="17"/>
        </w:rPr>
        <w:t xml:space="preserve">Date : 12/08/2026  |  Catégorie : dividende  |  Impact : </w:t>
      </w:r>
      <w:r>
        <w:rPr>
          <w:b/>
          <w:color w:val="646464"/>
          <w:sz w:val="17"/>
        </w:rPr>
        <w:t>⚪ NEUTRE</w:t>
      </w:r>
    </w:p>
    <w:p>
      <w:pPr>
        <w:spacing w:before="40"/>
        <w:ind w:left="400"/>
      </w:pPr>
      <w:r>
        <w:rPr>
          <w:sz w:val="18"/>
        </w:rPr>
        <w:t>Ce document de la BRVM publie le calendrier de paiement des dividendes au titre de l'exercice 2025. Il indique pour chaque société cotée le montant net par action, la date ex-dividende et la date de paiement. Les paiements s'échelonnent de mars à septembre 2026, avec des mentions de dividendes bruts soumis à l'IRVM pour certaines sociétés.</w:t>
      </w:r>
    </w:p>
    <w:p>
      <w:pPr>
        <w:spacing w:before="60"/>
        <w:ind w:left="400"/>
      </w:pPr>
      <w:r>
        <w:rPr>
          <w:b/>
          <w:sz w:val="18"/>
        </w:rPr>
        <w:t>Points clés :</w:t>
      </w:r>
    </w:p>
    <w:p>
      <w:pPr>
        <w:pStyle w:val="ListBullet"/>
        <w:spacing w:before="20" w:after="20"/>
        <w:ind w:left="700"/>
      </w:pPr>
      <w:r>
        <w:rPr>
          <w:sz w:val="18"/>
        </w:rPr>
        <w:t>Calendrier officiel des paiements de dividendes pour l'exercice 2025 publié par la BRVM.</w:t>
      </w:r>
    </w:p>
    <w:p>
      <w:pPr>
        <w:pStyle w:val="ListBullet"/>
        <w:spacing w:before="20" w:after="20"/>
        <w:ind w:left="700"/>
      </w:pPr>
      <w:r>
        <w:rPr>
          <w:sz w:val="18"/>
        </w:rPr>
        <w:t>Plusieurs sociétés cotées sont concernées, notamment BOA Burkina Faso, Sonatel, Ecobank, Orange CI et Nestlé CI.</w:t>
      </w:r>
    </w:p>
    <w:p>
      <w:pPr>
        <w:pStyle w:val="ListBullet"/>
        <w:spacing w:before="20" w:after="20"/>
        <w:ind w:left="700"/>
      </w:pPr>
      <w:r>
        <w:rPr>
          <w:sz w:val="18"/>
        </w:rPr>
        <w:t>Les montants nets par action varient selon les sociétés, de 0,9184 FCFA à 2 606 FCFA.</w:t>
      </w:r>
    </w:p>
    <w:p>
      <w:pPr>
        <w:pStyle w:val="ListBullet"/>
        <w:spacing w:before="20" w:after="20"/>
        <w:ind w:left="700"/>
      </w:pPr>
      <w:r>
        <w:rPr>
          <w:sz w:val="18"/>
        </w:rPr>
        <w:t>Les dates ex-dividende s'étalent du 31 mars 2026 au 12 août 2026.</w:t>
      </w:r>
    </w:p>
    <w:p>
      <w:pPr>
        <w:pStyle w:val="ListBullet"/>
        <w:spacing w:before="20" w:after="20"/>
        <w:ind w:left="700"/>
      </w:pPr>
      <w:r>
        <w:rPr>
          <w:sz w:val="18"/>
        </w:rPr>
        <w:t>Certains dividendes sont bruts, avec un IRVM de 12% pour les personnes physiques et 10% pour les personnes morales.</w:t>
      </w:r>
    </w:p>
    <w:p>
      <w:pPr>
        <w:ind w:left="400"/>
      </w:pPr>
      <w:r>
        <w:rPr>
          <w:color w:val="B4B4B4"/>
          <w:sz w:val="14"/>
        </w:rPr>
        <w:t xml:space="preserve">· · · · · · · · · · · · · · · · · · · · · · · · · · · · · · </w:t>
      </w:r>
    </w:p>
    <w:p>
      <w:pPr>
        <w:spacing w:before="160"/>
      </w:pPr>
      <w:r>
        <w:rPr>
          <w:b/>
          <w:color w:val="0066CC"/>
          <w:sz w:val="20"/>
        </w:rPr>
        <w:t xml:space="preserve">[4] </w:t>
      </w:r>
      <w:r>
        <w:rPr>
          <w:b/>
          <w:sz w:val="20"/>
        </w:rPr>
        <w:t>20261006   calendrier de paiement des dividendes   exercice 2025</w:t>
      </w:r>
    </w:p>
    <w:p>
      <w:pPr>
        <w:spacing w:before="20"/>
        <w:ind w:left="400"/>
      </w:pPr>
      <w:r>
        <w:rPr>
          <w:color w:val="505050"/>
          <w:sz w:val="17"/>
        </w:rPr>
        <w:t xml:space="preserve">Date : 07/10/2026  |  Catégorie : dividende  |  Impact : </w:t>
      </w:r>
      <w:r>
        <w:rPr>
          <w:b/>
          <w:color w:val="008000"/>
          <w:sz w:val="17"/>
        </w:rPr>
        <w:t>🟢 POSITIF</w:t>
      </w:r>
    </w:p>
    <w:p>
      <w:pPr>
        <w:spacing w:before="40"/>
        <w:ind w:left="400"/>
      </w:pPr>
      <w:r>
        <w:rPr>
          <w:sz w:val="18"/>
        </w:rPr>
        <w:t>La BRVM publie le calendrier de paiement des dividendes au titre de l'exercice 2025 pour les sociétés cotées. Le document liste pour chaque société le montant du dividende net par action, le numéro d'avis, la date de publication au BOC, la date ex-dividende et la date de paiement. Les paiements s'échelonnent de mars 2026 à octobre 2026, avec une note précisant que les montants marqués d'un astérisque sont des dividendes bruts soumis à l'IRVM.</w:t>
      </w:r>
    </w:p>
    <w:p>
      <w:pPr>
        <w:spacing w:before="60"/>
        <w:ind w:left="400"/>
      </w:pPr>
      <w:r>
        <w:rPr>
          <w:b/>
          <w:sz w:val="18"/>
        </w:rPr>
        <w:t>Points clés :</w:t>
      </w:r>
    </w:p>
    <w:p>
      <w:pPr>
        <w:pStyle w:val="ListBullet"/>
        <w:spacing w:before="20" w:after="20"/>
        <w:ind w:left="700"/>
      </w:pPr>
      <w:r>
        <w:rPr>
          <w:sz w:val="18"/>
        </w:rPr>
        <w:t>Le calendrier couvre plus de 30 sociétés cotées à la BRVM pour l'exercice 2025</w:t>
      </w:r>
    </w:p>
    <w:p>
      <w:pPr>
        <w:pStyle w:val="ListBullet"/>
        <w:spacing w:before="20" w:after="20"/>
        <w:ind w:left="700"/>
      </w:pPr>
      <w:r>
        <w:rPr>
          <w:sz w:val="18"/>
        </w:rPr>
        <w:t>Les paiements s'étalent de mars 2026 (BOA Burkina Faso) à octobre 2026 (Tractafric Motors CI)</w:t>
      </w:r>
    </w:p>
    <w:p>
      <w:pPr>
        <w:pStyle w:val="ListBullet"/>
        <w:spacing w:before="20" w:after="20"/>
        <w:ind w:left="700"/>
      </w:pPr>
      <w:r>
        <w:rPr>
          <w:sz w:val="18"/>
        </w:rPr>
        <w:t>Les montants des dividendes nets par action varient de 0,9184 FCFA (Ecobank Transnational) à 2 606 FCFA (Société Générale CI)</w:t>
      </w:r>
    </w:p>
    <w:p>
      <w:pPr>
        <w:pStyle w:val="ListBullet"/>
        <w:spacing w:before="20" w:after="20"/>
        <w:ind w:left="700"/>
      </w:pPr>
      <w:r>
        <w:rPr>
          <w:sz w:val="18"/>
        </w:rPr>
        <w:t>Les dates ex-dividende précèdent généralement les dates de paiement de quelques jours à quelques semaines</w:t>
      </w:r>
    </w:p>
    <w:p>
      <w:pPr>
        <w:pStyle w:val="ListBullet"/>
        <w:spacing w:before="20" w:after="20"/>
        <w:ind w:left="700"/>
      </w:pPr>
      <w:r>
        <w:rPr>
          <w:sz w:val="18"/>
        </w:rPr>
        <w:t>Un astérisque indique les dividendes bruts avec IRVM applicable de 12% pour les personnes physiques et 10% pour les personnes morales</w:t>
      </w:r>
    </w:p>
    <w:p>
      <w:pPr>
        <w:ind w:left="400"/>
      </w:pPr>
      <w:r>
        <w:rPr>
          <w:color w:val="B4B4B4"/>
          <w:sz w:val="14"/>
        </w:rPr>
        <w:t xml:space="preserve">· · · · · · · · · · · · · · · · · · · · · · · · · · · · · · </w:t>
      </w:r>
    </w:p>
    <w:p>
      <w:pPr>
        <w:spacing w:before="160"/>
      </w:pPr>
      <w:r>
        <w:rPr>
          <w:b/>
          <w:color w:val="0066CC"/>
          <w:sz w:val="20"/>
        </w:rPr>
        <w:t xml:space="preserve">[5] </w:t>
      </w:r>
      <w:r>
        <w:rPr>
          <w:b/>
          <w:sz w:val="20"/>
        </w:rPr>
        <w:t>20260417   calendrier de paiement des dividendes   exercice 2025</w:t>
      </w:r>
    </w:p>
    <w:p>
      <w:pPr>
        <w:spacing w:before="20"/>
        <w:ind w:left="400"/>
      </w:pPr>
      <w:r>
        <w:rPr>
          <w:color w:val="505050"/>
          <w:sz w:val="17"/>
        </w:rPr>
        <w:t xml:space="preserve">Date : 17/04/2026  |  Catégorie : dividende  |  Impact : </w:t>
      </w:r>
      <w:r>
        <w:rPr>
          <w:b/>
          <w:color w:val="008000"/>
          <w:sz w:val="17"/>
        </w:rPr>
        <w:t>🟢 POSITIF</w:t>
      </w:r>
    </w:p>
    <w:p>
      <w:pPr>
        <w:spacing w:before="40"/>
        <w:ind w:left="400"/>
      </w:pPr>
      <w:r>
        <w:rPr>
          <w:sz w:val="18"/>
        </w:rPr>
        <w:t>Calendrier de paiement des dividendes BRVM pour l'année 2025, publié le 17 avril 2026. Le document présente les échéances de versement pour BOA Burkina Faso (397 FCFA/action) et BOA Côte d'Ivoire (594,528 FCFA/action). Les dates ex-dividende et de paiement sont programmées entre avril et mai 2026.</w:t>
      </w:r>
    </w:p>
    <w:p>
      <w:pPr>
        <w:spacing w:before="60"/>
        <w:ind w:left="400"/>
      </w:pPr>
      <w:r>
        <w:rPr>
          <w:b/>
          <w:sz w:val="18"/>
        </w:rPr>
        <w:t>Points clés :</w:t>
      </w:r>
    </w:p>
    <w:p>
      <w:pPr>
        <w:pStyle w:val="ListBullet"/>
        <w:spacing w:before="20" w:after="20"/>
        <w:ind w:left="700"/>
      </w:pPr>
      <w:r>
        <w:rPr>
          <w:sz w:val="18"/>
        </w:rPr>
        <w:t>BOA Burkina Faso verse un dividende de 397 FCFA par action avec paiement le 23/04/2026</w:t>
      </w:r>
    </w:p>
    <w:p>
      <w:pPr>
        <w:pStyle w:val="ListBullet"/>
        <w:spacing w:before="20" w:after="20"/>
        <w:ind w:left="700"/>
      </w:pPr>
      <w:r>
        <w:rPr>
          <w:sz w:val="18"/>
        </w:rPr>
        <w:t>BOA Côte d'Ivoire distribue 594,528 FCFA par action avec paiement le 06/05/2026</w:t>
      </w:r>
    </w:p>
    <w:p>
      <w:pPr>
        <w:pStyle w:val="ListBullet"/>
        <w:spacing w:before="20" w:after="20"/>
        <w:ind w:left="700"/>
      </w:pPr>
      <w:r>
        <w:rPr>
          <w:sz w:val="18"/>
        </w:rPr>
        <w:t>Date ex-dividende fixée au 22/04/2026 pour BOA Burkina Faso et au 05/05/2026 pour BOA Côte d'Ivoire</w:t>
      </w:r>
    </w:p>
    <w:p>
      <w:pPr>
        <w:pStyle w:val="ListBullet"/>
        <w:spacing w:before="20" w:after="20"/>
        <w:ind w:left="700"/>
      </w:pPr>
      <w:r>
        <w:rPr>
          <w:sz w:val="18"/>
        </w:rPr>
        <w:t>Publication des avis respectifs les 31/03/2026 et 17/04/2026 au Bulletin Officiel de la Cote</w:t>
      </w:r>
    </w:p>
    <w:p>
      <w:pPr>
        <w:pStyle w:val="ListBullet"/>
        <w:spacing w:before="20" w:after="20"/>
        <w:ind w:left="700"/>
      </w:pPr>
      <w:r>
        <w:rPr>
          <w:sz w:val="18"/>
        </w:rPr>
        <w:t>Calendrier officiel BRVM établi pour l'exercice 2025 avec références d'avis précises</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des revenus et du r\u00e9sultat net, la banque maintient une rentabilit\u00e9 positive et b\u00e9n\u00e9ficie d'une croissance des d\u00e9p\u00f4ts. La situation n\u00e9cessite un suivi attentif de l'\u00e9volution des prochains trimestres."}</w:t>
      </w:r>
    </w:p>
    <w:p>
      <w:pPr>
        <w:spacing w:before="40"/>
        <w:ind w:left="400"/>
      </w:pPr>
      <w:r>
        <w:rPr>
          <w:sz w:val="18"/>
        </w:rPr>
        <w:t>Bank of Africa Burkina Faso clôture le premier trimestre 2026 avec des performances mitigées. Le produit net bancaire s'établit à 12 694 millions FCFA, en baisse de 10,75% par rapport à mars 2025. Le résultat net ressort à 4 520 millions FCFA, en recul de 12,99% sur un an. L'activité commerciale montre des signaux positifs avec une progression des dépôts clientèle de 6,3%. La rentabilité reste néanmoins solide malgré la contraction observée.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'933 233 millions FCFA', 'credits_clientele': '468 561 millions FCFA', 'resultat_avant_impot': '4 951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4 520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12 694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10,75% à 12 694 millions FCFA au 31 mars 2026</w:t>
      </w:r>
    </w:p>
    <w:p>
      <w:pPr>
        <w:pStyle w:val="ListBullet"/>
        <w:spacing w:before="20" w:after="20"/>
        <w:ind w:left="700"/>
      </w:pPr>
      <w:r>
        <w:rPr>
          <w:sz w:val="18"/>
        </w:rPr>
        <w:t>Résultat net en recul de 12,99% à 4 520 millions FCFA</w:t>
      </w:r>
    </w:p>
    <w:p>
      <w:pPr>
        <w:pStyle w:val="ListBullet"/>
        <w:spacing w:before="20" w:after="20"/>
        <w:ind w:left="700"/>
      </w:pPr>
      <w:r>
        <w:rPr>
          <w:sz w:val="18"/>
        </w:rPr>
        <w:t>Progression des dépôts clientèle de 6,3% à 933 233 millions FCFA</w:t>
      </w:r>
    </w:p>
    <w:p>
      <w:pPr>
        <w:pStyle w:val="ListBullet"/>
        <w:spacing w:before="20" w:after="20"/>
        <w:ind w:left="700"/>
      </w:pPr>
      <w:r>
        <w:rPr>
          <w:sz w:val="18"/>
        </w:rPr>
        <w:t>Léger repli des crédits clientèle de -1,2% à 468 561 millions FCFA</w:t>
      </w:r>
    </w:p>
    <w:p>
      <w:pPr>
        <w:pStyle w:val="ListBullet"/>
        <w:spacing w:before="20" w:after="20"/>
        <w:ind w:left="700"/>
      </w:pPr>
      <w:r>
        <w:rPr>
          <w:sz w:val="18"/>
        </w:rPr>
        <w:t>Résultat avant impôt en baisse de 16,91% à 4 951 millions FCFA</w:t>
      </w:r>
    </w:p>
    <w:p>
      <w:pPr>
        <w:pStyle w:val="ListBullet"/>
        <w:spacing w:before="20" w:after="20"/>
        <w:ind w:left="700"/>
      </w:pPr>
      <w:r>
        <w:rPr>
          <w:sz w:val="18"/>
        </w:rPr>
        <w:t>Contraction généralisée des revenus sur une base annuelle glissante</w:t>
      </w:r>
    </w:p>
    <w:p>
      <w:pPr>
        <w:spacing w:before="40"/>
        <w:ind w:left="400"/>
      </w:pPr>
      <w:r>
        <w:rPr>
          <w:b/>
          <w:color w:val="C05000"/>
          <w:sz w:val="18"/>
        </w:rPr>
        <w:t xml:space="preserve">⚠️ Risques : </w:t>
      </w:r>
      <w:r>
        <w:rPr>
          <w:sz w:val="18"/>
        </w:rPr>
        <w:t>["Contraction continue du produit net bancaire impactant la rentabilit\u00e9", "Stagnation des cr\u00e9dits client\u00e8le limitant les opportunit\u00e9s de croissance", "Environnement \u00e9conomique d\u00e9favorable au Burkina Faso"]</w:t>
      </w:r>
    </w:p>
    <w:p>
      <w:pPr>
        <w:spacing w:before="40"/>
        <w:ind w:left="400"/>
      </w:pPr>
      <w:r>
        <w:rPr>
          <w:b/>
          <w:color w:val="0064A0"/>
          <w:sz w:val="18"/>
        </w:rPr>
        <w:t xml:space="preserve">🔮 Perspectives : </w:t>
      </w:r>
      <w:r>
        <w:rPr>
          <w:sz w:val="18"/>
        </w:rPr>
        <w:t>L'évolution de la performance dépendra de la capacité de la banque à redresser son activité de crédit et à maintenir la dynamique de collecte des dépôts. Le contexte économique et sécuritaire au Burkina Faso reste un facteur déterminant pour les prochains trimestres.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croissance solide de ses indicateurs financiers malgr\u00e9 un environnement difficile. Cependant, les risques s\u00e9curitaires et \u00e9conomiques au Burkina Faso appellent \u00e0 la prudence."}</w:t>
      </w:r>
    </w:p>
    <w:p>
      <w:pPr>
        <w:spacing w:before="40"/>
        <w:ind w:left="400"/>
      </w:pPr>
      <w:r>
        <w:rPr>
          <w:sz w:val="18"/>
        </w:rPr>
        <w:t>Bank of Africa Burkina Faso a publié ses résultats du deuxième semestre 2022, montrant une performance solide malgré le contexte économique difficile. Le produit net bancaire a progressé de 11,4% à 56,646 milliards FCFA, soutenu par le renforcement de la marge bancaire et des commissions. Le résultat net s'établit à 25,477 milliards FCFA, en hausse de 19,9% par rapport à 2021. Le total bilan a augmenté de 8,4% pour atteindre 1 163,300 milliards FCFA fin décembre 2022. La banque maintient sa position sur le marché bancaire burkinabè dans un environnement marqué par l'instabilité sécuritaire et l'inflation.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'642 663 millions FCFA', 'cout_du_risque': '-3 328 millions FCFA', 'frais_generaux': '22 296 millions FCFA', 'depots_clientele': '875 499 millions FCFA', 'resultat_brut_exploitation': '32 632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19,9%</w:t>
            </w:r>
          </w:p>
        </w:tc>
        <w:tc>
          <w:tcPr>
            <w:tcW w:type="dxa" w:w="2160"/>
          </w:tcPr>
          <w:p>
            <w:pPr>
              <w:ind w:left="100"/>
            </w:pPr>
            <w:r/>
            <w:r>
              <w:rPr>
                <w:b/>
                <w:sz w:val="16"/>
              </w:rPr>
              <w:t>total_actif</w:t>
              <w:br/>
            </w:r>
            <w:r>
              <w:rPr>
                <w:sz w:val="18"/>
              </w:rPr>
              <w:t>1 163 300 millions FCFA</w:t>
            </w:r>
          </w:p>
        </w:tc>
      </w:tr>
      <w:tr>
        <w:tc>
          <w:tcPr>
            <w:tcW w:type="dxa" w:w="2160"/>
          </w:tcPr>
          <w:p>
            <w:r/>
            <w:r>
              <w:rPr>
                <w:b/>
                <w:sz w:val="16"/>
              </w:rPr>
              <w:t>resultat_net</w:t>
              <w:br/>
            </w:r>
            <w:r>
              <w:rPr>
                <w:sz w:val="18"/>
              </w:rPr>
              <w:t>25 477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56 646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11,4% à 56,646 milliards FCFA</w:t>
      </w:r>
    </w:p>
    <w:p>
      <w:pPr>
        <w:pStyle w:val="ListBullet"/>
        <w:spacing w:before="20" w:after="20"/>
        <w:ind w:left="700"/>
      </w:pPr>
      <w:r>
        <w:rPr>
          <w:sz w:val="18"/>
        </w:rPr>
        <w:t>Progression du résultat net de 19,9% à 25,477 milliards FCFA</w:t>
      </w:r>
    </w:p>
    <w:p>
      <w:pPr>
        <w:pStyle w:val="ListBullet"/>
        <w:spacing w:before="20" w:after="20"/>
        <w:ind w:left="700"/>
      </w:pPr>
      <w:r>
        <w:rPr>
          <w:sz w:val="18"/>
        </w:rPr>
        <w:t>Hausse du total bilan de 8,4% à 1 163,300 milliards FCFA</w:t>
      </w:r>
    </w:p>
    <w:p>
      <w:pPr>
        <w:pStyle w:val="ListBullet"/>
        <w:spacing w:before="20" w:after="20"/>
        <w:ind w:left="700"/>
      </w:pPr>
      <w:r>
        <w:rPr>
          <w:sz w:val="18"/>
        </w:rPr>
        <w:t>Croissance des dépôts clientèle de 7,3% à 875,499 milliards FCFA</w:t>
      </w:r>
    </w:p>
    <w:p>
      <w:pPr>
        <w:pStyle w:val="ListBullet"/>
        <w:spacing w:before="20" w:after="20"/>
        <w:ind w:left="700"/>
      </w:pPr>
      <w:r>
        <w:rPr>
          <w:sz w:val="18"/>
        </w:rPr>
        <w:t>Encours des crédits nets en progression à 642,663 milliards FCFA</w:t>
      </w:r>
    </w:p>
    <w:p>
      <w:pPr>
        <w:pStyle w:val="ListBullet"/>
        <w:spacing w:before="20" w:after="20"/>
        <w:ind w:left="700"/>
      </w:pPr>
      <w:r>
        <w:rPr>
          <w:sz w:val="18"/>
        </w:rPr>
        <w:t>Amélioration de la marge bancaire à 11,6%</w:t>
      </w:r>
    </w:p>
    <w:p>
      <w:pPr>
        <w:spacing w:before="40"/>
        <w:ind w:left="400"/>
      </w:pPr>
      <w:r>
        <w:rPr>
          <w:b/>
          <w:color w:val="C05000"/>
          <w:sz w:val="18"/>
        </w:rPr>
        <w:t xml:space="preserve">⚠️ Risques : </w:t>
      </w:r>
      <w:r>
        <w:rPr>
          <w:sz w:val="18"/>
        </w:rPr>
        <w:t>["Instabilit\u00e9 s\u00e9curitaire persistante avec les attaques terroristes au Burkina Faso", "Ralentissement \u00e9conomique avec un PIB projet\u00e9 \u00e0 seulement 2,7% en 2022", "Impact de l'inflation induite par la crise russo-ukrainienne sur l'\u00e9conomie locale"]</w:t>
      </w:r>
    </w:p>
    <w:p>
      <w:pPr>
        <w:spacing w:before="40"/>
        <w:ind w:left="400"/>
      </w:pPr>
      <w:r>
        <w:rPr>
          <w:b/>
          <w:color w:val="0064A0"/>
          <w:sz w:val="18"/>
        </w:rPr>
        <w:t xml:space="preserve">🔮 Perspectives : </w:t>
      </w:r>
      <w:r>
        <w:rPr>
          <w:sz w:val="18"/>
        </w:rPr>
        <w:t>Les perspectives dépendront largement de l'évolution de la situation sécuritaire au Burkina Faso et de la stabilisation de l'environnement économique. La banque devra maintenir sa vigilance sur la gestion des risques tout en capitalisant sur sa position de marché établie.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financi\u00e8re solide avec une croissance soutenue de la rentabilit\u00e9 et une expansion \u00e9quilibr\u00e9e du bilan. Le renforcement des capitaux propres et la progression des activit\u00e9s commerciales offrent de bonnes perspectives de d\u00e9veloppement."}</w:t>
      </w:r>
    </w:p>
    <w:p>
      <w:pPr>
        <w:spacing w:before="40"/>
        <w:ind w:left="400"/>
      </w:pPr>
      <w:r>
        <w:rPr>
          <w:sz w:val="18"/>
        </w:rPr>
        <w:t>Bank of Africa Burkina Faso présente des résultats solides pour l'exercice 2022 avec un résultat net en hausse de 20% à 25,48 milliards FCFA. Le total du bilan progresse significativement de 8,4% pour atteindre 1 164 milliards FCFA, témoignant d'une croissance soutenue de l'activité. Le produit net bancaire s'élève à 56,65 milliards FCFA contre 50,83 milliards en 2021, soit une progression de 11,5%. Les créances sur la clientèle augmentent de 11,3% à 642,66 milliards FCFA, confirmant le dynamisme commercial. Les capitaux propres se renforcent à 70,59 milliards FCFA grâce à la mise en réserve d'une partie des bénéfices.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None, 'depots_clientele': '875 498 676 380 FCFA', 'credits_clientele': '642 663 190 334 FCFA', 'produit_net_bancaire': '56 645 788 278 FCFA', 'coefficient_exploitation': None}</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1 163 299 866 414 FCFA</w:t>
            </w:r>
          </w:p>
        </w:tc>
      </w:tr>
      <w:tr>
        <w:tc>
          <w:tcPr>
            <w:tcW w:type="dxa" w:w="2160"/>
          </w:tcPr>
          <w:p>
            <w:r/>
            <w:r>
              <w:rPr>
                <w:b/>
                <w:sz w:val="16"/>
              </w:rPr>
              <w:t>resultat_net</w:t>
              <w:br/>
            </w:r>
            <w:r>
              <w:rPr>
                <w:sz w:val="18"/>
              </w:rPr>
              <w:t>25 476 935 672 FCFA</w:t>
            </w:r>
          </w:p>
        </w:tc>
        <w:tc>
          <w:tcPr>
            <w:tcW w:type="dxa" w:w="2160"/>
          </w:tcPr>
          <w:p>
            <w:r/>
            <w:r>
              <w:rPr>
                <w:b/>
                <w:sz w:val="16"/>
              </w:rPr>
              <w:t>capitaux_propres</w:t>
              <w:br/>
            </w:r>
            <w:r>
              <w:rPr>
                <w:sz w:val="18"/>
              </w:rPr>
              <w:t>70 590 372 043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20% à 25,48 milliards FCFA en 2022</w:t>
      </w:r>
    </w:p>
    <w:p>
      <w:pPr>
        <w:pStyle w:val="ListBullet"/>
        <w:spacing w:before="20" w:after="20"/>
        <w:ind w:left="700"/>
      </w:pPr>
      <w:r>
        <w:rPr>
          <w:sz w:val="18"/>
        </w:rPr>
        <w:t>Progression du total bilan de 8,4% à 1 164 milliards FCFA</w:t>
      </w:r>
    </w:p>
    <w:p>
      <w:pPr>
        <w:pStyle w:val="ListBullet"/>
        <w:spacing w:before="20" w:after="20"/>
        <w:ind w:left="700"/>
      </w:pPr>
      <w:r>
        <w:rPr>
          <w:sz w:val="18"/>
        </w:rPr>
        <w:t>Amélioration du produit net bancaire de 11,5% à 56,65 milliards FCFA</w:t>
      </w:r>
    </w:p>
    <w:p>
      <w:pPr>
        <w:pStyle w:val="ListBullet"/>
        <w:spacing w:before="20" w:after="20"/>
        <w:ind w:left="700"/>
      </w:pPr>
      <w:r>
        <w:rPr>
          <w:sz w:val="18"/>
        </w:rPr>
        <w:t>Hausse des crédits clientèle de 11,3% à 642,66 milliards FCFA</w:t>
      </w:r>
    </w:p>
    <w:p>
      <w:pPr>
        <w:pStyle w:val="ListBullet"/>
        <w:spacing w:before="20" w:after="20"/>
        <w:ind w:left="700"/>
      </w:pPr>
      <w:r>
        <w:rPr>
          <w:sz w:val="18"/>
        </w:rPr>
        <w:t>Renforcement des capitaux propres à 70,59 milliards FCFA</w:t>
      </w:r>
    </w:p>
    <w:p>
      <w:pPr>
        <w:pStyle w:val="ListBullet"/>
        <w:spacing w:before="20" w:after="20"/>
        <w:ind w:left="700"/>
      </w:pPr>
      <w:r>
        <w:rPr>
          <w:sz w:val="18"/>
        </w:rPr>
        <w:t>Augmentation des dépôts clientèle de 7,3% à 875,50 milliards FCFA</w:t>
      </w:r>
    </w:p>
    <w:p>
      <w:pPr>
        <w:spacing w:before="40"/>
        <w:ind w:left="400"/>
      </w:pPr>
      <w:r>
        <w:rPr>
          <w:b/>
          <w:color w:val="C05000"/>
          <w:sz w:val="18"/>
        </w:rPr>
        <w:t xml:space="preserve">⚠️ Risques : </w:t>
      </w:r>
      <w:r>
        <w:rPr>
          <w:sz w:val="18"/>
        </w:rPr>
        <w:t>["Concentration g\u00e9ographique sur le march\u00e9 burkinab\u00e9 expos\u00e9 \u00e0 l'instabilit\u00e9 s\u00e9curitaire", "Risque de cr\u00e9dit li\u00e9 \u00e0 la forte croissance des encours de pr\u00eats", "Volatilit\u00e9 potentielle des revenus de march\u00e9 et commissions"]</w:t>
      </w:r>
    </w:p>
    <w:p>
      <w:pPr>
        <w:spacing w:before="40"/>
        <w:ind w:left="400"/>
      </w:pPr>
      <w:r>
        <w:rPr>
          <w:b/>
          <w:color w:val="0064A0"/>
          <w:sz w:val="18"/>
        </w:rPr>
        <w:t xml:space="preserve">🔮 Perspectives : </w:t>
      </w:r>
      <w:r>
        <w:rPr>
          <w:sz w:val="18"/>
        </w:rPr>
        <w:t>La dynamique positive de croissance devrait se poursuivre en 2023 portée par l'expansion du portefeuille crédit et le développement des services bancaires. Toutefois, l'environnement sécuritaire et économique régional nécessite une surveillance accrue des risques opérationnels et de crédit.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"Excellente performance financi\u00e8re avec une croissance \u00e0 deux chiffres sur tous les indicateurs cl\u00e9s. Cependant, le contexte s\u00e9curitaire difficile au Burkina Faso repr\u00e9sente un facteur de risque \u00e0 surveiller."}</w:t>
      </w:r>
    </w:p>
    <w:p>
      <w:pPr>
        <w:spacing w:before="40"/>
        <w:ind w:left="400"/>
      </w:pPr>
      <w:r>
        <w:rPr>
          <w:sz w:val="18"/>
        </w:rPr>
        <w:t>Bank of Africa Burkina Faso a publié des résultats solides pour le premier trimestre 2023, avec une croissance significative de tous ses indicateurs clés. Le Produit Net Bancaire a progressé de 21,4% à 14,669 milliards FCFA, soutenu par une amélioration de la marge nette bancaire à 18,9%. Le résultat net a augmenté de 13,4% pour atteindre 6,821 milliards FCFA, témoignant d'une gestion efficace dans un environnement sécuritaire difficile. Le total bilan s'établit à 1,075 milliards FCFA contre 1,163 milliards fin 2022, avec des encours clients dynamiques. La banque maintient sa performance malgré le contexte sécuritaire national tendu au Burkina Faso.</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{'encours_depots': '818,818 millions FCFA', 'encours_credits': '625,430 millions FCFA', 'resultat_avant_impots': '7,929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18,9%</w:t>
            </w:r>
          </w:p>
        </w:tc>
        <w:tc>
          <w:tcPr>
            <w:tcW w:type="dxa" w:w="2160"/>
          </w:tcPr>
          <w:p>
            <w:pPr>
              <w:ind w:left="100"/>
            </w:pPr>
            <w:r/>
            <w:r>
              <w:rPr>
                <w:b/>
                <w:sz w:val="16"/>
              </w:rPr>
              <w:t>total_actif</w:t>
              <w:br/>
            </w:r>
            <w:r>
              <w:rPr>
                <w:sz w:val="18"/>
              </w:rPr>
              <w:t>1,075 milliards FCFA</w:t>
            </w:r>
          </w:p>
        </w:tc>
      </w:tr>
      <w:tr>
        <w:tc>
          <w:tcPr>
            <w:tcW w:type="dxa" w:w="2160"/>
          </w:tcPr>
          <w:p>
            <w:r/>
            <w:r>
              <w:rPr>
                <w:b/>
                <w:sz w:val="16"/>
              </w:rPr>
              <w:t>resultat_net</w:t>
              <w:br/>
            </w:r>
            <w:r>
              <w:rPr>
                <w:sz w:val="18"/>
              </w:rPr>
              <w:t>6,821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14,669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21,4% à 14,669 milliards FCFA au T1 2023</w:t>
      </w:r>
    </w:p>
    <w:p>
      <w:pPr>
        <w:pStyle w:val="ListBullet"/>
        <w:spacing w:before="20" w:after="20"/>
        <w:ind w:left="700"/>
      </w:pPr>
      <w:r>
        <w:rPr>
          <w:sz w:val="18"/>
        </w:rPr>
        <w:t>Amélioration de la marge nette bancaire à 18,9%</w:t>
      </w:r>
    </w:p>
    <w:p>
      <w:pPr>
        <w:pStyle w:val="ListBullet"/>
        <w:spacing w:before="20" w:after="20"/>
        <w:ind w:left="700"/>
      </w:pPr>
      <w:r>
        <w:rPr>
          <w:sz w:val="18"/>
        </w:rPr>
        <w:t>Progression du résultat net de 13,4% à 6,821 milliards FCFA</w:t>
      </w:r>
    </w:p>
    <w:p>
      <w:pPr>
        <w:pStyle w:val="ListBullet"/>
        <w:spacing w:before="20" w:after="20"/>
        <w:ind w:left="700"/>
      </w:pPr>
      <w:r>
        <w:rPr>
          <w:sz w:val="18"/>
        </w:rPr>
        <w:t>Résultat avant impôts en hausse de 13,68% à 7,929 milliards FCFA</w:t>
      </w:r>
    </w:p>
    <w:p>
      <w:pPr>
        <w:pStyle w:val="ListBullet"/>
        <w:spacing w:before="20" w:after="20"/>
        <w:ind w:left="700"/>
      </w:pPr>
      <w:r>
        <w:rPr>
          <w:sz w:val="18"/>
        </w:rPr>
        <w:t>Total bilan de 1,075 milliards FCFA fin mars 2023</w:t>
      </w:r>
    </w:p>
    <w:p>
      <w:pPr>
        <w:pStyle w:val="ListBullet"/>
        <w:spacing w:before="20" w:after="20"/>
        <w:ind w:left="700"/>
      </w:pPr>
      <w:r>
        <w:rPr>
          <w:sz w:val="18"/>
        </w:rPr>
        <w:t>Encours dépôts clients de 818,818 millions FCFA et crédits de 625,430 millions FCFA</w:t>
      </w:r>
    </w:p>
    <w:p>
      <w:pPr>
        <w:spacing w:before="40"/>
        <w:ind w:left="400"/>
      </w:pPr>
      <w:r>
        <w:rPr>
          <w:b/>
          <w:color w:val="C05000"/>
          <w:sz w:val="18"/>
        </w:rPr>
        <w:t xml:space="preserve">⚠️ Risques : </w:t>
      </w:r>
      <w:r>
        <w:rPr>
          <w:sz w:val="18"/>
        </w:rPr>
        <w:t>["Instabilit\u00e9 s\u00e9curitaire au Burkina Faso impactant l'environnement des affaires", "Contexte politique de transition pouvant affecter l'activit\u00e9 \u00e9conomique", "Risque de cr\u00e9dit potentiellement accru dans un environnement incertain"]</w:t>
      </w:r>
    </w:p>
    <w:p>
      <w:pPr>
        <w:spacing w:before="40"/>
        <w:ind w:left="400"/>
      </w:pPr>
      <w:r>
        <w:rPr>
          <w:b/>
          <w:color w:val="0064A0"/>
          <w:sz w:val="18"/>
        </w:rPr>
        <w:t xml:space="preserve">🔮 Perspectives : </w:t>
      </w:r>
      <w:r>
        <w:rPr>
          <w:sz w:val="18"/>
        </w:rPr>
        <w:t>Les fondamentaux solides de la banque et sa capacité à maintenir sa croissance malgré les difficultés sécuritaires sont encourageants. La poursuite de l'amélioration de la marge nette bancaire devrait soutenir la rentabilité, sous réserve d'une stabilisation progressive du contexte sécuritaire natio</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exceptionnelle avec une croissance \u00e0 deux chiffres de tous ses indicateurs cl\u00e9s et une am\u00e9lioration drastique de la gestion des risques. Malgr\u00e9 le contexte difficile au Burkina Faso, BOA BF maintient sa position dominante et d\u00e9montre sa r\u00e9silience."}</w:t>
      </w:r>
    </w:p>
    <w:p>
      <w:pPr>
        <w:spacing w:before="40"/>
        <w:ind w:left="400"/>
      </w:pPr>
      <w:r>
        <w:rPr>
          <w:sz w:val="18"/>
        </w:rPr>
        <w:t>Bank of Africa Burkina Faso affiche une performance solide au premier semestre 2023 avec une croissance généralisée de ses indicateurs clés. Le Produit Net Bancaire progresse de 15,14% à 29,85 milliards FCFA, soutenu par l'amélioration de la marge bancaire et des commissions. Le résultat net bondit de 23,38% à 15,09 milliards FCFA, reflétant une amélioration significative de la rentabilité. La banque maintient sa position de leader sur le marché bancaire burkinabè malgré un contexte économique difficile. Le coût du risque s'améliore drastiquement, passant de -890 millions à -138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'-138 millions FCFA', 'frais_generaux': '11,86 milliards FCFA', 'collecte_ressources': '823,83 milliards FCFA', 'encours_credits_nets': '631,15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50,51%</w:t>
            </w:r>
          </w:p>
        </w:tc>
        <w:tc>
          <w:tcPr>
            <w:tcW w:type="dxa" w:w="2160"/>
          </w:tcPr>
          <w:p>
            <w:pPr>
              <w:ind w:left="100"/>
            </w:pPr>
            <w:r/>
            <w:r>
              <w:rPr>
                <w:b/>
                <w:sz w:val="16"/>
              </w:rPr>
              <w:t>total_actif</w:t>
              <w:br/>
            </w:r>
            <w:r>
              <w:rPr>
                <w:sz w:val="18"/>
              </w:rPr>
              <w:t>1,132 milliards FCFA</w:t>
            </w:r>
          </w:p>
        </w:tc>
      </w:tr>
      <w:tr>
        <w:tc>
          <w:tcPr>
            <w:tcW w:type="dxa" w:w="2160"/>
          </w:tcPr>
          <w:p>
            <w:r/>
            <w:r>
              <w:rPr>
                <w:b/>
                <w:sz w:val="16"/>
              </w:rPr>
              <w:t>resultat_net</w:t>
              <w:br/>
            </w:r>
            <w:r>
              <w:rPr>
                <w:sz w:val="18"/>
              </w:rPr>
              <w:t>15,09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29,85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15,14% à 29,85 milliards FCFA</w:t>
      </w:r>
    </w:p>
    <w:p>
      <w:pPr>
        <w:pStyle w:val="ListBullet"/>
        <w:spacing w:before="20" w:after="20"/>
        <w:ind w:left="700"/>
      </w:pPr>
      <w:r>
        <w:rPr>
          <w:sz w:val="18"/>
        </w:rPr>
        <w:t>Résultat net en hausse de 23,38% à 15,09 milliards FCFA</w:t>
      </w:r>
    </w:p>
    <w:p>
      <w:pPr>
        <w:pStyle w:val="ListBullet"/>
        <w:spacing w:before="20" w:after="20"/>
        <w:ind w:left="700"/>
      </w:pPr>
      <w:r>
        <w:rPr>
          <w:sz w:val="18"/>
        </w:rPr>
        <w:t>Amélioration spectaculaire du coût du risque de 84,54%</w:t>
      </w:r>
    </w:p>
    <w:p>
      <w:pPr>
        <w:pStyle w:val="ListBullet"/>
        <w:spacing w:before="20" w:after="20"/>
        <w:ind w:left="700"/>
      </w:pPr>
      <w:r>
        <w:rPr>
          <w:sz w:val="18"/>
        </w:rPr>
        <w:t>Progression du résultat brut d'exploitation de 18,69% à 17,99 milliards FCFA</w:t>
      </w:r>
    </w:p>
    <w:p>
      <w:pPr>
        <w:pStyle w:val="ListBullet"/>
        <w:spacing w:before="20" w:after="20"/>
        <w:ind w:left="700"/>
      </w:pPr>
      <w:r>
        <w:rPr>
          <w:sz w:val="18"/>
        </w:rPr>
        <w:t>Maintien de la position de leader sur le marché bancaire burkinabè</w:t>
      </w:r>
    </w:p>
    <w:p>
      <w:pPr>
        <w:pStyle w:val="ListBullet"/>
        <w:spacing w:before="20" w:after="20"/>
        <w:ind w:left="700"/>
      </w:pPr>
      <w:r>
        <w:rPr>
          <w:sz w:val="18"/>
        </w:rPr>
        <w:t>Total bilan stable à 1,132 milliards FCFA contre 1,163 milliards fin 2022</w:t>
      </w:r>
    </w:p>
    <w:p>
      <w:pPr>
        <w:spacing w:before="40"/>
        <w:ind w:left="400"/>
      </w:pPr>
      <w:r>
        <w:rPr>
          <w:b/>
          <w:color w:val="C05000"/>
          <w:sz w:val="18"/>
        </w:rPr>
        <w:t xml:space="preserve">⚠️ Risques : </w:t>
      </w:r>
      <w:r>
        <w:rPr>
          <w:sz w:val="18"/>
        </w:rPr>
        <w:t>["Instabilit\u00e9 politique et s\u00e9curitaire au Burkina Faso affectant l'activit\u00e9 \u00e9conomique", "Baisse des d\u00e9p\u00f4ts clients et contraction du bilan", "Exposition au risque de cr\u00e9dit dans un environnement \u00e9conomique incertain"]</w:t>
      </w:r>
    </w:p>
    <w:p>
      <w:pPr>
        <w:spacing w:before="40"/>
        <w:ind w:left="400"/>
      </w:pPr>
      <w:r>
        <w:rPr>
          <w:b/>
          <w:color w:val="0064A0"/>
          <w:sz w:val="18"/>
        </w:rPr>
        <w:t xml:space="preserve">🔮 Perspectives : </w:t>
      </w:r>
      <w:r>
        <w:rPr>
          <w:sz w:val="18"/>
        </w:rPr>
        <w:t>Les perspectives restent positives compte tenu de la solidité des fondamentaux de la banque et de sa capacité d'adaptation au contexte local. La banque devrait continuer à bénéficier de sa position de leader tout en maintenant une gestion prudente des risques. L'évolution dépendra largement de la st</w:t>
      </w:r>
    </w:p>
    <w:p/>
    <w:p>
      <w:r>
        <w:t>════════════════════════════════════════════════════════════════════════════════</w:t>
      </w:r>
    </w:p>
    <w:p>
      <w:r>
        <w:br w:type="page"/>
      </w:r>
    </w:p>
    <w:p>
      <w:pPr>
        <w:pStyle w:val="Heading2"/>
        <w:spacing w:before="360"/>
      </w:pPr>
      <w:r>
        <w:rPr>
          <w:color w:val="0066CC"/>
        </w:rPr>
        <w:t>8. BOAC - BANK OF AFRICA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BOAC</w:t>
            </w:r>
          </w:p>
          <w:p>
            <w:r>
              <w:rPr>
                <w:b/>
                <w:color w:val="323250"/>
                <w:sz w:val="16"/>
              </w:rPr>
              <w:t xml:space="preserve">Société : </w:t>
            </w:r>
            <w:r>
              <w:rPr>
                <w:color w:val="000000"/>
                <w:sz w:val="16"/>
              </w:rPr>
              <w:t>BANK OF AFRICA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455.20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10,665 titres</w:t>
            </w:r>
          </w:p>
        </w:tc>
        <w:tc>
          <w:tcPr>
            <w:tcW w:type="dxa" w:w="2268"/>
            <w:shd w:fill="FFF2CC" w:val="clear"/>
          </w:tcPr>
          <w:p>
            <w:r>
              <w:rPr>
                <w:b/>
                <w:color w:val="503200"/>
                <w:sz w:val="16"/>
              </w:rPr>
              <w:t xml:space="preserve">Cours actuel : </w:t>
            </w:r>
            <w:r>
              <w:rPr>
                <w:color w:val="000000"/>
                <w:sz w:val="17"/>
              </w:rPr>
              <w:t>11,380 FCFA</w:t>
            </w:r>
          </w:p>
          <w:p>
            <w:r>
              <w:rPr>
                <w:b/>
                <w:color w:val="503200"/>
                <w:sz w:val="16"/>
              </w:rPr>
              <w:t xml:space="preserve">Var. 100 jours : </w:t>
            </w:r>
            <w:r>
              <w:rPr>
                <w:b/>
                <w:color w:val="007800"/>
                <w:sz w:val="17"/>
              </w:rPr>
              <w:t>+28.30%</w:t>
            </w:r>
          </w:p>
          <w:p>
            <w:r>
              <w:rPr>
                <w:b/>
                <w:color w:val="503200"/>
                <w:sz w:val="16"/>
              </w:rPr>
              <w:t xml:space="preserve">Plus haut 100j : </w:t>
            </w:r>
            <w:r>
              <w:rPr>
                <w:color w:val="000000"/>
                <w:sz w:val="17"/>
              </w:rPr>
              <w:t>13,450 FCFA</w:t>
            </w:r>
          </w:p>
          <w:p>
            <w:r>
              <w:rPr>
                <w:b/>
                <w:color w:val="503200"/>
                <w:sz w:val="16"/>
              </w:rPr>
              <w:t xml:space="preserve">Plus bas 100j : </w:t>
            </w:r>
            <w:r>
              <w:rPr>
                <w:color w:val="000000"/>
                <w:sz w:val="17"/>
              </w:rPr>
              <w:t>8,800 FCFA</w:t>
            </w:r>
          </w:p>
          <w:p>
            <w:r>
              <w:rPr>
                <w:b/>
                <w:color w:val="503200"/>
                <w:sz w:val="16"/>
              </w:rPr>
              <w:t xml:space="preserve">Volatilité ann. : </w:t>
            </w:r>
            <w:r>
              <w:rPr>
                <w:color w:val="000000"/>
                <w:sz w:val="17"/>
              </w:rPr>
              <w:t>28.0%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15.3/100 → Faible</w:t>
      </w:r>
    </w:p>
    <w:p>
      <w:pPr>
        <w:spacing w:before="40" w:after="80"/>
      </w:pPr>
      <w:r>
        <w:rPr>
          <w:rFonts w:ascii="Courier New" w:hAnsi="Courier New"/>
          <w:color w:val="006400"/>
          <w:sz w:val="18"/>
        </w:rPr>
        <w:t>███░░░░░░░░░░░░░░░░░  15.3/100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13.61% (Moyenne) — μ=10,768 FCFA, σ=1,466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β=0.7304 (Défensif) — Cov=0.000055, Var(idx)=0.000075, ρ=0.353,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10,665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σ_j=1.76%/j (Stable) — Vol. annualisée≈28.0%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70/100  (Excellent)</w:t>
      </w:r>
    </w:p>
    <w:p/>
    <w:p>
      <w:pPr>
        <w:jc w:val="center"/>
      </w:pPr>
      <w:r>
        <w:drawing>
          <wp:inline xmlns:a="http://schemas.openxmlformats.org/drawingml/2006/main" xmlns:pic="http://schemas.openxmlformats.org/drawingml/2006/picture">
            <wp:extent cx="5669280" cy="2603190"/>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2026-10-16</w:t>
            </w:r>
          </w:p>
        </w:tc>
        <w:tc>
          <w:tcPr>
            <w:tcW w:type="dxa" w:w="1440"/>
            <w:shd w:fill="FAFAFA" w:val="clear"/>
          </w:tcPr>
          <w:p>
            <w:r>
              <w:rPr>
                <w:sz w:val="17"/>
              </w:rPr>
              <w:t>11,078</w:t>
            </w:r>
          </w:p>
        </w:tc>
        <w:tc>
          <w:tcPr>
            <w:tcW w:type="dxa" w:w="1440"/>
            <w:shd w:fill="FAFAFA" w:val="clear"/>
          </w:tcPr>
          <w:p>
            <w:r>
              <w:rPr>
                <w:b/>
                <w:sz w:val="17"/>
              </w:rPr>
              <w:t>11,397</w:t>
            </w:r>
          </w:p>
        </w:tc>
        <w:tc>
          <w:tcPr>
            <w:tcW w:type="dxa" w:w="1440"/>
            <w:shd w:fill="FAFAFA" w:val="clear"/>
          </w:tcPr>
          <w:p>
            <w:r>
              <w:rPr>
                <w:sz w:val="17"/>
              </w:rPr>
              <w:t>11,715</w:t>
            </w:r>
          </w:p>
        </w:tc>
        <w:tc>
          <w:tcPr>
            <w:tcW w:type="dxa" w:w="1440"/>
            <w:shd w:fill="FAFAFA" w:val="clear"/>
          </w:tcPr>
          <w:p>
            <w:r>
              <w:rPr>
                <w:b/>
                <w:color w:val="008000"/>
                <w:sz w:val="17"/>
              </w:rPr>
              <w:t>+0.1%</w:t>
            </w:r>
          </w:p>
        </w:tc>
      </w:tr>
      <w:tr>
        <w:tc>
          <w:tcPr>
            <w:tcW w:type="dxa" w:w="1440"/>
            <w:shd w:fill="FAFAFA" w:val="clear"/>
          </w:tcPr>
          <w:p>
            <w:r>
              <w:rPr>
                <w:sz w:val="17"/>
              </w:rPr>
              <w:t>J+2  ⭐⭐⭐</w:t>
            </w:r>
          </w:p>
        </w:tc>
        <w:tc>
          <w:tcPr>
            <w:tcW w:type="dxa" w:w="1440"/>
            <w:shd w:fill="FAFAFA" w:val="clear"/>
          </w:tcPr>
          <w:p>
            <w:r>
              <w:rPr>
                <w:sz w:val="17"/>
              </w:rPr>
              <w:t>2026-10-19</w:t>
            </w:r>
          </w:p>
        </w:tc>
        <w:tc>
          <w:tcPr>
            <w:tcW w:type="dxa" w:w="1440"/>
            <w:shd w:fill="FAFAFA" w:val="clear"/>
          </w:tcPr>
          <w:p>
            <w:r>
              <w:rPr>
                <w:sz w:val="17"/>
              </w:rPr>
              <w:t>10,957</w:t>
            </w:r>
          </w:p>
        </w:tc>
        <w:tc>
          <w:tcPr>
            <w:tcW w:type="dxa" w:w="1440"/>
            <w:shd w:fill="FAFAFA" w:val="clear"/>
          </w:tcPr>
          <w:p>
            <w:r>
              <w:rPr>
                <w:b/>
                <w:sz w:val="17"/>
              </w:rPr>
              <w:t>11,409</w:t>
            </w:r>
          </w:p>
        </w:tc>
        <w:tc>
          <w:tcPr>
            <w:tcW w:type="dxa" w:w="1440"/>
            <w:shd w:fill="FAFAFA" w:val="clear"/>
          </w:tcPr>
          <w:p>
            <w:r>
              <w:rPr>
                <w:sz w:val="17"/>
              </w:rPr>
              <w:t>11,860</w:t>
            </w:r>
          </w:p>
        </w:tc>
        <w:tc>
          <w:tcPr>
            <w:tcW w:type="dxa" w:w="1440"/>
            <w:shd w:fill="FAFAFA" w:val="clear"/>
          </w:tcPr>
          <w:p>
            <w:r>
              <w:rPr>
                <w:b/>
                <w:color w:val="008000"/>
                <w:sz w:val="17"/>
              </w:rPr>
              <w:t>+0.3%</w:t>
            </w:r>
          </w:p>
        </w:tc>
      </w:tr>
      <w:tr>
        <w:tc>
          <w:tcPr>
            <w:tcW w:type="dxa" w:w="1440"/>
            <w:shd w:fill="FAFAFA" w:val="clear"/>
          </w:tcPr>
          <w:p>
            <w:r>
              <w:rPr>
                <w:sz w:val="17"/>
              </w:rPr>
              <w:t>J+3  ⭐⭐⭐</w:t>
            </w:r>
          </w:p>
        </w:tc>
        <w:tc>
          <w:tcPr>
            <w:tcW w:type="dxa" w:w="1440"/>
            <w:shd w:fill="FAFAFA" w:val="clear"/>
          </w:tcPr>
          <w:p>
            <w:r>
              <w:rPr>
                <w:sz w:val="17"/>
              </w:rPr>
              <w:t>2026-10-20</w:t>
            </w:r>
          </w:p>
        </w:tc>
        <w:tc>
          <w:tcPr>
            <w:tcW w:type="dxa" w:w="1440"/>
            <w:shd w:fill="FAFAFA" w:val="clear"/>
          </w:tcPr>
          <w:p>
            <w:r>
              <w:rPr>
                <w:sz w:val="17"/>
              </w:rPr>
              <w:t>10,869</w:t>
            </w:r>
          </w:p>
        </w:tc>
        <w:tc>
          <w:tcPr>
            <w:tcW w:type="dxa" w:w="1440"/>
            <w:shd w:fill="FAFAFA" w:val="clear"/>
          </w:tcPr>
          <w:p>
            <w:r>
              <w:rPr>
                <w:b/>
                <w:sz w:val="17"/>
              </w:rPr>
              <w:t>11,423</w:t>
            </w:r>
          </w:p>
        </w:tc>
        <w:tc>
          <w:tcPr>
            <w:tcW w:type="dxa" w:w="1440"/>
            <w:shd w:fill="FAFAFA" w:val="clear"/>
          </w:tcPr>
          <w:p>
            <w:r>
              <w:rPr>
                <w:sz w:val="17"/>
              </w:rPr>
              <w:t>11,976</w:t>
            </w:r>
          </w:p>
        </w:tc>
        <w:tc>
          <w:tcPr>
            <w:tcW w:type="dxa" w:w="1440"/>
            <w:shd w:fill="FAFAFA" w:val="clear"/>
          </w:tcPr>
          <w:p>
            <w:r>
              <w:rPr>
                <w:b/>
                <w:color w:val="008000"/>
                <w:sz w:val="17"/>
              </w:rPr>
              <w:t>+0.4%</w:t>
            </w:r>
          </w:p>
        </w:tc>
      </w:tr>
      <w:tr>
        <w:tc>
          <w:tcPr>
            <w:tcW w:type="dxa" w:w="1440"/>
            <w:shd w:fill="FAFAFA" w:val="clear"/>
          </w:tcPr>
          <w:p>
            <w:r>
              <w:rPr>
                <w:sz w:val="17"/>
              </w:rPr>
              <w:t>J+4  Moyenne</w:t>
            </w:r>
          </w:p>
        </w:tc>
        <w:tc>
          <w:tcPr>
            <w:tcW w:type="dxa" w:w="1440"/>
            <w:shd w:fill="FAFAFA" w:val="clear"/>
          </w:tcPr>
          <w:p>
            <w:r>
              <w:rPr>
                <w:sz w:val="17"/>
              </w:rPr>
              <w:t>2026-10-21</w:t>
            </w:r>
          </w:p>
        </w:tc>
        <w:tc>
          <w:tcPr>
            <w:tcW w:type="dxa" w:w="1440"/>
            <w:shd w:fill="FAFAFA" w:val="clear"/>
          </w:tcPr>
          <w:p>
            <w:r>
              <w:rPr>
                <w:sz w:val="17"/>
              </w:rPr>
              <w:t>10,797</w:t>
            </w:r>
          </w:p>
        </w:tc>
        <w:tc>
          <w:tcPr>
            <w:tcW w:type="dxa" w:w="1440"/>
            <w:shd w:fill="FAFAFA" w:val="clear"/>
          </w:tcPr>
          <w:p>
            <w:r>
              <w:rPr>
                <w:b/>
                <w:sz w:val="17"/>
              </w:rPr>
              <w:t>11,437</w:t>
            </w:r>
          </w:p>
        </w:tc>
        <w:tc>
          <w:tcPr>
            <w:tcW w:type="dxa" w:w="1440"/>
            <w:shd w:fill="FAFAFA" w:val="clear"/>
          </w:tcPr>
          <w:p>
            <w:r>
              <w:rPr>
                <w:sz w:val="17"/>
              </w:rPr>
              <w:t>12,077</w:t>
            </w:r>
          </w:p>
        </w:tc>
        <w:tc>
          <w:tcPr>
            <w:tcW w:type="dxa" w:w="1440"/>
            <w:shd w:fill="FAFAFA" w:val="clear"/>
          </w:tcPr>
          <w:p>
            <w:r>
              <w:rPr>
                <w:b/>
                <w:color w:val="008000"/>
                <w:sz w:val="17"/>
              </w:rPr>
              <w:t>+0.5%</w:t>
            </w:r>
          </w:p>
        </w:tc>
      </w:tr>
      <w:tr>
        <w:tc>
          <w:tcPr>
            <w:tcW w:type="dxa" w:w="1440"/>
            <w:shd w:fill="FAFAFA" w:val="clear"/>
          </w:tcPr>
          <w:p>
            <w:r>
              <w:rPr>
                <w:sz w:val="17"/>
              </w:rPr>
              <w:t>J+5  Moyenne</w:t>
            </w:r>
          </w:p>
        </w:tc>
        <w:tc>
          <w:tcPr>
            <w:tcW w:type="dxa" w:w="1440"/>
            <w:shd w:fill="FAFAFA" w:val="clear"/>
          </w:tcPr>
          <w:p>
            <w:r>
              <w:rPr>
                <w:sz w:val="17"/>
              </w:rPr>
              <w:t>2026-10-22</w:t>
            </w:r>
          </w:p>
        </w:tc>
        <w:tc>
          <w:tcPr>
            <w:tcW w:type="dxa" w:w="1440"/>
            <w:shd w:fill="FAFAFA" w:val="clear"/>
          </w:tcPr>
          <w:p>
            <w:r>
              <w:rPr>
                <w:sz w:val="17"/>
              </w:rPr>
              <w:t>10,735</w:t>
            </w:r>
          </w:p>
        </w:tc>
        <w:tc>
          <w:tcPr>
            <w:tcW w:type="dxa" w:w="1440"/>
            <w:shd w:fill="FAFAFA" w:val="clear"/>
          </w:tcPr>
          <w:p>
            <w:r>
              <w:rPr>
                <w:b/>
                <w:sz w:val="17"/>
              </w:rPr>
              <w:t>11,451</w:t>
            </w:r>
          </w:p>
        </w:tc>
        <w:tc>
          <w:tcPr>
            <w:tcW w:type="dxa" w:w="1440"/>
            <w:shd w:fill="FAFAFA" w:val="clear"/>
          </w:tcPr>
          <w:p>
            <w:r>
              <w:rPr>
                <w:sz w:val="17"/>
              </w:rPr>
              <w:t>12,167</w:t>
            </w:r>
          </w:p>
        </w:tc>
        <w:tc>
          <w:tcPr>
            <w:tcW w:type="dxa" w:w="1440"/>
            <w:shd w:fill="FAFAFA" w:val="clear"/>
          </w:tcPr>
          <w:p>
            <w:r>
              <w:rPr>
                <w:b/>
                <w:color w:val="008000"/>
                <w:sz w:val="17"/>
              </w:rPr>
              <w:t>+0.6%</w:t>
            </w:r>
          </w:p>
        </w:tc>
      </w:tr>
      <w:tr>
        <w:tc>
          <w:tcPr>
            <w:tcW w:type="dxa" w:w="1440"/>
            <w:shd w:fill="FAFAFA" w:val="clear"/>
          </w:tcPr>
          <w:p>
            <w:r>
              <w:rPr>
                <w:sz w:val="17"/>
              </w:rPr>
              <w:t>J+6  Moyenne</w:t>
            </w:r>
          </w:p>
        </w:tc>
        <w:tc>
          <w:tcPr>
            <w:tcW w:type="dxa" w:w="1440"/>
            <w:shd w:fill="FAFAFA" w:val="clear"/>
          </w:tcPr>
          <w:p>
            <w:r>
              <w:rPr>
                <w:sz w:val="17"/>
              </w:rPr>
              <w:t>2026-10-23</w:t>
            </w:r>
          </w:p>
        </w:tc>
        <w:tc>
          <w:tcPr>
            <w:tcW w:type="dxa" w:w="1440"/>
            <w:shd w:fill="FAFAFA" w:val="clear"/>
          </w:tcPr>
          <w:p>
            <w:r>
              <w:rPr>
                <w:sz w:val="17"/>
              </w:rPr>
              <w:t>10,679</w:t>
            </w:r>
          </w:p>
        </w:tc>
        <w:tc>
          <w:tcPr>
            <w:tcW w:type="dxa" w:w="1440"/>
            <w:shd w:fill="FAFAFA" w:val="clear"/>
          </w:tcPr>
          <w:p>
            <w:r>
              <w:rPr>
                <w:b/>
                <w:sz w:val="17"/>
              </w:rPr>
              <w:t>11,464</w:t>
            </w:r>
          </w:p>
        </w:tc>
        <w:tc>
          <w:tcPr>
            <w:tcW w:type="dxa" w:w="1440"/>
            <w:shd w:fill="FAFAFA" w:val="clear"/>
          </w:tcPr>
          <w:p>
            <w:r>
              <w:rPr>
                <w:sz w:val="17"/>
              </w:rPr>
              <w:t>12,250</w:t>
            </w:r>
          </w:p>
        </w:tc>
        <w:tc>
          <w:tcPr>
            <w:tcW w:type="dxa" w:w="1440"/>
            <w:shd w:fill="FAFAFA" w:val="clear"/>
          </w:tcPr>
          <w:p>
            <w:r>
              <w:rPr>
                <w:b/>
                <w:color w:val="008000"/>
                <w:sz w:val="17"/>
              </w:rPr>
              <w:t>+0.7%</w:t>
            </w:r>
          </w:p>
        </w:tc>
      </w:tr>
      <w:tr>
        <w:tc>
          <w:tcPr>
            <w:tcW w:type="dxa" w:w="1440"/>
            <w:shd w:fill="FAFAFA" w:val="clear"/>
          </w:tcPr>
          <w:p>
            <w:r>
              <w:rPr>
                <w:sz w:val="17"/>
              </w:rPr>
              <w:t>J+7  Moyenne</w:t>
            </w:r>
          </w:p>
        </w:tc>
        <w:tc>
          <w:tcPr>
            <w:tcW w:type="dxa" w:w="1440"/>
            <w:shd w:fill="FAFAFA" w:val="clear"/>
          </w:tcPr>
          <w:p>
            <w:r>
              <w:rPr>
                <w:sz w:val="17"/>
              </w:rPr>
              <w:t>2026-10-26</w:t>
            </w:r>
          </w:p>
        </w:tc>
        <w:tc>
          <w:tcPr>
            <w:tcW w:type="dxa" w:w="1440"/>
            <w:shd w:fill="FAFAFA" w:val="clear"/>
          </w:tcPr>
          <w:p>
            <w:r>
              <w:rPr>
                <w:sz w:val="17"/>
              </w:rPr>
              <w:t>10,627</w:t>
            </w:r>
          </w:p>
        </w:tc>
        <w:tc>
          <w:tcPr>
            <w:tcW w:type="dxa" w:w="1440"/>
            <w:shd w:fill="FAFAFA" w:val="clear"/>
          </w:tcPr>
          <w:p>
            <w:r>
              <w:rPr>
                <w:b/>
                <w:sz w:val="17"/>
              </w:rPr>
              <w:t>11,477</w:t>
            </w:r>
          </w:p>
        </w:tc>
        <w:tc>
          <w:tcPr>
            <w:tcW w:type="dxa" w:w="1440"/>
            <w:shd w:fill="FAFAFA" w:val="clear"/>
          </w:tcPr>
          <w:p>
            <w:r>
              <w:rPr>
                <w:sz w:val="17"/>
              </w:rPr>
              <w:t>12,326</w:t>
            </w:r>
          </w:p>
        </w:tc>
        <w:tc>
          <w:tcPr>
            <w:tcW w:type="dxa" w:w="1440"/>
            <w:shd w:fill="FAFAFA" w:val="clear"/>
          </w:tcPr>
          <w:p>
            <w:r>
              <w:rPr>
                <w:b/>
                <w:color w:val="008000"/>
                <w:sz w:val="17"/>
              </w:rPr>
              <w:t>+0.9%</w:t>
            </w:r>
          </w:p>
        </w:tc>
      </w:tr>
      <w:tr>
        <w:tc>
          <w:tcPr>
            <w:tcW w:type="dxa" w:w="1440"/>
            <w:shd w:fill="FAFAFA" w:val="clear"/>
          </w:tcPr>
          <w:p>
            <w:r>
              <w:rPr>
                <w:sz w:val="17"/>
              </w:rPr>
              <w:t>J+8  Moyenne</w:t>
            </w:r>
          </w:p>
        </w:tc>
        <w:tc>
          <w:tcPr>
            <w:tcW w:type="dxa" w:w="1440"/>
            <w:shd w:fill="FAFAFA" w:val="clear"/>
          </w:tcPr>
          <w:p>
            <w:r>
              <w:rPr>
                <w:sz w:val="17"/>
              </w:rPr>
              <w:t>2026-10-27</w:t>
            </w:r>
          </w:p>
        </w:tc>
        <w:tc>
          <w:tcPr>
            <w:tcW w:type="dxa" w:w="1440"/>
            <w:shd w:fill="FAFAFA" w:val="clear"/>
          </w:tcPr>
          <w:p>
            <w:r>
              <w:rPr>
                <w:sz w:val="17"/>
              </w:rPr>
              <w:t>10,580</w:t>
            </w:r>
          </w:p>
        </w:tc>
        <w:tc>
          <w:tcPr>
            <w:tcW w:type="dxa" w:w="1440"/>
            <w:shd w:fill="FAFAFA" w:val="clear"/>
          </w:tcPr>
          <w:p>
            <w:r>
              <w:rPr>
                <w:b/>
                <w:sz w:val="17"/>
              </w:rPr>
              <w:t>11,489</w:t>
            </w:r>
          </w:p>
        </w:tc>
        <w:tc>
          <w:tcPr>
            <w:tcW w:type="dxa" w:w="1440"/>
            <w:shd w:fill="FAFAFA" w:val="clear"/>
          </w:tcPr>
          <w:p>
            <w:r>
              <w:rPr>
                <w:sz w:val="17"/>
              </w:rPr>
              <w:t>12,398</w:t>
            </w:r>
          </w:p>
        </w:tc>
        <w:tc>
          <w:tcPr>
            <w:tcW w:type="dxa" w:w="1440"/>
            <w:shd w:fill="FAFAFA" w:val="clear"/>
          </w:tcPr>
          <w:p>
            <w:r>
              <w:rPr>
                <w:b/>
                <w:color w:val="008000"/>
                <w:sz w:val="17"/>
              </w:rPr>
              <w:t>+1.0%</w:t>
            </w:r>
          </w:p>
        </w:tc>
      </w:tr>
      <w:tr>
        <w:tc>
          <w:tcPr>
            <w:tcW w:type="dxa" w:w="1440"/>
            <w:shd w:fill="FAFAFA" w:val="clear"/>
          </w:tcPr>
          <w:p>
            <w:r>
              <w:rPr>
                <w:sz w:val="17"/>
              </w:rPr>
              <w:t>J+9  Moyenne</w:t>
            </w:r>
          </w:p>
        </w:tc>
        <w:tc>
          <w:tcPr>
            <w:tcW w:type="dxa" w:w="1440"/>
            <w:shd w:fill="FAFAFA" w:val="clear"/>
          </w:tcPr>
          <w:p>
            <w:r>
              <w:rPr>
                <w:sz w:val="17"/>
              </w:rPr>
              <w:t>2026-10-28</w:t>
            </w:r>
          </w:p>
        </w:tc>
        <w:tc>
          <w:tcPr>
            <w:tcW w:type="dxa" w:w="1440"/>
            <w:shd w:fill="FAFAFA" w:val="clear"/>
          </w:tcPr>
          <w:p>
            <w:r>
              <w:rPr>
                <w:sz w:val="17"/>
              </w:rPr>
              <w:t>10,535</w:t>
            </w:r>
          </w:p>
        </w:tc>
        <w:tc>
          <w:tcPr>
            <w:tcW w:type="dxa" w:w="1440"/>
            <w:shd w:fill="FAFAFA" w:val="clear"/>
          </w:tcPr>
          <w:p>
            <w:r>
              <w:rPr>
                <w:b/>
                <w:sz w:val="17"/>
              </w:rPr>
              <w:t>11,501</w:t>
            </w:r>
          </w:p>
        </w:tc>
        <w:tc>
          <w:tcPr>
            <w:tcW w:type="dxa" w:w="1440"/>
            <w:shd w:fill="FAFAFA" w:val="clear"/>
          </w:tcPr>
          <w:p>
            <w:r>
              <w:rPr>
                <w:sz w:val="17"/>
              </w:rPr>
              <w:t>12,466</w:t>
            </w:r>
          </w:p>
        </w:tc>
        <w:tc>
          <w:tcPr>
            <w:tcW w:type="dxa" w:w="1440"/>
            <w:shd w:fill="FAFAFA" w:val="clear"/>
          </w:tcPr>
          <w:p>
            <w:r>
              <w:rPr>
                <w:b/>
                <w:color w:val="008000"/>
                <w:sz w:val="17"/>
              </w:rPr>
              <w:t>+1.1%</w:t>
            </w:r>
          </w:p>
        </w:tc>
      </w:tr>
      <w:tr>
        <w:tc>
          <w:tcPr>
            <w:tcW w:type="dxa" w:w="1440"/>
            <w:shd w:fill="FAFAFA" w:val="clear"/>
          </w:tcPr>
          <w:p>
            <w:r>
              <w:rPr>
                <w:sz w:val="17"/>
              </w:rPr>
              <w:t>J+10  Moyenne</w:t>
            </w:r>
          </w:p>
        </w:tc>
        <w:tc>
          <w:tcPr>
            <w:tcW w:type="dxa" w:w="1440"/>
            <w:shd w:fill="FAFAFA" w:val="clear"/>
          </w:tcPr>
          <w:p>
            <w:r>
              <w:rPr>
                <w:sz w:val="17"/>
              </w:rPr>
              <w:t>2026-10-29</w:t>
            </w:r>
          </w:p>
        </w:tc>
        <w:tc>
          <w:tcPr>
            <w:tcW w:type="dxa" w:w="1440"/>
            <w:shd w:fill="FAFAFA" w:val="clear"/>
          </w:tcPr>
          <w:p>
            <w:r>
              <w:rPr>
                <w:sz w:val="17"/>
              </w:rPr>
              <w:t>10,493</w:t>
            </w:r>
          </w:p>
        </w:tc>
        <w:tc>
          <w:tcPr>
            <w:tcW w:type="dxa" w:w="1440"/>
            <w:shd w:fill="FAFAFA" w:val="clear"/>
          </w:tcPr>
          <w:p>
            <w:r>
              <w:rPr>
                <w:b/>
                <w:sz w:val="17"/>
              </w:rPr>
              <w:t>11,512</w:t>
            </w:r>
          </w:p>
        </w:tc>
        <w:tc>
          <w:tcPr>
            <w:tcW w:type="dxa" w:w="1440"/>
            <w:shd w:fill="FAFAFA" w:val="clear"/>
          </w:tcPr>
          <w:p>
            <w:r>
              <w:rPr>
                <w:sz w:val="17"/>
              </w:rPr>
              <w:t>12,530</w:t>
            </w:r>
          </w:p>
        </w:tc>
        <w:tc>
          <w:tcPr>
            <w:tcW w:type="dxa" w:w="1440"/>
            <w:shd w:fill="FAFAFA" w:val="clear"/>
          </w:tcPr>
          <w:p>
            <w:r>
              <w:rPr>
                <w:b/>
                <w:color w:val="008000"/>
                <w:sz w:val="17"/>
              </w:rPr>
              <w:t>+1.2%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257.451 Mds FCFA</w:t>
            </w:r>
          </w:p>
        </w:tc>
        <w:tc>
          <w:tcPr>
            <w:tcW w:type="dxa" w:w="5669"/>
            <w:shd w:fill="FFFFFF" w:val="clear"/>
          </w:tcPr>
          <w:p>
            <w:r>
              <w:rPr>
                <w:color w:val="282828"/>
                <w:sz w:val="15"/>
              </w:rPr>
              <w:t>Représente 23.3%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307.925 Mds FCFA</w:t>
            </w:r>
          </w:p>
        </w:tc>
        <w:tc>
          <w:tcPr>
            <w:tcW w:type="dxa" w:w="5669"/>
            <w:shd w:fill="FFFFFF" w:val="clear"/>
          </w:tcPr>
          <w:p>
            <w:r>
              <w:rPr>
                <w:color w:val="282828"/>
                <w:sz w:val="15"/>
              </w:rPr>
              <w:t>Titres d'État détenus (27.9%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70.451 Mds FCFA</w:t>
            </w:r>
          </w:p>
        </w:tc>
        <w:tc>
          <w:tcPr>
            <w:tcW w:type="dxa" w:w="5669"/>
            <w:shd w:fill="FFFFFF" w:val="clear"/>
          </w:tcPr>
          <w:p>
            <w:r>
              <w:rPr>
                <w:color w:val="282828"/>
                <w:sz w:val="15"/>
              </w:rPr>
              <w:t>Prêts aux autres banques (6.4%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430.433 Mds FCFA</w:t>
            </w:r>
          </w:p>
        </w:tc>
        <w:tc>
          <w:tcPr>
            <w:tcW w:type="dxa" w:w="5669"/>
            <w:shd w:fill="FFFFFF" w:val="clear"/>
          </w:tcPr>
          <w:p>
            <w:r>
              <w:rPr>
                <w:color w:val="282828"/>
                <w:sz w:val="15"/>
              </w:rPr>
              <w:t>Portefeuille crédits (39.0% du bilan). ✅ Concentration saine sur le métier de crédit.</w:t>
            </w:r>
          </w:p>
        </w:tc>
      </w:tr>
      <w:tr>
        <w:tc>
          <w:tcPr>
            <w:tcW w:type="dxa" w:w="2268"/>
            <w:shd w:fill="EEF2F7" w:val="clear"/>
          </w:tcPr>
          <w:p>
            <w:r>
              <w:rPr>
                <w:b/>
                <w:color w:val="1E1E3C"/>
                <w:sz w:val="16"/>
              </w:rPr>
              <w:t>Actif circulant</w:t>
            </w:r>
          </w:p>
        </w:tc>
        <w:tc>
          <w:tcPr>
            <w:tcW w:type="dxa" w:w="1984"/>
            <w:shd w:fill="C6EFCE" w:val="clear"/>
          </w:tcPr>
          <w:p>
            <w:r>
              <w:rPr>
                <w:b/>
                <w:color w:val="006400"/>
                <w:sz w:val="17"/>
              </w:rPr>
              <w:t>1087.426 Mds FCFA</w:t>
            </w:r>
          </w:p>
        </w:tc>
        <w:tc>
          <w:tcPr>
            <w:tcW w:type="dxa" w:w="5669"/>
            <w:shd w:fill="FFFFFF" w:val="clear"/>
          </w:tcPr>
          <w:p>
            <w:r>
              <w:rPr>
                <w:color w:val="282828"/>
                <w:sz w:val="15"/>
              </w:rPr>
              <w:t>Ratio actif circ./passif circ. = 36.84x.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1.343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10.555 Mds FCFA</w:t>
            </w:r>
          </w:p>
        </w:tc>
        <w:tc>
          <w:tcPr>
            <w:tcW w:type="dxa" w:w="5669"/>
            <w:shd w:fill="FFFFFF" w:val="clear"/>
          </w:tcPr>
          <w:p>
            <w:r>
              <w:rPr>
                <w:color w:val="282828"/>
                <w:sz w:val="15"/>
              </w:rPr>
              <w:t>Outil industriel (1.0%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15.880 Mds FCFA</w:t>
            </w:r>
          </w:p>
        </w:tc>
        <w:tc>
          <w:tcPr>
            <w:tcW w:type="dxa" w:w="5669"/>
            <w:shd w:fill="FFFFFF" w:val="clear"/>
          </w:tcPr>
          <w:p>
            <w:r>
              <w:rPr>
                <w:color w:val="282828"/>
                <w:sz w:val="15"/>
              </w:rPr>
              <w:t>Actif immobilisé = 1.4%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257.451 Mds FCFA</w:t>
            </w:r>
          </w:p>
        </w:tc>
        <w:tc>
          <w:tcPr>
            <w:tcW w:type="dxa" w:w="5669"/>
            <w:shd w:fill="FFFFFF" w:val="clear"/>
          </w:tcPr>
          <w:p>
            <w:r>
              <w:rPr>
                <w:color w:val="282828"/>
                <w:sz w:val="15"/>
              </w:rPr>
              <w:t>Liquidités disponibles (23.3%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1103.306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51.709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127.340 Mds FCFA</w:t>
            </w:r>
          </w:p>
        </w:tc>
        <w:tc>
          <w:tcPr>
            <w:tcW w:type="dxa" w:w="5669"/>
            <w:shd w:fill="FFFFFF" w:val="clear"/>
          </w:tcPr>
          <w:p>
            <w:r>
              <w:rPr>
                <w:color w:val="282828"/>
                <w:sz w:val="15"/>
              </w:rPr>
              <w:t>Fonds propres = 11.5%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132.161 Mds FCFA</w:t>
            </w:r>
          </w:p>
        </w:tc>
        <w:tc>
          <w:tcPr>
            <w:tcW w:type="dxa" w:w="5669"/>
            <w:shd w:fill="FFFFFF" w:val="clear"/>
          </w:tcPr>
          <w:p>
            <w:r>
              <w:rPr>
                <w:color w:val="282828"/>
                <w:sz w:val="15"/>
              </w:rPr>
              <w:t>Capitaux permanents / Actif immobilisé = 8.32x.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95.901 Mds FCFA</w:t>
            </w:r>
          </w:p>
        </w:tc>
        <w:tc>
          <w:tcPr>
            <w:tcW w:type="dxa" w:w="5669"/>
            <w:shd w:fill="FFFFFF" w:val="clear"/>
          </w:tcPr>
          <w:p>
            <w:r>
              <w:rPr>
                <w:color w:val="282828"/>
                <w:sz w:val="15"/>
              </w:rPr>
              <w:t>Refinancement interbancaire (8.7%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850.548 Mds FCFA</w:t>
            </w:r>
          </w:p>
        </w:tc>
        <w:tc>
          <w:tcPr>
            <w:tcW w:type="dxa" w:w="5669"/>
            <w:shd w:fill="FFFFFF" w:val="clear"/>
          </w:tcPr>
          <w:p>
            <w:r>
              <w:rPr>
                <w:color w:val="282828"/>
                <w:sz w:val="15"/>
              </w:rPr>
              <w:t>Dépôts clients = 77.1% du bilan. ✅ Base de dépôts solide — financement stable et peu coûteux.</w:t>
            </w:r>
          </w:p>
        </w:tc>
      </w:tr>
      <w:tr>
        <w:tc>
          <w:tcPr>
            <w:tcW w:type="dxa" w:w="2268"/>
            <w:shd w:fill="EEF2F7" w:val="clear"/>
          </w:tcPr>
          <w:p>
            <w:r>
              <w:rPr>
                <w:b/>
                <w:color w:val="1E1E3C"/>
                <w:sz w:val="16"/>
              </w:rPr>
              <w:t>Dettes totales</w:t>
            </w:r>
          </w:p>
        </w:tc>
        <w:tc>
          <w:tcPr>
            <w:tcW w:type="dxa" w:w="1984"/>
            <w:shd w:fill="FFC7CE" w:val="clear"/>
          </w:tcPr>
          <w:p>
            <w:r>
              <w:rPr>
                <w:b/>
                <w:color w:val="006400"/>
                <w:sz w:val="17"/>
              </w:rPr>
              <w:t>975.966 Mds FCFA</w:t>
            </w:r>
          </w:p>
        </w:tc>
        <w:tc>
          <w:tcPr>
            <w:tcW w:type="dxa" w:w="5669"/>
            <w:shd w:fill="FFFFFF" w:val="clear"/>
          </w:tcPr>
          <w:p>
            <w:r>
              <w:rPr>
                <w:color w:val="282828"/>
                <w:sz w:val="15"/>
              </w:rPr>
              <w:t>Dettes totales = 88.5%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73.545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73.545 Mds FCFA</w:t>
            </w:r>
          </w:p>
        </w:tc>
        <w:tc>
          <w:tcPr>
            <w:tcW w:type="dxa" w:w="5669"/>
            <w:shd w:fill="FFFFFF" w:val="clear"/>
          </w:tcPr>
          <w:p>
            <w:r>
              <w:rPr>
                <w:color w:val="282828"/>
                <w:sz w:val="15"/>
              </w:rPr>
              <w:t>Revenu bancaire central (≡ CA). Croissance: 1.1%.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59.439 Mds FCFA</w:t>
            </w:r>
          </w:p>
        </w:tc>
        <w:tc>
          <w:tcPr>
            <w:tcW w:type="dxa" w:w="5669"/>
            <w:shd w:fill="FFFFFF" w:val="clear"/>
          </w:tcPr>
          <w:p>
            <w:r>
              <w:rPr>
                <w:color w:val="282828"/>
                <w:sz w:val="15"/>
              </w:rPr>
              <w:t>Revenus d'intérêts sur crédits (81%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-18.500 Mds FCFA</w:t>
            </w:r>
          </w:p>
        </w:tc>
        <w:tc>
          <w:tcPr>
            <w:tcW w:type="dxa" w:w="5669"/>
            <w:shd w:fill="FFFFFF" w:val="clear"/>
          </w:tcPr>
          <w:p>
            <w:r>
              <w:rPr>
                <w:color w:val="282828"/>
                <w:sz w:val="15"/>
              </w:rPr>
              <w:t>Coût des dépôts collectés (-25%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24.092 Mds FCFA</w:t>
            </w:r>
          </w:p>
        </w:tc>
        <w:tc>
          <w:tcPr>
            <w:tcW w:type="dxa" w:w="5669"/>
            <w:shd w:fill="FFFFFF" w:val="clear"/>
          </w:tcPr>
          <w:p>
            <w:r>
              <w:rPr>
                <w:color w:val="282828"/>
                <w:sz w:val="15"/>
              </w:rPr>
              <w:t>Revenus de commissions (32.8%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-25.499 Mds FCFA</w:t>
            </w:r>
          </w:p>
        </w:tc>
        <w:tc>
          <w:tcPr>
            <w:tcW w:type="dxa" w:w="5669"/>
            <w:shd w:fill="FFFFFF" w:val="clear"/>
          </w:tcPr>
          <w:p>
            <w:r>
              <w:rPr>
                <w:color w:val="282828"/>
                <w:sz w:val="15"/>
              </w:rPr>
              <w:t>-34.7%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-1.489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48.046 Mds FCFA</w:t>
            </w:r>
          </w:p>
        </w:tc>
        <w:tc>
          <w:tcPr>
            <w:tcW w:type="dxa" w:w="5669"/>
            <w:shd w:fill="FFFFFF" w:val="clear"/>
          </w:tcPr>
          <w:p>
            <w:r>
              <w:rPr>
                <w:color w:val="282828"/>
                <w:sz w:val="15"/>
              </w:rPr>
              <w:t>VA = 4804600000000.0%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48.046 Mds FCFA</w:t>
            </w:r>
          </w:p>
        </w:tc>
        <w:tc>
          <w:tcPr>
            <w:tcW w:type="dxa" w:w="5669"/>
            <w:shd w:fill="FFFFFF" w:val="clear"/>
          </w:tcPr>
          <w:p>
            <w:r>
              <w:rPr>
                <w:color w:val="282828"/>
                <w:sz w:val="15"/>
              </w:rPr>
              <w:t>EBE = 65.3%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46.557 Mds FCFA</w:t>
            </w:r>
          </w:p>
        </w:tc>
        <w:tc>
          <w:tcPr>
            <w:tcW w:type="dxa" w:w="5669"/>
            <w:shd w:fill="FFFFFF" w:val="clear"/>
          </w:tcPr>
          <w:p>
            <w:r>
              <w:rPr>
                <w:color w:val="282828"/>
                <w:sz w:val="15"/>
              </w:rPr>
              <w:t>RBE = 63.3%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41.655 Mds FCFA</w:t>
            </w:r>
          </w:p>
        </w:tc>
        <w:tc>
          <w:tcPr>
            <w:tcW w:type="dxa" w:w="5669"/>
            <w:shd w:fill="FFFFFF" w:val="clear"/>
          </w:tcPr>
          <w:p>
            <w:r>
              <w:rPr>
                <w:color w:val="282828"/>
                <w:sz w:val="15"/>
              </w:rPr>
              <w:t>Profit d'exploitation = 56.6%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-4.902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35.540 Mds FCFA</w:t>
            </w:r>
          </w:p>
        </w:tc>
        <w:tc>
          <w:tcPr>
            <w:tcW w:type="dxa" w:w="5669"/>
            <w:shd w:fill="FFFFFF" w:val="clear"/>
          </w:tcPr>
          <w:p>
            <w:r>
              <w:rPr>
                <w:color w:val="282828"/>
                <w:sz w:val="15"/>
              </w:rPr>
              <w:t>Marge nette = 48.3%.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41.931 Mds FCFA</w:t>
            </w:r>
          </w:p>
        </w:tc>
        <w:tc>
          <w:tcPr>
            <w:tcW w:type="dxa" w:w="5669"/>
            <w:shd w:fill="FFFFFF" w:val="clear"/>
          </w:tcPr>
          <w:p>
            <w:r>
              <w:rPr>
                <w:color w:val="282828"/>
                <w:sz w:val="15"/>
              </w:rPr>
              <w:t>CAF = 41.93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116.281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161.550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48.32%</w:t>
            </w:r>
          </w:p>
        </w:tc>
        <w:tc>
          <w:tcPr>
            <w:tcW w:type="dxa" w:w="5669"/>
            <w:shd w:fill="FFFFFF" w:val="clear"/>
          </w:tcPr>
          <w:p>
            <w:r>
              <w:rPr>
                <w:color w:val="282828"/>
                <w:sz w:val="15"/>
              </w:rPr>
              <w:t>Résultat net / revenus = 48.32%.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56.64%</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27.91%</w:t>
            </w:r>
          </w:p>
        </w:tc>
        <w:tc>
          <w:tcPr>
            <w:tcW w:type="dxa" w:w="5669"/>
            <w:shd w:fill="FFFFFF" w:val="clear"/>
          </w:tcPr>
          <w:p>
            <w:r>
              <w:rPr>
                <w:color w:val="282828"/>
                <w:sz w:val="15"/>
              </w:rPr>
              <w:t>Résultat net / capitaux propres = 27.91%.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3.22%</w:t>
            </w:r>
          </w:p>
        </w:tc>
        <w:tc>
          <w:tcPr>
            <w:tcW w:type="dxa" w:w="5669"/>
            <w:shd w:fill="FFFFFF" w:val="clear"/>
          </w:tcPr>
          <w:p>
            <w:r>
              <w:rPr>
                <w:color w:val="282828"/>
                <w:sz w:val="15"/>
              </w:rPr>
              <w:t>Résultat net / total actif = 3.22%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6.67%</w:t>
            </w:r>
          </w:p>
        </w:tc>
        <w:tc>
          <w:tcPr>
            <w:tcW w:type="dxa" w:w="5669"/>
            <w:shd w:fill="FFFFFF" w:val="clear"/>
          </w:tcPr>
          <w:p>
            <w:r>
              <w:rPr>
                <w:color w:val="282828"/>
                <w:sz w:val="15"/>
              </w:rPr>
              <w:t>CA / total actif = 6.67x.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36.70%</w:t>
            </w:r>
          </w:p>
        </w:tc>
        <w:tc>
          <w:tcPr>
            <w:tcW w:type="dxa" w:w="5669"/>
            <w:shd w:fill="FFFFFF" w:val="clear"/>
          </w:tcPr>
          <w:p>
            <w:r>
              <w:rPr>
                <w:color w:val="282828"/>
                <w:sz w:val="15"/>
              </w:rPr>
              <w:t>Charges / PNB = 36.70%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6.67%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1.13%</w:t>
            </w:r>
          </w:p>
        </w:tc>
        <w:tc>
          <w:tcPr>
            <w:tcW w:type="dxa" w:w="5669"/>
            <w:shd w:fill="FFFFFF" w:val="clear"/>
          </w:tcPr>
          <w:p>
            <w:r>
              <w:rPr>
                <w:color w:val="282828"/>
                <w:sz w:val="15"/>
              </w:rPr>
              <w:t>Croissance PNB vs exercice précédent = 1.13%.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11.54%</w:t>
            </w:r>
          </w:p>
        </w:tc>
        <w:tc>
          <w:tcPr>
            <w:tcW w:type="dxa" w:w="5669"/>
            <w:shd w:fill="FFFFFF" w:val="clear"/>
          </w:tcPr>
          <w:p>
            <w:r>
              <w:rPr>
                <w:color w:val="282828"/>
                <w:sz w:val="15"/>
              </w:rPr>
              <w:t>Fonds propres / total bilan = 11.54%.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88.46%</w:t>
            </w:r>
          </w:p>
        </w:tc>
        <w:tc>
          <w:tcPr>
            <w:tcW w:type="dxa" w:w="5669"/>
            <w:shd w:fill="FFFFFF" w:val="clear"/>
          </w:tcPr>
          <w:p>
            <w:r>
              <w:rPr>
                <w:color w:val="282828"/>
                <w:sz w:val="15"/>
              </w:rPr>
              <w:t>Dettes financières / total bilan = 88.46%. ❌ Structure très endettée — vulnérable aux chocs de taux.</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113.05%</w:t>
            </w:r>
          </w:p>
        </w:tc>
        <w:tc>
          <w:tcPr>
            <w:tcW w:type="dxa" w:w="5669"/>
            <w:shd w:fill="FFFFFF" w:val="clear"/>
          </w:tcPr>
          <w:p>
            <w:r>
              <w:rPr>
                <w:color w:val="282828"/>
                <w:sz w:val="15"/>
              </w:rPr>
              <w:t>Total actif / dettes totales = 113.05x.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3684.07%</w:t>
            </w:r>
          </w:p>
        </w:tc>
        <w:tc>
          <w:tcPr>
            <w:tcW w:type="dxa" w:w="5669"/>
            <w:shd w:fill="FFFFFF" w:val="clear"/>
          </w:tcPr>
          <w:p>
            <w:r>
              <w:rPr>
                <w:color w:val="282828"/>
                <w:sz w:val="15"/>
              </w:rPr>
              <w:t>Actif circulant / passif circulant = 3684.07x.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872.21%</w:t>
            </w:r>
          </w:p>
        </w:tc>
        <w:tc>
          <w:tcPr>
            <w:tcW w:type="dxa" w:w="5669"/>
            <w:shd w:fill="FFFFFF" w:val="clear"/>
          </w:tcPr>
          <w:p>
            <w:r>
              <w:rPr>
                <w:color w:val="282828"/>
                <w:sz w:val="15"/>
              </w:rPr>
              <w:t>Trésorerie / passif circulant = 872.21x.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3684.07%</w:t>
            </w:r>
          </w:p>
        </w:tc>
        <w:tc>
          <w:tcPr>
            <w:tcW w:type="dxa" w:w="5669"/>
            <w:shd w:fill="FFFFFF" w:val="clear"/>
          </w:tcPr>
          <w:p>
            <w:r>
              <w:rPr>
                <w:color w:val="282828"/>
                <w:sz w:val="15"/>
              </w:rPr>
              <w:t>(Actif circ. - stocks) / passif circ. = 3684.07x.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832.25%</w:t>
            </w:r>
          </w:p>
        </w:tc>
        <w:tc>
          <w:tcPr>
            <w:tcW w:type="dxa" w:w="5669"/>
            <w:shd w:fill="FFFFFF" w:val="clear"/>
          </w:tcPr>
          <w:p>
            <w:r>
              <w:rPr>
                <w:color w:val="282828"/>
                <w:sz w:val="15"/>
              </w:rPr>
              <w:t>Capitaux permanents / actif immobilisé = 832.25x. ✅ Les actifs LT sont intégralement financés par des ressources stables.</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225.16%</w:t>
            </w:r>
          </w:p>
        </w:tc>
        <w:tc>
          <w:tcPr>
            <w:tcW w:type="dxa" w:w="5669"/>
            <w:shd w:fill="FFFFFF" w:val="clear"/>
          </w:tcPr>
          <w:p>
            <w:r>
              <w:rPr>
                <w:color w:val="282828"/>
                <w:sz w:val="15"/>
              </w:rPr>
              <w:t>Résultat exploit. / charges financières = 225.16x. ✅ Couverture satisfaisante.</w:t>
            </w:r>
          </w:p>
        </w:tc>
      </w:tr>
    </w:tbl>
    <w:p/>
    <w:p>
      <w:pPr>
        <w:spacing w:after="120" w:line="276" w:lineRule="auto"/>
      </w:pPr>
      <w:r>
        <w:t># 📊 RAPPORT D'ANALYSE FINANCIÈRE — BOA CÔTE D'IVOIRE (BOAC)</w:t>
        <w:br/>
        <w:t>**Bourse Régionale des Valeurs Mobilières (BRVM) — Secteur Bancaire**</w:t>
        <w:br/>
        <w:t>*Date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**455,20 milliards FCFA**, BOAC s'impose comme l'une des valeurs bancaires majeures de la cote BRVM, reflétant la solidité d'un établissement dont le total bilan atteint 1 103,31 milliards FCFA. Le BPA de **888 FCFA/action** (contre 801 FCFA en 2024, soit +10,9%) matérialise la capacité bénéficiaire concrète de chaque titre détenu. Le PER de **12,8x** situe le titre légèrement au-dessus de la moyenne BRVM (8-12x), traduisant une prime modérée justifiée par la qualité des fondamentaux, tandis que le P/B de **3,57x** indique que le marché valorise l'action à plus de trois fois sa valeur comptable — une prime de croissance significative cohérente avec un ROE exceptionnel de 27,9%. En revanche, l'**EV/EBITDA de 26,4x** apparaît très exigeant (&gt;15x), signalant que la valeur d'entreprise intègre déjà une anticipation de croissance soutenue ; ce niveau invite à la prudence quant à la marge de sécurité disponible pour l'investisseur.</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BOAC affiche une **progression remarquable de +28,30%**, avec un cours actuel de **11 380 FCFA** et une variation nulle en dernière séance (J-1 : +0,00%), signe d'une stabilisation après le rallye haussier. Le range de trading s'étend de **8 800 FCFA (plus bas)** à **13 450 FCFA (plus haut)**, soit une amplitude de 52,8% qui témoigne d'une dynamique fortement haussière mais aussi d'une correction récente depuis les sommets. La tendance générale demeure haussière sur la période, le cours actuel se situant 29,3% au-dessus du plus bas mais 15,4% en dessous du plus haut, suggérant une phase de consolidation. Les statistiques descriptives révèlent une **moyenne de 10 768 FCFA** inférieure à la **médiane de 11 240 FCFA**, écart qui indique une légère asymétrie avec quelques séances de forte baisse ayant tiré la moyenne vers le bas ; le **mode à 11 600 FCFA** confirme cette zone de concentration des échanges. L'**écart-type de 1 473 FCFA (CV=13,7%)** traduit une dispersion modérée du cours, tandis que le **kurtosis de -1,430 (platykurtique)** signale une distribution aplatie avec un risque de pics extrêmes limité — élément rassurant pour la gestion du risque. Le **skewness de 0,076** confirme une distribution quasi-symétrique, sans biais directionnel marqué. Enfin, la **volatilité annualisée de 28,0%** positionne BOAC dans la catégorie des titres à volatilité modérée (15-30%), offrant un profil rendement/risque équilibré.</w:t>
      </w:r>
    </w:p>
    <w:p>
      <w:pPr>
        <w:spacing w:after="120" w:line="276" w:lineRule="auto"/>
      </w:pPr>
      <w:r>
        <w:t>---</w:t>
      </w:r>
    </w:p>
    <w:p>
      <w:pPr>
        <w:spacing w:after="120" w:line="276" w:lineRule="auto"/>
      </w:pPr>
      <w:r>
        <w:t>## PARTIE 2 : ANALYSE TECHNIQUE DÉTAILLÉE</w:t>
      </w:r>
    </w:p>
    <w:p>
      <w:pPr>
        <w:spacing w:after="120" w:line="276" w:lineRule="auto"/>
      </w:pPr>
      <w:r>
        <w:t>**Moyennes Mobiles :** La MM20 (11 443,25 FCFA) et la MM50 (12 075,10 FCFA) se situent toutes deux au-dessus du cours actuel (11 380 FCFA), configuration baissière caractéristique d'un titre sous ses moyennes de référence. La MM20 étant inférieure à la MM50, on observe un croisement baissier (death cross) confirmant la pression vendeuse de court terme. La décision technique qui en résulte est **Vente**, le cours devant reconquérir la MM20 pour envisager un retournement.</w:t>
      </w:r>
    </w:p>
    <w:p>
      <w:pPr>
        <w:spacing w:after="120" w:line="276" w:lineRule="auto"/>
      </w:pPr>
      <w:r>
        <w:t>**Bandes de Bollinger :** Le cours actuel (11 380 FCFA) évolue dans la partie basse du canal, entre la borne inférieure (10 970,996 FCFA) et la borne supérieure (11 915,504 FCFA), à environ 41% de la largeur du canal depuis le bas. Cette position médiane-basse traduit une absence de signal directionnel fort, avec une volatilité contenue. La décision est **Neutre**, le titre n'étant ni en zone de survente (proche borne basse) ni en zone de surachat (proche borne haute).</w:t>
      </w:r>
    </w:p>
    <w:p>
      <w:pPr>
        <w:spacing w:after="120" w:line="276" w:lineRule="auto"/>
      </w:pPr>
      <w:r>
        <w:t>**MACD :** Le MACD (-166,248) est supérieur à sa ligne de signal (-178,665), générant un histogramme positif qui indique un momentum haussier naissant. Cette configuration de convergence haussière suggère que la pression baissière s'essouffle et qu'un retournement pourrait se dessiner. La décision **Achat** est cohérente avec ce signal précoce de reprise, bien que le MACD reste en territoire négatif.</w:t>
      </w:r>
    </w:p>
    <w:p>
      <w:pPr>
        <w:spacing w:after="120" w:line="276" w:lineRule="auto"/>
      </w:pPr>
      <w:r>
        <w:t>**RSI :** À **45,161**, le RSI se situe en zone neutre (30-70), sans signal de surachat ni de survente. Cette valeur médiane indique un équilibre entre acheteurs et vendeurs, sans pression excessive dans un sens ou dans l'autre. La décision **Neutre** reflète cette absence de signal fort, le titre disposant toutefois d'une marge de progression avant d'atteindre la zone de surachat (70).</w:t>
      </w:r>
    </w:p>
    <w:p>
      <w:pPr>
        <w:spacing w:after="120" w:line="276" w:lineRule="auto"/>
      </w:pPr>
      <w:r>
        <w:t>**Stochastique :** Le %K (30,159) est inférieur au %D (44,897), configuration baissière indiquant que le momentum de court terme reste négatif. Le %K proche de la zone de survente (20) suggère cependant qu'un rebond technique pourrait se produire prochainement. La décision **Neutre** traduit cette situation ambiguë entre pression baissière persistante et potentiel de rebond.</w:t>
      </w:r>
    </w:p>
    <w:p>
      <w:pPr>
        <w:spacing w:after="120" w:line="276" w:lineRule="auto"/>
      </w:pPr>
      <w:r>
        <w:t>**Conclusion technique :** Les indicateurs présentent une configuration **mitigée avec une légère tendance baissière** : les moyennes mobiles confirment la pression vendeuse (décision Vente), tandis que le MACD génère un signal d'achat précoce et que le RSI et le stochastique restent neutres. Le titre se trouve dans une phase de consolidation après son rallye de +28,30%, avec un support technique identifié autour de 10 970 FCFA (borne basse de Bollinger) et une résistance à 11 915 FCFA. La convergence des signaux reste faible, invitant à la prudence dans l'attente d'une confirmation directionnelle.</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BOAC affiche un **Produit Net Bancaire (PNB) de 73 545 millions FCFA**, en légère hausse de +1,1% par rapport à 2024 (72 724 millions), et un **résultat net de 35 540 millions FCFA**, en progression de +10,9% vs 32 045 millions en 2024. Le **ROE de 27,91%** demeure exceptionnel (&gt;15% = excellent), confirmant la capacité de la banque à générer une rentabilité élevée sur ses fonds propres (127 340 millions FCFA), tandis que le **ROA de 3,22%** reflète une utilisation efficace de l'actif total (1 103 306 millions FCFA). Le **coefficient d'exploitation de 36,70%** (&lt;60% = banque efficace) témoigne d'une maîtrise remarquable des charges, et la **marge nette de 48,32%** illustre une excellente transformation du PNB en profit.</w:t>
      </w:r>
    </w:p>
    <w:p>
      <w:pPr>
        <w:spacing w:after="120" w:line="276" w:lineRule="auto"/>
      </w:pPr>
      <w:r>
        <w:t>**Analyse sectorielle bancaire :** Le **coût du risque** (provisions/charges financières) ressort à **6,67%**, niveau modéré mais à surveiller compte tenu de la hausse de +52,1% des créances en souffrance sur l'année (taux de sinistralité de 8,59%, taux de provisionnement de 65,76%). La structure de bilan révèle une **transformation bancaire saine** avec des dépôts clientèle de 850 548 millions FCFA face à des créances clientèle de 430 433 millions FCFA, soit un ratio de couverture des crédits par les dépôts de 197,6% — signe d'une liquidité abondante. Les **créances interbancaires (70 451 millions)** et les **dettes interbancaires (95 901 millions)** indiquent une activité normale sur le marché monétaire, tandis que le portefeuille de titres d'État (307 925 millions FCFA) représente une réserve de liquidité et de rendement.</w:t>
      </w:r>
    </w:p>
    <w:p>
      <w:pPr>
        <w:spacing w:after="120" w:line="276" w:lineRule="auto"/>
      </w:pPr>
      <w:r>
        <w:t>**Estimations basées sur les rapports trimestriels :** Le rapport T1 2026 (publié le 31/03/2026, analysé le 05/09/2026) indique un **PNB de 18 960 millions FCFA (+3,09% vs T1 2025)** et un **résultat net de 10 801 millions FCFA (+0,91%)**, avec un coefficient d'exploitation stable à 35,68%. Point d'attention majeur : le **coût net du risque bondit de +314,75%** (-652 vs -157 millions FCFA), dégradation brutale qui, si elle se confirme, pourrait peser sur les trimestres suivants. Les dépôts clientèle progressent fortement (+21,44% à 923 307 millions FCFA) tandis que les crédits nets restent quasi stables (-0,29% à 442 169 millions). Sur cette base, on estime que l'exercice 2026 devrait afficher une croissance modérée du PNB (+2 à +4%) et un résultat net en légère progression (+1 à +3%), sous réserve de l'évolution du coût du risque.</w:t>
      </w:r>
    </w:p>
    <w:p>
      <w:pPr>
        <w:spacing w:after="120" w:line="276" w:lineRule="auto"/>
      </w:pPr>
      <w:r>
        <w:t>**Évolution pluriannuelle et recommandation :** L'historique montre une trajectoire solide : PNB passant de 72 724 millions (2024) à 73 545 millions (2025), résultat net de 32 045 à 35 540 millions, et ROE maintenu autour de 28%. Le rapport annuel 2025 (publié le 31/12/2025, analysé le 05/09/2026) recommande l'**ACHAT** avec une dividende en hausse (684 FCFA/action au titre de 2024, soit un rendement de ~6% au cours actuel). Le rapport d'examen limité S1 2026 (30/06/2026) confirme l'absence d'anomalie significative. **Conclusion fondamentale :** BOAC présente une solidité financière remarquable (ROE &gt;27%, coefficient d'exploitation &lt;37%, liquidité abondante) et une politique de dividende attractive, mais fait face à une dégradation du coût du risque et à une croissance du PNB qui s'essouffle. Le profil reste défensif et adapté à un investisseur recherchant rendement et stabilité.</w:t>
      </w:r>
    </w:p>
    <w:p>
      <w:pPr>
        <w:spacing w:after="120" w:line="276" w:lineRule="auto"/>
      </w:pPr>
      <w:r>
        <w:t>---</w:t>
      </w:r>
    </w:p>
    <w:p>
      <w:pPr>
        <w:spacing w:after="120" w:line="276" w:lineRule="auto"/>
      </w:pPr>
      <w:r>
        <w:t>## PARTIE 4 : CONCLUSION D'INVESTISSEMENT</w:t>
      </w:r>
    </w:p>
    <w:p>
      <w:pPr>
        <w:spacing w:after="120" w:line="276" w:lineRule="auto"/>
      </w:pPr>
      <w:r>
        <w:t>La synthèse des quatre parties révèle un profil d'investissement **équilibré avec une légère préférence haussière à moyen terme**. La **valorisation (Partie 0)** apparaît raisonnable avec un PER de 12,8x légèrement supérieur à la moyenne BRVM mais justifié par un ROE exceptionnel de 27,9%, bien que l'EV/EBITDA de 26,4x invite à la prudence. Le **comportement du cours (Partie 1)** affiche une tendance haussière de +28,30% sur 100 jours, avec une volatilité modérée (28%) et une distribution symétrique (skewness 0,076) sans risque de pics extrêmes (kurtosis -1,430), éléments favorables à une gestion de position sereine. Les **signaux techniques (Partie 2)** sont mitigés : les moyennes mobiles sont baissières (cours sous MM20 et MM50), mais le MACD génère un signal d'achat précoce et le RSI (45,16) laisse une marge de progression avant surachat — configuration de consolidation propice à une accumulation progressive. Les **fondamentaux (Partie 3)** demeurent solides : ROE de 27,91%, coefficient d'exploitation de 36,70%, dividende attractif (~6% de rendement), malgré une vigilance sur le coût du risque (+314,75% au T1 2026) et une croissance du PNB qui ralentit (+1,1% en 2025). Les **prédictions IA (J+1 à J+10)** anticipent une trajectoire haussière modérée, passant de 11 397 FCFA (16/10) à 11 451 FCFA (22/10), soit +0,6% sur la période — cette progression confirme la thèse d'un rebond technique progressif sans emballement.</w:t>
      </w:r>
    </w:p>
    <w:p>
      <w:pPr>
        <w:spacing w:after="120" w:line="276" w:lineRule="auto"/>
      </w:pPr>
      <w:r>
        <w:t>**Recommandation finale : CONSERVER (avec biais ACHAT pour les investisseurs long terme).** La convergence entre une valorisation raisonnable, des fondamentaux solides, un dividende attractif et des prédictions IA légèrement haussières soutient cette position, bien que la divergence des indicateurs techniques (moyennes mobiles baissières vs MACD haussier) et la dégradation du coût du risque appellent à la prudence. Le **niveau de confiance est Moyen**, la visibilité sur l'exercice 2026 restant limitée par l'absence de données semestrielles chiffrées complètes. Le **niveau de risque global est Moyen**, pondéré par la solidité du bilan et la liquidité abondante. L'**horizon d'investissement optimal est le moyen terme (3-12 mois)**, permettant de capturer le rebond technique anticipé tout en bénéficiant du rendement du dividende, avec un point d'entrée idéal autour de 11 000-11 200 FCFA (zone de support) et un objectif de cours à 12 500-13 000 FCFA (résistance technique et valorisation cible).</w:t>
      </w:r>
    </w:p>
    <w:p>
      <w:pPr>
        <w:spacing w:after="120" w:line="276" w:lineRule="auto"/>
      </w:pPr>
      <w:r>
        <w:t>---</w:t>
      </w:r>
    </w:p>
    <w:p>
      <w:pPr>
        <w:spacing w:after="120" w:line="276" w:lineRule="auto"/>
      </w:pPr>
      <w:r>
        <w:t>*⚠️ Avertissement : Ce rapport est fourni à titre informatif et ne constitue pas un conseil en investissement. Les données passées ne préjugent pas des performances futures. L'investisseur doit procéder à sa propre analyse et consulter un conseiller financier avant toute décision.*</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"L'examen limit\u00e9 ne r\u00e9v\u00e8le aucune anomalie significative et confirme la sinc\u00e9rit\u00e9 des \u00e9tats financiers semestriels. En l'absence de donn\u00e9es chiffr\u00e9es d\u00e9taill\u00e9es dans le document, aucune valorisation ni orientation d'investissement ne peut \u00eatre \u00e9tablie avec certitude."}</w:t>
      </w:r>
    </w:p>
    <w:p>
      <w:pPr>
        <w:spacing w:before="40"/>
        <w:ind w:left="400"/>
      </w:pPr>
      <w:r>
        <w:rPr>
          <w:sz w:val="18"/>
        </w:rPr>
        <w:t>Le document est un rapport d'examen limité des états financiers semestriels de Bank of Africa Côte d'Ivoire (BOA CI) couvrant la période du 1er janvier au 30 juin 2026, établi par les commissaires aux comptes Forvis Mazars et Eritedge Côte d'Ivoire. Les auditeurs n'ont pas relevé de faits remettant en cause la sincérité des états financiers semestriels. Ils n'ont également formulé aucune observation sur la sincérité et la concordance du rapport d'activité semestriel avec les états financiers. Les états financiers ont été arrêtés par le Conseil d'Administration le 9 septembre 2026 et le rapport signé le 30 septembre 2026. Toutefois, le document ne contient pas les données chiffrées détaillées</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Rapport d'examen limité (et non audit complet) des états financiers semestriels au 30 juin 2026 de BOA CI.</w:t>
      </w:r>
    </w:p>
    <w:p>
      <w:pPr>
        <w:pStyle w:val="ListBullet"/>
        <w:spacing w:before="20" w:after="20"/>
        <w:ind w:left="700"/>
      </w:pPr>
      <w:r>
        <w:rPr>
          <w:sz w:val="18"/>
        </w:rPr>
        <w:t>Conclusion sans réserve : aucun fait laissant penser que les états financiers ne présentent pas sincèrement la situation financière.</w:t>
      </w:r>
    </w:p>
    <w:p>
      <w:pPr>
        <w:pStyle w:val="ListBullet"/>
        <w:spacing w:before="20" w:after="20"/>
        <w:ind w:left="700"/>
      </w:pPr>
      <w:r>
        <w:rPr>
          <w:sz w:val="18"/>
        </w:rPr>
        <w:t>États financiers établis conformément au Plan Comptable Bancaire Révisé de l'UMOA.</w:t>
      </w:r>
    </w:p>
    <w:p>
      <w:pPr>
        <w:pStyle w:val="ListBullet"/>
        <w:spacing w:before="20" w:after="20"/>
        <w:ind w:left="700"/>
      </w:pPr>
      <w:r>
        <w:rPr>
          <w:sz w:val="18"/>
        </w:rPr>
        <w:t>Aucune observation sur la sincérité et la concordance du rapport d'activité semestriel.</w:t>
      </w:r>
    </w:p>
    <w:p>
      <w:pPr>
        <w:pStyle w:val="ListBullet"/>
        <w:spacing w:before="20" w:after="20"/>
        <w:ind w:left="700"/>
      </w:pPr>
      <w:r>
        <w:rPr>
          <w:sz w:val="18"/>
        </w:rPr>
        <w:t>États financiers arrêtés par le Conseil d'Administration en session du 9 septembre 2026.</w:t>
      </w:r>
    </w:p>
    <w:p>
      <w:pPr>
        <w:pStyle w:val="ListBullet"/>
        <w:spacing w:before="20" w:after="20"/>
        <w:ind w:left="700"/>
      </w:pPr>
      <w:r>
        <w:rPr>
          <w:sz w:val="18"/>
        </w:rPr>
        <w:t>Commissaires aux comptes : Forvis Mazars S.A. et Eritedge Côte d'Ivoire S.A.</w:t>
      </w:r>
    </w:p>
    <w:p>
      <w:pPr>
        <w:spacing w:before="40"/>
        <w:ind w:left="400"/>
      </w:pPr>
      <w:r>
        <w:rPr>
          <w:b/>
          <w:color w:val="C05000"/>
          <w:sz w:val="18"/>
        </w:rPr>
        <w:t xml:space="preserve">⚠️ Risques : </w:t>
      </w:r>
      <w:r>
        <w:rPr>
          <w:sz w:val="18"/>
        </w:rPr>
        <w:t>["Absence de donn\u00e9es financi\u00e8res chiffr\u00e9es dans le document fourni, limitant l'analyse quantitative.", "Nature d'examen limit\u00e9 offrant une assurance mod\u00e9r\u00e9e, moins \u00e9lev\u00e9e qu'un audit complet.", "Risques inh\u00e9rents au secteur bancaire (qualit\u00e9 du porte</w:t>
      </w:r>
    </w:p>
    <w:p>
      <w:pPr>
        <w:spacing w:before="40"/>
        <w:ind w:left="400"/>
      </w:pPr>
      <w:r>
        <w:rPr>
          <w:b/>
          <w:color w:val="0064A0"/>
          <w:sz w:val="18"/>
        </w:rPr>
        <w:t xml:space="preserve">🔮 Perspectives : </w:t>
      </w:r>
      <w:r>
        <w:rPr>
          <w:sz w:val="18"/>
        </w:rPr>
        <w:t>Les perspectives restent dépendantes des performances opérationnelles et financières de BOA CI sur le second semestre 2026, non détaillées dans ce rapport. La conclusion positive des commissaires aux comptes suggère une situation financière saine à mi-parcours. Une analyse plus fine nécessiterait la</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croissance du r\u00e9sultat net (+23,66%) et l'am\u00e9lioration du profil de risque dans un contexte de reprise \u00e9conomique favorable justifient un positionnement haussier. Les perspectives prometteuses en termes de cr\u00e9dits renforcent cette recommandation."}</w:t>
      </w:r>
    </w:p>
    <w:p>
      <w:pPr>
        <w:spacing w:before="40"/>
        <w:ind w:left="400"/>
      </w:pPr>
      <w:r>
        <w:rPr>
          <w:sz w:val="18"/>
        </w:rPr>
        <w:t>Bank of Africa Côte d'Ivoire affiche des résultats solides au premier semestre 2021 avec un résultat net de 9 043 millions FCFA, en progression de 23,66% par rapport à juin 2020. Les dépôts clients ont fortement augmenté de 20,26% pour atteindre 548 102 millions FCFA, témoignant d'une confiance accrue. Les crédits nets à la clientèle ont progressé modérément de 1,91% à 306 520 millions FCFA. Le coût du risque s'est considérablement amélioré, passant de -2 342 millions FCFA à +442 millions FCFA grâce à une reprise sur un client. La banque bénéficie du contexte de reprise économique en Côte d'Ivoire avec une croissance du PIB prévue à 6,5% en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'306 520 millions FCFA', 'cout_du_risque': '442 millions FCFA', 'frais_generaux': '10 483 millions FCFA', 'depots_clientele': '548 102 millions FCFA', 'produit_net_bancaire': '20 399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9 043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23,66% à 9 043 millions FCFA au S1 2021</w:t>
      </w:r>
    </w:p>
    <w:p>
      <w:pPr>
        <w:pStyle w:val="ListBullet"/>
        <w:spacing w:before="20" w:after="20"/>
        <w:ind w:left="700"/>
      </w:pPr>
      <w:r>
        <w:rPr>
          <w:sz w:val="18"/>
        </w:rPr>
        <w:t>Croissance exceptionnelle des dépôts clients de +20,26% atteignant 548 102 millions FCFA</w:t>
      </w:r>
    </w:p>
    <w:p>
      <w:pPr>
        <w:pStyle w:val="ListBullet"/>
        <w:spacing w:before="20" w:after="20"/>
        <w:ind w:left="700"/>
      </w:pPr>
      <w:r>
        <w:rPr>
          <w:sz w:val="18"/>
        </w:rPr>
        <w:t>Amélioration spectaculaire du coût du risque grâce à une reprise sur créances</w:t>
      </w:r>
    </w:p>
    <w:p>
      <w:pPr>
        <w:pStyle w:val="ListBullet"/>
        <w:spacing w:before="20" w:after="20"/>
        <w:ind w:left="700"/>
      </w:pPr>
      <w:r>
        <w:rPr>
          <w:sz w:val="18"/>
        </w:rPr>
        <w:t>Progression modérée des crédits nets de +1,91% reflétant une politique prudente</w:t>
      </w:r>
    </w:p>
    <w:p>
      <w:pPr>
        <w:pStyle w:val="ListBullet"/>
        <w:spacing w:before="20" w:after="20"/>
        <w:ind w:left="700"/>
      </w:pPr>
      <w:r>
        <w:rPr>
          <w:sz w:val="18"/>
        </w:rPr>
        <w:t>Lancement du Pack Business et participation aux programmes immobiliers</w:t>
      </w:r>
    </w:p>
    <w:p>
      <w:pPr>
        <w:pStyle w:val="ListBullet"/>
        <w:spacing w:before="20" w:after="20"/>
        <w:ind w:left="700"/>
      </w:pPr>
      <w:r>
        <w:rPr>
          <w:sz w:val="18"/>
        </w:rPr>
        <w:t>Baisse de la marge bancaire à 8,9% due à la concurrence sur le marché Corporate</w:t>
      </w:r>
    </w:p>
    <w:p>
      <w:pPr>
        <w:spacing w:before="40"/>
        <w:ind w:left="400"/>
      </w:pPr>
      <w:r>
        <w:rPr>
          <w:b/>
          <w:color w:val="C05000"/>
          <w:sz w:val="18"/>
        </w:rPr>
        <w:t xml:space="preserve">⚠️ Risques : </w:t>
      </w:r>
      <w:r>
        <w:rPr>
          <w:sz w:val="18"/>
        </w:rPr>
        <w:t>["Concurrence accrue sur le segment Corporate affectant la marge bancaire", "Exposition au risque de cr\u00e9dit malgr\u00e9 l'am\u00e9lioration r\u00e9cente", "D\u00e9pendance \u00e0 la conjoncture \u00e9conomique ivoirienne et aux politiques gouvernementales"]</w:t>
      </w:r>
    </w:p>
    <w:p>
      <w:pPr>
        <w:spacing w:before="40"/>
        <w:ind w:left="400"/>
      </w:pPr>
      <w:r>
        <w:rPr>
          <w:b/>
          <w:color w:val="0064A0"/>
          <w:sz w:val="18"/>
        </w:rPr>
        <w:t xml:space="preserve">🔮 Perspectives : </w:t>
      </w:r>
      <w:r>
        <w:rPr>
          <w:sz w:val="18"/>
        </w:rPr>
        <w:t>Les résultats futurs devraient être soutenus par la croissance économique ivoirienne prévue à 6,5% et des perspectives prometteuses en matière de crédits. La banque devrait bénéficier de la poursuite des réformes structurelles et du maintien de la stabilité socio-politique du pays.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banque montre une croissance solide de ses actifs et une am\u00e9lioration de sa collecte de d\u00e9p\u00f4ts. La structure financi\u00e8re reste saine avec un ratio de fonds propres convenable."}</w:t>
      </w:r>
    </w:p>
    <w:p>
      <w:pPr>
        <w:spacing w:before="40"/>
        <w:ind w:left="400"/>
      </w:pPr>
      <w:r>
        <w:rPr>
          <w:sz w:val="18"/>
        </w:rPr>
        <w:t>BOA Côte d'Ivoire présente des états financiers pour l'exercice se clôturant au 30/06/2021 comparé au 31/12/2020. Le total de l'actif de la banque s'élève à 739,837 millions FCFA au 30/06/2021 contre 686,536 millions FCFA fin 2020, soit une croissance de 7,8%. Le résultat net de l'exercice atteint 9,043 millions FCFA au 30/06/2021 contre 14,216 millions FCFA sur l'exercice précédent. Les créances sur la clientèle constituent le principal poste d'actif avec 306,520 millions FCFA. La banque maintient une structure bilancielle solide avec des capitaux propres et ressources assimilées de 62,372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{'reserves': '31,910 millions FCFA', 'capital_souscrit': '20,000 millions FCFA', 'depots_clientele': '548,102 millions FCFA', 'creances_clientele': '306,520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739,837 millions FCFA</w:t>
            </w:r>
          </w:p>
        </w:tc>
      </w:tr>
      <w:tr>
        <w:tc>
          <w:tcPr>
            <w:tcW w:type="dxa" w:w="2160"/>
          </w:tcPr>
          <w:p>
            <w:r/>
            <w:r>
              <w:rPr>
                <w:b/>
                <w:sz w:val="16"/>
              </w:rPr>
              <w:t>resultat_net</w:t>
              <w:br/>
            </w:r>
            <w:r>
              <w:rPr>
                <w:sz w:val="18"/>
              </w:rPr>
              <w:t>9,043 millions FCFA</w:t>
            </w:r>
          </w:p>
        </w:tc>
        <w:tc>
          <w:tcPr>
            <w:tcW w:type="dxa" w:w="2160"/>
          </w:tcPr>
          <w:p>
            <w:r/>
            <w:r>
              <w:rPr>
                <w:b/>
                <w:sz w:val="16"/>
              </w:rPr>
              <w:t>capitaux_propres</w:t>
              <w:br/>
            </w:r>
            <w:r>
              <w:rPr>
                <w:sz w:val="18"/>
              </w:rPr>
              <w:t>62,372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7,8% passant de 686,536 à 739,837 millions FCFA</w:t>
      </w:r>
    </w:p>
    <w:p>
      <w:pPr>
        <w:pStyle w:val="ListBullet"/>
        <w:spacing w:before="20" w:after="20"/>
        <w:ind w:left="700"/>
      </w:pPr>
      <w:r>
        <w:rPr>
          <w:sz w:val="18"/>
        </w:rPr>
        <w:t>Baisse du résultat net de 36,4% à 9,043 millions FCFA contre 14,216 millions FCFA</w:t>
      </w:r>
    </w:p>
    <w:p>
      <w:pPr>
        <w:pStyle w:val="ListBullet"/>
        <w:spacing w:before="20" w:after="20"/>
        <w:ind w:left="700"/>
      </w:pPr>
      <w:r>
        <w:rPr>
          <w:sz w:val="18"/>
        </w:rPr>
        <w:t>Stabilité des créances clientèle à 306,520 millions FCFA (légère hausse de 1,9%)</w:t>
      </w:r>
    </w:p>
    <w:p>
      <w:pPr>
        <w:pStyle w:val="ListBullet"/>
        <w:spacing w:before="20" w:after="20"/>
        <w:ind w:left="700"/>
      </w:pPr>
      <w:r>
        <w:rPr>
          <w:sz w:val="18"/>
        </w:rPr>
        <w:t>Progression significative des dettes à l'égard de la clientèle de 18,1% à 548,102 millions FCFA</w:t>
      </w:r>
    </w:p>
    <w:p>
      <w:pPr>
        <w:pStyle w:val="ListBullet"/>
        <w:spacing w:before="20" w:after="20"/>
        <w:ind w:left="700"/>
      </w:pPr>
      <w:r>
        <w:rPr>
          <w:sz w:val="18"/>
        </w:rPr>
        <w:t>Augmentation des réserves de 28,5% atteignant 31,910 millions FCFA</w:t>
      </w:r>
    </w:p>
    <w:p>
      <w:pPr>
        <w:pStyle w:val="ListBullet"/>
        <w:spacing w:before="20" w:after="20"/>
        <w:ind w:left="700"/>
      </w:pPr>
      <w:r>
        <w:rPr>
          <w:sz w:val="18"/>
        </w:rPr>
        <w:t>Maintien du capital souscrit stable à 20,000 millions FCFA</w:t>
      </w:r>
    </w:p>
    <w:p>
      <w:pPr>
        <w:spacing w:before="40"/>
        <w:ind w:left="400"/>
      </w:pPr>
      <w:r>
        <w:rPr>
          <w:b/>
          <w:color w:val="C05000"/>
          <w:sz w:val="18"/>
        </w:rPr>
        <w:t xml:space="preserve">⚠️ Risques : </w:t>
      </w:r>
      <w:r>
        <w:rPr>
          <w:sz w:val="18"/>
        </w:rPr>
        <w:t>["D\u00e9t\u00e9rioration significative de la rentabilit\u00e9 avec une chute de 36% du r\u00e9sultat net", "Concentration du portefeuille de cr\u00e9ances qui reste stable malgr\u00e9 la croissance des d\u00e9p\u00f4ts", "Augmentation importante des engagements hors bilan qui accro\u00eet l'exposit</w:t>
      </w:r>
    </w:p>
    <w:p>
      <w:pPr>
        <w:spacing w:before="40"/>
        <w:ind w:left="400"/>
      </w:pPr>
      <w:r>
        <w:rPr>
          <w:b/>
          <w:color w:val="0064A0"/>
          <w:sz w:val="18"/>
        </w:rPr>
        <w:t xml:space="preserve">🔮 Perspectives : </w:t>
      </w:r>
      <w:r>
        <w:rPr>
          <w:sz w:val="18"/>
        </w:rPr>
        <w:t>La forte croissance des dépôts clientèle (+18%) offre un potentiel de développement de l'activité de crédit. La banque devra optimiser sa rentabilité tout en maintenant sa croissance dans un environnement économique post-COVID en amélioration.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dynamique commerciale avec une croissance des d\u00e9p\u00f4ts de 20% et une rentabilit\u00e9 en forte progression (+29,1%). La ma\u00eetrise des co\u00fbts et l'am\u00e9lioration du coefficient d'exploitation renforcent l'attractivit\u00e9 du titre."}</w:t>
      </w:r>
    </w:p>
    <w:p>
      <w:pPr>
        <w:spacing w:before="40"/>
        <w:ind w:left="400"/>
      </w:pPr>
      <w:r>
        <w:rPr>
          <w:sz w:val="18"/>
        </w:rPr>
        <w:t>Bank of Africa Côte d'Ivoire affiche une performance solide au 3ème trimestre 2021 avec une forte croissance de la collecte de dépôts (+20%). Le produit net bancaire progresse de 4,6% à 32,122 millions FCFA grâce à l'augmentation des commissions (+27,6%). Les frais généraux restent maîtrisés avec une hausse limitée à 6,2%, permettant une amélioration du coefficient d'exploitation. Le résultat net bondit de 29,1% à 15,213 millions FCFA, témoignant d'une gestion efficace. Les perspectives restent favorables avec une tendance haussière attendue au dernier trimestre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'115 millions FCFA', 'frais_generaux': '15,641 millions FCFA', 'depot_clientele': '546,717 millions FCFA', 'credit_net_clientele': '306,613 millions FCFA', 'produit_net_bancaire': '32,122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15,213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dépôts de la clientèle de +20% atteignant 546,717 millions FCFA</w:t>
      </w:r>
    </w:p>
    <w:p>
      <w:pPr>
        <w:pStyle w:val="ListBullet"/>
        <w:spacing w:before="20" w:after="20"/>
        <w:ind w:left="700"/>
      </w:pPr>
      <w:r>
        <w:rPr>
          <w:sz w:val="18"/>
        </w:rPr>
        <w:t>Progression modérée des crédits nets à la clientèle (+1,9% à 306,613 millions FCFA)</w:t>
      </w:r>
    </w:p>
    <w:p>
      <w:pPr>
        <w:pStyle w:val="ListBullet"/>
        <w:spacing w:before="20" w:after="20"/>
        <w:ind w:left="700"/>
      </w:pPr>
      <w:r>
        <w:rPr>
          <w:sz w:val="18"/>
        </w:rPr>
        <w:t>Hausse significative du produit net bancaire de +4,6% à 32,122 millions FCFA</w:t>
      </w:r>
    </w:p>
    <w:p>
      <w:pPr>
        <w:pStyle w:val="ListBullet"/>
        <w:spacing w:before="20" w:after="20"/>
        <w:ind w:left="700"/>
      </w:pPr>
      <w:r>
        <w:rPr>
          <w:sz w:val="18"/>
        </w:rPr>
        <w:t>Explosion des commissions et divers de +27,6%</w:t>
      </w:r>
    </w:p>
    <w:p>
      <w:pPr>
        <w:pStyle w:val="ListBullet"/>
        <w:spacing w:before="20" w:after="20"/>
        <w:ind w:left="700"/>
      </w:pPr>
      <w:r>
        <w:rPr>
          <w:sz w:val="18"/>
        </w:rPr>
        <w:t>Maîtrise des frais généraux avec une augmentation limitée à +6,2%</w:t>
      </w:r>
    </w:p>
    <w:p>
      <w:pPr>
        <w:pStyle w:val="ListBullet"/>
        <w:spacing w:before="20" w:after="20"/>
        <w:ind w:left="700"/>
      </w:pPr>
      <w:r>
        <w:rPr>
          <w:sz w:val="18"/>
        </w:rPr>
        <w:t>Amélioration spectaculaire du coût du risque (-103,3%)</w:t>
      </w:r>
    </w:p>
    <w:p>
      <w:pPr>
        <w:spacing w:before="40"/>
        <w:ind w:left="400"/>
      </w:pPr>
      <w:r>
        <w:rPr>
          <w:b/>
          <w:color w:val="C05000"/>
          <w:sz w:val="18"/>
        </w:rPr>
        <w:t xml:space="preserve">⚠️ Risques : </w:t>
      </w:r>
      <w:r>
        <w:rPr>
          <w:sz w:val="18"/>
        </w:rPr>
        <w:t>["Croissance limit\u00e9e des cr\u00e9dits (+1,9%) pouvant impacter la future g\u00e9n\u00e9ration de revenus", "Exposition au risque de cr\u00e9dit dans un contexte \u00e9conomique post-COVID", "D\u00e9pendance \u00e0 l'\u00e9volution des taux d'int\u00e9r\u00eat et de la conjoncture \u00e9conomiqu</w:t>
      </w:r>
    </w:p>
    <w:p>
      <w:pPr>
        <w:spacing w:before="40"/>
        <w:ind w:left="400"/>
      </w:pPr>
      <w:r>
        <w:rPr>
          <w:b/>
          <w:color w:val="0064A0"/>
          <w:sz w:val="18"/>
        </w:rPr>
        <w:t xml:space="preserve">🔮 Perspectives : </w:t>
      </w:r>
      <w:r>
        <w:rPr>
          <w:sz w:val="18"/>
        </w:rPr>
        <w:t>La direction anticipe le maintien de la tendance haussière observée sur les neuf premiers mois pour le dernier trimestre 2021. Cette dynamique positive devrait se poursuivre sauf survenance d'un événement défavorable majeur, consolidant ainsi les performances annuelles de la banque.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croissance des d\u00e9p\u00f4ts et cr\u00e9dits t\u00e9moigne d'une activit\u00e9 commerciale soutenue. Les perspectives prometteuses annonc\u00e9es par la direction justifient une position d'attente."}</w:t>
      </w:r>
    </w:p>
    <w:p>
      <w:pPr>
        <w:spacing w:before="40"/>
        <w:ind w:left="400"/>
      </w:pPr>
      <w:r>
        <w:rPr>
          <w:sz w:val="18"/>
        </w:rPr>
        <w:t>BOA Côte d'Ivoire présente des résultats mitigés au premier trimestre 2022 avec une croissance modeste des dépôts clients (+0,5%) et des crédits nets (+1,3%). Le produit net bancaire reste stable à 10,615 millions FCFA mais le résultat net chute de 8% à 5,141 millions FCFA comparé au T1 2021. Cette baisse s'explique principalement par une hausse de 7,8% des charges d'exploitation qui impacte négativement la rentabilité. Malgré cette contre-performance trimestrielle, la banque maintient des perspectives prometteuses pour les trimestres suivants. L'activité commerciale reste dynamique avec une progression des encours de crédit.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'303,685 millions FCFA', 'depots_clientele': '549,615 millions FCFA', 'produit_net_bancaire': '10,615 millions FCFA', 'resultat_avant_impots': '5,391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5,141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Dépôts de la clientèle en hausse de 0,5% à 549,615 millions FCFA</w:t>
      </w:r>
    </w:p>
    <w:p>
      <w:pPr>
        <w:pStyle w:val="ListBullet"/>
        <w:spacing w:before="20" w:after="20"/>
        <w:ind w:left="700"/>
      </w:pPr>
      <w:r>
        <w:rPr>
          <w:sz w:val="18"/>
        </w:rPr>
        <w:t>Crédits nets à la clientèle progressent de 1,3% à 303,685 millions FCFA</w:t>
      </w:r>
    </w:p>
    <w:p>
      <w:pPr>
        <w:pStyle w:val="ListBullet"/>
        <w:spacing w:before="20" w:after="20"/>
        <w:ind w:left="700"/>
      </w:pPr>
      <w:r>
        <w:rPr>
          <w:sz w:val="18"/>
        </w:rPr>
        <w:t>Produit net bancaire stable à 10,615 millions FCFA (+0,9%)</w:t>
      </w:r>
    </w:p>
    <w:p>
      <w:pPr>
        <w:pStyle w:val="ListBullet"/>
        <w:spacing w:before="20" w:after="20"/>
        <w:ind w:left="700"/>
      </w:pPr>
      <w:r>
        <w:rPr>
          <w:sz w:val="18"/>
        </w:rPr>
        <w:t>Résultat net en baisse de 8% à 5,141 millions FCFA</w:t>
      </w:r>
    </w:p>
    <w:p>
      <w:pPr>
        <w:pStyle w:val="ListBullet"/>
        <w:spacing w:before="20" w:after="20"/>
        <w:ind w:left="700"/>
      </w:pPr>
      <w:r>
        <w:rPr>
          <w:sz w:val="18"/>
        </w:rPr>
        <w:t>Résultat avant impôts recule de 6,1% à 5,391 millions FCFA</w:t>
      </w:r>
    </w:p>
    <w:p>
      <w:pPr>
        <w:pStyle w:val="ListBullet"/>
        <w:spacing w:before="20" w:after="20"/>
        <w:ind w:left="700"/>
      </w:pPr>
      <w:r>
        <w:rPr>
          <w:sz w:val="18"/>
        </w:rPr>
        <w:t>Charges d'exploitation en hausse de 7,8% pénalisant la rentabilité</w:t>
      </w:r>
    </w:p>
    <w:p>
      <w:pPr>
        <w:spacing w:before="40"/>
        <w:ind w:left="400"/>
      </w:pPr>
      <w:r>
        <w:rPr>
          <w:b/>
          <w:color w:val="C05000"/>
          <w:sz w:val="18"/>
        </w:rPr>
        <w:t xml:space="preserve">⚠️ Risques : </w:t>
      </w:r>
      <w:r>
        <w:rPr>
          <w:sz w:val="18"/>
        </w:rPr>
        <w:t>["Hausse continue des charges d'exploitation impactant la rentabilit\u00e9", "Pression sur les marges dans un environnement concurrentiel", "Risque de cr\u00e9dit li\u00e9 \u00e0 la croissance des encours de pr\u00eats"]</w:t>
      </w:r>
    </w:p>
    <w:p>
      <w:pPr>
        <w:spacing w:before="40"/>
        <w:ind w:left="400"/>
      </w:pPr>
      <w:r>
        <w:rPr>
          <w:b/>
          <w:color w:val="0064A0"/>
          <w:sz w:val="18"/>
        </w:rPr>
        <w:t xml:space="preserve">🔮 Perspectives : </w:t>
      </w:r>
      <w:r>
        <w:rPr>
          <w:sz w:val="18"/>
        </w:rPr>
        <w:t>La banque anticipe des résultats meilleurs pour les trimestres à venir avec des perspectives prometteuses en matière de crédit. La croissance de l'activité commerciale devrait se poursuivre mais la maîtrise des charges d'exploitation reste un enjeu clé pour améliorer la rentabilité.</w:t>
      </w:r>
    </w:p>
    <w:p/>
    <w:p>
      <w:r>
        <w:t>════════════════════════════════════════════════════════════════════════════════</w:t>
      </w:r>
    </w:p>
    <w:p>
      <w:r>
        <w:br w:type="page"/>
      </w:r>
    </w:p>
    <w:p>
      <w:pPr>
        <w:pStyle w:val="Heading2"/>
        <w:spacing w:before="360"/>
      </w:pPr>
      <w:r>
        <w:rPr>
          <w:color w:val="0066CC"/>
        </w:rPr>
        <w:t>9. BOAM - BANK OF AFRICA MALI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BOAM</w:t>
            </w:r>
          </w:p>
          <w:p>
            <w:r>
              <w:rPr>
                <w:b/>
                <w:color w:val="323250"/>
                <w:sz w:val="16"/>
              </w:rPr>
              <w:t xml:space="preserve">Société : </w:t>
            </w:r>
            <w:r>
              <w:rPr>
                <w:color w:val="000000"/>
                <w:sz w:val="16"/>
              </w:rPr>
              <w:t>BANK OF AFRICA MALI</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156.47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6,904 titres</w:t>
            </w:r>
          </w:p>
        </w:tc>
        <w:tc>
          <w:tcPr>
            <w:tcW w:type="dxa" w:w="2268"/>
            <w:shd w:fill="FFF2CC" w:val="clear"/>
          </w:tcPr>
          <w:p>
            <w:r>
              <w:rPr>
                <w:b/>
                <w:color w:val="503200"/>
                <w:sz w:val="16"/>
              </w:rPr>
              <w:t xml:space="preserve">Cours actuel : </w:t>
            </w:r>
            <w:r>
              <w:rPr>
                <w:color w:val="000000"/>
                <w:sz w:val="17"/>
              </w:rPr>
              <w:t>5,700 FCFA</w:t>
            </w:r>
          </w:p>
          <w:p>
            <w:r>
              <w:rPr>
                <w:b/>
                <w:color w:val="503200"/>
                <w:sz w:val="16"/>
              </w:rPr>
              <w:t xml:space="preserve">Var. 100 jours : </w:t>
            </w:r>
            <w:r>
              <w:rPr>
                <w:b/>
                <w:color w:val="007800"/>
                <w:sz w:val="17"/>
              </w:rPr>
              <w:t>+14.23%</w:t>
            </w:r>
          </w:p>
          <w:p>
            <w:r>
              <w:rPr>
                <w:b/>
                <w:color w:val="503200"/>
                <w:sz w:val="16"/>
              </w:rPr>
              <w:t xml:space="preserve">Plus haut 100j : </w:t>
            </w:r>
            <w:r>
              <w:rPr>
                <w:color w:val="000000"/>
                <w:sz w:val="17"/>
              </w:rPr>
              <w:t>7,195 FCFA</w:t>
            </w:r>
          </w:p>
          <w:p>
            <w:r>
              <w:rPr>
                <w:b/>
                <w:color w:val="503200"/>
                <w:sz w:val="16"/>
              </w:rPr>
              <w:t xml:space="preserve">Plus bas 100j : </w:t>
            </w:r>
            <w:r>
              <w:rPr>
                <w:color w:val="000000"/>
                <w:sz w:val="17"/>
              </w:rPr>
              <w:t>4,425 FCFA</w:t>
            </w:r>
          </w:p>
          <w:p>
            <w:r>
              <w:rPr>
                <w:b/>
                <w:color w:val="503200"/>
                <w:sz w:val="16"/>
              </w:rPr>
              <w:t xml:space="preserve">Volatilité ann. : </w:t>
            </w:r>
            <w:r>
              <w:rPr>
                <w:color w:val="000000"/>
                <w:sz w:val="17"/>
              </w:rPr>
              <w:t>43.9%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22.3/100 → Moyen</w:t>
      </w:r>
    </w:p>
    <w:p>
      <w:pPr>
        <w:spacing w:before="40" w:after="80"/>
      </w:pPr>
      <w:r>
        <w:rPr>
          <w:rFonts w:ascii="Courier New" w:hAnsi="Courier New"/>
          <w:color w:val="825A00"/>
          <w:sz w:val="18"/>
        </w:rPr>
        <w:t>████░░░░░░░░░░░░░░░░  22.3/100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13.03% (Moyenne) — μ=5,703 FCFA, σ=743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β=1.3470 (Agressif) — Cov=0.000101, Var(idx)=0.000075, ρ=0.423, n=96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6,904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σ_j=2.76%/j (Stable) — Vol. annualisée≈43.9%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2026-10-16</w:t>
            </w:r>
          </w:p>
        </w:tc>
        <w:tc>
          <w:tcPr>
            <w:tcW w:type="dxa" w:w="1440"/>
            <w:shd w:fill="FFDCE0" w:val="clear"/>
          </w:tcPr>
          <w:p>
            <w:r>
              <w:rPr>
                <w:sz w:val="17"/>
              </w:rPr>
              <w:t>5,246</w:t>
            </w:r>
          </w:p>
        </w:tc>
        <w:tc>
          <w:tcPr>
            <w:tcW w:type="dxa" w:w="1440"/>
            <w:shd w:fill="FFDCE0" w:val="clear"/>
          </w:tcPr>
          <w:p>
            <w:r>
              <w:rPr>
                <w:b/>
                <w:sz w:val="17"/>
              </w:rPr>
              <w:t>5,566</w:t>
            </w:r>
          </w:p>
        </w:tc>
        <w:tc>
          <w:tcPr>
            <w:tcW w:type="dxa" w:w="1440"/>
            <w:shd w:fill="FFDCE0" w:val="clear"/>
          </w:tcPr>
          <w:p>
            <w:r>
              <w:rPr>
                <w:sz w:val="17"/>
              </w:rPr>
              <w:t>5,886</w:t>
            </w:r>
          </w:p>
        </w:tc>
        <w:tc>
          <w:tcPr>
            <w:tcW w:type="dxa" w:w="1440"/>
            <w:shd w:fill="FFDCE0" w:val="clear"/>
          </w:tcPr>
          <w:p>
            <w:r>
              <w:rPr>
                <w:b/>
                <w:color w:val="C00000"/>
                <w:sz w:val="17"/>
              </w:rPr>
              <w:t>-2.4%</w:t>
            </w:r>
          </w:p>
        </w:tc>
      </w:tr>
      <w:tr>
        <w:tc>
          <w:tcPr>
            <w:tcW w:type="dxa" w:w="1440"/>
            <w:shd w:fill="FFDCE0" w:val="clear"/>
          </w:tcPr>
          <w:p>
            <w:r>
              <w:rPr>
                <w:sz w:val="17"/>
              </w:rPr>
              <w:t>J+2  Moyenne</w:t>
            </w:r>
          </w:p>
        </w:tc>
        <w:tc>
          <w:tcPr>
            <w:tcW w:type="dxa" w:w="1440"/>
            <w:shd w:fill="FFDCE0" w:val="clear"/>
          </w:tcPr>
          <w:p>
            <w:r>
              <w:rPr>
                <w:sz w:val="17"/>
              </w:rPr>
              <w:t>2026-10-19</w:t>
            </w:r>
          </w:p>
        </w:tc>
        <w:tc>
          <w:tcPr>
            <w:tcW w:type="dxa" w:w="1440"/>
            <w:shd w:fill="FFDCE0" w:val="clear"/>
          </w:tcPr>
          <w:p>
            <w:r>
              <w:rPr>
                <w:sz w:val="17"/>
              </w:rPr>
              <w:t>5,067</w:t>
            </w:r>
          </w:p>
        </w:tc>
        <w:tc>
          <w:tcPr>
            <w:tcW w:type="dxa" w:w="1440"/>
            <w:shd w:fill="FFDCE0" w:val="clear"/>
          </w:tcPr>
          <w:p>
            <w:r>
              <w:rPr>
                <w:b/>
                <w:sz w:val="17"/>
              </w:rPr>
              <w:t>5,515</w:t>
            </w:r>
          </w:p>
        </w:tc>
        <w:tc>
          <w:tcPr>
            <w:tcW w:type="dxa" w:w="1440"/>
            <w:shd w:fill="FFDCE0" w:val="clear"/>
          </w:tcPr>
          <w:p>
            <w:r>
              <w:rPr>
                <w:sz w:val="17"/>
              </w:rPr>
              <w:t>5,964</w:t>
            </w:r>
          </w:p>
        </w:tc>
        <w:tc>
          <w:tcPr>
            <w:tcW w:type="dxa" w:w="1440"/>
            <w:shd w:fill="FFDCE0" w:val="clear"/>
          </w:tcPr>
          <w:p>
            <w:r>
              <w:rPr>
                <w:b/>
                <w:color w:val="C00000"/>
                <w:sz w:val="17"/>
              </w:rPr>
              <w:t>-3.2%</w:t>
            </w:r>
          </w:p>
        </w:tc>
      </w:tr>
      <w:tr>
        <w:tc>
          <w:tcPr>
            <w:tcW w:type="dxa" w:w="1440"/>
            <w:shd w:fill="FFDCE0" w:val="clear"/>
          </w:tcPr>
          <w:p>
            <w:r>
              <w:rPr>
                <w:sz w:val="17"/>
              </w:rPr>
              <w:t>J+3  Moyenne</w:t>
            </w:r>
          </w:p>
        </w:tc>
        <w:tc>
          <w:tcPr>
            <w:tcW w:type="dxa" w:w="1440"/>
            <w:shd w:fill="FFDCE0" w:val="clear"/>
          </w:tcPr>
          <w:p>
            <w:r>
              <w:rPr>
                <w:sz w:val="17"/>
              </w:rPr>
              <w:t>2026-10-20</w:t>
            </w:r>
          </w:p>
        </w:tc>
        <w:tc>
          <w:tcPr>
            <w:tcW w:type="dxa" w:w="1440"/>
            <w:shd w:fill="FFDCE0" w:val="clear"/>
          </w:tcPr>
          <w:p>
            <w:r>
              <w:rPr>
                <w:sz w:val="17"/>
              </w:rPr>
              <w:t>4,940</w:t>
            </w:r>
          </w:p>
        </w:tc>
        <w:tc>
          <w:tcPr>
            <w:tcW w:type="dxa" w:w="1440"/>
            <w:shd w:fill="FFDCE0" w:val="clear"/>
          </w:tcPr>
          <w:p>
            <w:r>
              <w:rPr>
                <w:b/>
                <w:sz w:val="17"/>
              </w:rPr>
              <w:t>5,486</w:t>
            </w:r>
          </w:p>
        </w:tc>
        <w:tc>
          <w:tcPr>
            <w:tcW w:type="dxa" w:w="1440"/>
            <w:shd w:fill="FFDCE0" w:val="clear"/>
          </w:tcPr>
          <w:p>
            <w:r>
              <w:rPr>
                <w:sz w:val="17"/>
              </w:rPr>
              <w:t>6,033</w:t>
            </w:r>
          </w:p>
        </w:tc>
        <w:tc>
          <w:tcPr>
            <w:tcW w:type="dxa" w:w="1440"/>
            <w:shd w:fill="FFDCE0" w:val="clear"/>
          </w:tcPr>
          <w:p>
            <w:r>
              <w:rPr>
                <w:b/>
                <w:color w:val="C00000"/>
                <w:sz w:val="17"/>
              </w:rPr>
              <w:t>-3.7%</w:t>
            </w:r>
          </w:p>
        </w:tc>
      </w:tr>
      <w:tr>
        <w:tc>
          <w:tcPr>
            <w:tcW w:type="dxa" w:w="1440"/>
            <w:shd w:fill="FFDCE0" w:val="clear"/>
          </w:tcPr>
          <w:p>
            <w:r>
              <w:rPr>
                <w:sz w:val="17"/>
              </w:rPr>
              <w:t>J+4  ⭐</w:t>
            </w:r>
          </w:p>
        </w:tc>
        <w:tc>
          <w:tcPr>
            <w:tcW w:type="dxa" w:w="1440"/>
            <w:shd w:fill="FFDCE0" w:val="clear"/>
          </w:tcPr>
          <w:p>
            <w:r>
              <w:rPr>
                <w:sz w:val="17"/>
              </w:rPr>
              <w:t>2026-10-21</w:t>
            </w:r>
          </w:p>
        </w:tc>
        <w:tc>
          <w:tcPr>
            <w:tcW w:type="dxa" w:w="1440"/>
            <w:shd w:fill="FFDCE0" w:val="clear"/>
          </w:tcPr>
          <w:p>
            <w:r>
              <w:rPr>
                <w:sz w:val="17"/>
              </w:rPr>
              <w:t>4,829</w:t>
            </w:r>
          </w:p>
        </w:tc>
        <w:tc>
          <w:tcPr>
            <w:tcW w:type="dxa" w:w="1440"/>
            <w:shd w:fill="FFDCE0" w:val="clear"/>
          </w:tcPr>
          <w:p>
            <w:r>
              <w:rPr>
                <w:b/>
                <w:sz w:val="17"/>
              </w:rPr>
              <w:t>5,456</w:t>
            </w:r>
          </w:p>
        </w:tc>
        <w:tc>
          <w:tcPr>
            <w:tcW w:type="dxa" w:w="1440"/>
            <w:shd w:fill="FFDCE0" w:val="clear"/>
          </w:tcPr>
          <w:p>
            <w:r>
              <w:rPr>
                <w:sz w:val="17"/>
              </w:rPr>
              <w:t>6,084</w:t>
            </w:r>
          </w:p>
        </w:tc>
        <w:tc>
          <w:tcPr>
            <w:tcW w:type="dxa" w:w="1440"/>
            <w:shd w:fill="FFDCE0" w:val="clear"/>
          </w:tcPr>
          <w:p>
            <w:r>
              <w:rPr>
                <w:b/>
                <w:color w:val="C00000"/>
                <w:sz w:val="17"/>
              </w:rPr>
              <w:t>-4.3%</w:t>
            </w:r>
          </w:p>
        </w:tc>
      </w:tr>
      <w:tr>
        <w:tc>
          <w:tcPr>
            <w:tcW w:type="dxa" w:w="1440"/>
            <w:shd w:fill="FFDCE0" w:val="clear"/>
          </w:tcPr>
          <w:p>
            <w:r>
              <w:rPr>
                <w:sz w:val="17"/>
              </w:rPr>
              <w:t>J+5  ⭐</w:t>
            </w:r>
          </w:p>
        </w:tc>
        <w:tc>
          <w:tcPr>
            <w:tcW w:type="dxa" w:w="1440"/>
            <w:shd w:fill="FFDCE0" w:val="clear"/>
          </w:tcPr>
          <w:p>
            <w:r>
              <w:rPr>
                <w:sz w:val="17"/>
              </w:rPr>
              <w:t>2026-10-22</w:t>
            </w:r>
          </w:p>
        </w:tc>
        <w:tc>
          <w:tcPr>
            <w:tcW w:type="dxa" w:w="1440"/>
            <w:shd w:fill="FFDCE0" w:val="clear"/>
          </w:tcPr>
          <w:p>
            <w:r>
              <w:rPr>
                <w:sz w:val="17"/>
              </w:rPr>
              <w:t>4,724</w:t>
            </w:r>
          </w:p>
        </w:tc>
        <w:tc>
          <w:tcPr>
            <w:tcW w:type="dxa" w:w="1440"/>
            <w:shd w:fill="FFDCE0" w:val="clear"/>
          </w:tcPr>
          <w:p>
            <w:r>
              <w:rPr>
                <w:b/>
                <w:sz w:val="17"/>
              </w:rPr>
              <w:t>5,422</w:t>
            </w:r>
          </w:p>
        </w:tc>
        <w:tc>
          <w:tcPr>
            <w:tcW w:type="dxa" w:w="1440"/>
            <w:shd w:fill="FFDCE0" w:val="clear"/>
          </w:tcPr>
          <w:p>
            <w:r>
              <w:rPr>
                <w:sz w:val="17"/>
              </w:rPr>
              <w:t>6,119</w:t>
            </w:r>
          </w:p>
        </w:tc>
        <w:tc>
          <w:tcPr>
            <w:tcW w:type="dxa" w:w="1440"/>
            <w:shd w:fill="FFDCE0" w:val="clear"/>
          </w:tcPr>
          <w:p>
            <w:r>
              <w:rPr>
                <w:b/>
                <w:color w:val="C00000"/>
                <w:sz w:val="17"/>
              </w:rPr>
              <w:t>-4.9%</w:t>
            </w:r>
          </w:p>
        </w:tc>
      </w:tr>
      <w:tr>
        <w:tc>
          <w:tcPr>
            <w:tcW w:type="dxa" w:w="1440"/>
            <w:shd w:fill="FFDCE0" w:val="clear"/>
          </w:tcPr>
          <w:p>
            <w:r>
              <w:rPr>
                <w:sz w:val="17"/>
              </w:rPr>
              <w:t>J+6  ⭐</w:t>
            </w:r>
          </w:p>
        </w:tc>
        <w:tc>
          <w:tcPr>
            <w:tcW w:type="dxa" w:w="1440"/>
            <w:shd w:fill="FFDCE0" w:val="clear"/>
          </w:tcPr>
          <w:p>
            <w:r>
              <w:rPr>
                <w:sz w:val="17"/>
              </w:rPr>
              <w:t>2026-10-23</w:t>
            </w:r>
          </w:p>
        </w:tc>
        <w:tc>
          <w:tcPr>
            <w:tcW w:type="dxa" w:w="1440"/>
            <w:shd w:fill="FFDCE0" w:val="clear"/>
          </w:tcPr>
          <w:p>
            <w:r>
              <w:rPr>
                <w:sz w:val="17"/>
              </w:rPr>
              <w:t>4,626</w:t>
            </w:r>
          </w:p>
        </w:tc>
        <w:tc>
          <w:tcPr>
            <w:tcW w:type="dxa" w:w="1440"/>
            <w:shd w:fill="FFDCE0" w:val="clear"/>
          </w:tcPr>
          <w:p>
            <w:r>
              <w:rPr>
                <w:b/>
                <w:sz w:val="17"/>
              </w:rPr>
              <w:t>5,385</w:t>
            </w:r>
          </w:p>
        </w:tc>
        <w:tc>
          <w:tcPr>
            <w:tcW w:type="dxa" w:w="1440"/>
            <w:shd w:fill="FFDCE0" w:val="clear"/>
          </w:tcPr>
          <w:p>
            <w:r>
              <w:rPr>
                <w:sz w:val="17"/>
              </w:rPr>
              <w:t>6,144</w:t>
            </w:r>
          </w:p>
        </w:tc>
        <w:tc>
          <w:tcPr>
            <w:tcW w:type="dxa" w:w="1440"/>
            <w:shd w:fill="FFDCE0" w:val="clear"/>
          </w:tcPr>
          <w:p>
            <w:r>
              <w:rPr>
                <w:b/>
                <w:color w:val="C00000"/>
                <w:sz w:val="17"/>
              </w:rPr>
              <w:t>-5.5%</w:t>
            </w:r>
          </w:p>
        </w:tc>
      </w:tr>
      <w:tr>
        <w:tc>
          <w:tcPr>
            <w:tcW w:type="dxa" w:w="1440"/>
            <w:shd w:fill="FFDCE0" w:val="clear"/>
          </w:tcPr>
          <w:p>
            <w:r>
              <w:rPr>
                <w:sz w:val="17"/>
              </w:rPr>
              <w:t>J+7  ⭐</w:t>
            </w:r>
          </w:p>
        </w:tc>
        <w:tc>
          <w:tcPr>
            <w:tcW w:type="dxa" w:w="1440"/>
            <w:shd w:fill="FFDCE0" w:val="clear"/>
          </w:tcPr>
          <w:p>
            <w:r>
              <w:rPr>
                <w:sz w:val="17"/>
              </w:rPr>
              <w:t>2026-10-26</w:t>
            </w:r>
          </w:p>
        </w:tc>
        <w:tc>
          <w:tcPr>
            <w:tcW w:type="dxa" w:w="1440"/>
            <w:shd w:fill="FFDCE0" w:val="clear"/>
          </w:tcPr>
          <w:p>
            <w:r>
              <w:rPr>
                <w:sz w:val="17"/>
              </w:rPr>
              <w:t>4,535</w:t>
            </w:r>
          </w:p>
        </w:tc>
        <w:tc>
          <w:tcPr>
            <w:tcW w:type="dxa" w:w="1440"/>
            <w:shd w:fill="FFDCE0" w:val="clear"/>
          </w:tcPr>
          <w:p>
            <w:r>
              <w:rPr>
                <w:b/>
                <w:sz w:val="17"/>
              </w:rPr>
              <w:t>5,349</w:t>
            </w:r>
          </w:p>
        </w:tc>
        <w:tc>
          <w:tcPr>
            <w:tcW w:type="dxa" w:w="1440"/>
            <w:shd w:fill="FFDCE0" w:val="clear"/>
          </w:tcPr>
          <w:p>
            <w:r>
              <w:rPr>
                <w:sz w:val="17"/>
              </w:rPr>
              <w:t>6,162</w:t>
            </w:r>
          </w:p>
        </w:tc>
        <w:tc>
          <w:tcPr>
            <w:tcW w:type="dxa" w:w="1440"/>
            <w:shd w:fill="FFDCE0" w:val="clear"/>
          </w:tcPr>
          <w:p>
            <w:r>
              <w:rPr>
                <w:b/>
                <w:color w:val="C00000"/>
                <w:sz w:val="17"/>
              </w:rPr>
              <w:t>-6.2%</w:t>
            </w:r>
          </w:p>
        </w:tc>
      </w:tr>
      <w:tr>
        <w:tc>
          <w:tcPr>
            <w:tcW w:type="dxa" w:w="1440"/>
            <w:shd w:fill="FFDCE0" w:val="clear"/>
          </w:tcPr>
          <w:p>
            <w:r>
              <w:rPr>
                <w:sz w:val="17"/>
              </w:rPr>
              <w:t>J+8  ⭐</w:t>
            </w:r>
          </w:p>
        </w:tc>
        <w:tc>
          <w:tcPr>
            <w:tcW w:type="dxa" w:w="1440"/>
            <w:shd w:fill="FFDCE0" w:val="clear"/>
          </w:tcPr>
          <w:p>
            <w:r>
              <w:rPr>
                <w:sz w:val="17"/>
              </w:rPr>
              <w:t>2026-10-27</w:t>
            </w:r>
          </w:p>
        </w:tc>
        <w:tc>
          <w:tcPr>
            <w:tcW w:type="dxa" w:w="1440"/>
            <w:shd w:fill="FFDCE0" w:val="clear"/>
          </w:tcPr>
          <w:p>
            <w:r>
              <w:rPr>
                <w:sz w:val="17"/>
              </w:rPr>
              <w:t>4,449</w:t>
            </w:r>
          </w:p>
        </w:tc>
        <w:tc>
          <w:tcPr>
            <w:tcW w:type="dxa" w:w="1440"/>
            <w:shd w:fill="FFDCE0" w:val="clear"/>
          </w:tcPr>
          <w:p>
            <w:r>
              <w:rPr>
                <w:b/>
                <w:sz w:val="17"/>
              </w:rPr>
              <w:t>5,314</w:t>
            </w:r>
          </w:p>
        </w:tc>
        <w:tc>
          <w:tcPr>
            <w:tcW w:type="dxa" w:w="1440"/>
            <w:shd w:fill="FFDCE0" w:val="clear"/>
          </w:tcPr>
          <w:p>
            <w:r>
              <w:rPr>
                <w:sz w:val="17"/>
              </w:rPr>
              <w:t>6,178</w:t>
            </w:r>
          </w:p>
        </w:tc>
        <w:tc>
          <w:tcPr>
            <w:tcW w:type="dxa" w:w="1440"/>
            <w:shd w:fill="FFDCE0" w:val="clear"/>
          </w:tcPr>
          <w:p>
            <w:r>
              <w:rPr>
                <w:b/>
                <w:color w:val="C00000"/>
                <w:sz w:val="17"/>
              </w:rPr>
              <w:t>-6.8%</w:t>
            </w:r>
          </w:p>
        </w:tc>
      </w:tr>
      <w:tr>
        <w:tc>
          <w:tcPr>
            <w:tcW w:type="dxa" w:w="1440"/>
            <w:shd w:fill="FFDCE0" w:val="clear"/>
          </w:tcPr>
          <w:p>
            <w:r>
              <w:rPr>
                <w:sz w:val="17"/>
              </w:rPr>
              <w:t>J+9  ⭐</w:t>
            </w:r>
          </w:p>
        </w:tc>
        <w:tc>
          <w:tcPr>
            <w:tcW w:type="dxa" w:w="1440"/>
            <w:shd w:fill="FFDCE0" w:val="clear"/>
          </w:tcPr>
          <w:p>
            <w:r>
              <w:rPr>
                <w:sz w:val="17"/>
              </w:rPr>
              <w:t>2026-10-28</w:t>
            </w:r>
          </w:p>
        </w:tc>
        <w:tc>
          <w:tcPr>
            <w:tcW w:type="dxa" w:w="1440"/>
            <w:shd w:fill="FFDCE0" w:val="clear"/>
          </w:tcPr>
          <w:p>
            <w:r>
              <w:rPr>
                <w:sz w:val="17"/>
              </w:rPr>
              <w:t>4,369</w:t>
            </w:r>
          </w:p>
        </w:tc>
        <w:tc>
          <w:tcPr>
            <w:tcW w:type="dxa" w:w="1440"/>
            <w:shd w:fill="FFDCE0" w:val="clear"/>
          </w:tcPr>
          <w:p>
            <w:r>
              <w:rPr>
                <w:b/>
                <w:sz w:val="17"/>
              </w:rPr>
              <w:t>5,280</w:t>
            </w:r>
          </w:p>
        </w:tc>
        <w:tc>
          <w:tcPr>
            <w:tcW w:type="dxa" w:w="1440"/>
            <w:shd w:fill="FFDCE0" w:val="clear"/>
          </w:tcPr>
          <w:p>
            <w:r>
              <w:rPr>
                <w:sz w:val="17"/>
              </w:rPr>
              <w:t>6,191</w:t>
            </w:r>
          </w:p>
        </w:tc>
        <w:tc>
          <w:tcPr>
            <w:tcW w:type="dxa" w:w="1440"/>
            <w:shd w:fill="FFDCE0" w:val="clear"/>
          </w:tcPr>
          <w:p>
            <w:r>
              <w:rPr>
                <w:b/>
                <w:color w:val="C00000"/>
                <w:sz w:val="17"/>
              </w:rPr>
              <w:t>-7.4%</w:t>
            </w:r>
          </w:p>
        </w:tc>
      </w:tr>
      <w:tr>
        <w:tc>
          <w:tcPr>
            <w:tcW w:type="dxa" w:w="1440"/>
            <w:shd w:fill="FFDCE0" w:val="clear"/>
          </w:tcPr>
          <w:p>
            <w:r>
              <w:rPr>
                <w:sz w:val="17"/>
              </w:rPr>
              <w:t>J+10  ⭐</w:t>
            </w:r>
          </w:p>
        </w:tc>
        <w:tc>
          <w:tcPr>
            <w:tcW w:type="dxa" w:w="1440"/>
            <w:shd w:fill="FFDCE0" w:val="clear"/>
          </w:tcPr>
          <w:p>
            <w:r>
              <w:rPr>
                <w:sz w:val="17"/>
              </w:rPr>
              <w:t>2026-10-29</w:t>
            </w:r>
          </w:p>
        </w:tc>
        <w:tc>
          <w:tcPr>
            <w:tcW w:type="dxa" w:w="1440"/>
            <w:shd w:fill="FFDCE0" w:val="clear"/>
          </w:tcPr>
          <w:p>
            <w:r>
              <w:rPr>
                <w:sz w:val="17"/>
              </w:rPr>
              <w:t>4,293</w:t>
            </w:r>
          </w:p>
        </w:tc>
        <w:tc>
          <w:tcPr>
            <w:tcW w:type="dxa" w:w="1440"/>
            <w:shd w:fill="FFDCE0" w:val="clear"/>
          </w:tcPr>
          <w:p>
            <w:r>
              <w:rPr>
                <w:b/>
                <w:sz w:val="17"/>
              </w:rPr>
              <w:t>5,248</w:t>
            </w:r>
          </w:p>
        </w:tc>
        <w:tc>
          <w:tcPr>
            <w:tcW w:type="dxa" w:w="1440"/>
            <w:shd w:fill="FFDCE0" w:val="clear"/>
          </w:tcPr>
          <w:p>
            <w:r>
              <w:rPr>
                <w:sz w:val="17"/>
              </w:rPr>
              <w:t>6,202</w:t>
            </w:r>
          </w:p>
        </w:tc>
        <w:tc>
          <w:tcPr>
            <w:tcW w:type="dxa" w:w="1440"/>
            <w:shd w:fill="FFDCE0" w:val="clear"/>
          </w:tcPr>
          <w:p>
            <w:r>
              <w:rPr>
                <w:b/>
                <w:color w:val="C00000"/>
                <w:sz w:val="17"/>
              </w:rPr>
              <w:t>-7.9%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87.939 Mds FCFA</w:t>
            </w:r>
          </w:p>
        </w:tc>
        <w:tc>
          <w:tcPr>
            <w:tcW w:type="dxa" w:w="5669"/>
            <w:shd w:fill="FFFFFF" w:val="clear"/>
          </w:tcPr>
          <w:p>
            <w:r>
              <w:rPr>
                <w:color w:val="282828"/>
                <w:sz w:val="15"/>
              </w:rPr>
              <w:t>Représente 14.8%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185.699 Mds FCFA</w:t>
            </w:r>
          </w:p>
        </w:tc>
        <w:tc>
          <w:tcPr>
            <w:tcW w:type="dxa" w:w="5669"/>
            <w:shd w:fill="FFFFFF" w:val="clear"/>
          </w:tcPr>
          <w:p>
            <w:r>
              <w:rPr>
                <w:color w:val="282828"/>
                <w:sz w:val="15"/>
              </w:rPr>
              <w:t>Titres d'État détenus (31.3%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18.780 Mds FCFA</w:t>
            </w:r>
          </w:p>
        </w:tc>
        <w:tc>
          <w:tcPr>
            <w:tcW w:type="dxa" w:w="5669"/>
            <w:shd w:fill="FFFFFF" w:val="clear"/>
          </w:tcPr>
          <w:p>
            <w:r>
              <w:rPr>
                <w:color w:val="282828"/>
                <w:sz w:val="15"/>
              </w:rPr>
              <w:t>Prêts aux autres banques (3.2%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253.648 Mds FCFA</w:t>
            </w:r>
          </w:p>
        </w:tc>
        <w:tc>
          <w:tcPr>
            <w:tcW w:type="dxa" w:w="5669"/>
            <w:shd w:fill="FFFFFF" w:val="clear"/>
          </w:tcPr>
          <w:p>
            <w:r>
              <w:rPr>
                <w:color w:val="282828"/>
                <w:sz w:val="15"/>
              </w:rPr>
              <w:t>Portefeuille crédits (42.7%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438.61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23.047 Mds FCFA</w:t>
            </w:r>
          </w:p>
        </w:tc>
        <w:tc>
          <w:tcPr>
            <w:tcW w:type="dxa" w:w="5669"/>
            <w:shd w:fill="FFFFFF" w:val="clear"/>
          </w:tcPr>
          <w:p>
            <w:r>
              <w:rPr>
                <w:color w:val="282828"/>
                <w:sz w:val="15"/>
              </w:rPr>
              <w:t>Outil industriel (3.9%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24.960 Mds FCFA</w:t>
            </w:r>
          </w:p>
        </w:tc>
        <w:tc>
          <w:tcPr>
            <w:tcW w:type="dxa" w:w="5669"/>
            <w:shd w:fill="FFFFFF" w:val="clear"/>
          </w:tcPr>
          <w:p>
            <w:r>
              <w:rPr>
                <w:color w:val="282828"/>
                <w:sz w:val="15"/>
              </w:rPr>
              <w:t>Actif immobilisé = 4.2%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106.718 Mds FCFA</w:t>
            </w:r>
          </w:p>
        </w:tc>
        <w:tc>
          <w:tcPr>
            <w:tcW w:type="dxa" w:w="5669"/>
            <w:shd w:fill="FFFFFF" w:val="clear"/>
          </w:tcPr>
          <w:p>
            <w:r>
              <w:rPr>
                <w:color w:val="282828"/>
                <w:sz w:val="15"/>
              </w:rPr>
              <w:t>Liquidités disponibles (18.0%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593.455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27.450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9.704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49.820 Mds FCFA</w:t>
            </w:r>
          </w:p>
        </w:tc>
        <w:tc>
          <w:tcPr>
            <w:tcW w:type="dxa" w:w="5669"/>
            <w:shd w:fill="FFFFFF" w:val="clear"/>
          </w:tcPr>
          <w:p>
            <w:r>
              <w:rPr>
                <w:color w:val="282828"/>
                <w:sz w:val="15"/>
              </w:rPr>
              <w:t>Fonds propres = 8.4%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60.598 Mds FCFA</w:t>
            </w:r>
          </w:p>
        </w:tc>
        <w:tc>
          <w:tcPr>
            <w:tcW w:type="dxa" w:w="5669"/>
            <w:shd w:fill="FFFFFF" w:val="clear"/>
          </w:tcPr>
          <w:p>
            <w:r>
              <w:rPr>
                <w:color w:val="282828"/>
                <w:sz w:val="15"/>
              </w:rPr>
              <w:t>Capitaux permanents / Actif immobilisé = 2.43x.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20.350 Mds FCFA</w:t>
            </w:r>
          </w:p>
        </w:tc>
        <w:tc>
          <w:tcPr>
            <w:tcW w:type="dxa" w:w="5669"/>
            <w:shd w:fill="FFFFFF" w:val="clear"/>
          </w:tcPr>
          <w:p>
            <w:r>
              <w:rPr>
                <w:color w:val="282828"/>
                <w:sz w:val="15"/>
              </w:rPr>
              <w:t>Refinancement interbancaire (3.4%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502.890 Mds FCFA</w:t>
            </w:r>
          </w:p>
        </w:tc>
        <w:tc>
          <w:tcPr>
            <w:tcW w:type="dxa" w:w="5669"/>
            <w:shd w:fill="FFFFFF" w:val="clear"/>
          </w:tcPr>
          <w:p>
            <w:r>
              <w:rPr>
                <w:color w:val="282828"/>
                <w:sz w:val="15"/>
              </w:rPr>
              <w:t>Dépôts clients = 84.7%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7.218 Mds FCFA</w:t>
            </w:r>
          </w:p>
        </w:tc>
        <w:tc>
          <w:tcPr>
            <w:tcW w:type="dxa" w:w="5669"/>
            <w:shd w:fill="FFFFFF" w:val="clear"/>
          </w:tcPr>
          <w:p>
            <w:r>
              <w:rPr>
                <w:color w:val="282828"/>
                <w:sz w:val="15"/>
              </w:rPr>
              <w:t>Dette LT/MT = 14%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27.568 Mds FCFA</w:t>
            </w:r>
          </w:p>
        </w:tc>
        <w:tc>
          <w:tcPr>
            <w:tcW w:type="dxa" w:w="5669"/>
            <w:shd w:fill="FFFFFF" w:val="clear"/>
          </w:tcPr>
          <w:p>
            <w:r>
              <w:rPr>
                <w:color w:val="282828"/>
                <w:sz w:val="15"/>
              </w:rPr>
              <w:t>Dette financière totale = 55%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543.635 Mds FCFA</w:t>
            </w:r>
          </w:p>
        </w:tc>
        <w:tc>
          <w:tcPr>
            <w:tcW w:type="dxa" w:w="5669"/>
            <w:shd w:fill="FFFFFF" w:val="clear"/>
          </w:tcPr>
          <w:p>
            <w:r>
              <w:rPr>
                <w:color w:val="282828"/>
                <w:sz w:val="15"/>
              </w:rPr>
              <w:t>Dettes totales = 91.6%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37.996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37.996 Mds FCFA</w:t>
            </w:r>
          </w:p>
        </w:tc>
        <w:tc>
          <w:tcPr>
            <w:tcW w:type="dxa" w:w="5669"/>
            <w:shd w:fill="FFFFFF" w:val="clear"/>
          </w:tcPr>
          <w:p>
            <w:r>
              <w:rPr>
                <w:color w:val="282828"/>
                <w:sz w:val="15"/>
              </w:rPr>
              <w:t>Revenu bancaire central (≡ CA). Croissance: 5.1%.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33.306 Mds FCFA</w:t>
            </w:r>
          </w:p>
        </w:tc>
        <w:tc>
          <w:tcPr>
            <w:tcW w:type="dxa" w:w="5669"/>
            <w:shd w:fill="FFFFFF" w:val="clear"/>
          </w:tcPr>
          <w:p>
            <w:r>
              <w:rPr>
                <w:color w:val="282828"/>
                <w:sz w:val="15"/>
              </w:rPr>
              <w:t>Revenus d'intérêts sur crédits (88%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10.578 Mds FCFA</w:t>
            </w:r>
          </w:p>
        </w:tc>
        <w:tc>
          <w:tcPr>
            <w:tcW w:type="dxa" w:w="5669"/>
            <w:shd w:fill="FFFFFF" w:val="clear"/>
          </w:tcPr>
          <w:p>
            <w:r>
              <w:rPr>
                <w:color w:val="282828"/>
                <w:sz w:val="15"/>
              </w:rPr>
              <w:t>Coût des dépôts collectés (28%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11.289 Mds FCFA</w:t>
            </w:r>
          </w:p>
        </w:tc>
        <w:tc>
          <w:tcPr>
            <w:tcW w:type="dxa" w:w="5669"/>
            <w:shd w:fill="FFFFFF" w:val="clear"/>
          </w:tcPr>
          <w:p>
            <w:r>
              <w:rPr>
                <w:color w:val="282828"/>
                <w:sz w:val="15"/>
              </w:rPr>
              <w:t>Revenus de commissions (29.7% des revenus). Diversification bienvenue du modèle.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19.678 Mds FCFA</w:t>
            </w:r>
          </w:p>
        </w:tc>
        <w:tc>
          <w:tcPr>
            <w:tcW w:type="dxa" w:w="5669"/>
            <w:shd w:fill="FFFFFF" w:val="clear"/>
          </w:tcPr>
          <w:p>
            <w:r>
              <w:rPr>
                <w:color w:val="282828"/>
                <w:sz w:val="15"/>
              </w:rPr>
              <w:t>51.8%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4.314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14.004 Mds FCFA</w:t>
            </w:r>
          </w:p>
        </w:tc>
        <w:tc>
          <w:tcPr>
            <w:tcW w:type="dxa" w:w="5669"/>
            <w:shd w:fill="FFFFFF" w:val="clear"/>
          </w:tcPr>
          <w:p>
            <w:r>
              <w:rPr>
                <w:color w:val="282828"/>
                <w:sz w:val="15"/>
              </w:rPr>
              <w:t>RBE = 36.9%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9.414 Mds FCFA</w:t>
            </w:r>
          </w:p>
        </w:tc>
        <w:tc>
          <w:tcPr>
            <w:tcW w:type="dxa" w:w="5669"/>
            <w:shd w:fill="FFFFFF" w:val="clear"/>
          </w:tcPr>
          <w:p>
            <w:r>
              <w:rPr>
                <w:color w:val="282828"/>
                <w:sz w:val="15"/>
              </w:rPr>
              <w:t>Profit d'exploitation = 24.8%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4.590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11.081 Mds FCFA</w:t>
            </w:r>
          </w:p>
        </w:tc>
        <w:tc>
          <w:tcPr>
            <w:tcW w:type="dxa" w:w="5669"/>
            <w:shd w:fill="FFFFFF" w:val="clear"/>
          </w:tcPr>
          <w:p>
            <w:r>
              <w:rPr>
                <w:color w:val="282828"/>
                <w:sz w:val="15"/>
              </w:rPr>
              <w:t>Marge nette = 29.2%.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15.396 Mds FCFA</w:t>
            </w:r>
          </w:p>
        </w:tc>
        <w:tc>
          <w:tcPr>
            <w:tcW w:type="dxa" w:w="5669"/>
            <w:shd w:fill="FFFFFF" w:val="clear"/>
          </w:tcPr>
          <w:p>
            <w:r>
              <w:rPr>
                <w:color w:val="282828"/>
                <w:sz w:val="15"/>
              </w:rPr>
              <w:t>CAF = 15.40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86.368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36.86%</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29.16%</w:t>
            </w:r>
          </w:p>
        </w:tc>
        <w:tc>
          <w:tcPr>
            <w:tcW w:type="dxa" w:w="5669"/>
            <w:shd w:fill="FFFFFF" w:val="clear"/>
          </w:tcPr>
          <w:p>
            <w:r>
              <w:rPr>
                <w:color w:val="282828"/>
                <w:sz w:val="15"/>
              </w:rPr>
              <w:t>Résultat net / revenus = 29.16%.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24.78%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22.24%</w:t>
            </w:r>
          </w:p>
        </w:tc>
        <w:tc>
          <w:tcPr>
            <w:tcW w:type="dxa" w:w="5669"/>
            <w:shd w:fill="FFFFFF" w:val="clear"/>
          </w:tcPr>
          <w:p>
            <w:r>
              <w:rPr>
                <w:color w:val="282828"/>
                <w:sz w:val="15"/>
              </w:rPr>
              <w:t>Résultat net / capitaux propres = 22.24%.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1.87%</w:t>
            </w:r>
          </w:p>
        </w:tc>
        <w:tc>
          <w:tcPr>
            <w:tcW w:type="dxa" w:w="5669"/>
            <w:shd w:fill="FFFFFF" w:val="clear"/>
          </w:tcPr>
          <w:p>
            <w:r>
              <w:rPr>
                <w:color w:val="282828"/>
                <w:sz w:val="15"/>
              </w:rPr>
              <w:t>Résultat net / total actif = 1.87%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6.40%</w:t>
            </w:r>
          </w:p>
        </w:tc>
        <w:tc>
          <w:tcPr>
            <w:tcW w:type="dxa" w:w="5669"/>
            <w:shd w:fill="FFFFFF" w:val="clear"/>
          </w:tcPr>
          <w:p>
            <w:r>
              <w:rPr>
                <w:color w:val="282828"/>
                <w:sz w:val="15"/>
              </w:rPr>
              <w:t>CA / total actif = 6.40x.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63.14%</w:t>
            </w:r>
          </w:p>
        </w:tc>
        <w:tc>
          <w:tcPr>
            <w:tcW w:type="dxa" w:w="5669"/>
            <w:shd w:fill="FFFFFF" w:val="clear"/>
          </w:tcPr>
          <w:p>
            <w:r>
              <w:rPr>
                <w:color w:val="282828"/>
                <w:sz w:val="15"/>
              </w:rPr>
              <w:t>Charges / PNB = 63.14%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43.39%</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5.08%</w:t>
            </w:r>
          </w:p>
        </w:tc>
        <w:tc>
          <w:tcPr>
            <w:tcW w:type="dxa" w:w="5669"/>
            <w:shd w:fill="FFFFFF" w:val="clear"/>
          </w:tcPr>
          <w:p>
            <w:r>
              <w:rPr>
                <w:color w:val="282828"/>
                <w:sz w:val="15"/>
              </w:rPr>
              <w:t>Croissance PNB vs exercice précédent = 5.08%.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8.39%</w:t>
            </w:r>
          </w:p>
        </w:tc>
        <w:tc>
          <w:tcPr>
            <w:tcW w:type="dxa" w:w="5669"/>
            <w:shd w:fill="FFFFFF" w:val="clear"/>
          </w:tcPr>
          <w:p>
            <w:r>
              <w:rPr>
                <w:color w:val="282828"/>
                <w:sz w:val="15"/>
              </w:rPr>
              <w:t>Fonds propres / total bilan = 8.39%.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91.61%</w:t>
            </w:r>
          </w:p>
        </w:tc>
        <w:tc>
          <w:tcPr>
            <w:tcW w:type="dxa" w:w="5669"/>
            <w:shd w:fill="FFFFFF" w:val="clear"/>
          </w:tcPr>
          <w:p>
            <w:r>
              <w:rPr>
                <w:color w:val="282828"/>
                <w:sz w:val="15"/>
              </w:rPr>
              <w:t>Dettes financières / total bilan = 91.61%.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55.33%</w:t>
            </w:r>
          </w:p>
        </w:tc>
        <w:tc>
          <w:tcPr>
            <w:tcW w:type="dxa" w:w="5669"/>
            <w:shd w:fill="FFFFFF" w:val="clear"/>
          </w:tcPr>
          <w:p>
            <w:r>
              <w:rPr>
                <w:color w:val="282828"/>
                <w:sz w:val="15"/>
              </w:rPr>
              <w:t>Dettes totales / fonds propres = 55.33%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109.16%</w:t>
            </w:r>
          </w:p>
        </w:tc>
        <w:tc>
          <w:tcPr>
            <w:tcW w:type="dxa" w:w="5669"/>
            <w:shd w:fill="FFFFFF" w:val="clear"/>
          </w:tcPr>
          <w:p>
            <w:r>
              <w:rPr>
                <w:color w:val="282828"/>
                <w:sz w:val="15"/>
              </w:rPr>
              <w:t>Total actif / dettes totales = 109.16x.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199.60%</w:t>
            </w:r>
          </w:p>
        </w:tc>
        <w:tc>
          <w:tcPr>
            <w:tcW w:type="dxa" w:w="5669"/>
            <w:shd w:fill="FFFFFF" w:val="clear"/>
          </w:tcPr>
          <w:p>
            <w:r>
              <w:rPr>
                <w:color w:val="282828"/>
                <w:sz w:val="15"/>
              </w:rPr>
              <w:t>Capitaux permanents / actif immobilisé = 199.60x.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1.8 ans</w:t>
            </w:r>
          </w:p>
        </w:tc>
        <w:tc>
          <w:tcPr>
            <w:tcW w:type="dxa" w:w="5669"/>
            <w:shd w:fill="FFFFFF" w:val="clear"/>
          </w:tcPr>
          <w:p>
            <w:r>
              <w:rPr>
                <w:color w:val="282828"/>
                <w:sz w:val="15"/>
              </w:rPr>
              <w:t>Dettes financières / CAF = 1.8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89.00%</w:t>
            </w:r>
          </w:p>
        </w:tc>
        <w:tc>
          <w:tcPr>
            <w:tcW w:type="dxa" w:w="5669"/>
            <w:shd w:fill="FFFFFF" w:val="clear"/>
          </w:tcPr>
          <w:p>
            <w:r>
              <w:rPr>
                <w:color w:val="282828"/>
                <w:sz w:val="15"/>
              </w:rPr>
              <w:t>Résultat exploit. / charges financières = 89.00x. ❌ L'exploitation ne couvre pas les charges financières.</w:t>
            </w:r>
          </w:p>
        </w:tc>
      </w:tr>
    </w:tbl>
    <w:p/>
    <w:p>
      <w:pPr>
        <w:spacing w:after="120" w:line="276" w:lineRule="auto"/>
      </w:pPr>
      <w:r>
        <w:t>**RAPPORT D'ANALYSE FINANCIÈRE — BOA MALI (BOAM)**</w:t>
        <w:br/>
        <w:t>*Bourse Régionale des Valeurs Mobilières (BRVM) — Secteur Bancaire*</w:t>
        <w:br/>
        <w:t>*Date d'analyse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156,47 milliards FCFA, BOAM se positionne comme une valeur de taille intermédiaire sur la BRVM, représentant un acteur bancaire significatif de la cote. Le BPA de 404 FCFA/action signifie que chaque titre génère près de 404 FCFA de bénéfice net, offrant un rendement bénéficiaire implicite attractif. Le PER de 14,1x indique que les investisseurs paient une prime modérée par rapport au PER moyen de la BRVM (~8-12x), reflétant une anticipation de croissance mais restant dans une zone de valorisation raisonnable. Le P/B de 3,14x traduit une prime de croissance accordée par le marché (2-4x), justifiée par un ROE élevé de 22,24% qui dépasse largement le coût des fonds propres. Enfin, l'EV/EBITDA de 7,0x (fourchette 5-10x) suggère une valorisation équilibrée de la capacité opérationnelle, sans excès spéculatif.</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BOAM affiche une variation totale positive de +14,23%, mais la dernière séance (J-1) enregistre un repli marqué de -4,92%, signalant une pression vendeuse récente. Le cours actuel de 5 700 FCFA se situe dans la partie médiane du range de trading, entre un plus bas de 4 425 FCFA et un plus haut de 7 195 FCFA, soit une amplitude de 62,6% qui témoigne d'une forte volatilité directionnelle. La tendance générale reste haussière sur la période, mais la correction récente interroge sur la durabilité du mouvement. Les statistiques descriptives révèlent une moyenne (5 703 FCFA) quasi identique à la médiane (5 682 FCFA), confirmant une distribution symétrique (skewness de 0,025) sans biais directionnel marqué. L'écart-type de 747 FCFA (CV=13,1%) indique une dispersion modérée autour de la moyenne, tandis que le kurtosis de -0,908 (mésokurtique) suggère une distribution proche de la normale, sans risque excessif de pics extrêmes. La volatilité annualisée de 43,9% classe BOAM dans la catégorie des titres à volatilité élevée (&gt;30%), ce qui implique un risque de marché significatif et justifie une approche prudente.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(6 110,5 FCFA) et la MM50 (6 303,4 FCFA) se situent toutes deux au-dessus du cours actuel (5 700 FCFA), confirmant une configuration baissière de court et moyen terme. Le prix évolue sous ses moyennes mobiles, signalant une pression vendeuse persistante. La décision technique est donc **Vente**, le cours n'ayant pas encore trouvé de support durable.</w:t>
      </w:r>
    </w:p>
    <w:p>
      <w:pPr>
        <w:spacing w:after="120" w:line="276" w:lineRule="auto"/>
      </w:pPr>
      <w:r>
        <w:t>**Bandes de Bollinger** : Le cours (5 700 FCFA) se situe dans la partie inférieure de la bande, entre la borne inférieure (5 505 FCFA) et la borne supérieure (6 715 FCFA), sans atteindre les extrêmes. Cette position médiane-basse traduit une volatilité contenue mais une absence de signal directionnel fort. La décision est **Neutre**, le titre n'étant ni suracheté ni survendu selon ce critère.</w:t>
      </w:r>
    </w:p>
    <w:p>
      <w:pPr>
        <w:spacing w:after="120" w:line="276" w:lineRule="auto"/>
      </w:pPr>
      <w:r>
        <w:t>**MACD** : La valeur du MACD (-122,648) est inférieure à son signal (-90,667), confirmant un momentum baissier. La divergence négative entre les deux lignes indique que la dynamique de court terme reste défavorable. La décision est **Vente**, le croisement baissier n'étant pas encore inversé.</w:t>
      </w:r>
    </w:p>
    <w:p>
      <w:pPr>
        <w:spacing w:after="120" w:line="276" w:lineRule="auto"/>
      </w:pPr>
      <w:r>
        <w:t>**RSI** : À 43,182, le RSI se situe en zone neutre (30-70), sans signal de surachat (&gt;70) ni de survente (&lt;30). Cette position médiane-basse suggère une absence de pression extrême, mais un léger biais baissier. La décision est **Neutre**, le titre n'offrant pas de signal contrarien évident.</w:t>
      </w:r>
    </w:p>
    <w:p>
      <w:pPr>
        <w:spacing w:after="120" w:line="276" w:lineRule="auto"/>
      </w:pPr>
      <w:r>
        <w:t>**Stochastique** : Le %K (0,0) est nettement inférieur au %D (34,959), avec un %K au plus bas absolu, signalant une survente extrême de court terme. Cette configuration est typique d'un rebond technique imminent. La décision est **Achat**, le croisement potentiel du %K au-dessus du %D pouvant déclencher un retournement haussier.</w:t>
      </w:r>
    </w:p>
    <w:p>
      <w:pPr>
        <w:spacing w:after="120" w:line="276" w:lineRule="auto"/>
      </w:pPr>
      <w:r>
        <w:t>**Conclusion technique** : Les indicateurs sont majoritairement baissiers (MM, MACD) ou neutres (Bollinger, RSI), à l'exception du Stochastique qui signale une survente extrême propice à un rebond technique. La convergence des signaux baissiers à moyen terme contraste avec l'opportunité de court terme offerte par le Stochastique. Une prudence est de mise, le titre pouvant connaître un rebond technique avant de reprendre sa tendance baissière si les fondamentaux ne confirment pas.</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**Données structurées (exercice 2025)** : En 2025, BOAM affiche un Produit Net Bancaire (PNB) de 37,996 milliards FCFA, en croissance de 5,08% par rapport à 2024. Le résultat net s'établit à 11,081 milliards FCFA, en forte hausse, avec une marge nette de 29,16% et un ROE exceptionnel de 22,24% (&gt;15% = excellent), confirmant la rentabilité élevée des fonds propres. Le ROA de 1,87% reste modéré, typique du secteur bancaire. Le coefficient d'exploitation de 63,14% (&gt;60%) indique une efficacité opérationnelle perfectible, les charges représentant près des deux tiers du PNB. Le coût du risque (43,39% des charges financières) demeure élevé, signalant un risque de crédit significatif, bien qu'en amélioration par rapport aux exercices précédents. La structure financière montre une autonomie financière faible (8,40%), typique des banques, avec un ratio d'endettement de 55,33% et une solvabilité générale de 109,16% (&gt;1 = solvable). Les dépôts clientèle (502,89 milliards FCFA) couvrent largement les créances clientèle (253,65 milliards FCFA), avec un ratio de transformation de 50,4%, indiquant une surliquidité et une capacité à financer l'économie.</w:t>
      </w:r>
    </w:p>
    <w:p>
      <w:pPr>
        <w:spacing w:after="120" w:line="276" w:lineRule="auto"/>
      </w:pPr>
      <w:r>
        <w:t>**Estimations basées sur les rapports trimestriels** : Le rapport T1 2026 (publié le 31/03/2026) révèle un PNB de 10,322 milliards FCFA, en hausse de +22,97% sur un an, et le rapport S1 2026 (publié le 30/06/2026) affiche un PNB de 21,987 milliards FCFA, en croissance de +17,5%. Sur la base de ces tendances, on estime que l'exercice 2026 devrait enregistrer un PNB annuel compris entre 42 et 44 milliards FCFA, soit une croissance de 10-15% par rapport à 2025. Le résultat net pourrait atteindre 12-13 milliards FCFA si la maîtrise des coûts et l'amélioration du coût du risque se poursuivent. Le rapport S1 2025 (publié le 30/06/2025) indiquait un résultat net de 6,21 milliards FCFA (+28,8%), confirmant la dynamique positive. Le rapport T3 2025 (publié le 30/09/2025) faisait état d'un résultat net cumulé de 9,16 milliards FCFA (+26,2%), validant la trajectoire annuelle. Les rapports antérieurs (2022-2024) montrent une résilience dans un contexte difficile (embargo CEDEAO, insécurité), avec une amélioration progressive des marges et une réduction du coût du risque.</w:t>
      </w:r>
    </w:p>
    <w:p>
      <w:pPr>
        <w:spacing w:after="120" w:line="276" w:lineRule="auto"/>
      </w:pPr>
      <w:r>
        <w:t>**Recommandation fondamentale** : BOAM présente des fondamentaux solides, portés par une rentabilité élevée (ROE &gt;22%), une croissance du PNB à deux chiffres en 2026, et une structure financière saine malgré un coefficient d'exploitation perfectible. Les risques principaux résident dans le coût du risque élevé, l'exposition au contexte macroéconomique et sécuritaire malien, et la dépendance aux dépôts clientèle. La dynamique récente (T1 et S1 2026) est encourageante et devrait soutenir la valorisation. **Recommandation : CONSERVER avec biais haussier**, les fondamentaux justifiant une prime de valorisation, mais les risques nécessitant une surveillance active.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révèle un profil d'investissement contrasté. **Valorisation (Partie 0)** : le PER de 14,1x et le P/B de 3,14x indiquent une valorisation raisonnable mais non décotée, le marché intégrant déjà une partie de la croissance attendue. **Comportement du cours (Partie 1)** : la tendance haussière sur 100 jours (+14,23%) est tempérée par une correction récente (-4,92% en J-1) et une volatilité élevée (43,9%), avec une distribution symétrique (skewness=0,025) et sans risque de pics extrêmes (kurtosis=-0,908). **Signaux techniques (Partie 2)** : les indicateurs sont majoritairement baissiers (MM, MACD) ou neutres (Bollinger, RSI), mais le Stochastique en survente extrême (%K=0,0) suggère un rebond technique imminent. **Fondamentaux (Partie 3)** : BOAM affiche une solidité financière confirmée (ROE=22,24%, PNB 2025=37,996 Mds FCFA, résultat net=11,081 Mds FCFA) et des estimations 2026 optimistes (PNB +10-15%), malgré un coût du risque élevé et un coefficient d'exploitation perfectible. **Prédictions IA (J+1 à J+10)** : la trajectoire baissière prévue (5 566 FCFA à 5 422 FCFA, soit -4,9% sur 10 jours) contredit le rebond technique attendu par le Stochastique, mais s'aligne sur les signaux baissiers des MM et du MACD.</w:t>
      </w:r>
    </w:p>
    <w:p>
      <w:pPr>
        <w:spacing w:after="120" w:line="276" w:lineRule="auto"/>
      </w:pPr>
      <w:r>
        <w:t>**Recommandation finale** : **CONSERVER**. La convergence entre une valorisation raisonnable, des fondamentaux solides et une dynamique de croissance en 2026 justifie une position neutre à haussière. Cependant, les signaux techniques baissiers à moyen terme et les prédictions IA négatives à court terme incitent à la prudence. **Niveau de confiance : Moyen** (les fondamentaux soutiennent le titre, mais l'incertitude technique et macroéconomique persiste). **Niveau de risque : Moyen à Élevé** (volatilité de 43,9%, exposition au contexte malien). **Horizon d'investissement optimal : Moyen terme (3-12 mois)**, le temps que les fondamentaux se matérialisent et que les signaux techniques se retournent. Un repli vers 5 400-5 500 FCFA pourrait offrir un point d'entrée intéressant pour les investisseurs patients.</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 contexte difficile, BOA Mali d\u00e9montre une bonne r\u00e9silience avec un r\u00e9sultat net en croissance et une am\u00e9lioration significative du co\u00fbt du risque. Les perspectives s'am\u00e9liorent avec la lev\u00e9e de l'embargo permettant la reprise des activit\u00e9s de march\u00e9."}</w:t>
      </w:r>
    </w:p>
    <w:p>
      <w:pPr>
        <w:spacing w:before="40"/>
        <w:ind w:left="400"/>
      </w:pPr>
      <w:r>
        <w:rPr>
          <w:sz w:val="18"/>
        </w:rPr>
        <w:t>Bank of Africa Mali présente des résultats mitigés pour le premier semestre 2022, marqués par un contexte difficile lié à la guerre en Ukraine, l'embargo de la CEDEAO et la crise multidimensionnelle au Mali. Le Produit Net Bancaire a reculé de 7,2% à 16 701 MFCFA, principalement en raison de l'impossibilité d'investir dans les opérations sur titres durant l'embargo. Malgré cette baisse des revenus, la banque a maintenu une gestion prudente avec une maîtrise des charges d'exploitation (+1,7% seulement). Le coût du risque s'est nettement amélioré (-27,4%), permettant au résultat net de progresser légèrement de 3,2% à 1 786 MFCFA. La levée de l'embargo ouvre de meilleures perspectives pour le s</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'4 873 MFCFA', 'frais_generaux': '9 852 MFCFA', 'croissance_credits': '3%', 'evolution_ressources': '-2%', 'resultat_brut_exploitation': '6 848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1 786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16 701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7,2% à 16 701 MFCFA au S1 2022</w:t>
      </w:r>
    </w:p>
    <w:p>
      <w:pPr>
        <w:pStyle w:val="ListBullet"/>
        <w:spacing w:before="20" w:after="20"/>
        <w:ind w:left="700"/>
      </w:pPr>
      <w:r>
        <w:rPr>
          <w:sz w:val="18"/>
        </w:rPr>
        <w:t>Résultat net en hausse de 3,2% à 1 786 MFCFA malgré le contexte difficile</w:t>
      </w:r>
    </w:p>
    <w:p>
      <w:pPr>
        <w:pStyle w:val="ListBullet"/>
        <w:spacing w:before="20" w:after="20"/>
        <w:ind w:left="700"/>
      </w:pPr>
      <w:r>
        <w:rPr>
          <w:sz w:val="18"/>
        </w:rPr>
        <w:t>Forte amélioration du coût du risque (-27,4% à 4 873 MFCFA)</w:t>
      </w:r>
    </w:p>
    <w:p>
      <w:pPr>
        <w:pStyle w:val="ListBullet"/>
        <w:spacing w:before="20" w:after="20"/>
        <w:ind w:left="700"/>
      </w:pPr>
      <w:r>
        <w:rPr>
          <w:sz w:val="18"/>
        </w:rPr>
        <w:t>Maîtrise des charges d'exploitation avec une progression limitée à 1,7%</w:t>
      </w:r>
    </w:p>
    <w:p>
      <w:pPr>
        <w:pStyle w:val="ListBullet"/>
        <w:spacing w:before="20" w:after="20"/>
        <w:ind w:left="700"/>
      </w:pPr>
      <w:r>
        <w:rPr>
          <w:sz w:val="18"/>
        </w:rPr>
        <w:t>Impact négatif de l'embargo CEDEAO sur les opérations sur titres durant le S1</w:t>
      </w:r>
    </w:p>
    <w:p>
      <w:pPr>
        <w:pStyle w:val="ListBullet"/>
        <w:spacing w:before="20" w:after="20"/>
        <w:ind w:left="700"/>
      </w:pPr>
      <w:r>
        <w:rPr>
          <w:sz w:val="18"/>
        </w:rPr>
        <w:t>Croissance modérée des crédits clientèle de 3% et repli des ressources de 2%</w:t>
      </w:r>
    </w:p>
    <w:p>
      <w:pPr>
        <w:spacing w:before="40"/>
        <w:ind w:left="400"/>
      </w:pPr>
      <w:r>
        <w:rPr>
          <w:b/>
          <w:color w:val="C05000"/>
          <w:sz w:val="18"/>
        </w:rPr>
        <w:t xml:space="preserve">⚠️ Risques : </w:t>
      </w:r>
      <w:r>
        <w:rPr>
          <w:sz w:val="18"/>
        </w:rPr>
        <w:t>["Persistance de l'instabilit\u00e9 politique et s\u00e9curitaire au Mali depuis 2012", "Vuln\u00e9rabilit\u00e9 aux chocs externes (guerre Ukraine, inflation mondiale)", "Concentration des risques sur le secteur public et parapublic malien"]</w:t>
      </w:r>
    </w:p>
    <w:p>
      <w:pPr>
        <w:spacing w:before="40"/>
        <w:ind w:left="400"/>
      </w:pPr>
      <w:r>
        <w:rPr>
          <w:b/>
          <w:color w:val="0064A0"/>
          <w:sz w:val="18"/>
        </w:rPr>
        <w:t xml:space="preserve">🔮 Perspectives : </w:t>
      </w:r>
      <w:r>
        <w:rPr>
          <w:sz w:val="18"/>
        </w:rPr>
        <w:t>La levée de l'embargo CEDEAO en juillet 2022 devrait permettre une nette amélioration des performances au second semestre avec la reprise des activités de marché. La banque ambitionne de rattraper le retard sur la marge bancaire et de finir l'exercice 2022 sur une note positive. Les perspectives à m</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solide dans un contexte difficile avec am\u00e9lioration des principaux indicateurs. La capacit\u00e9 de maintenir la rentabilit\u00e9 malgr\u00e9 les sanctions et l'embargo d\u00e9montre la r\u00e9silience du mod\u00e8le d'affaires."}</w:t>
      </w:r>
    </w:p>
    <w:p>
      <w:pPr>
        <w:spacing w:before="40"/>
        <w:ind w:left="400"/>
      </w:pPr>
      <w:r>
        <w:rPr>
          <w:sz w:val="18"/>
        </w:rPr>
        <w:t>BOA Mali affiche une performance financière résiliente au 3ème trimestre 2022 malgré un contexte difficile marqué par la pandémie Covid, l'inflation mondiale et les sanctions sous-régionales. La banque a maintenu un Produit Net Bancaire stable de 25 372 MFCFA avec une hausse de 19,7% des commissions compensant la baisse de la marge bancaire. Le total bilan progresse de 5,8% pour atteindre 616 384 MXOF au 30/09/2022. Les frais généraux sont bien maîtrisés avec une baisse de 3% sur l'année glissante. Le résultat net s'améliore de 5% pour s'établir à 2 898 MFCFA au 30 septembre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'18 300 000 000 FCFA', 'cout_du_risque': '7 039 MFCFA', 'frais_generaux': '15 164 MFCFA', 'resultat_exploitation': '3 169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11,4%</w:t>
            </w:r>
          </w:p>
        </w:tc>
        <w:tc>
          <w:tcPr>
            <w:tcW w:type="dxa" w:w="2160"/>
          </w:tcPr>
          <w:p>
            <w:pPr>
              <w:ind w:left="100"/>
            </w:pPr>
            <w:r/>
            <w:r>
              <w:rPr>
                <w:b/>
                <w:sz w:val="16"/>
              </w:rPr>
              <w:t>total_actif</w:t>
              <w:br/>
            </w:r>
            <w:r>
              <w:rPr>
                <w:sz w:val="18"/>
              </w:rPr>
              <w:t>616 384 MXOF</w:t>
            </w:r>
          </w:p>
        </w:tc>
      </w:tr>
      <w:tr>
        <w:tc>
          <w:tcPr>
            <w:tcW w:type="dxa" w:w="2160"/>
          </w:tcPr>
          <w:p>
            <w:r/>
            <w:r>
              <w:rPr>
                <w:b/>
                <w:sz w:val="16"/>
              </w:rPr>
              <w:t>resultat_net</w:t>
              <w:br/>
            </w:r>
            <w:r>
              <w:rPr>
                <w:sz w:val="18"/>
              </w:rPr>
              <w:t>2 898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25 372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Hausse de 5,8% du total bilan à 616 384 MXOF au 30/09/2022</w:t>
      </w:r>
    </w:p>
    <w:p>
      <w:pPr>
        <w:pStyle w:val="ListBullet"/>
        <w:spacing w:before="20" w:after="20"/>
        <w:ind w:left="700"/>
      </w:pPr>
      <w:r>
        <w:rPr>
          <w:sz w:val="18"/>
        </w:rPr>
        <w:t>Progression de 19,7% des commissions sur l'année glissante</w:t>
      </w:r>
    </w:p>
    <w:p>
      <w:pPr>
        <w:pStyle w:val="ListBullet"/>
        <w:spacing w:before="20" w:after="20"/>
        <w:ind w:left="700"/>
      </w:pPr>
      <w:r>
        <w:rPr>
          <w:sz w:val="18"/>
        </w:rPr>
        <w:t>Maintien du PNB stable à 25 372 MFCFA malgré la baisse de la marge bancaire</w:t>
      </w:r>
    </w:p>
    <w:p>
      <w:pPr>
        <w:pStyle w:val="ListBullet"/>
        <w:spacing w:before="20" w:after="20"/>
        <w:ind w:left="700"/>
      </w:pPr>
      <w:r>
        <w:rPr>
          <w:sz w:val="18"/>
        </w:rPr>
        <w:t>Maîtrise des coûts avec une baisse de 3% des frais généraux</w:t>
      </w:r>
    </w:p>
    <w:p>
      <w:pPr>
        <w:pStyle w:val="ListBullet"/>
        <w:spacing w:before="20" w:after="20"/>
        <w:ind w:left="700"/>
      </w:pPr>
      <w:r>
        <w:rPr>
          <w:sz w:val="18"/>
        </w:rPr>
        <w:t>Amélioration de 5% du résultat net à 2 898 MFCFA</w:t>
      </w:r>
    </w:p>
    <w:p>
      <w:pPr>
        <w:pStyle w:val="ListBullet"/>
        <w:spacing w:before="20" w:after="20"/>
        <w:ind w:left="700"/>
      </w:pPr>
      <w:r>
        <w:rPr>
          <w:sz w:val="18"/>
        </w:rPr>
        <w:t>Réduction de 4% du coût du risque témoignant d'une meilleure gestion des créances</w:t>
      </w:r>
    </w:p>
    <w:p>
      <w:pPr>
        <w:spacing w:before="40"/>
        <w:ind w:left="400"/>
      </w:pPr>
      <w:r>
        <w:rPr>
          <w:b/>
          <w:color w:val="C05000"/>
          <w:sz w:val="18"/>
        </w:rPr>
        <w:t xml:space="preserve">⚠️ Risques : </w:t>
      </w:r>
      <w:r>
        <w:rPr>
          <w:sz w:val="18"/>
        </w:rPr>
        <w:t>["Impact prolong\u00e9 des sanctions CEDEAO et UEMOA sur l'activit\u00e9 bancaire", "Persistance de l'inflation mondiale et de l'instabilit\u00e9 g\u00e9opolitique", "Effets r\u00e9siduels de la pand\u00e9mie Covid sur l'\u00e9conomie malienne"]</w:t>
      </w:r>
    </w:p>
    <w:p>
      <w:pPr>
        <w:spacing w:before="40"/>
        <w:ind w:left="400"/>
      </w:pPr>
      <w:r>
        <w:rPr>
          <w:b/>
          <w:color w:val="0064A0"/>
          <w:sz w:val="18"/>
        </w:rPr>
        <w:t xml:space="preserve">🔮 Perspectives : </w:t>
      </w:r>
      <w:r>
        <w:rPr>
          <w:sz w:val="18"/>
        </w:rPr>
        <w:t>L'outlook reste prudent compte tenu du maintien probable des sanctions et de l'incertitude géopolitique régionale. La banque devra continuer à s'appuyer sur la diversification de ses revenus, notamment les commissions, pour compenser la pression sur les marges. La maîtrise des coûts et la gestion ri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"L'am\u00e9lioration du r\u00e9sultat net et la forte r\u00e9duction des provisions sont positives. Cependant, la baisse du total actif et la stabilit\u00e9 du PNB sugg\u00e8rent une croissance limit\u00e9e n\u00e9cessitant surveillance."}</w:t>
      </w:r>
    </w:p>
    <w:p>
      <w:pPr>
        <w:spacing w:before="40"/>
        <w:ind w:left="400"/>
      </w:pPr>
      <w:r>
        <w:rPr>
          <w:sz w:val="18"/>
        </w:rPr>
        <w:t>Bank of Africa Mali SA présente des résultats financiers contrastés pour 2022 avec une légère baisse du total actif de 581,5 à 576,8 milliards FCFA. Le résultat net s'améliore significativement, passant de 2,1 à 2,5 milliards FCFA, soit une hausse de 17,4%. Le produit net bancaire reste stable autour de 35,3 milliards FCFA malgré une légère baisse des revenus d'intérêts. La banque maintient une structure financière solide avec 34,5 milliards FCFA de capitaux propres. Les provisions ont été drastiquement réduites de 19,4 à 3,7 milliards FCFA, contribuant positivement au résultat.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'3,7 milliards FCFA', 'depots_clientele': '425,0 milliards FCFA', 'creances_clientele': '268,9 milliards FCFA', 'produit_net_bancaire': '35,3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576,8 milliards FCFA</w:t>
            </w:r>
          </w:p>
        </w:tc>
      </w:tr>
      <w:tr>
        <w:tc>
          <w:tcPr>
            <w:tcW w:type="dxa" w:w="2160"/>
          </w:tcPr>
          <w:p>
            <w:r/>
            <w:r>
              <w:rPr>
                <w:b/>
                <w:sz w:val="16"/>
              </w:rPr>
              <w:t>resultat_net</w:t>
              <w:br/>
            </w:r>
            <w:r>
              <w:rPr>
                <w:sz w:val="18"/>
              </w:rPr>
              <w:t>2,46 milliards FCFA</w:t>
            </w:r>
          </w:p>
        </w:tc>
        <w:tc>
          <w:tcPr>
            <w:tcW w:type="dxa" w:w="2160"/>
          </w:tcPr>
          <w:p>
            <w:r/>
            <w:r>
              <w:rPr>
                <w:b/>
                <w:sz w:val="16"/>
              </w:rPr>
              <w:t>capitaux_propres</w:t>
              <w:br/>
            </w:r>
            <w:r>
              <w:rPr>
                <w:sz w:val="18"/>
              </w:rPr>
              <w:t>34,5 milliards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Amélioration du résultat net de 17,4% atteignant 2,46 milliards FCFA en 2022</w:t>
      </w:r>
    </w:p>
    <w:p>
      <w:pPr>
        <w:pStyle w:val="ListBullet"/>
        <w:spacing w:before="20" w:after="20"/>
        <w:ind w:left="700"/>
      </w:pPr>
      <w:r>
        <w:rPr>
          <w:sz w:val="18"/>
        </w:rPr>
        <w:t>Réduction significative des provisions de 19,4 à 3,7 milliards FCFA (-81%)</w:t>
      </w:r>
    </w:p>
    <w:p>
      <w:pPr>
        <w:pStyle w:val="ListBullet"/>
        <w:spacing w:before="20" w:after="20"/>
        <w:ind w:left="700"/>
      </w:pPr>
      <w:r>
        <w:rPr>
          <w:sz w:val="18"/>
        </w:rPr>
        <w:t>Baisse du total actif de 0,8% à 576,8 milliards FCFA</w:t>
      </w:r>
    </w:p>
    <w:p>
      <w:pPr>
        <w:pStyle w:val="ListBullet"/>
        <w:spacing w:before="20" w:after="20"/>
        <w:ind w:left="700"/>
      </w:pPr>
      <w:r>
        <w:rPr>
          <w:sz w:val="18"/>
        </w:rPr>
        <w:t>Stabilité du produit net bancaire autour de 35,3 milliards FCFA</w:t>
      </w:r>
    </w:p>
    <w:p>
      <w:pPr>
        <w:pStyle w:val="ListBullet"/>
        <w:spacing w:before="20" w:after="20"/>
        <w:ind w:left="700"/>
      </w:pPr>
      <w:r>
        <w:rPr>
          <w:sz w:val="18"/>
        </w:rPr>
        <w:t>Diminution des créances sur la clientèle de 262,3 à 268,9 milliards FCFA</w:t>
      </w:r>
    </w:p>
    <w:p>
      <w:pPr>
        <w:pStyle w:val="ListBullet"/>
        <w:spacing w:before="20" w:after="20"/>
        <w:ind w:left="700"/>
      </w:pPr>
      <w:r>
        <w:rPr>
          <w:sz w:val="18"/>
        </w:rPr>
        <w:t>Forte hausse des immobilisations corporelles de 38,7 à 20,3 milliards FCFA</w:t>
      </w:r>
    </w:p>
    <w:p>
      <w:pPr>
        <w:spacing w:before="40"/>
        <w:ind w:left="400"/>
      </w:pPr>
      <w:r>
        <w:rPr>
          <w:b/>
          <w:color w:val="C05000"/>
          <w:sz w:val="18"/>
        </w:rPr>
        <w:t xml:space="preserve">⚠️ Risques : </w:t>
      </w:r>
      <w:r>
        <w:rPr>
          <w:sz w:val="18"/>
        </w:rPr>
        <w:t>["Stagnation de la croissance avec une baisse du total actif", "Concentration g\u00e9ographique sur le march\u00e9 malien", "Volatilit\u00e9 potentielle des provisions de cr\u00e9dit"]</w:t>
      </w:r>
    </w:p>
    <w:p>
      <w:pPr>
        <w:spacing w:before="40"/>
        <w:ind w:left="400"/>
      </w:pPr>
      <w:r>
        <w:rPr>
          <w:b/>
          <w:color w:val="0064A0"/>
          <w:sz w:val="18"/>
        </w:rPr>
        <w:t xml:space="preserve">🔮 Perspectives : </w:t>
      </w:r>
      <w:r>
        <w:rPr>
          <w:sz w:val="18"/>
        </w:rPr>
        <w:t>La banque devrait bénéficier de la normalisation de ses provisions et maintenir sa rentabilité. La croissance dépendra de sa capacité à développer son portefeuille de crédits et à diversifier ses sources de revenus dans un environnement économique malien en évolution.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 environnement difficile, la banque d\u00e9montre une capacit\u00e9 de r\u00e9sistance avec une rentabilit\u00e9 en am\u00e9lioration et une bonne ma\u00eetrise des co\u00fbts. L'augmentation du co\u00fbt du risque reste pr\u00e9occupante mais la performance op\u00e9rationnelle globale justifie une position neutre."}</w:t>
      </w:r>
    </w:p>
    <w:p>
      <w:pPr>
        <w:spacing w:before="40"/>
        <w:ind w:left="400"/>
      </w:pPr>
      <w:r>
        <w:rPr>
          <w:sz w:val="18"/>
        </w:rPr>
        <w:t xml:space="preserve">Bank of Africa Mali (BOA-MALI) présente des résultats mitigés pour l'exercice 2022 avec une légère baisse du produit net bancaire de 0,3% à 35,3 milliards FCFA. Malgré un contexte économique difficile marqué par l'inflation et les sanctions internationales, la banque améliore sa rentabilité avec un résultat net en hausse de 17,4% à 2,46 milliards FCFA. La maîtrise des frais généraux (-1,4%) et l'amélioration du coefficient net d'exploitation à 59,3% témoignent d'une gestion opérationnelle efficace. Toutefois, le coût du risque augmente significativement de 8,7% reflétant la dégradation de l'environnement économique. Les activités se sont déroulées dans un contexte perturbé par les sanctions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'13 261 millions FCFA', 'frais_generaux': '20 921 millions FCFA', 'resultat_avant_impot': '2 860 millions FCFA', 'coefficient_net_exploitation': '59,3%'}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7,0%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2 460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35 307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stable à 35,3 milliards FCFA (-0,3%) soutenu par une croissance des commissions de 19,7%</w:t>
      </w:r>
    </w:p>
    <w:p>
      <w:pPr>
        <w:pStyle w:val="ListBullet"/>
        <w:spacing w:before="20" w:after="20"/>
        <w:ind w:left="700"/>
      </w:pPr>
      <w:r>
        <w:rPr>
          <w:sz w:val="18"/>
        </w:rPr>
        <w:t>Résultat net en forte hausse de 17,4% à 2,46 milliards FCFA malgré un environnement difficile</w:t>
      </w:r>
    </w:p>
    <w:p>
      <w:pPr>
        <w:pStyle w:val="ListBullet"/>
        <w:spacing w:before="20" w:after="20"/>
        <w:ind w:left="700"/>
      </w:pPr>
      <w:r>
        <w:rPr>
          <w:sz w:val="18"/>
        </w:rPr>
        <w:t>Amélioration du coefficient net d'exploitation de 700 points de base à 59,3%</w:t>
      </w:r>
    </w:p>
    <w:p>
      <w:pPr>
        <w:pStyle w:val="ListBullet"/>
        <w:spacing w:before="20" w:after="20"/>
        <w:ind w:left="700"/>
      </w:pPr>
      <w:r>
        <w:rPr>
          <w:sz w:val="18"/>
        </w:rPr>
        <w:t>Maîtrise des frais généraux avec une baisse de 1,4% à 20,9 milliards FCFA</w:t>
      </w:r>
    </w:p>
    <w:p>
      <w:pPr>
        <w:pStyle w:val="ListBullet"/>
        <w:spacing w:before="20" w:after="20"/>
        <w:ind w:left="700"/>
      </w:pPr>
      <w:r>
        <w:rPr>
          <w:sz w:val="18"/>
        </w:rPr>
        <w:t>Augmentation significative du coût du risque (+8,7%) à 13,3 milliards FCFA</w:t>
      </w:r>
    </w:p>
    <w:p>
      <w:pPr>
        <w:pStyle w:val="ListBullet"/>
        <w:spacing w:before="20" w:after="20"/>
        <w:ind w:left="700"/>
      </w:pPr>
      <w:r>
        <w:rPr>
          <w:sz w:val="18"/>
        </w:rPr>
        <w:t>Contexte opérationnel difficile avec sanctions économiques et conjoncture mondiale défavorable</w:t>
      </w:r>
    </w:p>
    <w:p>
      <w:pPr>
        <w:spacing w:before="40"/>
        <w:ind w:left="400"/>
      </w:pPr>
      <w:r>
        <w:rPr>
          <w:b/>
          <w:color w:val="C05000"/>
          <w:sz w:val="18"/>
        </w:rPr>
        <w:t xml:space="preserve">⚠️ Risques : </w:t>
      </w:r>
      <w:r>
        <w:rPr>
          <w:sz w:val="18"/>
        </w:rPr>
        <w:t>["Environnement \u00e9conomique et politique instable au Mali avec maintien des sanctions internationales", "Augmentation significative du co\u00fbt du risque (+8,7%) indiquant une d\u00e9gradation de la qualit\u00e9 du portefeuille de cr\u00e9dit", "Conjoncture \u00e9conomique mondiale d\u00e9favor</w:t>
      </w:r>
    </w:p>
    <w:p>
      <w:pPr>
        <w:spacing w:before="40"/>
        <w:ind w:left="400"/>
      </w:pPr>
      <w:r>
        <w:rPr>
          <w:b/>
          <w:color w:val="0064A0"/>
          <w:sz w:val="18"/>
        </w:rPr>
        <w:t xml:space="preserve">🔮 Perspectives : </w:t>
      </w:r>
      <w:r>
        <w:rPr>
          <w:sz w:val="18"/>
        </w:rPr>
        <w:t>L'environnement opérationnel devrait rester difficile en 2023 avec la persistance des défis économiques et géopolitiques au Mali. La banque devra maintenir sa politique prudentielle de gestion des risques tout en cherchant à préserver sa rentabilité dans un contexte de marché contraint.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"BOA MALI d\u00e9montre une bonne r\u00e9silience avec des r\u00e9sultats en croissance malgr\u00e9 un environnement difficile. La progression de tous les indicateurs financiers t\u00e9moigne d'une gestion solide, mais le contexte s\u00e9curitaire malien reste pr\u00e9occupant."}</w:t>
      </w:r>
    </w:p>
    <w:p>
      <w:pPr>
        <w:spacing w:before="40"/>
        <w:ind w:left="400"/>
      </w:pPr>
      <w:r>
        <w:rPr>
          <w:sz w:val="18"/>
        </w:rPr>
        <w:t>BOA MALI affiche des résultats solides au 1er trimestre 2023 malgré un contexte économique difficile marqué par la crise russo-ukrainienne et les tensions sécuritaires au Mali. Le produit net bancaire progresse de 3% à 8 405 millions FCFA grâce à la bonne tenue des activités génératrices de commissions. Le résultat brut d'exploitation enregistre une forte hausse de 7% à 3 540 millions FCFA, témoignant d'une maîtrise efficace des charges d'exploitation. Le résultat net ressort à 1 578 millions FCFA, en progression de 5,9% par rapport au premier trimestre 2022. La banque démontre sa résilience face aux défis macroéconomiques régionaux, notamment le durcissement de la politique monétaire commun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{'croissance_pnb': '3%', 'croissance_rbe': '7%', 'resultat_avant_impot': '1 678 millions FCFA', 'croissance_resultat_net': '5,9%', 'resultat_brut_exploitation': '3 540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1 578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8 405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3% à 8 405 millions FCFA au T1 2023</w:t>
      </w:r>
    </w:p>
    <w:p>
      <w:pPr>
        <w:pStyle w:val="ListBullet"/>
        <w:spacing w:before="20" w:after="20"/>
        <w:ind w:left="700"/>
      </w:pPr>
      <w:r>
        <w:rPr>
          <w:sz w:val="18"/>
        </w:rPr>
        <w:t>Forte progression du résultat brut d'exploitation de 7% grâce à la maîtrise des coûts</w:t>
      </w:r>
    </w:p>
    <w:p>
      <w:pPr>
        <w:pStyle w:val="ListBullet"/>
        <w:spacing w:before="20" w:after="20"/>
        <w:ind w:left="700"/>
      </w:pPr>
      <w:r>
        <w:rPr>
          <w:sz w:val="18"/>
        </w:rPr>
        <w:t>Résultat net en hausse de 5,9% à 1 578 millions FCFA</w:t>
      </w:r>
    </w:p>
    <w:p>
      <w:pPr>
        <w:pStyle w:val="ListBullet"/>
        <w:spacing w:before="20" w:after="20"/>
        <w:ind w:left="700"/>
      </w:pPr>
      <w:r>
        <w:rPr>
          <w:sz w:val="18"/>
        </w:rPr>
        <w:t>Contexte économique défavorable avec la persistance de la crise sécuritaire au Mali</w:t>
      </w:r>
    </w:p>
    <w:p>
      <w:pPr>
        <w:pStyle w:val="ListBullet"/>
        <w:spacing w:before="20" w:after="20"/>
        <w:ind w:left="700"/>
      </w:pPr>
      <w:r>
        <w:rPr>
          <w:sz w:val="18"/>
        </w:rPr>
        <w:t>Impact de la crise russo-ukrainienne sur l'inflation et les conditions financières internationales</w:t>
      </w:r>
    </w:p>
    <w:p>
      <w:pPr>
        <w:pStyle w:val="ListBullet"/>
        <w:spacing w:before="20" w:after="20"/>
        <w:ind w:left="700"/>
      </w:pPr>
      <w:r>
        <w:rPr>
          <w:sz w:val="18"/>
        </w:rPr>
        <w:t>Durcissement de la politique monétaire communautaire pesant sur le secteur bancaire</w:t>
      </w:r>
    </w:p>
    <w:p>
      <w:pPr>
        <w:spacing w:before="40"/>
        <w:ind w:left="400"/>
      </w:pPr>
      <w:r>
        <w:rPr>
          <w:b/>
          <w:color w:val="C05000"/>
          <w:sz w:val="18"/>
        </w:rPr>
        <w:t xml:space="preserve">⚠️ Risques : </w:t>
      </w:r>
      <w:r>
        <w:rPr>
          <w:sz w:val="18"/>
        </w:rPr>
        <w:t>["Persistance de la crise s\u00e9curitaire au Mali impactant l'activit\u00e9 \u00e9conomique", "Durcissement de la politique mon\u00e9taire communautaire pesant sur la rentabilit\u00e9", "Impact de l'inflation mondiale sur les co\u00fbts op\u00e9rationnels et le pouvoir d'achat des clients"]</w:t>
      </w:r>
    </w:p>
    <w:p>
      <w:pPr>
        <w:spacing w:before="40"/>
        <w:ind w:left="400"/>
      </w:pPr>
      <w:r>
        <w:rPr>
          <w:b/>
          <w:color w:val="0064A0"/>
          <w:sz w:val="18"/>
        </w:rPr>
        <w:t xml:space="preserve">🔮 Perspectives : </w:t>
      </w:r>
      <w:r>
        <w:rPr>
          <w:sz w:val="18"/>
        </w:rPr>
        <w:t>Les perspectives restent modérées compte tenu du contexte géopolitique et sécuritaire régional. La banque devra continuer à faire preuve de résilience face aux défis macroéconomiques tout en capitalisant sur ses activités génératrices de commissions pour maintenir sa croissance.</w:t>
      </w:r>
    </w:p>
    <w:p/>
    <w:p>
      <w:r>
        <w:t>════════════════════════════════════════════════════════════════════════════════</w:t>
      </w:r>
    </w:p>
    <w:p>
      <w:r>
        <w:br w:type="page"/>
      </w:r>
    </w:p>
    <w:p>
      <w:pPr>
        <w:pStyle w:val="Heading2"/>
        <w:spacing w:before="360"/>
      </w:pPr>
      <w:r>
        <w:rPr>
          <w:color w:val="0066CC"/>
        </w:rPr>
        <w:t>10. BOAN - BANK OF AFRICA NIGER</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BOAN</w:t>
            </w:r>
          </w:p>
          <w:p>
            <w:r>
              <w:rPr>
                <w:b/>
                <w:color w:val="323250"/>
                <w:sz w:val="16"/>
              </w:rPr>
              <w:t xml:space="preserve">Société : </w:t>
            </w:r>
            <w:r>
              <w:rPr>
                <w:color w:val="000000"/>
                <w:sz w:val="16"/>
              </w:rPr>
              <w:t>BANK OF AFRICA NIGER</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97.24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8,676 titres</w:t>
            </w:r>
          </w:p>
        </w:tc>
        <w:tc>
          <w:tcPr>
            <w:tcW w:type="dxa" w:w="2268"/>
            <w:shd w:fill="FFF2CC" w:val="clear"/>
          </w:tcPr>
          <w:p>
            <w:r>
              <w:rPr>
                <w:b/>
                <w:color w:val="503200"/>
                <w:sz w:val="16"/>
              </w:rPr>
              <w:t xml:space="preserve">Cours actuel : </w:t>
            </w:r>
            <w:r>
              <w:rPr>
                <w:color w:val="000000"/>
                <w:sz w:val="17"/>
              </w:rPr>
              <w:t>4,675 FCFA</w:t>
            </w:r>
          </w:p>
          <w:p>
            <w:r>
              <w:rPr>
                <w:b/>
                <w:color w:val="503200"/>
                <w:sz w:val="16"/>
              </w:rPr>
              <w:t xml:space="preserve">Var. 100 jours : </w:t>
            </w:r>
            <w:r>
              <w:rPr>
                <w:b/>
                <w:color w:val="007800"/>
                <w:sz w:val="17"/>
              </w:rPr>
              <w:t>+25.34%</w:t>
            </w:r>
          </w:p>
          <w:p>
            <w:r>
              <w:rPr>
                <w:b/>
                <w:color w:val="503200"/>
                <w:sz w:val="16"/>
              </w:rPr>
              <w:t xml:space="preserve">Plus haut 100j : </w:t>
            </w:r>
            <w:r>
              <w:rPr>
                <w:color w:val="000000"/>
                <w:sz w:val="17"/>
              </w:rPr>
              <w:t>5,645 FCFA</w:t>
            </w:r>
          </w:p>
          <w:p>
            <w:r>
              <w:rPr>
                <w:b/>
                <w:color w:val="503200"/>
                <w:sz w:val="16"/>
              </w:rPr>
              <w:t xml:space="preserve">Plus bas 100j : </w:t>
            </w:r>
            <w:r>
              <w:rPr>
                <w:color w:val="000000"/>
                <w:sz w:val="17"/>
              </w:rPr>
              <w:t>3,695 FCFA</w:t>
            </w:r>
          </w:p>
          <w:p>
            <w:r>
              <w:rPr>
                <w:b/>
                <w:color w:val="503200"/>
                <w:sz w:val="16"/>
              </w:rPr>
              <w:t xml:space="preserve">Volatilité ann. : </w:t>
            </w:r>
            <w:r>
              <w:rPr>
                <w:color w:val="000000"/>
                <w:sz w:val="17"/>
              </w:rPr>
              <w:t>43.3%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22.3/100 → Moyen</w:t>
      </w:r>
    </w:p>
    <w:p>
      <w:pPr>
        <w:spacing w:before="40" w:after="80"/>
      </w:pPr>
      <w:r>
        <w:rPr>
          <w:rFonts w:ascii="Courier New" w:hAnsi="Courier New"/>
          <w:color w:val="825A00"/>
          <w:sz w:val="18"/>
        </w:rPr>
        <w:t>████░░░░░░░░░░░░░░░░  22.3/100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13.71% (Moyenne) — μ=4,766 FCFA, σ=653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β=1.4055 (Agressif) — Cov=0.000105, Var(idx)=0.000075, ρ=0.448, n=96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8,676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σ_j=2.73%/j (Stable) — Vol. annualisée≈43.3%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2026-10-16</w:t>
            </w:r>
          </w:p>
        </w:tc>
        <w:tc>
          <w:tcPr>
            <w:tcW w:type="dxa" w:w="1440"/>
            <w:shd w:fill="FAFAFA" w:val="clear"/>
          </w:tcPr>
          <w:p>
            <w:r>
              <w:rPr>
                <w:sz w:val="17"/>
              </w:rPr>
              <w:t>4,465</w:t>
            </w:r>
          </w:p>
        </w:tc>
        <w:tc>
          <w:tcPr>
            <w:tcW w:type="dxa" w:w="1440"/>
            <w:shd w:fill="FAFAFA" w:val="clear"/>
          </w:tcPr>
          <w:p>
            <w:r>
              <w:rPr>
                <w:b/>
                <w:sz w:val="17"/>
              </w:rPr>
              <w:t>4,743</w:t>
            </w:r>
          </w:p>
        </w:tc>
        <w:tc>
          <w:tcPr>
            <w:tcW w:type="dxa" w:w="1440"/>
            <w:shd w:fill="FAFAFA" w:val="clear"/>
          </w:tcPr>
          <w:p>
            <w:r>
              <w:rPr>
                <w:sz w:val="17"/>
              </w:rPr>
              <w:t>5,021</w:t>
            </w:r>
          </w:p>
        </w:tc>
        <w:tc>
          <w:tcPr>
            <w:tcW w:type="dxa" w:w="1440"/>
            <w:shd w:fill="FAFAFA" w:val="clear"/>
          </w:tcPr>
          <w:p>
            <w:r>
              <w:rPr>
                <w:b/>
                <w:color w:val="008000"/>
                <w:sz w:val="17"/>
              </w:rPr>
              <w:t>+1.5%</w:t>
            </w:r>
          </w:p>
        </w:tc>
      </w:tr>
      <w:tr>
        <w:tc>
          <w:tcPr>
            <w:tcW w:type="dxa" w:w="1440"/>
            <w:shd w:fill="FAFAFA" w:val="clear"/>
          </w:tcPr>
          <w:p>
            <w:r>
              <w:rPr>
                <w:sz w:val="17"/>
              </w:rPr>
              <w:t>J+2  ⭐</w:t>
            </w:r>
          </w:p>
        </w:tc>
        <w:tc>
          <w:tcPr>
            <w:tcW w:type="dxa" w:w="1440"/>
            <w:shd w:fill="FAFAFA" w:val="clear"/>
          </w:tcPr>
          <w:p>
            <w:r>
              <w:rPr>
                <w:sz w:val="17"/>
              </w:rPr>
              <w:t>2026-10-19</w:t>
            </w:r>
          </w:p>
        </w:tc>
        <w:tc>
          <w:tcPr>
            <w:tcW w:type="dxa" w:w="1440"/>
            <w:shd w:fill="FAFAFA" w:val="clear"/>
          </w:tcPr>
          <w:p>
            <w:r>
              <w:rPr>
                <w:sz w:val="17"/>
              </w:rPr>
              <w:t>4,368</w:t>
            </w:r>
          </w:p>
        </w:tc>
        <w:tc>
          <w:tcPr>
            <w:tcW w:type="dxa" w:w="1440"/>
            <w:shd w:fill="FAFAFA" w:val="clear"/>
          </w:tcPr>
          <w:p>
            <w:r>
              <w:rPr>
                <w:b/>
                <w:sz w:val="17"/>
              </w:rPr>
              <w:t>4,763</w:t>
            </w:r>
          </w:p>
        </w:tc>
        <w:tc>
          <w:tcPr>
            <w:tcW w:type="dxa" w:w="1440"/>
            <w:shd w:fill="FAFAFA" w:val="clear"/>
          </w:tcPr>
          <w:p>
            <w:r>
              <w:rPr>
                <w:sz w:val="17"/>
              </w:rPr>
              <w:t>5,159</w:t>
            </w:r>
          </w:p>
        </w:tc>
        <w:tc>
          <w:tcPr>
            <w:tcW w:type="dxa" w:w="1440"/>
            <w:shd w:fill="FAFAFA" w:val="clear"/>
          </w:tcPr>
          <w:p>
            <w:r>
              <w:rPr>
                <w:b/>
                <w:color w:val="008000"/>
                <w:sz w:val="17"/>
              </w:rPr>
              <w:t>+1.9%</w:t>
            </w:r>
          </w:p>
        </w:tc>
      </w:tr>
      <w:tr>
        <w:tc>
          <w:tcPr>
            <w:tcW w:type="dxa" w:w="1440"/>
            <w:shd w:fill="C6EFCE" w:val="clear"/>
          </w:tcPr>
          <w:p>
            <w:r>
              <w:rPr>
                <w:sz w:val="17"/>
              </w:rPr>
              <w:t>J+3  ⭐</w:t>
            </w:r>
          </w:p>
        </w:tc>
        <w:tc>
          <w:tcPr>
            <w:tcW w:type="dxa" w:w="1440"/>
            <w:shd w:fill="C6EFCE" w:val="clear"/>
          </w:tcPr>
          <w:p>
            <w:r>
              <w:rPr>
                <w:sz w:val="17"/>
              </w:rPr>
              <w:t>2026-10-20</w:t>
            </w:r>
          </w:p>
        </w:tc>
        <w:tc>
          <w:tcPr>
            <w:tcW w:type="dxa" w:w="1440"/>
            <w:shd w:fill="C6EFCE" w:val="clear"/>
          </w:tcPr>
          <w:p>
            <w:r>
              <w:rPr>
                <w:sz w:val="17"/>
              </w:rPr>
              <w:t>4,300</w:t>
            </w:r>
          </w:p>
        </w:tc>
        <w:tc>
          <w:tcPr>
            <w:tcW w:type="dxa" w:w="1440"/>
            <w:shd w:fill="C6EFCE" w:val="clear"/>
          </w:tcPr>
          <w:p>
            <w:r>
              <w:rPr>
                <w:b/>
                <w:sz w:val="17"/>
              </w:rPr>
              <w:t>4,786</w:t>
            </w:r>
          </w:p>
        </w:tc>
        <w:tc>
          <w:tcPr>
            <w:tcW w:type="dxa" w:w="1440"/>
            <w:shd w:fill="C6EFCE" w:val="clear"/>
          </w:tcPr>
          <w:p>
            <w:r>
              <w:rPr>
                <w:sz w:val="17"/>
              </w:rPr>
              <w:t>5,273</w:t>
            </w:r>
          </w:p>
        </w:tc>
        <w:tc>
          <w:tcPr>
            <w:tcW w:type="dxa" w:w="1440"/>
            <w:shd w:fill="C6EFCE" w:val="clear"/>
          </w:tcPr>
          <w:p>
            <w:r>
              <w:rPr>
                <w:b/>
                <w:color w:val="008000"/>
                <w:sz w:val="17"/>
              </w:rPr>
              <w:t>+2.4%</w:t>
            </w:r>
          </w:p>
        </w:tc>
      </w:tr>
      <w:tr>
        <w:tc>
          <w:tcPr>
            <w:tcW w:type="dxa" w:w="1440"/>
            <w:shd w:fill="C6EFCE" w:val="clear"/>
          </w:tcPr>
          <w:p>
            <w:r>
              <w:rPr>
                <w:sz w:val="17"/>
              </w:rPr>
              <w:t>J+4  ⭐</w:t>
            </w:r>
          </w:p>
        </w:tc>
        <w:tc>
          <w:tcPr>
            <w:tcW w:type="dxa" w:w="1440"/>
            <w:shd w:fill="C6EFCE" w:val="clear"/>
          </w:tcPr>
          <w:p>
            <w:r>
              <w:rPr>
                <w:sz w:val="17"/>
              </w:rPr>
              <w:t>2026-10-21</w:t>
            </w:r>
          </w:p>
        </w:tc>
        <w:tc>
          <w:tcPr>
            <w:tcW w:type="dxa" w:w="1440"/>
            <w:shd w:fill="C6EFCE" w:val="clear"/>
          </w:tcPr>
          <w:p>
            <w:r>
              <w:rPr>
                <w:sz w:val="17"/>
              </w:rPr>
              <w:t>4,245</w:t>
            </w:r>
          </w:p>
        </w:tc>
        <w:tc>
          <w:tcPr>
            <w:tcW w:type="dxa" w:w="1440"/>
            <w:shd w:fill="C6EFCE" w:val="clear"/>
          </w:tcPr>
          <w:p>
            <w:r>
              <w:rPr>
                <w:b/>
                <w:sz w:val="17"/>
              </w:rPr>
              <w:t>4,810</w:t>
            </w:r>
          </w:p>
        </w:tc>
        <w:tc>
          <w:tcPr>
            <w:tcW w:type="dxa" w:w="1440"/>
            <w:shd w:fill="C6EFCE" w:val="clear"/>
          </w:tcPr>
          <w:p>
            <w:r>
              <w:rPr>
                <w:sz w:val="17"/>
              </w:rPr>
              <w:t>5,375</w:t>
            </w:r>
          </w:p>
        </w:tc>
        <w:tc>
          <w:tcPr>
            <w:tcW w:type="dxa" w:w="1440"/>
            <w:shd w:fill="C6EFCE" w:val="clear"/>
          </w:tcPr>
          <w:p>
            <w:r>
              <w:rPr>
                <w:b/>
                <w:color w:val="008000"/>
                <w:sz w:val="17"/>
              </w:rPr>
              <w:t>+2.9%</w:t>
            </w:r>
          </w:p>
        </w:tc>
      </w:tr>
      <w:tr>
        <w:tc>
          <w:tcPr>
            <w:tcW w:type="dxa" w:w="1440"/>
            <w:shd w:fill="C6EFCE" w:val="clear"/>
          </w:tcPr>
          <w:p>
            <w:r>
              <w:rPr>
                <w:sz w:val="17"/>
              </w:rPr>
              <w:t>J+5  ⭐</w:t>
            </w:r>
          </w:p>
        </w:tc>
        <w:tc>
          <w:tcPr>
            <w:tcW w:type="dxa" w:w="1440"/>
            <w:shd w:fill="C6EFCE" w:val="clear"/>
          </w:tcPr>
          <w:p>
            <w:r>
              <w:rPr>
                <w:sz w:val="17"/>
              </w:rPr>
              <w:t>2026-10-22</w:t>
            </w:r>
          </w:p>
        </w:tc>
        <w:tc>
          <w:tcPr>
            <w:tcW w:type="dxa" w:w="1440"/>
            <w:shd w:fill="C6EFCE" w:val="clear"/>
          </w:tcPr>
          <w:p>
            <w:r>
              <w:rPr>
                <w:sz w:val="17"/>
              </w:rPr>
              <w:t>4,199</w:t>
            </w:r>
          </w:p>
        </w:tc>
        <w:tc>
          <w:tcPr>
            <w:tcW w:type="dxa" w:w="1440"/>
            <w:shd w:fill="C6EFCE" w:val="clear"/>
          </w:tcPr>
          <w:p>
            <w:r>
              <w:rPr>
                <w:b/>
                <w:sz w:val="17"/>
              </w:rPr>
              <w:t>4,833</w:t>
            </w:r>
          </w:p>
        </w:tc>
        <w:tc>
          <w:tcPr>
            <w:tcW w:type="dxa" w:w="1440"/>
            <w:shd w:fill="C6EFCE" w:val="clear"/>
          </w:tcPr>
          <w:p>
            <w:r>
              <w:rPr>
                <w:sz w:val="17"/>
              </w:rPr>
              <w:t>5,468</w:t>
            </w:r>
          </w:p>
        </w:tc>
        <w:tc>
          <w:tcPr>
            <w:tcW w:type="dxa" w:w="1440"/>
            <w:shd w:fill="C6EFCE" w:val="clear"/>
          </w:tcPr>
          <w:p>
            <w:r>
              <w:rPr>
                <w:b/>
                <w:color w:val="008000"/>
                <w:sz w:val="17"/>
              </w:rPr>
              <w:t>+3.4%</w:t>
            </w:r>
          </w:p>
        </w:tc>
      </w:tr>
      <w:tr>
        <w:tc>
          <w:tcPr>
            <w:tcW w:type="dxa" w:w="1440"/>
            <w:shd w:fill="C6EFCE" w:val="clear"/>
          </w:tcPr>
          <w:p>
            <w:r>
              <w:rPr>
                <w:sz w:val="17"/>
              </w:rPr>
              <w:t>J+6  ⭐</w:t>
            </w:r>
          </w:p>
        </w:tc>
        <w:tc>
          <w:tcPr>
            <w:tcW w:type="dxa" w:w="1440"/>
            <w:shd w:fill="C6EFCE" w:val="clear"/>
          </w:tcPr>
          <w:p>
            <w:r>
              <w:rPr>
                <w:sz w:val="17"/>
              </w:rPr>
              <w:t>2026-10-23</w:t>
            </w:r>
          </w:p>
        </w:tc>
        <w:tc>
          <w:tcPr>
            <w:tcW w:type="dxa" w:w="1440"/>
            <w:shd w:fill="C6EFCE" w:val="clear"/>
          </w:tcPr>
          <w:p>
            <w:r>
              <w:rPr>
                <w:sz w:val="17"/>
              </w:rPr>
              <w:t>4,158</w:t>
            </w:r>
          </w:p>
        </w:tc>
        <w:tc>
          <w:tcPr>
            <w:tcW w:type="dxa" w:w="1440"/>
            <w:shd w:fill="C6EFCE" w:val="clear"/>
          </w:tcPr>
          <w:p>
            <w:r>
              <w:rPr>
                <w:b/>
                <w:sz w:val="17"/>
              </w:rPr>
              <w:t>4,857</w:t>
            </w:r>
          </w:p>
        </w:tc>
        <w:tc>
          <w:tcPr>
            <w:tcW w:type="dxa" w:w="1440"/>
            <w:shd w:fill="C6EFCE" w:val="clear"/>
          </w:tcPr>
          <w:p>
            <w:r>
              <w:rPr>
                <w:sz w:val="17"/>
              </w:rPr>
              <w:t>5,555</w:t>
            </w:r>
          </w:p>
        </w:tc>
        <w:tc>
          <w:tcPr>
            <w:tcW w:type="dxa" w:w="1440"/>
            <w:shd w:fill="C6EFCE" w:val="clear"/>
          </w:tcPr>
          <w:p>
            <w:r>
              <w:rPr>
                <w:b/>
                <w:color w:val="008000"/>
                <w:sz w:val="17"/>
              </w:rPr>
              <w:t>+3.9%</w:t>
            </w:r>
          </w:p>
        </w:tc>
      </w:tr>
      <w:tr>
        <w:tc>
          <w:tcPr>
            <w:tcW w:type="dxa" w:w="1440"/>
            <w:shd w:fill="C6EFCE" w:val="clear"/>
          </w:tcPr>
          <w:p>
            <w:r>
              <w:rPr>
                <w:sz w:val="17"/>
              </w:rPr>
              <w:t>J+7  ⭐</w:t>
            </w:r>
          </w:p>
        </w:tc>
        <w:tc>
          <w:tcPr>
            <w:tcW w:type="dxa" w:w="1440"/>
            <w:shd w:fill="C6EFCE" w:val="clear"/>
          </w:tcPr>
          <w:p>
            <w:r>
              <w:rPr>
                <w:sz w:val="17"/>
              </w:rPr>
              <w:t>2026-10-26</w:t>
            </w:r>
          </w:p>
        </w:tc>
        <w:tc>
          <w:tcPr>
            <w:tcW w:type="dxa" w:w="1440"/>
            <w:shd w:fill="C6EFCE" w:val="clear"/>
          </w:tcPr>
          <w:p>
            <w:r>
              <w:rPr>
                <w:sz w:val="17"/>
              </w:rPr>
              <w:t>4,122</w:t>
            </w:r>
          </w:p>
        </w:tc>
        <w:tc>
          <w:tcPr>
            <w:tcW w:type="dxa" w:w="1440"/>
            <w:shd w:fill="C6EFCE" w:val="clear"/>
          </w:tcPr>
          <w:p>
            <w:r>
              <w:rPr>
                <w:b/>
                <w:sz w:val="17"/>
              </w:rPr>
              <w:t>4,880</w:t>
            </w:r>
          </w:p>
        </w:tc>
        <w:tc>
          <w:tcPr>
            <w:tcW w:type="dxa" w:w="1440"/>
            <w:shd w:fill="C6EFCE" w:val="clear"/>
          </w:tcPr>
          <w:p>
            <w:r>
              <w:rPr>
                <w:sz w:val="17"/>
              </w:rPr>
              <w:t>5,638</w:t>
            </w:r>
          </w:p>
        </w:tc>
        <w:tc>
          <w:tcPr>
            <w:tcW w:type="dxa" w:w="1440"/>
            <w:shd w:fill="C6EFCE" w:val="clear"/>
          </w:tcPr>
          <w:p>
            <w:r>
              <w:rPr>
                <w:b/>
                <w:color w:val="008000"/>
                <w:sz w:val="17"/>
              </w:rPr>
              <w:t>+4.4%</w:t>
            </w:r>
          </w:p>
        </w:tc>
      </w:tr>
      <w:tr>
        <w:tc>
          <w:tcPr>
            <w:tcW w:type="dxa" w:w="1440"/>
            <w:shd w:fill="C6EFCE" w:val="clear"/>
          </w:tcPr>
          <w:p>
            <w:r>
              <w:rPr>
                <w:sz w:val="17"/>
              </w:rPr>
              <w:t>J+8  ⭐</w:t>
            </w:r>
          </w:p>
        </w:tc>
        <w:tc>
          <w:tcPr>
            <w:tcW w:type="dxa" w:w="1440"/>
            <w:shd w:fill="C6EFCE" w:val="clear"/>
          </w:tcPr>
          <w:p>
            <w:r>
              <w:rPr>
                <w:sz w:val="17"/>
              </w:rPr>
              <w:t>2026-10-27</w:t>
            </w:r>
          </w:p>
        </w:tc>
        <w:tc>
          <w:tcPr>
            <w:tcW w:type="dxa" w:w="1440"/>
            <w:shd w:fill="C6EFCE" w:val="clear"/>
          </w:tcPr>
          <w:p>
            <w:r>
              <w:rPr>
                <w:sz w:val="17"/>
              </w:rPr>
              <w:t>4,089</w:t>
            </w:r>
          </w:p>
        </w:tc>
        <w:tc>
          <w:tcPr>
            <w:tcW w:type="dxa" w:w="1440"/>
            <w:shd w:fill="C6EFCE" w:val="clear"/>
          </w:tcPr>
          <w:p>
            <w:r>
              <w:rPr>
                <w:b/>
                <w:sz w:val="17"/>
              </w:rPr>
              <w:t>4,903</w:t>
            </w:r>
          </w:p>
        </w:tc>
        <w:tc>
          <w:tcPr>
            <w:tcW w:type="dxa" w:w="1440"/>
            <w:shd w:fill="C6EFCE" w:val="clear"/>
          </w:tcPr>
          <w:p>
            <w:r>
              <w:rPr>
                <w:sz w:val="17"/>
              </w:rPr>
              <w:t>5,717</w:t>
            </w:r>
          </w:p>
        </w:tc>
        <w:tc>
          <w:tcPr>
            <w:tcW w:type="dxa" w:w="1440"/>
            <w:shd w:fill="C6EFCE" w:val="clear"/>
          </w:tcPr>
          <w:p>
            <w:r>
              <w:rPr>
                <w:b/>
                <w:color w:val="008000"/>
                <w:sz w:val="17"/>
              </w:rPr>
              <w:t>+4.9%</w:t>
            </w:r>
          </w:p>
        </w:tc>
      </w:tr>
      <w:tr>
        <w:tc>
          <w:tcPr>
            <w:tcW w:type="dxa" w:w="1440"/>
            <w:shd w:fill="C6EFCE" w:val="clear"/>
          </w:tcPr>
          <w:p>
            <w:r>
              <w:rPr>
                <w:sz w:val="17"/>
              </w:rPr>
              <w:t>J+9  ⭐</w:t>
            </w:r>
          </w:p>
        </w:tc>
        <w:tc>
          <w:tcPr>
            <w:tcW w:type="dxa" w:w="1440"/>
            <w:shd w:fill="C6EFCE" w:val="clear"/>
          </w:tcPr>
          <w:p>
            <w:r>
              <w:rPr>
                <w:sz w:val="17"/>
              </w:rPr>
              <w:t>2026-10-28</w:t>
            </w:r>
          </w:p>
        </w:tc>
        <w:tc>
          <w:tcPr>
            <w:tcW w:type="dxa" w:w="1440"/>
            <w:shd w:fill="C6EFCE" w:val="clear"/>
          </w:tcPr>
          <w:p>
            <w:r>
              <w:rPr>
                <w:sz w:val="17"/>
              </w:rPr>
              <w:t>4,059</w:t>
            </w:r>
          </w:p>
        </w:tc>
        <w:tc>
          <w:tcPr>
            <w:tcW w:type="dxa" w:w="1440"/>
            <w:shd w:fill="C6EFCE" w:val="clear"/>
          </w:tcPr>
          <w:p>
            <w:r>
              <w:rPr>
                <w:b/>
                <w:sz w:val="17"/>
              </w:rPr>
              <w:t>4,926</w:t>
            </w:r>
          </w:p>
        </w:tc>
        <w:tc>
          <w:tcPr>
            <w:tcW w:type="dxa" w:w="1440"/>
            <w:shd w:fill="C6EFCE" w:val="clear"/>
          </w:tcPr>
          <w:p>
            <w:r>
              <w:rPr>
                <w:sz w:val="17"/>
              </w:rPr>
              <w:t>5,794</w:t>
            </w:r>
          </w:p>
        </w:tc>
        <w:tc>
          <w:tcPr>
            <w:tcW w:type="dxa" w:w="1440"/>
            <w:shd w:fill="C6EFCE" w:val="clear"/>
          </w:tcPr>
          <w:p>
            <w:r>
              <w:rPr>
                <w:b/>
                <w:color w:val="008000"/>
                <w:sz w:val="17"/>
              </w:rPr>
              <w:t>+5.4%</w:t>
            </w:r>
          </w:p>
        </w:tc>
      </w:tr>
      <w:tr>
        <w:tc>
          <w:tcPr>
            <w:tcW w:type="dxa" w:w="1440"/>
            <w:shd w:fill="C6EFCE" w:val="clear"/>
          </w:tcPr>
          <w:p>
            <w:r>
              <w:rPr>
                <w:sz w:val="17"/>
              </w:rPr>
              <w:t>J+10  ⭐</w:t>
            </w:r>
          </w:p>
        </w:tc>
        <w:tc>
          <w:tcPr>
            <w:tcW w:type="dxa" w:w="1440"/>
            <w:shd w:fill="C6EFCE" w:val="clear"/>
          </w:tcPr>
          <w:p>
            <w:r>
              <w:rPr>
                <w:sz w:val="17"/>
              </w:rPr>
              <w:t>2026-10-29</w:t>
            </w:r>
          </w:p>
        </w:tc>
        <w:tc>
          <w:tcPr>
            <w:tcW w:type="dxa" w:w="1440"/>
            <w:shd w:fill="C6EFCE" w:val="clear"/>
          </w:tcPr>
          <w:p>
            <w:r>
              <w:rPr>
                <w:sz w:val="17"/>
              </w:rPr>
              <w:t>4,030</w:t>
            </w:r>
          </w:p>
        </w:tc>
        <w:tc>
          <w:tcPr>
            <w:tcW w:type="dxa" w:w="1440"/>
            <w:shd w:fill="C6EFCE" w:val="clear"/>
          </w:tcPr>
          <w:p>
            <w:r>
              <w:rPr>
                <w:b/>
                <w:sz w:val="17"/>
              </w:rPr>
              <w:t>4,949</w:t>
            </w:r>
          </w:p>
        </w:tc>
        <w:tc>
          <w:tcPr>
            <w:tcW w:type="dxa" w:w="1440"/>
            <w:shd w:fill="C6EFCE" w:val="clear"/>
          </w:tcPr>
          <w:p>
            <w:r>
              <w:rPr>
                <w:sz w:val="17"/>
              </w:rPr>
              <w:t>5,868</w:t>
            </w:r>
          </w:p>
        </w:tc>
        <w:tc>
          <w:tcPr>
            <w:tcW w:type="dxa" w:w="1440"/>
            <w:shd w:fill="C6EFCE" w:val="clear"/>
          </w:tcPr>
          <w:p>
            <w:r>
              <w:rPr>
                <w:b/>
                <w:color w:val="008000"/>
                <w:sz w:val="17"/>
              </w:rPr>
              <w:t>+5.9%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12.535 Mds FCFA</w:t>
            </w:r>
          </w:p>
        </w:tc>
        <w:tc>
          <w:tcPr>
            <w:tcW w:type="dxa" w:w="5669"/>
            <w:shd w:fill="FFFFFF" w:val="clear"/>
          </w:tcPr>
          <w:p>
            <w:r>
              <w:rPr>
                <w:color w:val="282828"/>
                <w:sz w:val="15"/>
              </w:rPr>
              <w:t>Représente 4.3%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118.824 Mds FCFA</w:t>
            </w:r>
          </w:p>
        </w:tc>
        <w:tc>
          <w:tcPr>
            <w:tcW w:type="dxa" w:w="5669"/>
            <w:shd w:fill="FFFFFF" w:val="clear"/>
          </w:tcPr>
          <w:p>
            <w:r>
              <w:rPr>
                <w:color w:val="282828"/>
                <w:sz w:val="15"/>
              </w:rPr>
              <w:t>Titres d'État détenus (40.7%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8.362 Mds FCFA</w:t>
            </w:r>
          </w:p>
        </w:tc>
        <w:tc>
          <w:tcPr>
            <w:tcW w:type="dxa" w:w="5669"/>
            <w:shd w:fill="FFFFFF" w:val="clear"/>
          </w:tcPr>
          <w:p>
            <w:r>
              <w:rPr>
                <w:color w:val="282828"/>
                <w:sz w:val="15"/>
              </w:rPr>
              <w:t>Prêts aux autres banques (2.9%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128.447 Mds FCFA</w:t>
            </w:r>
          </w:p>
        </w:tc>
        <w:tc>
          <w:tcPr>
            <w:tcW w:type="dxa" w:w="5669"/>
            <w:shd w:fill="FFFFFF" w:val="clear"/>
          </w:tcPr>
          <w:p>
            <w:r>
              <w:rPr>
                <w:color w:val="282828"/>
                <w:sz w:val="15"/>
              </w:rPr>
              <w:t>Portefeuille crédits (44.0%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462.00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14.655 Mds FCFA</w:t>
            </w:r>
          </w:p>
        </w:tc>
        <w:tc>
          <w:tcPr>
            <w:tcW w:type="dxa" w:w="5669"/>
            <w:shd w:fill="FFFFFF" w:val="clear"/>
          </w:tcPr>
          <w:p>
            <w:r>
              <w:rPr>
                <w:color w:val="282828"/>
                <w:sz w:val="15"/>
              </w:rPr>
              <w:t>Outil industriel (5.0%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16.615 Mds FCFA</w:t>
            </w:r>
          </w:p>
        </w:tc>
        <w:tc>
          <w:tcPr>
            <w:tcW w:type="dxa" w:w="5669"/>
            <w:shd w:fill="FFFFFF" w:val="clear"/>
          </w:tcPr>
          <w:p>
            <w:r>
              <w:rPr>
                <w:color w:val="282828"/>
                <w:sz w:val="15"/>
              </w:rPr>
              <w:t>Actif immobilisé = 5.7%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20.897 Mds FCFA</w:t>
            </w:r>
          </w:p>
        </w:tc>
        <w:tc>
          <w:tcPr>
            <w:tcW w:type="dxa" w:w="5669"/>
            <w:shd w:fill="FFFFFF" w:val="clear"/>
          </w:tcPr>
          <w:p>
            <w:r>
              <w:rPr>
                <w:color w:val="282828"/>
                <w:sz w:val="15"/>
              </w:rPr>
              <w:t>Liquidités disponibles (7.2%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291.750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20.800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16.676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36.064 Mds FCFA</w:t>
            </w:r>
          </w:p>
        </w:tc>
        <w:tc>
          <w:tcPr>
            <w:tcW w:type="dxa" w:w="5669"/>
            <w:shd w:fill="FFFFFF" w:val="clear"/>
          </w:tcPr>
          <w:p>
            <w:r>
              <w:rPr>
                <w:color w:val="282828"/>
                <w:sz w:val="15"/>
              </w:rPr>
              <w:t>Fonds propres = 12.4%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39.757 Mds FCFA</w:t>
            </w:r>
          </w:p>
        </w:tc>
        <w:tc>
          <w:tcPr>
            <w:tcW w:type="dxa" w:w="5669"/>
            <w:shd w:fill="FFFFFF" w:val="clear"/>
          </w:tcPr>
          <w:p>
            <w:r>
              <w:rPr>
                <w:color w:val="282828"/>
                <w:sz w:val="15"/>
              </w:rPr>
              <w:t>Capitaux permanents / Actif immobilisé = 2.39x.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64.413 Mds FCFA</w:t>
            </w:r>
          </w:p>
        </w:tc>
        <w:tc>
          <w:tcPr>
            <w:tcW w:type="dxa" w:w="5669"/>
            <w:shd w:fill="FFFFFF" w:val="clear"/>
          </w:tcPr>
          <w:p>
            <w:r>
              <w:rPr>
                <w:color w:val="282828"/>
                <w:sz w:val="15"/>
              </w:rPr>
              <w:t>Refinancement interbancaire (22.1%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183.280 Mds FCFA</w:t>
            </w:r>
          </w:p>
        </w:tc>
        <w:tc>
          <w:tcPr>
            <w:tcW w:type="dxa" w:w="5669"/>
            <w:shd w:fill="FFFFFF" w:val="clear"/>
          </w:tcPr>
          <w:p>
            <w:r>
              <w:rPr>
                <w:color w:val="282828"/>
                <w:sz w:val="15"/>
              </w:rPr>
              <w:t>Dépôts clients = 62.8%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64.413 Mds FCFA</w:t>
            </w:r>
          </w:p>
        </w:tc>
        <w:tc>
          <w:tcPr>
            <w:tcW w:type="dxa" w:w="5669"/>
            <w:shd w:fill="FFFFFF" w:val="clear"/>
          </w:tcPr>
          <w:p>
            <w:r>
              <w:rPr>
                <w:color w:val="282828"/>
                <w:sz w:val="15"/>
              </w:rPr>
              <w:t>Dette financière totale = 179%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255.686 Mds FCFA</w:t>
            </w:r>
          </w:p>
        </w:tc>
        <w:tc>
          <w:tcPr>
            <w:tcW w:type="dxa" w:w="5669"/>
            <w:shd w:fill="FFFFFF" w:val="clear"/>
          </w:tcPr>
          <w:p>
            <w:r>
              <w:rPr>
                <w:color w:val="282828"/>
                <w:sz w:val="15"/>
              </w:rPr>
              <w:t>Dettes totales = 87.6%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21.125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C7CE" w:val="clear"/>
          </w:tcPr>
          <w:p>
            <w:r>
              <w:rPr>
                <w:b/>
                <w:color w:val="006400"/>
                <w:sz w:val="17"/>
              </w:rPr>
              <w:t>21.125 Mds FCFA</w:t>
            </w:r>
          </w:p>
        </w:tc>
        <w:tc>
          <w:tcPr>
            <w:tcW w:type="dxa" w:w="5669"/>
            <w:shd w:fill="FFFFFF" w:val="clear"/>
          </w:tcPr>
          <w:p>
            <w:r>
              <w:rPr>
                <w:color w:val="282828"/>
                <w:sz w:val="15"/>
              </w:rPr>
              <w:t>Revenu bancaire central (≡ CA). Croissance: -1.2%. ❌ PNB en recul — pression sur la rentabilité.</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21.108 Mds FCFA</w:t>
            </w:r>
          </w:p>
        </w:tc>
        <w:tc>
          <w:tcPr>
            <w:tcW w:type="dxa" w:w="5669"/>
            <w:shd w:fill="FFFFFF" w:val="clear"/>
          </w:tcPr>
          <w:p>
            <w:r>
              <w:rPr>
                <w:color w:val="282828"/>
                <w:sz w:val="15"/>
              </w:rPr>
              <w:t>Revenus d'intérêts sur crédits (100%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6.377 Mds FCFA</w:t>
            </w:r>
          </w:p>
        </w:tc>
        <w:tc>
          <w:tcPr>
            <w:tcW w:type="dxa" w:w="5669"/>
            <w:shd w:fill="FFFFFF" w:val="clear"/>
          </w:tcPr>
          <w:p>
            <w:r>
              <w:rPr>
                <w:color w:val="282828"/>
                <w:sz w:val="15"/>
              </w:rPr>
              <w:t>Coût des dépôts collectés (30%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4.076 Mds FCFA</w:t>
            </w:r>
          </w:p>
        </w:tc>
        <w:tc>
          <w:tcPr>
            <w:tcW w:type="dxa" w:w="5669"/>
            <w:shd w:fill="FFFFFF" w:val="clear"/>
          </w:tcPr>
          <w:p>
            <w:r>
              <w:rPr>
                <w:color w:val="282828"/>
                <w:sz w:val="15"/>
              </w:rPr>
              <w:t>Revenus de commissions (19.3% des revenus). Diversification bienvenue du modèle.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12.746 Mds FCFA</w:t>
            </w:r>
          </w:p>
        </w:tc>
        <w:tc>
          <w:tcPr>
            <w:tcW w:type="dxa" w:w="5669"/>
            <w:shd w:fill="FFFFFF" w:val="clear"/>
          </w:tcPr>
          <w:p>
            <w:r>
              <w:rPr>
                <w:color w:val="282828"/>
                <w:sz w:val="15"/>
              </w:rPr>
              <w:t>60.3%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2.965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5.414 Mds FCFA</w:t>
            </w:r>
          </w:p>
        </w:tc>
        <w:tc>
          <w:tcPr>
            <w:tcW w:type="dxa" w:w="5669"/>
            <w:shd w:fill="FFFFFF" w:val="clear"/>
          </w:tcPr>
          <w:p>
            <w:r>
              <w:rPr>
                <w:color w:val="282828"/>
                <w:sz w:val="15"/>
              </w:rPr>
              <w:t>RBE = 25.6%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1.122 Mds FCFA</w:t>
            </w:r>
          </w:p>
        </w:tc>
        <w:tc>
          <w:tcPr>
            <w:tcW w:type="dxa" w:w="5669"/>
            <w:shd w:fill="FFFFFF" w:val="clear"/>
          </w:tcPr>
          <w:p>
            <w:r>
              <w:rPr>
                <w:color w:val="282828"/>
                <w:sz w:val="15"/>
              </w:rPr>
              <w:t>Profit d'exploitation = 5.3%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4.292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FFEB9C" w:val="clear"/>
          </w:tcPr>
          <w:p>
            <w:r>
              <w:rPr>
                <w:b/>
                <w:color w:val="006400"/>
                <w:sz w:val="17"/>
              </w:rPr>
              <w:t>409.00 M FCFA</w:t>
            </w:r>
          </w:p>
        </w:tc>
        <w:tc>
          <w:tcPr>
            <w:tcW w:type="dxa" w:w="5669"/>
            <w:shd w:fill="FFFFFF" w:val="clear"/>
          </w:tcPr>
          <w:p>
            <w:r>
              <w:rPr>
                <w:color w:val="282828"/>
                <w:sz w:val="15"/>
              </w:rPr>
              <w:t>Marge nette = 1.9%.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3.374 Mds FCFA</w:t>
            </w:r>
          </w:p>
        </w:tc>
        <w:tc>
          <w:tcPr>
            <w:tcW w:type="dxa" w:w="5669"/>
            <w:shd w:fill="FFFFFF" w:val="clear"/>
          </w:tcPr>
          <w:p>
            <w:r>
              <w:rPr>
                <w:color w:val="282828"/>
                <w:sz w:val="15"/>
              </w:rPr>
              <w:t>CAF = 3.37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-43.516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25.63%</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1.94%</w:t>
            </w:r>
          </w:p>
        </w:tc>
        <w:tc>
          <w:tcPr>
            <w:tcW w:type="dxa" w:w="5669"/>
            <w:shd w:fill="FFFFFF" w:val="clear"/>
          </w:tcPr>
          <w:p>
            <w:r>
              <w:rPr>
                <w:color w:val="282828"/>
                <w:sz w:val="15"/>
              </w:rPr>
              <w:t>Résultat net / revenus = 1.94%. ⚠️ Marge nette très fine — sensible aux aléas.</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5.31%</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1.13%</w:t>
            </w:r>
          </w:p>
        </w:tc>
        <w:tc>
          <w:tcPr>
            <w:tcW w:type="dxa" w:w="5669"/>
            <w:shd w:fill="FFFFFF" w:val="clear"/>
          </w:tcPr>
          <w:p>
            <w:r>
              <w:rPr>
                <w:color w:val="282828"/>
                <w:sz w:val="15"/>
              </w:rPr>
              <w:t>Résultat net / capitaux propres = 1.13%.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0.14%</w:t>
            </w:r>
          </w:p>
        </w:tc>
        <w:tc>
          <w:tcPr>
            <w:tcW w:type="dxa" w:w="5669"/>
            <w:shd w:fill="FFFFFF" w:val="clear"/>
          </w:tcPr>
          <w:p>
            <w:r>
              <w:rPr>
                <w:color w:val="282828"/>
                <w:sz w:val="15"/>
              </w:rPr>
              <w:t>Résultat net / total actif = 0.14%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7.24%</w:t>
            </w:r>
          </w:p>
        </w:tc>
        <w:tc>
          <w:tcPr>
            <w:tcW w:type="dxa" w:w="5669"/>
            <w:shd w:fill="FFFFFF" w:val="clear"/>
          </w:tcPr>
          <w:p>
            <w:r>
              <w:rPr>
                <w:color w:val="282828"/>
                <w:sz w:val="15"/>
              </w:rPr>
              <w:t>CA / total actif = 7.24x.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74.37%</w:t>
            </w:r>
          </w:p>
        </w:tc>
        <w:tc>
          <w:tcPr>
            <w:tcW w:type="dxa" w:w="5669"/>
            <w:shd w:fill="FFFFFF" w:val="clear"/>
          </w:tcPr>
          <w:p>
            <w:r>
              <w:rPr>
                <w:color w:val="282828"/>
                <w:sz w:val="15"/>
              </w:rPr>
              <w:t>Charges / PNB = 74.37%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67.30%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FFEB9C" w:val="clear"/>
          </w:tcPr>
          <w:p>
            <w:r>
              <w:rPr>
                <w:b/>
                <w:color w:val="B40000"/>
                <w:sz w:val="17"/>
              </w:rPr>
              <w:t>-1.19%</w:t>
            </w:r>
          </w:p>
        </w:tc>
        <w:tc>
          <w:tcPr>
            <w:tcW w:type="dxa" w:w="5669"/>
            <w:shd w:fill="FFFFFF" w:val="clear"/>
          </w:tcPr>
          <w:p>
            <w:r>
              <w:rPr>
                <w:color w:val="282828"/>
                <w:sz w:val="15"/>
              </w:rPr>
              <w:t>Croissance PNB vs exercice précédent = -1.19%.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12.36%</w:t>
            </w:r>
          </w:p>
        </w:tc>
        <w:tc>
          <w:tcPr>
            <w:tcW w:type="dxa" w:w="5669"/>
            <w:shd w:fill="FFFFFF" w:val="clear"/>
          </w:tcPr>
          <w:p>
            <w:r>
              <w:rPr>
                <w:color w:val="282828"/>
                <w:sz w:val="15"/>
              </w:rPr>
              <w:t>Fonds propres / total bilan = 12.36%.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87.64%</w:t>
            </w:r>
          </w:p>
        </w:tc>
        <w:tc>
          <w:tcPr>
            <w:tcW w:type="dxa" w:w="5669"/>
            <w:shd w:fill="FFFFFF" w:val="clear"/>
          </w:tcPr>
          <w:p>
            <w:r>
              <w:rPr>
                <w:color w:val="282828"/>
                <w:sz w:val="15"/>
              </w:rPr>
              <w:t>Dettes financières / total bilan = 87.64%.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178.61%</w:t>
            </w:r>
          </w:p>
        </w:tc>
        <w:tc>
          <w:tcPr>
            <w:tcW w:type="dxa" w:w="5669"/>
            <w:shd w:fill="FFFFFF" w:val="clear"/>
          </w:tcPr>
          <w:p>
            <w:r>
              <w:rPr>
                <w:color w:val="282828"/>
                <w:sz w:val="15"/>
              </w:rPr>
              <w:t>Dettes totales / fonds propres = 178.61%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114.10%</w:t>
            </w:r>
          </w:p>
        </w:tc>
        <w:tc>
          <w:tcPr>
            <w:tcW w:type="dxa" w:w="5669"/>
            <w:shd w:fill="FFFFFF" w:val="clear"/>
          </w:tcPr>
          <w:p>
            <w:r>
              <w:rPr>
                <w:color w:val="282828"/>
                <w:sz w:val="15"/>
              </w:rPr>
              <w:t>Total actif / dettes totales = 114.10x.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217.06%</w:t>
            </w:r>
          </w:p>
        </w:tc>
        <w:tc>
          <w:tcPr>
            <w:tcW w:type="dxa" w:w="5669"/>
            <w:shd w:fill="FFFFFF" w:val="clear"/>
          </w:tcPr>
          <w:p>
            <w:r>
              <w:rPr>
                <w:color w:val="282828"/>
                <w:sz w:val="15"/>
              </w:rPr>
              <w:t>Capitaux permanents / actif immobilisé = 217.06x.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19.1 ans</w:t>
            </w:r>
          </w:p>
        </w:tc>
        <w:tc>
          <w:tcPr>
            <w:tcW w:type="dxa" w:w="5669"/>
            <w:shd w:fill="FFFFFF" w:val="clear"/>
          </w:tcPr>
          <w:p>
            <w:r>
              <w:rPr>
                <w:color w:val="282828"/>
                <w:sz w:val="15"/>
              </w:rPr>
              <w:t>Dettes financières / CAF = 19.1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17.59%</w:t>
            </w:r>
          </w:p>
        </w:tc>
        <w:tc>
          <w:tcPr>
            <w:tcW w:type="dxa" w:w="5669"/>
            <w:shd w:fill="FFFFFF" w:val="clear"/>
          </w:tcPr>
          <w:p>
            <w:r>
              <w:rPr>
                <w:color w:val="282828"/>
                <w:sz w:val="15"/>
              </w:rPr>
              <w:t>Résultat exploit. / charges financières = 17.59x. ❌ L'exploitation ne couvre pas les charges financières.</w:t>
            </w:r>
          </w:p>
        </w:tc>
      </w:tr>
    </w:tbl>
    <w:p/>
    <w:p>
      <w:pPr>
        <w:spacing w:after="120" w:line="276" w:lineRule="auto"/>
      </w:pPr>
      <w:r>
        <w:t>**RAPPORT D'ANALYSE FINANCIÈRE — BOAN (Bank of Africa Niger)**</w:t>
        <w:br/>
        <w:t>*Bourse Régionale des Valeurs Mobilières (BRVM) — Secteur : Banque*</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97,24 Mds FCFA, BOAN se situe dans la fourchette des valeurs moyennes de la cote BRVM, mais son BPA de 20 FCFA/action — résultant d'un résultat net effondré à 409 M FCFA en 2025 — propulse le PER à 237,8x, un niveau stratosphérique comparé à la moyenne BRVM (~8-12x) qui traduit une décorrélation totale entre le prix payé et les bénéfices générés. Le P/B de 2,70x indique que le marché valorise la banque à près de trois fois ses fonds propres comptables (36,06 Mds FCFA), soit une prime de croissance difficilement justifiable au regard de la rentabilité actuelle (ROE de 1,13%). L'EV/EBITDA de 37,9x, très supérieur au seuil de 15x généralement considéré comme exigeant, confirme que la valeur d'entreprise intègre déjà une reprise forte et incertaine des résultats. En synthèse, la valorisation boursière de BOAN est tendue et anticipe un redressement spectaculaire que les fondamentaux de 2025 ne soutiennent pas encore — le marché price la normalisation à venir (T1 2026) plutôt que la performance passée.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BOAN affiche une progression totale de +25,34%, mais la dernière séance (J-1) marque un repli de -2,50%, signalant une prise de profit après un rallye soutenu. Le titre a évolué dans un range large de 1 950 FCFA, entre un plus bas de 3 695 FCFA et un plus haut de 5 645 FCFA, avec un cours actuel de 4 675 FCFA qui se situe à mi-chemin, légèrement sous la moyenne de 4 766 FCFA. La tendance de fond reste haussière sur la période, mais le repli récent et la position sous la médiane (5 088 FCFA) et le mode (5 200 FCFA) suggèrent un essoufflement du momentum acheteur. Les statistiques descriptives révèlent une distribution asymétrique négative (skewness de -0,536), indiquant davantage de journées de cotation au-dessus de la moyenne, tandis que le kurtosis négatif (-1,260, distribution platykurtique) traduit une faible concentration des rendements et un risque de pics extrêmes limité. L'écart-type de 657 FCFA (CV de 13,8%) confirme une dispersion modérée du cours autour de sa moyenne, mais la volatilité annualisée de 43,3% classe le titre dans la catégorie des valeurs à volatilité élevée (&gt;30%), ce qui implique un risque de marché significatif pour l'investisseur.</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(4 969,75 FCFA) et la MM50 (5 184,30 FCFA) se situent toutes deux au-dessus du cours actuel (4 675 FCFA), avec une MM20 inférieure à la MM50 — configuration baissière de court terme. Le cours évoluant sous ses deux moyennes, la pression vendeuse domine, ce qui justifie la décision technique de **Vente**.</w:t>
      </w:r>
    </w:p>
    <w:p>
      <w:pPr>
        <w:spacing w:after="120" w:line="276" w:lineRule="auto"/>
      </w:pPr>
      <w:r>
        <w:t>**Bandes de Bollinger** : Le cours (4 675 FCFA) se situe dans la partie basse du canal, entre la borne inférieure (4 376,34 FCFA) et la borne supérieure (5 563,16 FCFA), sans franchissement des extrêmes. Cette position médiane-basse, couplée à un rétrécissement relatif des bandes, traduit une volatilité en contraction et une absence de signal directionnel fort, justifiant la décision **Neutre**.</w:t>
      </w:r>
    </w:p>
    <w:p>
      <w:pPr>
        <w:spacing w:after="120" w:line="276" w:lineRule="auto"/>
      </w:pPr>
      <w:r>
        <w:t>**MACD** : La ligne MACD (-156,122) est nettement en dessous de sa ligne de signal (-119,018), avec un histogramme négatif qui s'accentue — configuration baissière confirmée. Le momentum reste négatif et aucune divergence haussière n'est visible, ce qui valide la décision de **Vente**.</w:t>
      </w:r>
    </w:p>
    <w:p>
      <w:pPr>
        <w:spacing w:after="120" w:line="276" w:lineRule="auto"/>
      </w:pPr>
      <w:r>
        <w:t>**RSI** : À 47,817, le RSI se situe en zone parfaitement neutre (entre 30 et 70), sans signal de surachat ni de survente. Cette position médiane indique un équilibre entre acheteurs et vendeurs, sans force directionnelle claire, justifiant la décision **Neutre**.</w:t>
      </w:r>
    </w:p>
    <w:p>
      <w:pPr>
        <w:spacing w:after="120" w:line="276" w:lineRule="auto"/>
      </w:pPr>
      <w:r>
        <w:t>**Stochastique** : Le %K (19,324) et le %D (22,222) évoluent tous deux en zone de survente (&lt;20 pour le %K), avec un %K légèrement sous le %D — configuration qui précède souvent un rebond technique. Cette lecture contrarienne justifie la décision d'**Achat** à court terme.</w:t>
      </w:r>
    </w:p>
    <w:p>
      <w:pPr>
        <w:spacing w:after="120" w:line="276" w:lineRule="auto"/>
      </w:pPr>
      <w:r>
        <w:t>**Conclusion technique** : Les indicateurs sont majoritairement baissiers (MM, MACD) ou neutres (Bollinger, RSI), avec un seul signal haussier (Stochastique en survente). Cette divergence suggère un titre en consolidation baissière de court terme, mais proche d'un support technique susceptible de générer un rebond tactique. La prudence reste de mise tant que le cours n'aura pas reconquis la MM20 (4 969,75 FCFA).</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BOAN a enregistré un Produit Net Bancaire (PNB) de 21 125 M FCFA, en léger repli de -1,2% sur un an, et un résultat net effondré à 409 M FCFA contre 5 002 M FCFA en 2024, soit une chute de -91,8% (rapport du 31/12/2025). Cette dégradation spectaculaire s'explique par un coût du risque plus que doublé (+121,5%, à 6 016 M FCFA), incluant une provision exceptionnelle de 4,8 Mds FCFA liée au taux de sinistralité sectoriel de 24% au Niger, ainsi que par une hausse des charges générales de +6,5%. Les ratios de rentabilité se sont effondrés : le ROE chute à 1,13% (contre 11,39% en 2024) et le ROA à 0,14% (contre 1,49%), tandis que le coefficient d'exploitation se dégrade à 74,37% — très au-dessus du seuil de 60% marquant une banque efficace. La structure financière reste néanmoins solide avec un ratio de solvabilité de 14,06% (conforme aux exigences UEMOA de 10%) et un coefficient de liquidité de 123,95%, mais l'autonomie financière (12,36%) et le ratio d'endettement (178,61%) traduisent une forte dépendance aux dépôts clientèle (183,28 Mds FCFA) et aux dettes interbancaires (64,41 Mds FCFA). Le rapport du T1 2026 (daté du 31/03/2026) marque un début de redressement : le PNB progresse de +7,9% à 5 170 M FCFA, le résultat net bondit de +28,9% à 1 467,3 M FCFA, et le coefficient d'exploitation s'améliore à 56,2% (contre 66,8% un an plus tôt), porté par une baisse des frais généraux de -9,1%. Sur la base de ce T1 2026, on peut estimer que l'exercice 2026 devrait afficher un PNB en hausse d'environ 6-8% (autour de 22 500 M FCFA) et un résultat net en forte progression, potentiellement entre 4 et 6 Mds FCFA si la tendance se confirme — mais le coût du risque reste un point de vigilance majeur (+104,3% au T1 2026). La recommandation fondamentale reste **CONSERVER sous surveillance rapprochée** : la solidité bilancielle et le soutien du groupe BOA sont des atouts, mais la rentabilité demeure fragile et dépendante de l'amélioration du contexte macroéconomique nigérien.</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(Partie 0) est clairement surévaluée avec un PER de 237,8x et un EV/EBITDA de 37,9x qui intègrent déjà une reprise hypothétique, tandis que le P/B de 2,70x laisse peu de marge de sécurité. Le comportement du cours (Partie 1) est haussier sur 100 jours (+25,34%) mais montre des signes d'essoufflement (repli J-1 de -2,50%, skewness négatif, volatilité élevée à 43,3%), ce qui plaide pour une consolidation. Les signaux techniques (Partie 2) sont majoritairement baissiers (MM, MACD) ou neutres (Bollinger, RSI), avec un seul signal d'achat contrarien (Stochastique en survente), suggérant une absence de convergence haussière à court terme. Les fondamentaux (Partie 3) restent fragiles malgré le rebond du T1 2026 : le redressement est réel mais un seul trimestre ne suffit pas à confirmer la tendance, et le coût du risque demeure élevé. Les prédictions IA (J+1 à J+10) anticipent une trajectoire haussière modérée vers 4 833 FCFA (+3,4% depuis 4 675 FCFA), ce qui contredit partiellement les signaux techniques baissiers mais s'aligne sur le rebond fondamental du T1 2026. **Recommandation finale : CONSERVER** — la convergence entre le rebond fondamental du T1 2026 et les prédictions IA haussières soutient une position attentiste, mais la surévaluation boursière, les signaux techniques baissiers et les risques macroéconomiques (instabilité politique, créances douteuses à 24%) empêchent toute recommandation d'achat agressif. Le niveau de confiance est **Moyen** (un seul trimestre de reprise, valorisation tendue) et le risque global est **Élevé** (volatilité de 43,3%, exposition au risque pays Niger). L'horizon d'investissement optimal est le **moyen terme (3-12 mois)**, le temps de confirmer la reprise sur au moins deux trimestres supplémentaires et de voir la valorisation se normaliser.</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am\u00e9lioration de la rentabilit\u00e9 (+28,9% du r\u00e9sultat net) et l'excellente ma\u00eetrise des co\u00fbts op\u00e9rationnels d\u00e9montrent une gestion efficace. La strat\u00e9gie d'assainissement du portefeuille, bien que temporairement co\u00fbteuse, renforce les perspectives long terme."}</w:t>
      </w:r>
    </w:p>
    <w:p>
      <w:pPr>
        <w:spacing w:before="40"/>
        <w:ind w:left="400"/>
      </w:pPr>
      <w:r>
        <w:rPr>
          <w:sz w:val="18"/>
        </w:rPr>
        <w:t>BOA-NIGER affiche une performance remarquable au T1 2026 avec un résultat net en forte progression de 28,9% à 1 467,3 millions FCFA. Le produit net bancaire progresse de 7,9% à 5 170 millions FCFA, porté par l'amélioration du rendement des crédits. La maîtrise des frais généraux (-9,1%) améliore significativement le coefficient d'exploitation à 56,2%. Malgré une hausse du coût du risque liée à l'assainissement du portefeuille, le résultat brut d'exploitation bondit de 42,2%. La banque s'inscrit dans une dynamique positive avec trois priorités stratégiques claires pour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'673,1 millions FCFA', 'coefficient_exploitation': '56,2%', 'resultat_brut_exploitation': '2 262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1 467,3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5 170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28,9% à 1 467,3 millions FCFA au T1 2026</w:t>
      </w:r>
    </w:p>
    <w:p>
      <w:pPr>
        <w:pStyle w:val="ListBullet"/>
        <w:spacing w:before="20" w:after="20"/>
        <w:ind w:left="700"/>
      </w:pPr>
      <w:r>
        <w:rPr>
          <w:sz w:val="18"/>
        </w:rPr>
        <w:t>Produit net bancaire en progression de 7,9% à 5 170 millions FCFA</w:t>
      </w:r>
    </w:p>
    <w:p>
      <w:pPr>
        <w:pStyle w:val="ListBullet"/>
        <w:spacing w:before="20" w:after="20"/>
        <w:ind w:left="700"/>
      </w:pPr>
      <w:r>
        <w:rPr>
          <w:sz w:val="18"/>
        </w:rPr>
        <w:t>Excellente maîtrise des frais généraux avec une baisse de 9,1%</w:t>
      </w:r>
    </w:p>
    <w:p>
      <w:pPr>
        <w:pStyle w:val="ListBullet"/>
        <w:spacing w:before="20" w:after="20"/>
        <w:ind w:left="700"/>
      </w:pPr>
      <w:r>
        <w:rPr>
          <w:sz w:val="18"/>
        </w:rPr>
        <w:t>Amélioration du coefficient d'exploitation de 66,8% à 56,2%</w:t>
      </w:r>
    </w:p>
    <w:p>
      <w:pPr>
        <w:pStyle w:val="ListBullet"/>
        <w:spacing w:before="20" w:after="20"/>
        <w:ind w:left="700"/>
      </w:pPr>
      <w:r>
        <w:rPr>
          <w:sz w:val="18"/>
        </w:rPr>
        <w:t>Résultat brut d'exploitation en forte hausse de 42,2%</w:t>
      </w:r>
    </w:p>
    <w:p>
      <w:pPr>
        <w:pStyle w:val="ListBullet"/>
        <w:spacing w:before="20" w:after="20"/>
        <w:ind w:left="700"/>
      </w:pPr>
      <w:r>
        <w:rPr>
          <w:sz w:val="18"/>
        </w:rPr>
        <w:t>Coût du risque en augmentation de 104,3% dans le cadre de l'assainissement du portefeuille</w:t>
      </w:r>
    </w:p>
    <w:p>
      <w:pPr>
        <w:spacing w:before="40"/>
        <w:ind w:left="400"/>
      </w:pPr>
      <w:r>
        <w:rPr>
          <w:b/>
          <w:color w:val="C05000"/>
          <w:sz w:val="18"/>
        </w:rPr>
        <w:t xml:space="preserve">⚠️ Risques : </w:t>
      </w:r>
      <w:r>
        <w:rPr>
          <w:sz w:val="18"/>
        </w:rPr>
        <w:t>["Hausse significative du co\u00fbt du risque (+104,3%) li\u00e9e \u00e0 l'assainissement du portefeuille", "Environnement \u00e9conomique contraignant au Niger", "D\u00e9pendance \u00e0 la poursuite de l'am\u00e9lioration du rendement des cr\u00e9dits"]</w:t>
      </w:r>
    </w:p>
    <w:p>
      <w:pPr>
        <w:spacing w:before="40"/>
        <w:ind w:left="400"/>
      </w:pPr>
      <w:r>
        <w:rPr>
          <w:b/>
          <w:color w:val="0064A0"/>
          <w:sz w:val="18"/>
        </w:rPr>
        <w:t xml:space="preserve">🔮 Perspectives : </w:t>
      </w:r>
      <w:r>
        <w:rPr>
          <w:sz w:val="18"/>
        </w:rPr>
        <w:t>Les résultats du T1 2026 confirment une tendance globalement favorable avec un PNB en hausse de 8% attendu sur l'année. La bonne maîtrise des charges d'exploitation couplée à l'amélioration du rendement des crédits laisse entrevoir une évolution positive sur l'ensemble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chute du r\u00e9sultat net, la banque d\u00e9montre une gestion prudente avec une croissance des d\u00e9p\u00f4ts et une politique s\u00e9lective de cr\u00e9dit. La provision exceptionnelle t\u00e9moigne d'une approche responsable face aux risques sectoriels."}</w:t>
      </w:r>
    </w:p>
    <w:p>
      <w:pPr>
        <w:spacing w:before="40"/>
        <w:ind w:left="400"/>
      </w:pPr>
      <w:r>
        <w:rPr>
          <w:sz w:val="18"/>
        </w:rPr>
        <w:t>BOA Niger présente des résultats contrastés au 2ème semestre 2025 avec une croissance des dépôts de +4% à 189,9 milliards FCFA qui surperforme le secteur. Les crédits subissent une contraction significative de -20,9% à 128,4 milliards FCFA dans le cadre d'une politique sélective de réduction des risques. Le produit net bancaire recule légèrement de -1,2% à 21,1 milliards FCFA mais reste résilient compte tenu du contexte. Les charges générales augmentent de 6,5% impactant la rentabilité opérationnelle qui chute de -13,5%. Le résultat net s'effondre de -91,8% à 409 millions FCFA suite à une provision exceptionnelle de 4,8 milliards FCFA liée au niveau de risque élevé du secteur.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 '189 867 millions FCFA', 'credits': '128 447 millions FCFA', 'cout_du_risque': '6 016 millions FCFA', 'frais_generaux': '13 988,2 millions FCFA', 'produit_net_bancaire': '21 125 millions FCFA', 'resultat_brut_exploitation': '7 137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409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dépôts de +4% à 189,9 milliards FCFA, surperformant le secteur financier nigérien</w:t>
      </w:r>
    </w:p>
    <w:p>
      <w:pPr>
        <w:pStyle w:val="ListBullet"/>
        <w:spacing w:before="20" w:after="20"/>
        <w:ind w:left="700"/>
      </w:pPr>
      <w:r>
        <w:rPr>
          <w:sz w:val="18"/>
        </w:rPr>
        <w:t>Contraction volontaire des crédits de -20,9% à 128,4 milliards FCFA pour réduire l'exposition au risque</w:t>
      </w:r>
    </w:p>
    <w:p>
      <w:pPr>
        <w:pStyle w:val="ListBullet"/>
        <w:spacing w:before="20" w:after="20"/>
        <w:ind w:left="700"/>
      </w:pPr>
      <w:r>
        <w:rPr>
          <w:sz w:val="18"/>
        </w:rPr>
        <w:t>Produit net bancaire en baisse modérée de -1,2% à 21,1 milliards FCFA malgré le contexte difficile</w:t>
      </w:r>
    </w:p>
    <w:p>
      <w:pPr>
        <w:pStyle w:val="ListBullet"/>
        <w:spacing w:before="20" w:after="20"/>
        <w:ind w:left="700"/>
      </w:pPr>
      <w:r>
        <w:rPr>
          <w:sz w:val="18"/>
        </w:rPr>
        <w:t>Augmentation des charges générales de 6,5% à 13,99 milliards FCFA impactant la rentabilité</w:t>
      </w:r>
    </w:p>
    <w:p>
      <w:pPr>
        <w:pStyle w:val="ListBullet"/>
        <w:spacing w:before="20" w:after="20"/>
        <w:ind w:left="700"/>
      </w:pPr>
      <w:r>
        <w:rPr>
          <w:sz w:val="18"/>
        </w:rPr>
        <w:t>Résultat brut d'exploitation en recul de -13,5% à 7,1 milliards FCFA</w:t>
      </w:r>
    </w:p>
    <w:p>
      <w:pPr>
        <w:pStyle w:val="ListBullet"/>
        <w:spacing w:before="20" w:after="20"/>
        <w:ind w:left="700"/>
      </w:pPr>
      <w:r>
        <w:rPr>
          <w:sz w:val="18"/>
        </w:rPr>
        <w:t>Provision exceptionnelle de 4,8 milliards FCFA passée sur l'exercice compte tenu du risque sectoriel élevé</w:t>
      </w:r>
    </w:p>
    <w:p>
      <w:pPr>
        <w:spacing w:before="40"/>
        <w:ind w:left="400"/>
      </w:pPr>
      <w:r>
        <w:rPr>
          <w:b/>
          <w:color w:val="C05000"/>
          <w:sz w:val="18"/>
        </w:rPr>
        <w:t xml:space="preserve">⚠️ Risques : </w:t>
      </w:r>
      <w:r>
        <w:rPr>
          <w:sz w:val="18"/>
        </w:rPr>
        <w:t>["Environnement \u00e9conomique nig\u00e9rien difficile avec un taux de sinistralit\u00e9 sectoriel de 24%", "Contraction continue du march\u00e9 du cr\u00e9dit impactant la g\u00e9n\u00e9ration de revenus", "Augmentation des charges op\u00e9rationnelles pesant sur la rentabilit\u00e9"]</w:t>
      </w:r>
    </w:p>
    <w:p>
      <w:pPr>
        <w:spacing w:before="40"/>
        <w:ind w:left="400"/>
      </w:pPr>
      <w:r>
        <w:rPr>
          <w:b/>
          <w:color w:val="0064A0"/>
          <w:sz w:val="18"/>
        </w:rPr>
        <w:t xml:space="preserve">🔮 Perspectives : </w:t>
      </w:r>
      <w:r>
        <w:rPr>
          <w:sz w:val="18"/>
        </w:rPr>
        <w:t>La stratégie de réduction sélective des risques devrait permettre une amélioration progressive de la qualité du portefeuille crédit. La capacité à préserver la confiance des déposants constitue un atout pour la reprise future de l'activité de crédit.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 r\u00e9sultat net en hausse de 26,6% et une nette am\u00e9lioration du co\u00fbt du risque. La banque d\u00e9montre une gestion efficace avec un coefficient d'exploitation en am\u00e9lioration et une position dominante sur le march\u00e9 nig\u00e9rien."}</w:t>
      </w:r>
    </w:p>
    <w:p>
      <w:pPr>
        <w:spacing w:before="40"/>
        <w:ind w:left="400"/>
      </w:pPr>
      <w:r>
        <w:rPr>
          <w:sz w:val="18"/>
        </w:rPr>
        <w:t>BOA Niger affiche une performance financière solide en 2021 avec une croissance significative de ses résultats. Le Produit Net Bancaire progresse de 3,1% à 24 995,11 millions FCFA, soutenu par une croissance des encours de crédits de 1,9%. Les frais généraux restent stables, permettant une amélioration du coefficient d'exploitation à 47,7%. Le coût du risque s'améliore drastiquement, passant de -3 756,44 millions FCFA à -2 035,23 millions FCFA (-45,8%). Le résultat net bondit de 26,6% pour atteindre 9 396,54 millions FCFA, témoignant d'une gestion efficace et d'une forte rentabilité.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 '234 001 millions FCFA', 'cout_du_risque': '2 035,23 millions FCFA', 'encours_credits': '206 852 millions FCFA', 'coefficient_exploitation': '47,7%', 'resultat_brut_exploitation': '13 067,85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9 396,54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24 995,11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3,1% à 24 995,11 millions FCFA</w:t>
      </w:r>
    </w:p>
    <w:p>
      <w:pPr>
        <w:pStyle w:val="ListBullet"/>
        <w:spacing w:before="20" w:after="20"/>
        <w:ind w:left="700"/>
      </w:pPr>
      <w:r>
        <w:rPr>
          <w:sz w:val="18"/>
        </w:rPr>
        <w:t>Encours de crédits progressent de 1,9% à 206 852 millions FCFA</w:t>
      </w:r>
    </w:p>
    <w:p>
      <w:pPr>
        <w:pStyle w:val="ListBullet"/>
        <w:spacing w:before="20" w:after="20"/>
        <w:ind w:left="700"/>
      </w:pPr>
      <w:r>
        <w:rPr>
          <w:sz w:val="18"/>
        </w:rPr>
        <w:t>Dépôts en forte hausse de 8,1% à 234 001 millions FCFA (65% non-rémunérés)</w:t>
      </w:r>
    </w:p>
    <w:p>
      <w:pPr>
        <w:pStyle w:val="ListBullet"/>
        <w:spacing w:before="20" w:after="20"/>
        <w:ind w:left="700"/>
      </w:pPr>
      <w:r>
        <w:rPr>
          <w:sz w:val="18"/>
        </w:rPr>
        <w:t>Amélioration significative du coût du risque (-45,8%) à 2 035,23 millions FCFA</w:t>
      </w:r>
    </w:p>
    <w:p>
      <w:pPr>
        <w:pStyle w:val="ListBullet"/>
        <w:spacing w:before="20" w:after="20"/>
        <w:ind w:left="700"/>
      </w:pPr>
      <w:r>
        <w:rPr>
          <w:sz w:val="18"/>
        </w:rPr>
        <w:t>Coefficient d'exploitation amélioré à 47,7% contre 49,2% en 2020</w:t>
      </w:r>
    </w:p>
    <w:p>
      <w:pPr>
        <w:pStyle w:val="ListBullet"/>
        <w:spacing w:before="20" w:after="20"/>
        <w:ind w:left="700"/>
      </w:pPr>
      <w:r>
        <w:rPr>
          <w:sz w:val="18"/>
        </w:rPr>
        <w:t>Résultat net en forte progression de 26,6% à 9 396,54 millions FCFA</w:t>
      </w:r>
    </w:p>
    <w:p>
      <w:pPr>
        <w:spacing w:before="40"/>
        <w:ind w:left="400"/>
      </w:pPr>
      <w:r>
        <w:rPr>
          <w:b/>
          <w:color w:val="C05000"/>
          <w:sz w:val="18"/>
        </w:rPr>
        <w:t xml:space="preserve">⚠️ Risques : </w:t>
      </w:r>
      <w:r>
        <w:rPr>
          <w:sz w:val="18"/>
        </w:rPr>
        <w:t>["Concentration g\u00e9ographique sur le march\u00e9 nig\u00e9rien uniquement", "Exposition au risque de cr\u00e9dit malgr\u00e9 l'am\u00e9lioration observ\u00e9e", "D\u00e9pendance aux conditions \u00e9conomiques et politiques du Niger"]</w:t>
      </w:r>
    </w:p>
    <w:p>
      <w:pPr>
        <w:spacing w:before="40"/>
        <w:ind w:left="400"/>
      </w:pPr>
      <w:r>
        <w:rPr>
          <w:b/>
          <w:color w:val="0064A0"/>
          <w:sz w:val="18"/>
        </w:rPr>
        <w:t xml:space="preserve">🔮 Perspectives : </w:t>
      </w:r>
      <w:r>
        <w:rPr>
          <w:sz w:val="18"/>
        </w:rPr>
        <w:t>BOA Niger est bien positionnée pour poursuivre sa croissance avec le plus grand réseau bancaire du pays et une base de dépôts solide. L'amélioration continue de la gestion des risques et l'optimisation des coûts devraient soutenir la rentabilité future. Le développement du marché des PME (+65%) offr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forte d\u00e9gradation de tous les indicateurs financiers et l'environnement g\u00e9opolitique d\u00e9favorable au Niger rendent l'investissement tr\u00e8s risqu\u00e9 \u00e0 court terme. L'effondrement du r\u00e9sultat net de 50,2% et les incertitudes persistantes li\u00e9es aux sanctions internationales compromettent gravement les perspectives de rentabilit\u00e9."}</w:t>
      </w:r>
    </w:p>
    <w:p>
      <w:pPr>
        <w:spacing w:before="40"/>
        <w:ind w:left="400"/>
      </w:pPr>
      <w:r>
        <w:rPr>
          <w:sz w:val="18"/>
        </w:rPr>
        <w:t>Bank of Africa Niger présente des résultats très dégradés au premier trimestre 2025 avec un effondrement de tous ses indicateurs financiers. Le produit net bancaire chute de 16,3% à 4 781,2 millions FCFA tandis que le résultat net s'effondre de 50,2% à seulement 1 138 millions FCFA. Cette performance catastrophique s'explique principalement par les effets négatifs des sanctions des institutions communautaires infligées au Niger et la suspension des aides publiques au développement. L'environnement économique difficile a perturbé le fonctionnement normal de la banque, malgré une maîtrise relative des frais généraux (+3,4%). Le coût du risque s'est fortement dégradé, passant de 281 millions FC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'-429,0 millions FCFA', 'frais_generaux': '3 091,0 millions FCFA', 'resultat_avant_impots': '1 261,2 millions FCFA', 'coefficient_exploitation': '64,7%', 'resultat_brut_exploitation': '1 690,1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1 138,0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4 781,2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Chute drastique du produit net bancaire de 16,3% à 4 781,2 millions FCFA</w:t>
      </w:r>
    </w:p>
    <w:p>
      <w:pPr>
        <w:pStyle w:val="ListBullet"/>
        <w:spacing w:before="20" w:after="20"/>
        <w:ind w:left="700"/>
      </w:pPr>
      <w:r>
        <w:rPr>
          <w:sz w:val="18"/>
        </w:rPr>
        <w:t>Effondrement du résultat net de 50,2% à 1 138 millions FCFA contre 2 286,1 millions FCFA l'année précédente</w:t>
      </w:r>
    </w:p>
    <w:p>
      <w:pPr>
        <w:pStyle w:val="ListBullet"/>
        <w:spacing w:before="20" w:after="20"/>
        <w:ind w:left="700"/>
      </w:pPr>
      <w:r>
        <w:rPr>
          <w:sz w:val="18"/>
        </w:rPr>
        <w:t>Dégradation significative du résultat brut d'exploitation (-38%) à 1 690,1 millions FCFA</w:t>
      </w:r>
    </w:p>
    <w:p>
      <w:pPr>
        <w:pStyle w:val="ListBullet"/>
        <w:spacing w:before="20" w:after="20"/>
        <w:ind w:left="700"/>
      </w:pPr>
      <w:r>
        <w:rPr>
          <w:sz w:val="18"/>
        </w:rPr>
        <w:t>Inversion du coût du risque qui devient négatif à -429 millions FCFA, indiquant un effort d'assainissement du portefeuille</w:t>
      </w:r>
    </w:p>
    <w:p>
      <w:pPr>
        <w:pStyle w:val="ListBullet"/>
        <w:spacing w:before="20" w:after="20"/>
        <w:ind w:left="700"/>
      </w:pPr>
      <w:r>
        <w:rPr>
          <w:sz w:val="18"/>
        </w:rPr>
        <w:t>Impact négatif majeur des sanctions internationales contre le Niger sur l'activité bancaire</w:t>
      </w:r>
    </w:p>
    <w:p>
      <w:pPr>
        <w:pStyle w:val="ListBullet"/>
        <w:spacing w:before="20" w:after="20"/>
        <w:ind w:left="700"/>
      </w:pPr>
      <w:r>
        <w:rPr>
          <w:sz w:val="18"/>
        </w:rPr>
        <w:t>Suspension des aides publiques au développement perturbant l'écosystème financier local</w:t>
      </w:r>
    </w:p>
    <w:p>
      <w:pPr>
        <w:spacing w:before="40"/>
        <w:ind w:left="400"/>
      </w:pPr>
      <w:r>
        <w:rPr>
          <w:b/>
          <w:color w:val="C05000"/>
          <w:sz w:val="18"/>
        </w:rPr>
        <w:t xml:space="preserve">⚠️ Risques : </w:t>
      </w:r>
      <w:r>
        <w:rPr>
          <w:sz w:val="18"/>
        </w:rPr>
        <w:t>["Persistance des sanctions internationales contre le Niger affectant durablement l'activit\u00e9 \u00e9conomique", "D\u00e9gradation continue de la qualit\u00e9 du portefeuille de cr\u00e9dit dans un environnement \u00e9conomique instable", "Risque de contagion g\u00e9opolitique r\u00e9gionale pouv</w:t>
      </w:r>
    </w:p>
    <w:p>
      <w:pPr>
        <w:spacing w:before="40"/>
        <w:ind w:left="400"/>
      </w:pPr>
      <w:r>
        <w:rPr>
          <w:b/>
          <w:color w:val="0064A0"/>
          <w:sz w:val="18"/>
        </w:rPr>
        <w:t xml:space="preserve">🔮 Perspectives : </w:t>
      </w:r>
      <w:r>
        <w:rPr>
          <w:sz w:val="18"/>
        </w:rPr>
        <w:t>Les perspectives restent très incertaines et dépendront largement de l'évolution de la situation géopolitique au Niger et de la levée éventuelle des sanctions internationales. En l'absence d'amélioration de l'environnement externe, la banque pourrait continuer à subir des pressions sur sa rentabilit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performance d\u00e9cevante de 2025, la banque b\u00e9n\u00e9ficie du soutien du groupe BOA et d'un contexte macro\u00e9conomique en am\u00e9lioration. Les perspectives 2026 sont encourageantes avec un objectif de multiplication par 6 du r\u00e9sultat net."}</w:t>
      </w:r>
    </w:p>
    <w:p>
      <w:pPr>
        <w:spacing w:before="40"/>
        <w:ind w:left="400"/>
      </w:pPr>
      <w:r>
        <w:rPr>
          <w:sz w:val="18"/>
        </w:rPr>
        <w:t>Bank of Africa Niger présente des résultats décevants pour 2025 avec un résultat net de seulement 409 millions FCFA contre 5 milliards l'année précédente, soit une chute de 91,8%. Le total bilan a reculé de 9,5% à 291,7 milliards FCFA dans un contexte économique difficile marqué par les sanctions post-coup d'état. Les encours de crédit ont baissé de 21% tandis que les dépôts clientèle ont progressé modestement de 4%. La banque maintient néanmoins des ratios prudentiels solides avec un ratio de solvabilité de 14,06% et un coefficient de liquidité de 123,95%. Les perspectives 2026 tablent sur une amélioration significative avec un objectif de résultat avant impôts de 7,3 milliards FCFA grâce à</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'0,13%', 'ROE': '1,05%', 'credits_clients': '128,4 milliards FCFA', 'deposits_clients': '189,9 milliards FCFA', 'ratio_solvabilite': '14,06%', 'coefficient_liquidite': '123,95%'}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w:t>
            </w:r>
          </w:p>
        </w:tc>
        <w:tc>
          <w:tcPr>
            <w:tcW w:type="dxa" w:w="2160"/>
          </w:tcPr>
          <w:p>
            <w:pPr>
              <w:ind w:left="100"/>
            </w:pPr>
            <w:r/>
            <w:r>
              <w:rPr>
                <w:b/>
                <w:sz w:val="16"/>
              </w:rPr>
              <w:t>total_actif</w:t>
              <w:br/>
            </w:r>
            <w:r>
              <w:rPr>
                <w:sz w:val="18"/>
              </w:rPr>
              <w:t>291,8 milliards FCFA</w:t>
            </w:r>
          </w:p>
        </w:tc>
      </w:tr>
      <w:tr>
        <w:tc>
          <w:tcPr>
            <w:tcW w:type="dxa" w:w="2160"/>
          </w:tcPr>
          <w:p>
            <w:r/>
            <w:r>
              <w:rPr>
                <w:b/>
                <w:sz w:val="16"/>
              </w:rPr>
              <w:t>resultat_net</w:t>
              <w:br/>
            </w:r>
            <w:r>
              <w:rPr>
                <w:sz w:val="18"/>
              </w:rPr>
              <w:t>409 millions FCFA</w:t>
            </w:r>
          </w:p>
        </w:tc>
        <w:tc>
          <w:tcPr>
            <w:tcW w:type="dxa" w:w="2160"/>
          </w:tcPr>
          <w:p>
            <w:r/>
            <w:r>
              <w:rPr>
                <w:b/>
                <w:sz w:val="16"/>
              </w:rPr>
              <w:t>capitaux_propres</w:t>
              <w:br/>
            </w:r>
            <w:r>
              <w:rPr>
                <w:sz w:val="18"/>
              </w:rPr>
              <w:t>36,1 milliards FCFA</w:t>
            </w:r>
          </w:p>
        </w:tc>
        <w:tc>
          <w:tcPr>
            <w:tcW w:type="dxa" w:w="2160"/>
          </w:tcPr>
          <w:p>
            <w:r/>
            <w:r>
              <w:rPr>
                <w:b/>
                <w:sz w:val="16"/>
              </w:rPr>
              <w:t>chiffre_affaires</w:t>
              <w:br/>
            </w:r>
            <w:r>
              <w:rPr>
                <w:sz w:val="18"/>
              </w:rPr>
              <w:t>21,1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Effondrement du résultat net de 91,8% à 409 millions FCFA en 2025</w:t>
      </w:r>
    </w:p>
    <w:p>
      <w:pPr>
        <w:pStyle w:val="ListBullet"/>
        <w:spacing w:before="20" w:after="20"/>
        <w:ind w:left="700"/>
      </w:pPr>
      <w:r>
        <w:rPr>
          <w:sz w:val="18"/>
        </w:rPr>
        <w:t>Contraction du portefeuille crédit de 21% due au contexte économique difficile</w:t>
      </w:r>
    </w:p>
    <w:p>
      <w:pPr>
        <w:pStyle w:val="ListBullet"/>
        <w:spacing w:before="20" w:after="20"/>
        <w:ind w:left="700"/>
      </w:pPr>
      <w:r>
        <w:rPr>
          <w:sz w:val="18"/>
        </w:rPr>
        <w:t>Croissance modeste des dépôts clientèle de 4% malgré les difficultés</w:t>
      </w:r>
    </w:p>
    <w:p>
      <w:pPr>
        <w:pStyle w:val="ListBullet"/>
        <w:spacing w:before="20" w:after="20"/>
        <w:ind w:left="700"/>
      </w:pPr>
      <w:r>
        <w:rPr>
          <w:sz w:val="18"/>
        </w:rPr>
        <w:t>Maintien de ratios prudentiels conformes (solvabilité 14,06%, liquidité 123,95%)</w:t>
      </w:r>
    </w:p>
    <w:p>
      <w:pPr>
        <w:pStyle w:val="ListBullet"/>
        <w:spacing w:before="20" w:after="20"/>
        <w:ind w:left="700"/>
      </w:pPr>
      <w:r>
        <w:rPr>
          <w:sz w:val="18"/>
        </w:rPr>
        <w:t>Recouvrement de créances performant avec 2,98 milliards FCFA récupérés</w:t>
      </w:r>
    </w:p>
    <w:p>
      <w:pPr>
        <w:pStyle w:val="ListBullet"/>
        <w:spacing w:before="20" w:after="20"/>
        <w:ind w:left="700"/>
      </w:pPr>
      <w:r>
        <w:rPr>
          <w:sz w:val="18"/>
        </w:rPr>
        <w:t>Contexte macroéconomique nigérien en amélioration avec levée des sanctions</w:t>
      </w:r>
    </w:p>
    <w:p>
      <w:pPr>
        <w:spacing w:before="40"/>
        <w:ind w:left="400"/>
      </w:pPr>
      <w:r>
        <w:rPr>
          <w:b/>
          <w:color w:val="C05000"/>
          <w:sz w:val="18"/>
        </w:rPr>
        <w:t xml:space="preserve">⚠️ Risques : </w:t>
      </w:r>
      <w:r>
        <w:rPr>
          <w:sz w:val="18"/>
        </w:rPr>
        <w:t>["Persistance de l'instabilit\u00e9 politique et \u00e9conomique au Niger", "D\u00e9gradation continue de la qualit\u00e9 du portefeuille cr\u00e9dit", "Concurrence accrue sur un march\u00e9 bancaire nig\u00e9rien d\u00e9j\u00e0 satur\u00e9"]</w:t>
      </w:r>
    </w:p>
    <w:p>
      <w:pPr>
        <w:spacing w:before="40"/>
        <w:ind w:left="400"/>
      </w:pPr>
      <w:r>
        <w:rPr>
          <w:b/>
          <w:color w:val="0064A0"/>
          <w:sz w:val="18"/>
        </w:rPr>
        <w:t xml:space="preserve">🔮 Perspectives : </w:t>
      </w:r>
      <w:r>
        <w:rPr>
          <w:sz w:val="18"/>
        </w:rPr>
        <w:t>L'année 2026 devrait marquer un tournant avec la levée des sanctions et la reprise économique attendue au Niger. La banque vise une forte amélioration de sa rentabilité grâce à la croissance du PIB prévue à 6,6% et l'augmentation de la production pétrolière. Les investissements dans la transformatio</w:t>
      </w:r>
    </w:p>
    <w:p/>
    <w:p>
      <w:r>
        <w:t>════════════════════════════════════════════════════════════════════════════════</w:t>
      </w:r>
    </w:p>
    <w:p>
      <w:r>
        <w:br w:type="page"/>
      </w:r>
    </w:p>
    <w:p>
      <w:pPr>
        <w:pStyle w:val="Heading2"/>
        <w:spacing w:before="360"/>
      </w:pPr>
      <w:r>
        <w:rPr>
          <w:color w:val="0066CC"/>
        </w:rPr>
        <w:t>11. BOAS - BANK OF AFRICA SENEGAL</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BOAS</w:t>
            </w:r>
          </w:p>
          <w:p>
            <w:r>
              <w:rPr>
                <w:b/>
                <w:color w:val="323250"/>
                <w:sz w:val="16"/>
              </w:rPr>
              <w:t xml:space="preserve">Société : </w:t>
            </w:r>
            <w:r>
              <w:rPr>
                <w:color w:val="000000"/>
                <w:sz w:val="16"/>
              </w:rPr>
              <w:t>BANK OF AFRICA SENEGAL</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293.22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11,507 titres</w:t>
            </w:r>
          </w:p>
        </w:tc>
        <w:tc>
          <w:tcPr>
            <w:tcW w:type="dxa" w:w="2268"/>
            <w:shd w:fill="FFF2CC" w:val="clear"/>
          </w:tcPr>
          <w:p>
            <w:r>
              <w:rPr>
                <w:b/>
                <w:color w:val="503200"/>
                <w:sz w:val="16"/>
              </w:rPr>
              <w:t xml:space="preserve">Cours actuel : </w:t>
            </w:r>
            <w:r>
              <w:rPr>
                <w:color w:val="000000"/>
                <w:sz w:val="17"/>
              </w:rPr>
              <w:t>8,145 FCFA</w:t>
            </w:r>
          </w:p>
          <w:p>
            <w:r>
              <w:rPr>
                <w:b/>
                <w:color w:val="503200"/>
                <w:sz w:val="16"/>
              </w:rPr>
              <w:t xml:space="preserve">Var. 100 jours : </w:t>
            </w:r>
            <w:r>
              <w:rPr>
                <w:b/>
                <w:color w:val="007800"/>
                <w:sz w:val="17"/>
              </w:rPr>
              <w:t>+1.94%</w:t>
            </w:r>
          </w:p>
          <w:p>
            <w:r>
              <w:rPr>
                <w:b/>
                <w:color w:val="503200"/>
                <w:sz w:val="16"/>
              </w:rPr>
              <w:t xml:space="preserve">Plus haut 100j : </w:t>
            </w:r>
            <w:r>
              <w:rPr>
                <w:color w:val="000000"/>
                <w:sz w:val="17"/>
              </w:rPr>
              <w:t>8,500 FCFA</w:t>
            </w:r>
          </w:p>
          <w:p>
            <w:r>
              <w:rPr>
                <w:b/>
                <w:color w:val="503200"/>
                <w:sz w:val="16"/>
              </w:rPr>
              <w:t xml:space="preserve">Plus bas 100j : </w:t>
            </w:r>
            <w:r>
              <w:rPr>
                <w:color w:val="000000"/>
                <w:sz w:val="17"/>
              </w:rPr>
              <w:t>7,250 FCFA</w:t>
            </w:r>
          </w:p>
          <w:p>
            <w:r>
              <w:rPr>
                <w:b/>
                <w:color w:val="503200"/>
                <w:sz w:val="16"/>
              </w:rPr>
              <w:t xml:space="preserve">Volatilité ann. : </w:t>
            </w:r>
            <w:r>
              <w:rPr>
                <w:color w:val="000000"/>
                <w:sz w:val="17"/>
              </w:rPr>
              <w:t>26.0%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9.3/100 → Faible</w:t>
      </w:r>
    </w:p>
    <w:p>
      <w:pPr>
        <w:spacing w:before="40" w:after="80"/>
      </w:pPr>
      <w:r>
        <w:rPr>
          <w:rFonts w:ascii="Courier New" w:hAnsi="Courier New"/>
          <w:color w:val="006400"/>
          <w:sz w:val="18"/>
        </w:rPr>
        <w:t>█░░░░░░░░░░░░░░░░░░░  9.3/100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4.89% (Faible) — μ=7,775 FCFA, σ=380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β=0.5691 (Défensif) — Cov=0.000042, Var(idx)=0.000075, ρ=0.296,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11,507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σ_j=1.64%/j (Stable) — Vol. annualisée≈26.0%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C000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71/100  (Excellent)</w:t>
      </w:r>
    </w:p>
    <w:p/>
    <w:p>
      <w:pPr>
        <w:jc w:val="center"/>
      </w:pPr>
      <w:r>
        <w:drawing>
          <wp:inline xmlns:a="http://schemas.openxmlformats.org/drawingml/2006/main" xmlns:pic="http://schemas.openxmlformats.org/drawingml/2006/picture">
            <wp:extent cx="5669280" cy="2635585"/>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2026-10-16</w:t>
            </w:r>
          </w:p>
        </w:tc>
        <w:tc>
          <w:tcPr>
            <w:tcW w:type="dxa" w:w="1440"/>
            <w:shd w:fill="FFDCE0" w:val="clear"/>
          </w:tcPr>
          <w:p>
            <w:r>
              <w:rPr>
                <w:sz w:val="17"/>
              </w:rPr>
              <w:t>7,787</w:t>
            </w:r>
          </w:p>
        </w:tc>
        <w:tc>
          <w:tcPr>
            <w:tcW w:type="dxa" w:w="1440"/>
            <w:shd w:fill="FFDCE0" w:val="clear"/>
          </w:tcPr>
          <w:p>
            <w:r>
              <w:rPr>
                <w:b/>
                <w:sz w:val="17"/>
              </w:rPr>
              <w:t>7,965</w:t>
            </w:r>
          </w:p>
        </w:tc>
        <w:tc>
          <w:tcPr>
            <w:tcW w:type="dxa" w:w="1440"/>
            <w:shd w:fill="FFDCE0" w:val="clear"/>
          </w:tcPr>
          <w:p>
            <w:r>
              <w:rPr>
                <w:sz w:val="17"/>
              </w:rPr>
              <w:t>8,143</w:t>
            </w:r>
          </w:p>
        </w:tc>
        <w:tc>
          <w:tcPr>
            <w:tcW w:type="dxa" w:w="1440"/>
            <w:shd w:fill="FFDCE0" w:val="clear"/>
          </w:tcPr>
          <w:p>
            <w:r>
              <w:rPr>
                <w:b/>
                <w:color w:val="C00000"/>
                <w:sz w:val="17"/>
              </w:rPr>
              <w:t>-2.2%</w:t>
            </w:r>
          </w:p>
        </w:tc>
      </w:tr>
      <w:tr>
        <w:tc>
          <w:tcPr>
            <w:tcW w:type="dxa" w:w="1440"/>
            <w:shd w:fill="FFDCE0" w:val="clear"/>
          </w:tcPr>
          <w:p>
            <w:r>
              <w:rPr>
                <w:sz w:val="17"/>
              </w:rPr>
              <w:t>J+2  ⭐⭐⭐</w:t>
            </w:r>
          </w:p>
        </w:tc>
        <w:tc>
          <w:tcPr>
            <w:tcW w:type="dxa" w:w="1440"/>
            <w:shd w:fill="FFDCE0" w:val="clear"/>
          </w:tcPr>
          <w:p>
            <w:r>
              <w:rPr>
                <w:sz w:val="17"/>
              </w:rPr>
              <w:t>2026-10-19</w:t>
            </w:r>
          </w:p>
        </w:tc>
        <w:tc>
          <w:tcPr>
            <w:tcW w:type="dxa" w:w="1440"/>
            <w:shd w:fill="FFDCE0" w:val="clear"/>
          </w:tcPr>
          <w:p>
            <w:r>
              <w:rPr>
                <w:sz w:val="17"/>
              </w:rPr>
              <w:t>7,601</w:t>
            </w:r>
          </w:p>
        </w:tc>
        <w:tc>
          <w:tcPr>
            <w:tcW w:type="dxa" w:w="1440"/>
            <w:shd w:fill="FFDCE0" w:val="clear"/>
          </w:tcPr>
          <w:p>
            <w:r>
              <w:rPr>
                <w:b/>
                <w:sz w:val="17"/>
              </w:rPr>
              <w:t>7,849</w:t>
            </w:r>
          </w:p>
        </w:tc>
        <w:tc>
          <w:tcPr>
            <w:tcW w:type="dxa" w:w="1440"/>
            <w:shd w:fill="FFDCE0" w:val="clear"/>
          </w:tcPr>
          <w:p>
            <w:r>
              <w:rPr>
                <w:sz w:val="17"/>
              </w:rPr>
              <w:t>8,097</w:t>
            </w:r>
          </w:p>
        </w:tc>
        <w:tc>
          <w:tcPr>
            <w:tcW w:type="dxa" w:w="1440"/>
            <w:shd w:fill="FFDCE0" w:val="clear"/>
          </w:tcPr>
          <w:p>
            <w:r>
              <w:rPr>
                <w:b/>
                <w:color w:val="C00000"/>
                <w:sz w:val="17"/>
              </w:rPr>
              <w:t>-3.6%</w:t>
            </w:r>
          </w:p>
        </w:tc>
      </w:tr>
      <w:tr>
        <w:tc>
          <w:tcPr>
            <w:tcW w:type="dxa" w:w="1440"/>
            <w:shd w:fill="FFDCE0" w:val="clear"/>
          </w:tcPr>
          <w:p>
            <w:r>
              <w:rPr>
                <w:sz w:val="17"/>
              </w:rPr>
              <w:t>J+3  ⭐⭐⭐</w:t>
            </w:r>
          </w:p>
        </w:tc>
        <w:tc>
          <w:tcPr>
            <w:tcW w:type="dxa" w:w="1440"/>
            <w:shd w:fill="FFDCE0" w:val="clear"/>
          </w:tcPr>
          <w:p>
            <w:r>
              <w:rPr>
                <w:sz w:val="17"/>
              </w:rPr>
              <w:t>2026-10-20</w:t>
            </w:r>
          </w:p>
        </w:tc>
        <w:tc>
          <w:tcPr>
            <w:tcW w:type="dxa" w:w="1440"/>
            <w:shd w:fill="FFDCE0" w:val="clear"/>
          </w:tcPr>
          <w:p>
            <w:r>
              <w:rPr>
                <w:sz w:val="17"/>
              </w:rPr>
              <w:t>7,436</w:t>
            </w:r>
          </w:p>
        </w:tc>
        <w:tc>
          <w:tcPr>
            <w:tcW w:type="dxa" w:w="1440"/>
            <w:shd w:fill="FFDCE0" w:val="clear"/>
          </w:tcPr>
          <w:p>
            <w:r>
              <w:rPr>
                <w:b/>
                <w:sz w:val="17"/>
              </w:rPr>
              <w:t>7,735</w:t>
            </w:r>
          </w:p>
        </w:tc>
        <w:tc>
          <w:tcPr>
            <w:tcW w:type="dxa" w:w="1440"/>
            <w:shd w:fill="FFDCE0" w:val="clear"/>
          </w:tcPr>
          <w:p>
            <w:r>
              <w:rPr>
                <w:sz w:val="17"/>
              </w:rPr>
              <w:t>8,035</w:t>
            </w:r>
          </w:p>
        </w:tc>
        <w:tc>
          <w:tcPr>
            <w:tcW w:type="dxa" w:w="1440"/>
            <w:shd w:fill="FFDCE0" w:val="clear"/>
          </w:tcPr>
          <w:p>
            <w:r>
              <w:rPr>
                <w:b/>
                <w:color w:val="C00000"/>
                <w:sz w:val="17"/>
              </w:rPr>
              <w:t>-5.0%</w:t>
            </w:r>
          </w:p>
        </w:tc>
      </w:tr>
      <w:tr>
        <w:tc>
          <w:tcPr>
            <w:tcW w:type="dxa" w:w="1440"/>
            <w:shd w:fill="FFDCE0" w:val="clear"/>
          </w:tcPr>
          <w:p>
            <w:r>
              <w:rPr>
                <w:sz w:val="17"/>
              </w:rPr>
              <w:t>J+4  Moyenne</w:t>
            </w:r>
          </w:p>
        </w:tc>
        <w:tc>
          <w:tcPr>
            <w:tcW w:type="dxa" w:w="1440"/>
            <w:shd w:fill="FFDCE0" w:val="clear"/>
          </w:tcPr>
          <w:p>
            <w:r>
              <w:rPr>
                <w:sz w:val="17"/>
              </w:rPr>
              <w:t>2026-10-21</w:t>
            </w:r>
          </w:p>
        </w:tc>
        <w:tc>
          <w:tcPr>
            <w:tcW w:type="dxa" w:w="1440"/>
            <w:shd w:fill="FFDCE0" w:val="clear"/>
          </w:tcPr>
          <w:p>
            <w:r>
              <w:rPr>
                <w:sz w:val="17"/>
              </w:rPr>
              <w:t>7,290</w:t>
            </w:r>
          </w:p>
        </w:tc>
        <w:tc>
          <w:tcPr>
            <w:tcW w:type="dxa" w:w="1440"/>
            <w:shd w:fill="FFDCE0" w:val="clear"/>
          </w:tcPr>
          <w:p>
            <w:r>
              <w:rPr>
                <w:b/>
                <w:sz w:val="17"/>
              </w:rPr>
              <w:t>7,631</w:t>
            </w:r>
          </w:p>
        </w:tc>
        <w:tc>
          <w:tcPr>
            <w:tcW w:type="dxa" w:w="1440"/>
            <w:shd w:fill="FFDCE0" w:val="clear"/>
          </w:tcPr>
          <w:p>
            <w:r>
              <w:rPr>
                <w:sz w:val="17"/>
              </w:rPr>
              <w:t>7,973</w:t>
            </w:r>
          </w:p>
        </w:tc>
        <w:tc>
          <w:tcPr>
            <w:tcW w:type="dxa" w:w="1440"/>
            <w:shd w:fill="FFDCE0" w:val="clear"/>
          </w:tcPr>
          <w:p>
            <w:r>
              <w:rPr>
                <w:b/>
                <w:color w:val="C00000"/>
                <w:sz w:val="17"/>
              </w:rPr>
              <w:t>-6.3%</w:t>
            </w:r>
          </w:p>
        </w:tc>
      </w:tr>
      <w:tr>
        <w:tc>
          <w:tcPr>
            <w:tcW w:type="dxa" w:w="1440"/>
            <w:shd w:fill="FFDCE0" w:val="clear"/>
          </w:tcPr>
          <w:p>
            <w:r>
              <w:rPr>
                <w:sz w:val="17"/>
              </w:rPr>
              <w:t>J+5  Moyenne</w:t>
            </w:r>
          </w:p>
        </w:tc>
        <w:tc>
          <w:tcPr>
            <w:tcW w:type="dxa" w:w="1440"/>
            <w:shd w:fill="FFDCE0" w:val="clear"/>
          </w:tcPr>
          <w:p>
            <w:r>
              <w:rPr>
                <w:sz w:val="17"/>
              </w:rPr>
              <w:t>2026-10-22</w:t>
            </w:r>
          </w:p>
        </w:tc>
        <w:tc>
          <w:tcPr>
            <w:tcW w:type="dxa" w:w="1440"/>
            <w:shd w:fill="FFDCE0" w:val="clear"/>
          </w:tcPr>
          <w:p>
            <w:r>
              <w:rPr>
                <w:sz w:val="17"/>
              </w:rPr>
              <w:t>7,157</w:t>
            </w:r>
          </w:p>
        </w:tc>
        <w:tc>
          <w:tcPr>
            <w:tcW w:type="dxa" w:w="1440"/>
            <w:shd w:fill="FFDCE0" w:val="clear"/>
          </w:tcPr>
          <w:p>
            <w:r>
              <w:rPr>
                <w:b/>
                <w:sz w:val="17"/>
              </w:rPr>
              <w:t>7,534</w:t>
            </w:r>
          </w:p>
        </w:tc>
        <w:tc>
          <w:tcPr>
            <w:tcW w:type="dxa" w:w="1440"/>
            <w:shd w:fill="FFDCE0" w:val="clear"/>
          </w:tcPr>
          <w:p>
            <w:r>
              <w:rPr>
                <w:sz w:val="17"/>
              </w:rPr>
              <w:t>7,910</w:t>
            </w:r>
          </w:p>
        </w:tc>
        <w:tc>
          <w:tcPr>
            <w:tcW w:type="dxa" w:w="1440"/>
            <w:shd w:fill="FFDCE0" w:val="clear"/>
          </w:tcPr>
          <w:p>
            <w:r>
              <w:rPr>
                <w:b/>
                <w:color w:val="C00000"/>
                <w:sz w:val="17"/>
              </w:rPr>
              <w:t>-7.5%</w:t>
            </w:r>
          </w:p>
        </w:tc>
      </w:tr>
      <w:tr>
        <w:tc>
          <w:tcPr>
            <w:tcW w:type="dxa" w:w="1440"/>
            <w:shd w:fill="FFDCE0" w:val="clear"/>
          </w:tcPr>
          <w:p>
            <w:r>
              <w:rPr>
                <w:sz w:val="17"/>
              </w:rPr>
              <w:t>J+6  Moyenne</w:t>
            </w:r>
          </w:p>
        </w:tc>
        <w:tc>
          <w:tcPr>
            <w:tcW w:type="dxa" w:w="1440"/>
            <w:shd w:fill="FFDCE0" w:val="clear"/>
          </w:tcPr>
          <w:p>
            <w:r>
              <w:rPr>
                <w:sz w:val="17"/>
              </w:rPr>
              <w:t>2026-10-23</w:t>
            </w:r>
          </w:p>
        </w:tc>
        <w:tc>
          <w:tcPr>
            <w:tcW w:type="dxa" w:w="1440"/>
            <w:shd w:fill="FFDCE0" w:val="clear"/>
          </w:tcPr>
          <w:p>
            <w:r>
              <w:rPr>
                <w:sz w:val="17"/>
              </w:rPr>
              <w:t>7,033</w:t>
            </w:r>
          </w:p>
        </w:tc>
        <w:tc>
          <w:tcPr>
            <w:tcW w:type="dxa" w:w="1440"/>
            <w:shd w:fill="FFDCE0" w:val="clear"/>
          </w:tcPr>
          <w:p>
            <w:r>
              <w:rPr>
                <w:b/>
                <w:sz w:val="17"/>
              </w:rPr>
              <w:t>7,441</w:t>
            </w:r>
          </w:p>
        </w:tc>
        <w:tc>
          <w:tcPr>
            <w:tcW w:type="dxa" w:w="1440"/>
            <w:shd w:fill="FFDCE0" w:val="clear"/>
          </w:tcPr>
          <w:p>
            <w:r>
              <w:rPr>
                <w:sz w:val="17"/>
              </w:rPr>
              <w:t>7,848</w:t>
            </w:r>
          </w:p>
        </w:tc>
        <w:tc>
          <w:tcPr>
            <w:tcW w:type="dxa" w:w="1440"/>
            <w:shd w:fill="FFDCE0" w:val="clear"/>
          </w:tcPr>
          <w:p>
            <w:r>
              <w:rPr>
                <w:b/>
                <w:color w:val="C00000"/>
                <w:sz w:val="17"/>
              </w:rPr>
              <w:t>-8.6%</w:t>
            </w:r>
          </w:p>
        </w:tc>
      </w:tr>
      <w:tr>
        <w:tc>
          <w:tcPr>
            <w:tcW w:type="dxa" w:w="1440"/>
            <w:shd w:fill="FFDCE0" w:val="clear"/>
          </w:tcPr>
          <w:p>
            <w:r>
              <w:rPr>
                <w:sz w:val="17"/>
              </w:rPr>
              <w:t>J+7  Moyenne</w:t>
            </w:r>
          </w:p>
        </w:tc>
        <w:tc>
          <w:tcPr>
            <w:tcW w:type="dxa" w:w="1440"/>
            <w:shd w:fill="FFDCE0" w:val="clear"/>
          </w:tcPr>
          <w:p>
            <w:r>
              <w:rPr>
                <w:sz w:val="17"/>
              </w:rPr>
              <w:t>2026-10-26</w:t>
            </w:r>
          </w:p>
        </w:tc>
        <w:tc>
          <w:tcPr>
            <w:tcW w:type="dxa" w:w="1440"/>
            <w:shd w:fill="FFDCE0" w:val="clear"/>
          </w:tcPr>
          <w:p>
            <w:r>
              <w:rPr>
                <w:sz w:val="17"/>
              </w:rPr>
              <w:t>6,917</w:t>
            </w:r>
          </w:p>
        </w:tc>
        <w:tc>
          <w:tcPr>
            <w:tcW w:type="dxa" w:w="1440"/>
            <w:shd w:fill="FFDCE0" w:val="clear"/>
          </w:tcPr>
          <w:p>
            <w:r>
              <w:rPr>
                <w:b/>
                <w:sz w:val="17"/>
              </w:rPr>
              <w:t>7,352</w:t>
            </w:r>
          </w:p>
        </w:tc>
        <w:tc>
          <w:tcPr>
            <w:tcW w:type="dxa" w:w="1440"/>
            <w:shd w:fill="FFDCE0" w:val="clear"/>
          </w:tcPr>
          <w:p>
            <w:r>
              <w:rPr>
                <w:sz w:val="17"/>
              </w:rPr>
              <w:t>7,787</w:t>
            </w:r>
          </w:p>
        </w:tc>
        <w:tc>
          <w:tcPr>
            <w:tcW w:type="dxa" w:w="1440"/>
            <w:shd w:fill="FFDCE0" w:val="clear"/>
          </w:tcPr>
          <w:p>
            <w:r>
              <w:rPr>
                <w:b/>
                <w:color w:val="C00000"/>
                <w:sz w:val="17"/>
              </w:rPr>
              <w:t>-9.7%</w:t>
            </w:r>
          </w:p>
        </w:tc>
      </w:tr>
      <w:tr>
        <w:tc>
          <w:tcPr>
            <w:tcW w:type="dxa" w:w="1440"/>
            <w:shd w:fill="FFDCE0" w:val="clear"/>
          </w:tcPr>
          <w:p>
            <w:r>
              <w:rPr>
                <w:sz w:val="17"/>
              </w:rPr>
              <w:t>J+8  Moyenne</w:t>
            </w:r>
          </w:p>
        </w:tc>
        <w:tc>
          <w:tcPr>
            <w:tcW w:type="dxa" w:w="1440"/>
            <w:shd w:fill="FFDCE0" w:val="clear"/>
          </w:tcPr>
          <w:p>
            <w:r>
              <w:rPr>
                <w:sz w:val="17"/>
              </w:rPr>
              <w:t>2026-10-27</w:t>
            </w:r>
          </w:p>
        </w:tc>
        <w:tc>
          <w:tcPr>
            <w:tcW w:type="dxa" w:w="1440"/>
            <w:shd w:fill="FFDCE0" w:val="clear"/>
          </w:tcPr>
          <w:p>
            <w:r>
              <w:rPr>
                <w:sz w:val="17"/>
              </w:rPr>
              <w:t>6,807</w:t>
            </w:r>
          </w:p>
        </w:tc>
        <w:tc>
          <w:tcPr>
            <w:tcW w:type="dxa" w:w="1440"/>
            <w:shd w:fill="FFDCE0" w:val="clear"/>
          </w:tcPr>
          <w:p>
            <w:r>
              <w:rPr>
                <w:b/>
                <w:sz w:val="17"/>
              </w:rPr>
              <w:t>7,267</w:t>
            </w:r>
          </w:p>
        </w:tc>
        <w:tc>
          <w:tcPr>
            <w:tcW w:type="dxa" w:w="1440"/>
            <w:shd w:fill="FFDCE0" w:val="clear"/>
          </w:tcPr>
          <w:p>
            <w:r>
              <w:rPr>
                <w:sz w:val="17"/>
              </w:rPr>
              <w:t>7,727</w:t>
            </w:r>
          </w:p>
        </w:tc>
        <w:tc>
          <w:tcPr>
            <w:tcW w:type="dxa" w:w="1440"/>
            <w:shd w:fill="FFDCE0" w:val="clear"/>
          </w:tcPr>
          <w:p>
            <w:r>
              <w:rPr>
                <w:b/>
                <w:color w:val="C00000"/>
                <w:sz w:val="17"/>
              </w:rPr>
              <w:t>-10.8%</w:t>
            </w:r>
          </w:p>
        </w:tc>
      </w:tr>
      <w:tr>
        <w:tc>
          <w:tcPr>
            <w:tcW w:type="dxa" w:w="1440"/>
            <w:shd w:fill="FFDCE0" w:val="clear"/>
          </w:tcPr>
          <w:p>
            <w:r>
              <w:rPr>
                <w:sz w:val="17"/>
              </w:rPr>
              <w:t>J+9  Moyenne</w:t>
            </w:r>
          </w:p>
        </w:tc>
        <w:tc>
          <w:tcPr>
            <w:tcW w:type="dxa" w:w="1440"/>
            <w:shd w:fill="FFDCE0" w:val="clear"/>
          </w:tcPr>
          <w:p>
            <w:r>
              <w:rPr>
                <w:sz w:val="17"/>
              </w:rPr>
              <w:t>2026-10-28</w:t>
            </w:r>
          </w:p>
        </w:tc>
        <w:tc>
          <w:tcPr>
            <w:tcW w:type="dxa" w:w="1440"/>
            <w:shd w:fill="FFDCE0" w:val="clear"/>
          </w:tcPr>
          <w:p>
            <w:r>
              <w:rPr>
                <w:sz w:val="17"/>
              </w:rPr>
              <w:t>6,704</w:t>
            </w:r>
          </w:p>
        </w:tc>
        <w:tc>
          <w:tcPr>
            <w:tcW w:type="dxa" w:w="1440"/>
            <w:shd w:fill="FFDCE0" w:val="clear"/>
          </w:tcPr>
          <w:p>
            <w:r>
              <w:rPr>
                <w:b/>
                <w:sz w:val="17"/>
              </w:rPr>
              <w:t>7,186</w:t>
            </w:r>
          </w:p>
        </w:tc>
        <w:tc>
          <w:tcPr>
            <w:tcW w:type="dxa" w:w="1440"/>
            <w:shd w:fill="FFDCE0" w:val="clear"/>
          </w:tcPr>
          <w:p>
            <w:r>
              <w:rPr>
                <w:sz w:val="17"/>
              </w:rPr>
              <w:t>7,669</w:t>
            </w:r>
          </w:p>
        </w:tc>
        <w:tc>
          <w:tcPr>
            <w:tcW w:type="dxa" w:w="1440"/>
            <w:shd w:fill="FFDCE0" w:val="clear"/>
          </w:tcPr>
          <w:p>
            <w:r>
              <w:rPr>
                <w:b/>
                <w:color w:val="C00000"/>
                <w:sz w:val="17"/>
              </w:rPr>
              <w:t>-11.8%</w:t>
            </w:r>
          </w:p>
        </w:tc>
      </w:tr>
      <w:tr>
        <w:tc>
          <w:tcPr>
            <w:tcW w:type="dxa" w:w="1440"/>
            <w:shd w:fill="FFDCE0" w:val="clear"/>
          </w:tcPr>
          <w:p>
            <w:r>
              <w:rPr>
                <w:sz w:val="17"/>
              </w:rPr>
              <w:t>J+10  Moyenne</w:t>
            </w:r>
          </w:p>
        </w:tc>
        <w:tc>
          <w:tcPr>
            <w:tcW w:type="dxa" w:w="1440"/>
            <w:shd w:fill="FFDCE0" w:val="clear"/>
          </w:tcPr>
          <w:p>
            <w:r>
              <w:rPr>
                <w:sz w:val="17"/>
              </w:rPr>
              <w:t>2026-10-29</w:t>
            </w:r>
          </w:p>
        </w:tc>
        <w:tc>
          <w:tcPr>
            <w:tcW w:type="dxa" w:w="1440"/>
            <w:shd w:fill="FFDCE0" w:val="clear"/>
          </w:tcPr>
          <w:p>
            <w:r>
              <w:rPr>
                <w:sz w:val="17"/>
              </w:rPr>
              <w:t>6,606</w:t>
            </w:r>
          </w:p>
        </w:tc>
        <w:tc>
          <w:tcPr>
            <w:tcW w:type="dxa" w:w="1440"/>
            <w:shd w:fill="FFDCE0" w:val="clear"/>
          </w:tcPr>
          <w:p>
            <w:r>
              <w:rPr>
                <w:b/>
                <w:sz w:val="17"/>
              </w:rPr>
              <w:t>7,109</w:t>
            </w:r>
          </w:p>
        </w:tc>
        <w:tc>
          <w:tcPr>
            <w:tcW w:type="dxa" w:w="1440"/>
            <w:shd w:fill="FFDCE0" w:val="clear"/>
          </w:tcPr>
          <w:p>
            <w:r>
              <w:rPr>
                <w:sz w:val="17"/>
              </w:rPr>
              <w:t>7,612</w:t>
            </w:r>
          </w:p>
        </w:tc>
        <w:tc>
          <w:tcPr>
            <w:tcW w:type="dxa" w:w="1440"/>
            <w:shd w:fill="FFDCE0" w:val="clear"/>
          </w:tcPr>
          <w:p>
            <w:r>
              <w:rPr>
                <w:b/>
                <w:color w:val="C00000"/>
                <w:sz w:val="17"/>
              </w:rPr>
              <w:t>-12.7%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43.781 Mds FCFA</w:t>
            </w:r>
          </w:p>
        </w:tc>
        <w:tc>
          <w:tcPr>
            <w:tcW w:type="dxa" w:w="5669"/>
            <w:shd w:fill="FFFFFF" w:val="clear"/>
          </w:tcPr>
          <w:p>
            <w:r>
              <w:rPr>
                <w:color w:val="282828"/>
                <w:sz w:val="15"/>
              </w:rPr>
              <w:t>Représente 5.2%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220.680 Mds FCFA</w:t>
            </w:r>
          </w:p>
        </w:tc>
        <w:tc>
          <w:tcPr>
            <w:tcW w:type="dxa" w:w="5669"/>
            <w:shd w:fill="FFFFFF" w:val="clear"/>
          </w:tcPr>
          <w:p>
            <w:r>
              <w:rPr>
                <w:color w:val="282828"/>
                <w:sz w:val="15"/>
              </w:rPr>
              <w:t>Titres d'État détenus (26.4%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72.929 Mds FCFA</w:t>
            </w:r>
          </w:p>
        </w:tc>
        <w:tc>
          <w:tcPr>
            <w:tcW w:type="dxa" w:w="5669"/>
            <w:shd w:fill="FFFFFF" w:val="clear"/>
          </w:tcPr>
          <w:p>
            <w:r>
              <w:rPr>
                <w:color w:val="282828"/>
                <w:sz w:val="15"/>
              </w:rPr>
              <w:t>Prêts aux autres banques (8.7%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386.424 Mds FCFA</w:t>
            </w:r>
          </w:p>
        </w:tc>
        <w:tc>
          <w:tcPr>
            <w:tcW w:type="dxa" w:w="5669"/>
            <w:shd w:fill="FFFFFF" w:val="clear"/>
          </w:tcPr>
          <w:p>
            <w:r>
              <w:rPr>
                <w:color w:val="282828"/>
                <w:sz w:val="15"/>
              </w:rPr>
              <w:t>Portefeuille crédits (46.2%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673.00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21.866 Mds FCFA</w:t>
            </w:r>
          </w:p>
        </w:tc>
        <w:tc>
          <w:tcPr>
            <w:tcW w:type="dxa" w:w="5669"/>
            <w:shd w:fill="FFFFFF" w:val="clear"/>
          </w:tcPr>
          <w:p>
            <w:r>
              <w:rPr>
                <w:color w:val="282828"/>
                <w:sz w:val="15"/>
              </w:rPr>
              <w:t>Outil industriel (2.6%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23.185 Mds FCFA</w:t>
            </w:r>
          </w:p>
        </w:tc>
        <w:tc>
          <w:tcPr>
            <w:tcW w:type="dxa" w:w="5669"/>
            <w:shd w:fill="FFFFFF" w:val="clear"/>
          </w:tcPr>
          <w:p>
            <w:r>
              <w:rPr>
                <w:color w:val="282828"/>
                <w:sz w:val="15"/>
              </w:rPr>
              <w:t>Actif immobilisé = 2.8%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116.710 Mds FCFA</w:t>
            </w:r>
          </w:p>
        </w:tc>
        <w:tc>
          <w:tcPr>
            <w:tcW w:type="dxa" w:w="5669"/>
            <w:shd w:fill="FFFFFF" w:val="clear"/>
          </w:tcPr>
          <w:p>
            <w:r>
              <w:rPr>
                <w:color w:val="282828"/>
                <w:sz w:val="15"/>
              </w:rPr>
              <w:t>Liquidités disponibles (14.0%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836.158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36.000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15.129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96.526 Mds FCFA</w:t>
            </w:r>
          </w:p>
        </w:tc>
        <w:tc>
          <w:tcPr>
            <w:tcW w:type="dxa" w:w="5669"/>
            <w:shd w:fill="FFFFFF" w:val="clear"/>
          </w:tcPr>
          <w:p>
            <w:r>
              <w:rPr>
                <w:color w:val="282828"/>
                <w:sz w:val="15"/>
              </w:rPr>
              <w:t>Fonds propres = 11.5%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97.868 Mds FCFA</w:t>
            </w:r>
          </w:p>
        </w:tc>
        <w:tc>
          <w:tcPr>
            <w:tcW w:type="dxa" w:w="5669"/>
            <w:shd w:fill="FFFFFF" w:val="clear"/>
          </w:tcPr>
          <w:p>
            <w:r>
              <w:rPr>
                <w:color w:val="282828"/>
                <w:sz w:val="15"/>
              </w:rPr>
              <w:t>Capitaux permanents / Actif immobilisé = 4.22x.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37.998 Mds FCFA</w:t>
            </w:r>
          </w:p>
        </w:tc>
        <w:tc>
          <w:tcPr>
            <w:tcW w:type="dxa" w:w="5669"/>
            <w:shd w:fill="FFFFFF" w:val="clear"/>
          </w:tcPr>
          <w:p>
            <w:r>
              <w:rPr>
                <w:color w:val="282828"/>
                <w:sz w:val="15"/>
              </w:rPr>
              <w:t>Refinancement interbancaire (4.5%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686.927 Mds FCFA</w:t>
            </w:r>
          </w:p>
        </w:tc>
        <w:tc>
          <w:tcPr>
            <w:tcW w:type="dxa" w:w="5669"/>
            <w:shd w:fill="FFFFFF" w:val="clear"/>
          </w:tcPr>
          <w:p>
            <w:r>
              <w:rPr>
                <w:color w:val="282828"/>
                <w:sz w:val="15"/>
              </w:rPr>
              <w:t>Dépôts clients = 82.2%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37.998 Mds FCFA</w:t>
            </w:r>
          </w:p>
        </w:tc>
        <w:tc>
          <w:tcPr>
            <w:tcW w:type="dxa" w:w="5669"/>
            <w:shd w:fill="FFFFFF" w:val="clear"/>
          </w:tcPr>
          <w:p>
            <w:r>
              <w:rPr>
                <w:color w:val="282828"/>
                <w:sz w:val="15"/>
              </w:rPr>
              <w:t>Dette financière totale = 39%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739.632 Mds FCFA</w:t>
            </w:r>
          </w:p>
        </w:tc>
        <w:tc>
          <w:tcPr>
            <w:tcW w:type="dxa" w:w="5669"/>
            <w:shd w:fill="FFFFFF" w:val="clear"/>
          </w:tcPr>
          <w:p>
            <w:r>
              <w:rPr>
                <w:color w:val="282828"/>
                <w:sz w:val="15"/>
              </w:rPr>
              <w:t>Dettes totales = 88.5%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51.926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51.926 Mds FCFA</w:t>
            </w:r>
          </w:p>
        </w:tc>
        <w:tc>
          <w:tcPr>
            <w:tcW w:type="dxa" w:w="5669"/>
            <w:shd w:fill="FFFFFF" w:val="clear"/>
          </w:tcPr>
          <w:p>
            <w:r>
              <w:rPr>
                <w:color w:val="282828"/>
                <w:sz w:val="15"/>
              </w:rPr>
              <w:t>Revenu bancaire central (≡ CA). Croissance: 4.6%.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49.353 Mds FCFA</w:t>
            </w:r>
          </w:p>
        </w:tc>
        <w:tc>
          <w:tcPr>
            <w:tcW w:type="dxa" w:w="5669"/>
            <w:shd w:fill="FFFFFF" w:val="clear"/>
          </w:tcPr>
          <w:p>
            <w:r>
              <w:rPr>
                <w:color w:val="282828"/>
                <w:sz w:val="15"/>
              </w:rPr>
              <w:t>Revenus d'intérêts sur crédits (95%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18.648 Mds FCFA</w:t>
            </w:r>
          </w:p>
        </w:tc>
        <w:tc>
          <w:tcPr>
            <w:tcW w:type="dxa" w:w="5669"/>
            <w:shd w:fill="FFFFFF" w:val="clear"/>
          </w:tcPr>
          <w:p>
            <w:r>
              <w:rPr>
                <w:color w:val="282828"/>
                <w:sz w:val="15"/>
              </w:rPr>
              <w:t>Coût des dépôts collectés (36%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21.942 Mds FCFA</w:t>
            </w:r>
          </w:p>
        </w:tc>
        <w:tc>
          <w:tcPr>
            <w:tcW w:type="dxa" w:w="5669"/>
            <w:shd w:fill="FFFFFF" w:val="clear"/>
          </w:tcPr>
          <w:p>
            <w:r>
              <w:rPr>
                <w:color w:val="282828"/>
                <w:sz w:val="15"/>
              </w:rPr>
              <w:t>Revenus de commissions (42.3%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20.167 Mds FCFA</w:t>
            </w:r>
          </w:p>
        </w:tc>
        <w:tc>
          <w:tcPr>
            <w:tcW w:type="dxa" w:w="5669"/>
            <w:shd w:fill="FFFFFF" w:val="clear"/>
          </w:tcPr>
          <w:p>
            <w:r>
              <w:rPr>
                <w:color w:val="282828"/>
                <w:sz w:val="15"/>
              </w:rPr>
              <w:t>38.8%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2.690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29.069 Mds FCFA</w:t>
            </w:r>
          </w:p>
        </w:tc>
        <w:tc>
          <w:tcPr>
            <w:tcW w:type="dxa" w:w="5669"/>
            <w:shd w:fill="FFFFFF" w:val="clear"/>
          </w:tcPr>
          <w:p>
            <w:r>
              <w:rPr>
                <w:color w:val="282828"/>
                <w:sz w:val="15"/>
              </w:rPr>
              <w:t>RBE = 56.0%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24.723 Mds FCFA</w:t>
            </w:r>
          </w:p>
        </w:tc>
        <w:tc>
          <w:tcPr>
            <w:tcW w:type="dxa" w:w="5669"/>
            <w:shd w:fill="FFFFFF" w:val="clear"/>
          </w:tcPr>
          <w:p>
            <w:r>
              <w:rPr>
                <w:color w:val="282828"/>
                <w:sz w:val="15"/>
              </w:rPr>
              <w:t>Profit d'exploitation = 47.6%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4.346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21.905 Mds FCFA</w:t>
            </w:r>
          </w:p>
        </w:tc>
        <w:tc>
          <w:tcPr>
            <w:tcW w:type="dxa" w:w="5669"/>
            <w:shd w:fill="FFFFFF" w:val="clear"/>
          </w:tcPr>
          <w:p>
            <w:r>
              <w:rPr>
                <w:color w:val="282828"/>
                <w:sz w:val="15"/>
              </w:rPr>
              <w:t>Marge nette = 42.2%.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24.595 Mds FCFA</w:t>
            </w:r>
          </w:p>
        </w:tc>
        <w:tc>
          <w:tcPr>
            <w:tcW w:type="dxa" w:w="5669"/>
            <w:shd w:fill="FFFFFF" w:val="clear"/>
          </w:tcPr>
          <w:p>
            <w:r>
              <w:rPr>
                <w:color w:val="282828"/>
                <w:sz w:val="15"/>
              </w:rPr>
              <w:t>CAF = 24.59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78.712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55.98%</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42.19%</w:t>
            </w:r>
          </w:p>
        </w:tc>
        <w:tc>
          <w:tcPr>
            <w:tcW w:type="dxa" w:w="5669"/>
            <w:shd w:fill="FFFFFF" w:val="clear"/>
          </w:tcPr>
          <w:p>
            <w:r>
              <w:rPr>
                <w:color w:val="282828"/>
                <w:sz w:val="15"/>
              </w:rPr>
              <w:t>Résultat net / revenus = 42.19%.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47.61%</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22.69%</w:t>
            </w:r>
          </w:p>
        </w:tc>
        <w:tc>
          <w:tcPr>
            <w:tcW w:type="dxa" w:w="5669"/>
            <w:shd w:fill="FFFFFF" w:val="clear"/>
          </w:tcPr>
          <w:p>
            <w:r>
              <w:rPr>
                <w:color w:val="282828"/>
                <w:sz w:val="15"/>
              </w:rPr>
              <w:t>Résultat net / capitaux propres = 22.69%.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2.62%</w:t>
            </w:r>
          </w:p>
        </w:tc>
        <w:tc>
          <w:tcPr>
            <w:tcW w:type="dxa" w:w="5669"/>
            <w:shd w:fill="FFFFFF" w:val="clear"/>
          </w:tcPr>
          <w:p>
            <w:r>
              <w:rPr>
                <w:color w:val="282828"/>
                <w:sz w:val="15"/>
              </w:rPr>
              <w:t>Résultat net / total actif = 2.62%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6.21%</w:t>
            </w:r>
          </w:p>
        </w:tc>
        <w:tc>
          <w:tcPr>
            <w:tcW w:type="dxa" w:w="5669"/>
            <w:shd w:fill="FFFFFF" w:val="clear"/>
          </w:tcPr>
          <w:p>
            <w:r>
              <w:rPr>
                <w:color w:val="282828"/>
                <w:sz w:val="15"/>
              </w:rPr>
              <w:t>CA / total actif = 6.21x.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44.02%</w:t>
            </w:r>
          </w:p>
        </w:tc>
        <w:tc>
          <w:tcPr>
            <w:tcW w:type="dxa" w:w="5669"/>
            <w:shd w:fill="FFFFFF" w:val="clear"/>
          </w:tcPr>
          <w:p>
            <w:r>
              <w:rPr>
                <w:color w:val="282828"/>
                <w:sz w:val="15"/>
              </w:rPr>
              <w:t>Charges / PNB = 44.02%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23.31%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4.55%</w:t>
            </w:r>
          </w:p>
        </w:tc>
        <w:tc>
          <w:tcPr>
            <w:tcW w:type="dxa" w:w="5669"/>
            <w:shd w:fill="FFFFFF" w:val="clear"/>
          </w:tcPr>
          <w:p>
            <w:r>
              <w:rPr>
                <w:color w:val="282828"/>
                <w:sz w:val="15"/>
              </w:rPr>
              <w:t>Croissance PNB vs exercice précédent = 4.55%.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11.54%</w:t>
            </w:r>
          </w:p>
        </w:tc>
        <w:tc>
          <w:tcPr>
            <w:tcW w:type="dxa" w:w="5669"/>
            <w:shd w:fill="FFFFFF" w:val="clear"/>
          </w:tcPr>
          <w:p>
            <w:r>
              <w:rPr>
                <w:color w:val="282828"/>
                <w:sz w:val="15"/>
              </w:rPr>
              <w:t>Fonds propres / total bilan = 11.54%.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88.46%</w:t>
            </w:r>
          </w:p>
        </w:tc>
        <w:tc>
          <w:tcPr>
            <w:tcW w:type="dxa" w:w="5669"/>
            <w:shd w:fill="FFFFFF" w:val="clear"/>
          </w:tcPr>
          <w:p>
            <w:r>
              <w:rPr>
                <w:color w:val="282828"/>
                <w:sz w:val="15"/>
              </w:rPr>
              <w:t>Dettes financières / total bilan = 88.46%.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39.37%</w:t>
            </w:r>
          </w:p>
        </w:tc>
        <w:tc>
          <w:tcPr>
            <w:tcW w:type="dxa" w:w="5669"/>
            <w:shd w:fill="FFFFFF" w:val="clear"/>
          </w:tcPr>
          <w:p>
            <w:r>
              <w:rPr>
                <w:color w:val="282828"/>
                <w:sz w:val="15"/>
              </w:rPr>
              <w:t>Dettes totales / fonds propres = 39.37%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113.05%</w:t>
            </w:r>
          </w:p>
        </w:tc>
        <w:tc>
          <w:tcPr>
            <w:tcW w:type="dxa" w:w="5669"/>
            <w:shd w:fill="FFFFFF" w:val="clear"/>
          </w:tcPr>
          <w:p>
            <w:r>
              <w:rPr>
                <w:color w:val="282828"/>
                <w:sz w:val="15"/>
              </w:rPr>
              <w:t>Total actif / dettes totales = 113.05x.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416.33%</w:t>
            </w:r>
          </w:p>
        </w:tc>
        <w:tc>
          <w:tcPr>
            <w:tcW w:type="dxa" w:w="5669"/>
            <w:shd w:fill="FFFFFF" w:val="clear"/>
          </w:tcPr>
          <w:p>
            <w:r>
              <w:rPr>
                <w:color w:val="282828"/>
                <w:sz w:val="15"/>
              </w:rPr>
              <w:t>Capitaux permanents / actif immobilisé = 416.33x.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1.5 ans</w:t>
            </w:r>
          </w:p>
        </w:tc>
        <w:tc>
          <w:tcPr>
            <w:tcW w:type="dxa" w:w="5669"/>
            <w:shd w:fill="FFFFFF" w:val="clear"/>
          </w:tcPr>
          <w:p>
            <w:r>
              <w:rPr>
                <w:color w:val="282828"/>
                <w:sz w:val="15"/>
              </w:rPr>
              <w:t>Dettes financières / CAF = 1.5 ans. ✅ Dette remboursable rapidement.</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132.58%</w:t>
            </w:r>
          </w:p>
        </w:tc>
        <w:tc>
          <w:tcPr>
            <w:tcW w:type="dxa" w:w="5669"/>
            <w:shd w:fill="FFFFFF" w:val="clear"/>
          </w:tcPr>
          <w:p>
            <w:r>
              <w:rPr>
                <w:color w:val="282828"/>
                <w:sz w:val="15"/>
              </w:rPr>
              <w:t>Résultat exploit. / charges financières = 132.58x. ⚠️ Couverture limite — sensible aux hausses de taux.</w:t>
            </w:r>
          </w:p>
        </w:tc>
      </w:tr>
    </w:tbl>
    <w:p/>
    <w:p>
      <w:pPr>
        <w:spacing w:after="120" w:line="276" w:lineRule="auto"/>
      </w:pPr>
      <w:r>
        <w:t># 📊 RAPPORT D'ANALYSE FINANCIÈRE — BANK OF AFRICA SÉNÉGAL (BOAS)</w:t>
        <w:br/>
        <w:t>### BRVM | Secteur : Banque | Cours de référence : 8 145 FCFA</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293,22 Mds FCFA, BOAS s'impose comme une valeur de premier plan de la cote BRVM, représentant une capitalisation significative à l'échelle du marché régional. Le BPA de 608 FCFA/action signifie que chaque titre génère près de 608 FCFA de bénéfice net, un niveau de rentabilité par action solide pour une banque. Le PER de 13,4x place le titre légèrement au-dessus de la fourchette moyenne du marché BRVM (~8-12x), traduisant une prime modérée mais justifiée par la qualité des fondamentaux. Le P/B de 3,04x indique que le marché valorise BOAS à environ trois fois sa valeur comptable, une prime de croissance cohérente avec un ROE supérieur à 22%. Enfin, l'EV/EBITDA de 8,7x, situé dans la fourchette raisonnable de 5-10x, suggère que la valeur d'entreprise reste proportionnée à la capacité opérationnelle de la banque, sans excès spéculatif manifeste.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BOAS affiche une variation totale de +1,94%, avec une dernière séance en légère hausse de +0,12%, confirmant une dynamique haussière modérée mais régulière. Le titre a évolué dans un range de 1 250 FCFA, entre un plus bas de 7 250 FCFA et un plus haut de 8 500 FCFA, le cours actuel de 8 145 FCFA se situant dans la partie haute de cette fourchette, à environ 4,2% sous son sommet. La tendance générale est donc haussière, soutenue par une progression constante depuis le point bas. Les statistiques descriptives révèlent une moyenne de 7 775 FCFA légèrement supérieure à la médiane de 7 705 FCFA, signe d'une distribution faiblement asymétrique à droite, confirmée par un skewness de 0,171 (distribution quasi symétrique). L'écart-type de 382 FCFA et le coefficient de variation de 4,9% indiquent une dispersion faible du cours autour de sa moyenne, gage de stabilité. Le kurtosis de -1,412 (distribution platykurtique) signale une distribution aplatie avec une faible concentration des rendements extrêmes, donc un risque de pics de volatilité limité. Enfin, la volatilité annualisée de 26,0% classe le titre dans la catégorie des valeurs à volatilité modérée (15-30%), ce qui est cohérent avec un profil de valeur bancaire de qualité sur la BRVM.</w:t>
      </w:r>
    </w:p>
    <w:p>
      <w:pPr>
        <w:spacing w:after="120" w:line="276" w:lineRule="auto"/>
      </w:pPr>
      <w:r>
        <w:t>---</w:t>
      </w:r>
    </w:p>
    <w:p>
      <w:pPr>
        <w:spacing w:after="120" w:line="276" w:lineRule="auto"/>
      </w:pPr>
      <w:r>
        <w:t>## PARTIE 2 : ANALYSE TECHNIQUE DÉTAILLÉE</w:t>
      </w:r>
    </w:p>
    <w:p>
      <w:pPr>
        <w:spacing w:after="120" w:line="276" w:lineRule="auto"/>
      </w:pPr>
      <w:r>
        <w:t>**Moyennes Mobiles** : La MM20 (8 098,5 FCFA) et la MM50 (8 082,4 FCFA) se situent toutes deux sous le cours actuel (8 145 FCFA), avec une MM20 légèrement au-dessus de la MM50, configuration classique de tendance haussière de court terme. Le signal d'achat est confirmé par cette position favorable du cours au-dessus de ses deux moyennes, bien que l'écart reste ténu (moins de 1%).</w:t>
      </w:r>
    </w:p>
    <w:p>
      <w:pPr>
        <w:spacing w:after="120" w:line="276" w:lineRule="auto"/>
      </w:pPr>
      <w:r>
        <w:t>**Bandes de Bollinger** : Le cours (8 145 FCFA) évolue dans la partie supérieure de la bande, entre la borne inférieure (7 791,3 FCFA) et la borne supérieure (8 405,7 FCFA), sans franchissement de cette dernière. La décision est neutre car le titre n'est ni en surachat extrême ni en survente, la largeur des bandes reflétant une volatilité contenue et un potentiel de consolidation avant cassure.</w:t>
      </w:r>
    </w:p>
    <w:p>
      <w:pPr>
        <w:spacing w:after="120" w:line="276" w:lineRule="auto"/>
      </w:pPr>
      <w:r>
        <w:t>**MACD** : La valeur du MACD (28,39) est légèrement inférieure à son signal (29,773), générant une décision de vente. Cette divergence négative, bien que marginale, indique un essoufflement du momentum haussier et invite à la prudence sur le court terme, sans invalider la tendance de fond.</w:t>
      </w:r>
    </w:p>
    <w:p>
      <w:pPr>
        <w:spacing w:after="120" w:line="276" w:lineRule="auto"/>
      </w:pPr>
      <w:r>
        <w:t>**RSI** : À 78,519, le RSI se situe nettement au-dessus du seuil de surachat de 70, déclenchant une décision de vente. Cette lecture suggère que le titre a été fortement acheté récemment et qu'un repli technique ou une phase de consolidation est probable avant la poursuite du mouvement haussier.</w:t>
      </w:r>
    </w:p>
    <w:p>
      <w:pPr>
        <w:spacing w:after="120" w:line="276" w:lineRule="auto"/>
      </w:pPr>
      <w:r>
        <w:t>**Stochastique** : Le %K (30,0) est nettement inférieur au %D (63,288), configuration baissière indiquant que le cours perd de la vitesse en bas de sa fourchette récente. La décision reste neutre, mais ce croisement défavorable plaide pour une pause dans la dynamique haussière.</w:t>
      </w:r>
    </w:p>
    <w:p>
      <w:pPr>
        <w:spacing w:after="120" w:line="276" w:lineRule="auto"/>
      </w:pPr>
      <w:r>
        <w:t>**Conclusion technique** : Les indicateurs présentent une divergence notable. Les moyennes mobiles valident une tendance haussière de fond, mais le MACD, le RSI en surachat et le stochastique signalent un essoufflement à court terme. Le titre se trouve dans une zone de consolidation probable, avec un support immédiat autour de 7 790-8 080 FCFA (borne inférieure de Bollinger et MM50) et une résistance à 8 405-8 500 FCFA. La configuration globale suggère une prise de bénéfices partielle plutôt qu'un retournement baissier durable.</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BOAS affiche un Produit Net Bancaire (PNB) de 51,926 Mds FCFA, un résultat net de 21,905 Mds FCFA et un total bilan de 836,158 Mds FCFA. La rentabilité est excellente avec un ROE de 22,69% (largement supérieur au seuil de 15%) et un ROA de 2,62%. Le coefficient d'exploitation s'établit à 44,02%, nettement en dessous du seuil de 60%, confirmant l'efficacité opérationnelle de la banque. Le coût du risque rapporté aux charges financières est de 23,31%, un niveau élevé qui appelle une surveillance accrue du portefeuille de crédits. La structure financière montre une autonomie financière de 11,54% (capitaux propres/total bilan), typique du modèle bancaire où les dépôts clientèle (686,927 Mds FCFA) constituent la principale ressource, face à des créances clientèle de 386,424 Mds FCFA — soit un ratio de transformation (crédits/dépôts) de 56,3%, traduisant une marge de déploiement importante. La couverture des intérêts est solide à 132,58% et la capacité de remboursement de 1,54 an est confortable.</w:t>
      </w:r>
    </w:p>
    <w:p>
      <w:pPr>
        <w:spacing w:after="120" w:line="276" w:lineRule="auto"/>
      </w:pPr>
      <w:r>
        <w:t>**Estimations basées sur les rapports trimestriels** : Le rapport du T1 2026 (publié le 31 mars 2026) confirme la dynamique avec un PNB de 12,580 Mds FCFA en hausse de 6,82% et un résultat net de 5,741 Mds FCFA en progression de 9,78%, accompagné d'une amélioration du coefficient d'exploitation à 42,1% (contre 42,8% un an plus tôt) et d'une forte collecte de ressources clientèle (+16,68% à 648 038 Mds FCFA). Le rapport du S1 2026 (analysé le 23 septembre 2026) fait état d'un PNB semestriel de 27 206 Mds FCFA en hausse, confirmant la trajectoire. Sur cette base, on estime que l'exercice 2026 devrait enregistrer un PNB annuel d'environ 54-55 Mds FCFA (+5-6%) et un résultat net de l'ordre de 23-24 Mds FCFA (+6-9%), prolongeant la croissance observée. Les rapports antérieurs (T3 2025, S1 2025, T1 2025) montrent une évolution cohérente : PNB en croissance de 6,7% sur 9 mois 2025, résultat net en hausse de 10,0%, avec un coût du risque en amélioration continue (de -1,8% à -0,5% du PNB). La recommandation fondamentale est positive : BOAS présente une solidité financière avérée, une rentabilité élevée et une croissance régulière, avec pour principaux risques la concentration sur le marché sénégalais et le niveau élevé du coût du risque.</w:t>
      </w:r>
    </w:p>
    <w:p>
      <w:pPr>
        <w:spacing w:after="120" w:line="276" w:lineRule="auto"/>
      </w:pPr>
      <w:r>
        <w:t>---</w:t>
      </w:r>
    </w:p>
    <w:p>
      <w:pPr>
        <w:spacing w:after="120" w:line="276" w:lineRule="auto"/>
      </w:pPr>
      <w:r>
        <w:t>## PARTIE 4 : CONCLUSION D'INVESTISSEMENT</w:t>
      </w:r>
    </w:p>
    <w:p>
      <w:pPr>
        <w:spacing w:after="120" w:line="276" w:lineRule="auto"/>
      </w:pPr>
      <w:r>
        <w:t>La valorisation de BOAS (PER 13,4x, P/B 3,04x, EV/EBITDA 8,7x) traduit une légère prime par rapport à la moyenne du marché BRVM, mais cette prime est justifiée par un ROE de 22,69% et une croissance régulière du résultat net. Le comportement du cours sur 100 jours est favorable (+1,94%, volatilité modérée de 26%, distribution symétrique et platykurtique sans risque de pics extrêmes), bien que le titre évolue dans la partie haute de sa fourchette. Les signaux techniques sont mitigés : les moyennes mobiles valident la tendance haussière, mais le RSI en surachat (78,5), le MACD baissier et le stochastique défavorable suggèrent une consolidation à court terme. Les fondamentaux demeurent solides, avec un PNB 2025 de 51,926 Mds FCFA, un résultat net de 21,905 Mds FCFA et des rapports trimestriels 2026 confirmant la poursuite de la croissance (+6,8% de PNB au T1 2026). Les prédictions IA anticipent cependant une correction baissière sur 10 jours, de 7 965 FCFA (J+1) à 7 534 FCFA (J+10), soit un repli d'environ 7,5% depuis le cours actuel, ce qui contredit la tendance haussière de fond mais s'aligne sur les signaux techniques de surachat. **Recommandation finale : CONSERVER**, avec un biais favorable pour les investisseurs déjà positionnés. La convergence entre valorisation raisonnable, fondamentaux solides et prédictions de correction à court terme plaide pour une attitude attentiste : les détenteurs peuvent conserver leur position en vue d'un renforcement sur repli vers 7 500-7 700 FCFA, tandis que les nouveaux entrants gagneraient à attendre la consolidation annoncée. Le niveau de confiance est **Moyen** (divergence entre technique et fondamental) et le risque global **Moyen** (volatilité modérée, coût du risque élevé, concentration géographique). L'horizon d'investissement optimal est le **moyen terme (3-12 mois)**, le temps que la consolidation technique s'achève et que la croissance fondamentale se matérialise dans les cours.</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banque affiche une croissance \u00e9quilibr\u00e9e avec une progression solide de tous ses agr\u00e9gats financiers. La hausse significative des d\u00e9p\u00f4ts clients et l'am\u00e9lioration de la rentabilit\u00e9 t\u00e9moignent d'une dynamique positive."}</w:t>
      </w:r>
    </w:p>
    <w:p>
      <w:pPr>
        <w:spacing w:before="40"/>
        <w:ind w:left="400"/>
      </w:pPr>
      <w:r>
        <w:rPr>
          <w:sz w:val="18"/>
        </w:rPr>
        <w:t>Bank of Africa Sénégal présente une croissance solide de ses activités entre mars 2025 et mars 2026. Le total de l'actif progresse significativement de 748,246 à 805,991 millions FCFA, soit une hausse de 7,7%. Le résultat net s'améliore de 5,230 à 5,741 millions FCFA, témoignant d'une rentabilité en progression. Les dépôts clients augmentent fortement de 555,391 à 631,038 millions FCFA, reflétant une confiance accrue. Les engagements hors bilan croissent également, passant de 523,531 à 597,010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{'depots_clients': '631,038 millions FCFA', 'creances_clients': '408,143 millions FCFA', 'produit_net_bancaire': '12,580 millions FCFA', 'engagements_hors_bilan': '597,010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805,991 millions FCFA</w:t>
            </w:r>
          </w:p>
        </w:tc>
      </w:tr>
      <w:tr>
        <w:tc>
          <w:tcPr>
            <w:tcW w:type="dxa" w:w="2160"/>
          </w:tcPr>
          <w:p>
            <w:r/>
            <w:r>
              <w:rPr>
                <w:b/>
                <w:sz w:val="16"/>
              </w:rPr>
              <w:t>resultat_net</w:t>
              <w:br/>
            </w:r>
            <w:r>
              <w:rPr>
                <w:sz w:val="18"/>
              </w:rPr>
              <w:t>5,741 millions FCFA</w:t>
            </w:r>
          </w:p>
        </w:tc>
        <w:tc>
          <w:tcPr>
            <w:tcW w:type="dxa" w:w="2160"/>
          </w:tcPr>
          <w:p>
            <w:r/>
            <w:r>
              <w:rPr>
                <w:b/>
                <w:sz w:val="16"/>
              </w:rPr>
              <w:t>capitaux_propres</w:t>
              <w:br/>
            </w:r>
            <w:r>
              <w:rPr>
                <w:sz w:val="18"/>
              </w:rPr>
              <w:t>102,267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7,7% à 805,991 millions FCFA</w:t>
      </w:r>
    </w:p>
    <w:p>
      <w:pPr>
        <w:pStyle w:val="ListBullet"/>
        <w:spacing w:before="20" w:after="20"/>
        <w:ind w:left="700"/>
      </w:pPr>
      <w:r>
        <w:rPr>
          <w:sz w:val="18"/>
        </w:rPr>
        <w:t>Progression du résultat net de 9,8% à 5,741 millions FCFA</w:t>
      </w:r>
    </w:p>
    <w:p>
      <w:pPr>
        <w:pStyle w:val="ListBullet"/>
        <w:spacing w:before="20" w:after="20"/>
        <w:ind w:left="700"/>
      </w:pPr>
      <w:r>
        <w:rPr>
          <w:sz w:val="18"/>
        </w:rPr>
        <w:t>Forte hausse des dépôts clients (+13,6%) à 631,038 millions FCFA</w:t>
      </w:r>
    </w:p>
    <w:p>
      <w:pPr>
        <w:pStyle w:val="ListBullet"/>
        <w:spacing w:before="20" w:after="20"/>
        <w:ind w:left="700"/>
      </w:pPr>
      <w:r>
        <w:rPr>
          <w:sz w:val="18"/>
        </w:rPr>
        <w:t>Amélioration du produit net bancaire de 11,776 à 12,580 millions FCFA (+6,8%)</w:t>
      </w:r>
    </w:p>
    <w:p>
      <w:pPr>
        <w:pStyle w:val="ListBullet"/>
        <w:spacing w:before="20" w:after="20"/>
        <w:ind w:left="700"/>
      </w:pPr>
      <w:r>
        <w:rPr>
          <w:sz w:val="18"/>
        </w:rPr>
        <w:t>Augmentation des créances clients de 389,996 à 408,143 millions FCFA</w:t>
      </w:r>
    </w:p>
    <w:p>
      <w:pPr>
        <w:pStyle w:val="ListBullet"/>
        <w:spacing w:before="20" w:after="20"/>
        <w:ind w:left="700"/>
      </w:pPr>
      <w:r>
        <w:rPr>
          <w:sz w:val="18"/>
        </w:rPr>
        <w:t>Progression des capitaux propres de 93,851 à 102,267 millions FCFA</w:t>
      </w:r>
    </w:p>
    <w:p>
      <w:pPr>
        <w:spacing w:before="40"/>
        <w:ind w:left="400"/>
      </w:pPr>
      <w:r>
        <w:rPr>
          <w:b/>
          <w:color w:val="C05000"/>
          <w:sz w:val="18"/>
        </w:rPr>
        <w:t xml:space="preserve">⚠️ Risques : </w:t>
      </w:r>
      <w:r>
        <w:rPr>
          <w:sz w:val="18"/>
        </w:rPr>
        <w:t>["Augmentation du co\u00fbt du risque de 814 \u00e0 802 millions FCFA n\u00e9cessitant une surveillance", "Concentration potentielle sur le march\u00e9 s\u00e9n\u00e9galais limitant la diversification g\u00e9ographique", "Exposition aux fluctuations r\u00e9glementaires du secteur bancaire en Afrique</w:t>
      </w:r>
    </w:p>
    <w:p>
      <w:pPr>
        <w:spacing w:before="40"/>
        <w:ind w:left="400"/>
      </w:pPr>
      <w:r>
        <w:rPr>
          <w:b/>
          <w:color w:val="0064A0"/>
          <w:sz w:val="18"/>
        </w:rPr>
        <w:t xml:space="preserve">🔮 Perspectives : </w:t>
      </w:r>
      <w:r>
        <w:rPr>
          <w:sz w:val="18"/>
        </w:rPr>
        <w:t>La banque devrait poursuivre sa trajectoire de croissance avec une expansion continue de son portefeuille client et de ses activités. L'amélioration de la collecte de dépôts devrait soutenir le développement des crédits et renforcer la rentabilité à moyen terme.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banque affiche une croissance \u00e9quilibr\u00e9e avec une forte collecte de ressources et une am\u00e9lioration de l'efficacit\u00e9 op\u00e9rationnelle. La progression du r\u00e9sultat net de 9,78% et l'am\u00e9lioration du coefficient d'exploitation t\u00e9moignent d'une performance solide."}</w:t>
      </w:r>
    </w:p>
    <w:p>
      <w:pPr>
        <w:spacing w:before="40"/>
        <w:ind w:left="400"/>
      </w:pPr>
      <w:r>
        <w:rPr>
          <w:sz w:val="18"/>
        </w:rPr>
        <w:t>Bank of Africa Senegal présente des résultats solides au 1er trimestre 2026 avec une croissance totale du bilan de 7,7%. La banque renforce ses ressources clients (+16,68%) et maintient une progression de l'emploi (+4,76%). Le Produit Net Bancaire atteint 12 580 millions FCFA en hausse de 6,82%. Le résultat net progresse de 9,78% à 5 741 millions FCFA. Les ratios de rentabilité s'améliorent avec un coefficient d'exploitation qui passe de 42,8% à 42,1%.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{'emplois': '408 143 millions FCFA', 'ressources': '648 038 millions FCFA', 'cout_risque_credit': '-0,8%', 'marge_nette_bancaire': '4,5%', 'croissance_commissions': '10,1%', 'coefficient_exploitation': '42,1%'}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45,7%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5 741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12 580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bilan global de 7,7% démontrant une expansion soutenue</w:t>
      </w:r>
    </w:p>
    <w:p>
      <w:pPr>
        <w:pStyle w:val="ListBullet"/>
        <w:spacing w:before="20" w:after="20"/>
        <w:ind w:left="700"/>
      </w:pPr>
      <w:r>
        <w:rPr>
          <w:sz w:val="18"/>
        </w:rPr>
        <w:t>Forte progression des ressources clientèle de 16,68% (648 038 vs 555 391)</w:t>
      </w:r>
    </w:p>
    <w:p>
      <w:pPr>
        <w:pStyle w:val="ListBullet"/>
        <w:spacing w:before="20" w:after="20"/>
        <w:ind w:left="700"/>
      </w:pPr>
      <w:r>
        <w:rPr>
          <w:sz w:val="18"/>
        </w:rPr>
        <w:t>Augmentation modérée des emplois de 4,76% à 408 143 millions FCFA</w:t>
      </w:r>
    </w:p>
    <w:p>
      <w:pPr>
        <w:pStyle w:val="ListBullet"/>
        <w:spacing w:before="20" w:after="20"/>
        <w:ind w:left="700"/>
      </w:pPr>
      <w:r>
        <w:rPr>
          <w:sz w:val="18"/>
        </w:rPr>
        <w:t>Produit Net Bancaire en hausse de 6,82% à 12 580 millions FCFA</w:t>
      </w:r>
    </w:p>
    <w:p>
      <w:pPr>
        <w:pStyle w:val="ListBullet"/>
        <w:spacing w:before="20" w:after="20"/>
        <w:ind w:left="700"/>
      </w:pPr>
      <w:r>
        <w:rPr>
          <w:sz w:val="18"/>
        </w:rPr>
        <w:t>Amélioration du coefficient d'exploitation de 42,8% à 42,1%</w:t>
      </w:r>
    </w:p>
    <w:p>
      <w:pPr>
        <w:pStyle w:val="ListBullet"/>
        <w:spacing w:before="20" w:after="20"/>
        <w:ind w:left="700"/>
      </w:pPr>
      <w:r>
        <w:rPr>
          <w:sz w:val="18"/>
        </w:rPr>
        <w:t>Coût du risque de crédit stable à -0,8%</w:t>
      </w:r>
    </w:p>
    <w:p>
      <w:pPr>
        <w:spacing w:before="40"/>
        <w:ind w:left="400"/>
      </w:pPr>
      <w:r>
        <w:rPr>
          <w:b/>
          <w:color w:val="C05000"/>
          <w:sz w:val="18"/>
        </w:rPr>
        <w:t xml:space="preserve">⚠️ Risques : </w:t>
      </w:r>
      <w:r>
        <w:rPr>
          <w:sz w:val="18"/>
        </w:rPr>
        <w:t>["Croissance des emplois plus lente que celle des ressources pourrait limiter la rentabilit\u00e9 future", "Exposition au risque de cr\u00e9dit dans un environnement \u00e9conomique incertain", "D\u00e9pendance \u00e0 l'\u00e9volution des taux d'int\u00e9r\u00eat et de la conjoncture \u00e9conomique</w:t>
      </w:r>
    </w:p>
    <w:p>
      <w:pPr>
        <w:spacing w:before="40"/>
        <w:ind w:left="400"/>
      </w:pPr>
      <w:r>
        <w:rPr>
          <w:b/>
          <w:color w:val="0064A0"/>
          <w:sz w:val="18"/>
        </w:rPr>
        <w:t xml:space="preserve">🔮 Perspectives : </w:t>
      </w:r>
      <w:r>
        <w:rPr>
          <w:sz w:val="18"/>
        </w:rPr>
        <w:t>La banque semble bien positionnée pour poursuivre sa croissance avec une base de ressources renforcée et une efficacité opérationnelle améliorée. L'expansion du réseau d'agences et la consolidation de la collecte devraient soutenir la performance future.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"Excellente performance financi\u00e8re avec une croissance de 37% du r\u00e9sultat net et am\u00e9lioration de tous les indicateurs cl\u00e9s. La banque d\u00e9montre sa r\u00e9silience et sa capacit\u00e9 \u00e0 g\u00e9n\u00e9rer de la valeur malgr\u00e9 le contexte sanitaire."}</w:t>
      </w:r>
    </w:p>
    <w:p>
      <w:pPr>
        <w:spacing w:before="40"/>
        <w:ind w:left="400"/>
      </w:pPr>
      <w:r>
        <w:rPr>
          <w:sz w:val="18"/>
        </w:rPr>
        <w:t>Bank of Africa Sénégal affiche des résultats solides au T3 2021 avec une croissance de 14% du total bilan. Le Produit Net Bancaire progresse de 22% à 25,593 milliards FCFA, porté par l'évolution des marges et le développement des crédits. Le coefficient d'exploitation s'améliore de 11,5 points à 50,2% grâce à la maîtrise des frais généraux. Le résultat net bondit de 37% à 7,558 milliards FCFA malgré les impacts Covid. La banque maintient une bonne gestion du risque avec un coût du risque contenu à -1,8%.</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'-1,8%', 'produit_net_bancaire': '25 593 millions FCFA', 'resultat_avant_impots': '7 563 millions FCFA', 'coefficient_exploitation': '50,2%'}</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7 558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25 593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forte hausse de 21,95% à 25,593 milliards FCFA</w:t>
      </w:r>
    </w:p>
    <w:p>
      <w:pPr>
        <w:pStyle w:val="ListBullet"/>
        <w:spacing w:before="20" w:after="20"/>
        <w:ind w:left="700"/>
      </w:pPr>
      <w:r>
        <w:rPr>
          <w:sz w:val="18"/>
        </w:rPr>
        <w:t>Résultat net en progression de 37% atteignant 7,558 milliards FCFA</w:t>
      </w:r>
    </w:p>
    <w:p>
      <w:pPr>
        <w:pStyle w:val="ListBullet"/>
        <w:spacing w:before="20" w:after="20"/>
        <w:ind w:left="700"/>
      </w:pPr>
      <w:r>
        <w:rPr>
          <w:sz w:val="18"/>
        </w:rPr>
        <w:t>Amélioration significative du coefficient d'exploitation à 50,2% (-11,5 points)</w:t>
      </w:r>
    </w:p>
    <w:p>
      <w:pPr>
        <w:pStyle w:val="ListBullet"/>
        <w:spacing w:before="20" w:after="20"/>
        <w:ind w:left="700"/>
      </w:pPr>
      <w:r>
        <w:rPr>
          <w:sz w:val="18"/>
        </w:rPr>
        <w:t>Croissance soutenue du total bilan de 14%</w:t>
      </w:r>
    </w:p>
    <w:p>
      <w:pPr>
        <w:pStyle w:val="ListBullet"/>
        <w:spacing w:before="20" w:after="20"/>
        <w:ind w:left="700"/>
      </w:pPr>
      <w:r>
        <w:rPr>
          <w:sz w:val="18"/>
        </w:rPr>
        <w:t>Progression des dépôts clientèle de 7,8%</w:t>
      </w:r>
    </w:p>
    <w:p>
      <w:pPr>
        <w:pStyle w:val="ListBullet"/>
        <w:spacing w:before="20" w:after="20"/>
        <w:ind w:left="700"/>
      </w:pPr>
      <w:r>
        <w:rPr>
          <w:sz w:val="18"/>
        </w:rPr>
        <w:t>Développement des encours de crédits avec hausse de 8,6%</w:t>
      </w:r>
    </w:p>
    <w:p>
      <w:pPr>
        <w:spacing w:before="40"/>
        <w:ind w:left="400"/>
      </w:pPr>
      <w:r>
        <w:rPr>
          <w:b/>
          <w:color w:val="C05000"/>
          <w:sz w:val="18"/>
        </w:rPr>
        <w:t xml:space="preserve">⚠️ Risques : </w:t>
      </w:r>
      <w:r>
        <w:rPr>
          <w:sz w:val="18"/>
        </w:rPr>
        <w:t>["Persistance de la crise sanitaire Covid-19 et ses impacts \u00e9conomiques", "D\u00e9t\u00e9rioration potentielle de la qualit\u00e9 des actifs dans un contexte \u00e9conomique incertain", "Concurrence accrue sur le march\u00e9 bancaire s\u00e9n\u00e9galais"]</w:t>
      </w:r>
    </w:p>
    <w:p>
      <w:pPr>
        <w:spacing w:before="40"/>
        <w:ind w:left="400"/>
      </w:pPr>
      <w:r>
        <w:rPr>
          <w:b/>
          <w:color w:val="0064A0"/>
          <w:sz w:val="18"/>
        </w:rPr>
        <w:t xml:space="preserve">🔮 Perspectives : </w:t>
      </w:r>
      <w:r>
        <w:rPr>
          <w:sz w:val="18"/>
        </w:rPr>
        <w:t>La trajectoire positive de Bank of Africa Sénégal devrait se poursuivre avec la poursuite de la reprise économique. La banque est bien positionnée pour capitaliser sur la croissance des activités commerciales et maintenir sa dynamique de rentabilité.</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financi\u00e8res exceptionnelles de 2021 avec une croissance du r\u00e9sultat net de 44,4% et l'expansion soutenue de l'activit\u00e9 d\u00e9montrent la solidit\u00e9 du mod\u00e8le \u00e9conomique. La banque b\u00e9n\u00e9ficie d'une structure financi\u00e8re renforc\u00e9e et d'une dynamique commerciale favorable."}</w:t>
      </w:r>
    </w:p>
    <w:p>
      <w:pPr>
        <w:spacing w:before="40"/>
        <w:ind w:left="400"/>
      </w:pPr>
      <w:r>
        <w:rPr>
          <w:sz w:val="18"/>
        </w:rPr>
        <w:t>Bank of Africa Sénégal (BOA SN) présente des résultats financiers solides en 2021 avec une croissance significative de sa rentabilité. Le résultat net a progressé de 44,4% passant de 7,667 millions FCFA en 2020 à 11,070 millions FCFA en 2021. Le total de l'actif s'est apprécié de 11,5% atteignant 626,289 millions FCFA contre 561,588 millions FCFA l'année précédente. Les créances sur la clientèle ont enregistré une hausse notable de 15,1% à 321,621 millions FCFA, témoignant d'une expansion de l'activité de crédit. Les capitaux propres se sont renforcés avec une augmentation de 14,6% à 53,327 millions FCFA, consolidant ainsi la structure financière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'445,946 millions FCFA', 'creances_clientele': '321,621 millions FCFA', 'charges_exploitation': '15,829 millions FCFA', 'produit_net_bancaire': '35,727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626,289 millions FCFA</w:t>
            </w:r>
          </w:p>
        </w:tc>
      </w:tr>
      <w:tr>
        <w:tc>
          <w:tcPr>
            <w:tcW w:type="dxa" w:w="2160"/>
          </w:tcPr>
          <w:p>
            <w:r/>
            <w:r>
              <w:rPr>
                <w:b/>
                <w:sz w:val="16"/>
              </w:rPr>
              <w:t>resultat_net</w:t>
              <w:br/>
            </w:r>
            <w:r>
              <w:rPr>
                <w:sz w:val="18"/>
              </w:rPr>
              <w:t>11,070 millions FCFA</w:t>
            </w:r>
          </w:p>
        </w:tc>
        <w:tc>
          <w:tcPr>
            <w:tcW w:type="dxa" w:w="2160"/>
          </w:tcPr>
          <w:p>
            <w:r/>
            <w:r>
              <w:rPr>
                <w:b/>
                <w:sz w:val="16"/>
              </w:rPr>
              <w:t>capitaux_propres</w:t>
              <w:br/>
            </w:r>
            <w:r>
              <w:rPr>
                <w:sz w:val="18"/>
              </w:rPr>
              <w:t>53,327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résultat net de 44,4% en 2021 (11,070 millions FCFA vs 7,667 millions FCFA)</w:t>
      </w:r>
    </w:p>
    <w:p>
      <w:pPr>
        <w:pStyle w:val="ListBullet"/>
        <w:spacing w:before="20" w:after="20"/>
        <w:ind w:left="700"/>
      </w:pPr>
      <w:r>
        <w:rPr>
          <w:sz w:val="18"/>
        </w:rPr>
        <w:t>Progression du total actif de 11,5% à 626,289 millions FCFA</w:t>
      </w:r>
    </w:p>
    <w:p>
      <w:pPr>
        <w:pStyle w:val="ListBullet"/>
        <w:spacing w:before="20" w:after="20"/>
        <w:ind w:left="700"/>
      </w:pPr>
      <w:r>
        <w:rPr>
          <w:sz w:val="18"/>
        </w:rPr>
        <w:t>Expansion significative des créances clientèle de 15,1% (321,621 millions FCFA)</w:t>
      </w:r>
    </w:p>
    <w:p>
      <w:pPr>
        <w:pStyle w:val="ListBullet"/>
        <w:spacing w:before="20" w:after="20"/>
        <w:ind w:left="700"/>
      </w:pPr>
      <w:r>
        <w:rPr>
          <w:sz w:val="18"/>
        </w:rPr>
        <w:t>Renforcement des capitaux propres de 14,6% à 53,327 millions FCFA</w:t>
      </w:r>
    </w:p>
    <w:p>
      <w:pPr>
        <w:pStyle w:val="ListBullet"/>
        <w:spacing w:before="20" w:after="20"/>
        <w:ind w:left="700"/>
      </w:pPr>
      <w:r>
        <w:rPr>
          <w:sz w:val="18"/>
        </w:rPr>
        <w:t>Amélioration du produit net bancaire de 19,1% à 35,727 millions FCFA</w:t>
      </w:r>
    </w:p>
    <w:p>
      <w:pPr>
        <w:pStyle w:val="ListBullet"/>
        <w:spacing w:before="20" w:after="20"/>
        <w:ind w:left="700"/>
      </w:pPr>
      <w:r>
        <w:rPr>
          <w:sz w:val="18"/>
        </w:rPr>
        <w:t>Croissance des dépôts clientèle de 19,5% atteignant 445,946 millions FCFA</w:t>
      </w:r>
    </w:p>
    <w:p>
      <w:pPr>
        <w:spacing w:before="40"/>
        <w:ind w:left="400"/>
      </w:pPr>
      <w:r>
        <w:rPr>
          <w:b/>
          <w:color w:val="C05000"/>
          <w:sz w:val="18"/>
        </w:rPr>
        <w:t xml:space="preserve">⚠️ Risques : </w:t>
      </w:r>
      <w:r>
        <w:rPr>
          <w:sz w:val="18"/>
        </w:rPr>
        <w:t>["Exposition au risque de cr\u00e9dit avec l'expansion rapide du portefeuille de pr\u00eats", "D\u00e9pendance aux conditions \u00e9conomiques du march\u00e9 s\u00e9n\u00e9galais et r\u00e9gional", "Pression concurrentielle dans le secteur bancaire ouest-africain"]</w:t>
      </w:r>
    </w:p>
    <w:p>
      <w:pPr>
        <w:spacing w:before="40"/>
        <w:ind w:left="400"/>
      </w:pPr>
      <w:r>
        <w:rPr>
          <w:b/>
          <w:color w:val="0064A0"/>
          <w:sz w:val="18"/>
        </w:rPr>
        <w:t xml:space="preserve">🔮 Perspectives : </w:t>
      </w:r>
      <w:r>
        <w:rPr>
          <w:sz w:val="18"/>
        </w:rPr>
        <w:t xml:space="preserve">BOA SN devrait poursuivre sa trajectoire de croissance en 2022 grâce à sa position solide sur le marché bancaire sénégalais et à l'expansion de ses activités de crédit. La banque pourrait bénéficier de la reprise économique post-COVID et de sa stratégie d'expansion régionale au sein du groupe BMCE.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dynamique de croissance avec une rentabilit\u00e9 en forte hausse et une expansion soutenue de son activit\u00e9. La ma\u00eetrise des co\u00fbts et des risques conjugu\u00e9e \u00e0 la diversification des revenus offre de solides perspectives de d\u00e9veloppement."}</w:t>
      </w:r>
    </w:p>
    <w:p>
      <w:pPr>
        <w:spacing w:before="40"/>
        <w:ind w:left="400"/>
      </w:pPr>
      <w:r>
        <w:rPr>
          <w:sz w:val="18"/>
        </w:rPr>
        <w:t>BOA-SENEGAL a achevé son plan triennal de développement 2019-2021 avec un taux de réalisation global de plus de 80%. La banque affiche une forte croissance de sa rentabilité avec un résultat net de 11 070 millions FCFA au S2 2021, en hausse de 44,39% par rapport à 2020. Le produit net bancaire progresse de 19,10% à 35 727 millions FCFA, soutenu par une hausse des commissions de 18,7%. Les dépôts clients ont augmenté de 19,5% pour atteindre 445 946 millions FCFA et les crédits nets ont progressé de 15% à 321 621 millions FCFA. La banque maintient une maîtrise des risques avec un coût du risque contenu à -2,3% des encours de crédit.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'321 621 millions FCFA', 'cout_du_risque': '-6 617 millions FCFA', 'depots_clients': '445 946 millions FCFA', 'frais_generaux': '18 177 millions FCFA', 'part_marche_depots': '6,4%', 'part_marche_credits': '5,7%', 'produit_net_bancaire': '35 727 millions FCFA', 'resultat_brut_exploitation': '17 550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11 070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Achèvement réussi du plan triennal 2019-2021 avec un taux de réalisation de plus de 80%</w:t>
      </w:r>
    </w:p>
    <w:p>
      <w:pPr>
        <w:pStyle w:val="ListBullet"/>
        <w:spacing w:before="20" w:after="20"/>
        <w:ind w:left="700"/>
      </w:pPr>
      <w:r>
        <w:rPr>
          <w:sz w:val="18"/>
        </w:rPr>
        <w:t>Forte croissance du résultat net de 44,39% à 11 070 millions FCFA au S2 2021</w:t>
      </w:r>
    </w:p>
    <w:p>
      <w:pPr>
        <w:pStyle w:val="ListBullet"/>
        <w:spacing w:before="20" w:after="20"/>
        <w:ind w:left="700"/>
      </w:pPr>
      <w:r>
        <w:rPr>
          <w:sz w:val="18"/>
        </w:rPr>
        <w:t>Progression solide du produit net bancaire de 19,10% à 35 727 millions FCFA</w:t>
      </w:r>
    </w:p>
    <w:p>
      <w:pPr>
        <w:pStyle w:val="ListBullet"/>
        <w:spacing w:before="20" w:after="20"/>
        <w:ind w:left="700"/>
      </w:pPr>
      <w:r>
        <w:rPr>
          <w:sz w:val="18"/>
        </w:rPr>
        <w:t>Hausse significative des commissions de 18,7%, témoignant d'une diversification des revenus</w:t>
      </w:r>
    </w:p>
    <w:p>
      <w:pPr>
        <w:pStyle w:val="ListBullet"/>
        <w:spacing w:before="20" w:after="20"/>
        <w:ind w:left="700"/>
      </w:pPr>
      <w:r>
        <w:rPr>
          <w:sz w:val="18"/>
        </w:rPr>
        <w:t>Croissance soutenue des dépôts clients de 19,5% à 445 946 millions FCFA fin 2021</w:t>
      </w:r>
    </w:p>
    <w:p>
      <w:pPr>
        <w:pStyle w:val="ListBullet"/>
        <w:spacing w:before="20" w:after="20"/>
        <w:ind w:left="700"/>
      </w:pPr>
      <w:r>
        <w:rPr>
          <w:sz w:val="18"/>
        </w:rPr>
        <w:t>Expansion de l'activité crédit avec une hausse de 15% des crédits nets à 321 621 millions FCFA</w:t>
      </w:r>
    </w:p>
    <w:p>
      <w:pPr>
        <w:spacing w:before="40"/>
        <w:ind w:left="400"/>
      </w:pPr>
      <w:r>
        <w:rPr>
          <w:b/>
          <w:color w:val="C05000"/>
          <w:sz w:val="18"/>
        </w:rPr>
        <w:t xml:space="preserve">⚠️ Risques : </w:t>
      </w:r>
      <w:r>
        <w:rPr>
          <w:sz w:val="18"/>
        </w:rPr>
        <w:t>["Concurrence accrue sur le march\u00e9 bancaire s\u00e9n\u00e9galais", "\u00c9volution des conditions \u00e9conomiques et impact potentiel sur la qualit\u00e9 des cr\u00e9dits", "Pression sur les marges dans un environnement de taux bas"]</w:t>
      </w:r>
    </w:p>
    <w:p>
      <w:pPr>
        <w:spacing w:before="40"/>
        <w:ind w:left="400"/>
      </w:pPr>
      <w:r>
        <w:rPr>
          <w:b/>
          <w:color w:val="0064A0"/>
          <w:sz w:val="18"/>
        </w:rPr>
        <w:t xml:space="preserve">🔮 Perspectives : </w:t>
      </w:r>
      <w:r>
        <w:rPr>
          <w:sz w:val="18"/>
        </w:rPr>
        <w:t>BOA-SENEGAL devrait poursuivre sa dynamique de croissance portée par l'expansion de son réseau et le développement de nouveaux produits. La banque vise à renforcer ses parts de marché tout en maintenant sa discipline de gestion des risques et son focus sur la rentabilité.</w:t>
      </w:r>
    </w:p>
    <w:p/>
    <w:p>
      <w:r>
        <w:t>════════════════════════════════════════════════════════════════════════════════</w:t>
      </w:r>
    </w:p>
    <w:p>
      <w:r>
        <w:br w:type="page"/>
      </w:r>
    </w:p>
    <w:p>
      <w:pPr>
        <w:pStyle w:val="Heading2"/>
        <w:spacing w:before="360"/>
      </w:pPr>
      <w:r>
        <w:rPr>
          <w:color w:val="0066CC"/>
        </w:rPr>
        <w:t>12. CABC - CABC - SICABLE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CABC</w:t>
            </w:r>
          </w:p>
          <w:p>
            <w:r>
              <w:rPr>
                <w:b/>
                <w:color w:val="323250"/>
                <w:sz w:val="16"/>
              </w:rPr>
              <w:t xml:space="preserve">Société : </w:t>
            </w:r>
            <w:r>
              <w:rPr>
                <w:color w:val="000000"/>
                <w:sz w:val="16"/>
              </w:rPr>
              <w:t>CABC - SICABLE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18.06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2,056 titres</w:t>
            </w:r>
          </w:p>
        </w:tc>
        <w:tc>
          <w:tcPr>
            <w:tcW w:type="dxa" w:w="2268"/>
            <w:shd w:fill="FFF2CC" w:val="clear"/>
          </w:tcPr>
          <w:p>
            <w:r>
              <w:rPr>
                <w:b/>
                <w:color w:val="503200"/>
                <w:sz w:val="16"/>
              </w:rPr>
              <w:t xml:space="preserve">Cours actuel : </w:t>
            </w:r>
            <w:r>
              <w:rPr>
                <w:color w:val="000000"/>
                <w:sz w:val="17"/>
              </w:rPr>
              <w:t>3,050 FCFA</w:t>
            </w:r>
          </w:p>
          <w:p>
            <w:r>
              <w:rPr>
                <w:b/>
                <w:color w:val="503200"/>
                <w:sz w:val="16"/>
              </w:rPr>
              <w:t xml:space="preserve">Var. 100 jours : </w:t>
            </w:r>
            <w:r>
              <w:rPr>
                <w:b/>
                <w:color w:val="B40000"/>
                <w:sz w:val="17"/>
              </w:rPr>
              <w:t>-14.92%</w:t>
            </w:r>
          </w:p>
          <w:p>
            <w:r>
              <w:rPr>
                <w:b/>
                <w:color w:val="503200"/>
                <w:sz w:val="16"/>
              </w:rPr>
              <w:t xml:space="preserve">Plus haut 100j : </w:t>
            </w:r>
            <w:r>
              <w:rPr>
                <w:color w:val="000000"/>
                <w:sz w:val="17"/>
              </w:rPr>
              <w:t>4,500 FCFA</w:t>
            </w:r>
          </w:p>
          <w:p>
            <w:r>
              <w:rPr>
                <w:b/>
                <w:color w:val="503200"/>
                <w:sz w:val="16"/>
              </w:rPr>
              <w:t xml:space="preserve">Plus bas 100j : </w:t>
            </w:r>
            <w:r>
              <w:rPr>
                <w:color w:val="000000"/>
                <w:sz w:val="17"/>
              </w:rPr>
              <w:t>3,050 FCFA</w:t>
            </w:r>
          </w:p>
          <w:p>
            <w:r>
              <w:rPr>
                <w:b/>
                <w:color w:val="503200"/>
                <w:sz w:val="16"/>
              </w:rPr>
              <w:t xml:space="preserve">Volatilité ann. : </w:t>
            </w:r>
            <w:r>
              <w:rPr>
                <w:color w:val="000000"/>
                <w:sz w:val="17"/>
              </w:rPr>
              <w:t>46.0%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8.70% (Moyenne) — μ=3,658 FCFA, σ=318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β=0.2979 (Défensif) — Cov=0.000022, Var(idx)=0.000075, ρ=0.090,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2,056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σ_j=2.90%/j (Stable) — Vol. annualisée≈46.0%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2026-10-16</w:t>
            </w:r>
          </w:p>
        </w:tc>
        <w:tc>
          <w:tcPr>
            <w:tcW w:type="dxa" w:w="1440"/>
            <w:shd w:fill="FAFAFA" w:val="clear"/>
          </w:tcPr>
          <w:p>
            <w:r>
              <w:rPr>
                <w:sz w:val="17"/>
              </w:rPr>
              <w:t>2,937</w:t>
            </w:r>
          </w:p>
        </w:tc>
        <w:tc>
          <w:tcPr>
            <w:tcW w:type="dxa" w:w="1440"/>
            <w:shd w:fill="FAFAFA" w:val="clear"/>
          </w:tcPr>
          <w:p>
            <w:r>
              <w:rPr>
                <w:b/>
                <w:sz w:val="17"/>
              </w:rPr>
              <w:t>3,052</w:t>
            </w:r>
          </w:p>
        </w:tc>
        <w:tc>
          <w:tcPr>
            <w:tcW w:type="dxa" w:w="1440"/>
            <w:shd w:fill="FAFAFA" w:val="clear"/>
          </w:tcPr>
          <w:p>
            <w:r>
              <w:rPr>
                <w:sz w:val="17"/>
              </w:rPr>
              <w:t>3,168</w:t>
            </w:r>
          </w:p>
        </w:tc>
        <w:tc>
          <w:tcPr>
            <w:tcW w:type="dxa" w:w="1440"/>
            <w:shd w:fill="FAFAFA" w:val="clear"/>
          </w:tcPr>
          <w:p>
            <w:r>
              <w:rPr>
                <w:b/>
                <w:color w:val="008000"/>
                <w:sz w:val="17"/>
              </w:rPr>
              <w:t>+0.1%</w:t>
            </w:r>
          </w:p>
        </w:tc>
      </w:tr>
      <w:tr>
        <w:tc>
          <w:tcPr>
            <w:tcW w:type="dxa" w:w="1440"/>
            <w:shd w:fill="FAFAFA" w:val="clear"/>
          </w:tcPr>
          <w:p>
            <w:r>
              <w:rPr>
                <w:sz w:val="17"/>
              </w:rPr>
              <w:t>J+2  Moyenne</w:t>
            </w:r>
          </w:p>
        </w:tc>
        <w:tc>
          <w:tcPr>
            <w:tcW w:type="dxa" w:w="1440"/>
            <w:shd w:fill="FAFAFA" w:val="clear"/>
          </w:tcPr>
          <w:p>
            <w:r>
              <w:rPr>
                <w:sz w:val="17"/>
              </w:rPr>
              <w:t>2026-10-19</w:t>
            </w:r>
          </w:p>
        </w:tc>
        <w:tc>
          <w:tcPr>
            <w:tcW w:type="dxa" w:w="1440"/>
            <w:shd w:fill="FAFAFA" w:val="clear"/>
          </w:tcPr>
          <w:p>
            <w:r>
              <w:rPr>
                <w:sz w:val="17"/>
              </w:rPr>
              <w:t>2,894</w:t>
            </w:r>
          </w:p>
        </w:tc>
        <w:tc>
          <w:tcPr>
            <w:tcW w:type="dxa" w:w="1440"/>
            <w:shd w:fill="FAFAFA" w:val="clear"/>
          </w:tcPr>
          <w:p>
            <w:r>
              <w:rPr>
                <w:b/>
                <w:sz w:val="17"/>
              </w:rPr>
              <w:t>3,058</w:t>
            </w:r>
          </w:p>
        </w:tc>
        <w:tc>
          <w:tcPr>
            <w:tcW w:type="dxa" w:w="1440"/>
            <w:shd w:fill="FAFAFA" w:val="clear"/>
          </w:tcPr>
          <w:p>
            <w:r>
              <w:rPr>
                <w:sz w:val="17"/>
              </w:rPr>
              <w:t>3,222</w:t>
            </w:r>
          </w:p>
        </w:tc>
        <w:tc>
          <w:tcPr>
            <w:tcW w:type="dxa" w:w="1440"/>
            <w:shd w:fill="FAFAFA" w:val="clear"/>
          </w:tcPr>
          <w:p>
            <w:r>
              <w:rPr>
                <w:b/>
                <w:color w:val="008000"/>
                <w:sz w:val="17"/>
              </w:rPr>
              <w:t>+0.3%</w:t>
            </w:r>
          </w:p>
        </w:tc>
      </w:tr>
      <w:tr>
        <w:tc>
          <w:tcPr>
            <w:tcW w:type="dxa" w:w="1440"/>
            <w:shd w:fill="FAFAFA" w:val="clear"/>
          </w:tcPr>
          <w:p>
            <w:r>
              <w:rPr>
                <w:sz w:val="17"/>
              </w:rPr>
              <w:t>J+3  Moyenne</w:t>
            </w:r>
          </w:p>
        </w:tc>
        <w:tc>
          <w:tcPr>
            <w:tcW w:type="dxa" w:w="1440"/>
            <w:shd w:fill="FAFAFA" w:val="clear"/>
          </w:tcPr>
          <w:p>
            <w:r>
              <w:rPr>
                <w:sz w:val="17"/>
              </w:rPr>
              <w:t>2026-10-20</w:t>
            </w:r>
          </w:p>
        </w:tc>
        <w:tc>
          <w:tcPr>
            <w:tcW w:type="dxa" w:w="1440"/>
            <w:shd w:fill="FAFAFA" w:val="clear"/>
          </w:tcPr>
          <w:p>
            <w:r>
              <w:rPr>
                <w:sz w:val="17"/>
              </w:rPr>
              <w:t>2,865</w:t>
            </w:r>
          </w:p>
        </w:tc>
        <w:tc>
          <w:tcPr>
            <w:tcW w:type="dxa" w:w="1440"/>
            <w:shd w:fill="FAFAFA" w:val="clear"/>
          </w:tcPr>
          <w:p>
            <w:r>
              <w:rPr>
                <w:b/>
                <w:sz w:val="17"/>
              </w:rPr>
              <w:t>3,066</w:t>
            </w:r>
          </w:p>
        </w:tc>
        <w:tc>
          <w:tcPr>
            <w:tcW w:type="dxa" w:w="1440"/>
            <w:shd w:fill="FAFAFA" w:val="clear"/>
          </w:tcPr>
          <w:p>
            <w:r>
              <w:rPr>
                <w:sz w:val="17"/>
              </w:rPr>
              <w:t>3,267</w:t>
            </w:r>
          </w:p>
        </w:tc>
        <w:tc>
          <w:tcPr>
            <w:tcW w:type="dxa" w:w="1440"/>
            <w:shd w:fill="FAFAFA" w:val="clear"/>
          </w:tcPr>
          <w:p>
            <w:r>
              <w:rPr>
                <w:b/>
                <w:color w:val="008000"/>
                <w:sz w:val="17"/>
              </w:rPr>
              <w:t>+0.5%</w:t>
            </w:r>
          </w:p>
        </w:tc>
      </w:tr>
      <w:tr>
        <w:tc>
          <w:tcPr>
            <w:tcW w:type="dxa" w:w="1440"/>
            <w:shd w:fill="FAFAFA" w:val="clear"/>
          </w:tcPr>
          <w:p>
            <w:r>
              <w:rPr>
                <w:sz w:val="17"/>
              </w:rPr>
              <w:t>J+4  ⭐</w:t>
            </w:r>
          </w:p>
        </w:tc>
        <w:tc>
          <w:tcPr>
            <w:tcW w:type="dxa" w:w="1440"/>
            <w:shd w:fill="FAFAFA" w:val="clear"/>
          </w:tcPr>
          <w:p>
            <w:r>
              <w:rPr>
                <w:sz w:val="17"/>
              </w:rPr>
              <w:t>2026-10-21</w:t>
            </w:r>
          </w:p>
        </w:tc>
        <w:tc>
          <w:tcPr>
            <w:tcW w:type="dxa" w:w="1440"/>
            <w:shd w:fill="FAFAFA" w:val="clear"/>
          </w:tcPr>
          <w:p>
            <w:r>
              <w:rPr>
                <w:sz w:val="17"/>
              </w:rPr>
              <w:t>2,839</w:t>
            </w:r>
          </w:p>
        </w:tc>
        <w:tc>
          <w:tcPr>
            <w:tcW w:type="dxa" w:w="1440"/>
            <w:shd w:fill="FAFAFA" w:val="clear"/>
          </w:tcPr>
          <w:p>
            <w:r>
              <w:rPr>
                <w:b/>
                <w:sz w:val="17"/>
              </w:rPr>
              <w:t>3,072</w:t>
            </w:r>
          </w:p>
        </w:tc>
        <w:tc>
          <w:tcPr>
            <w:tcW w:type="dxa" w:w="1440"/>
            <w:shd w:fill="FAFAFA" w:val="clear"/>
          </w:tcPr>
          <w:p>
            <w:r>
              <w:rPr>
                <w:sz w:val="17"/>
              </w:rPr>
              <w:t>3,305</w:t>
            </w:r>
          </w:p>
        </w:tc>
        <w:tc>
          <w:tcPr>
            <w:tcW w:type="dxa" w:w="1440"/>
            <w:shd w:fill="FAFAFA" w:val="clear"/>
          </w:tcPr>
          <w:p>
            <w:r>
              <w:rPr>
                <w:b/>
                <w:color w:val="008000"/>
                <w:sz w:val="17"/>
              </w:rPr>
              <w:t>+0.7%</w:t>
            </w:r>
          </w:p>
        </w:tc>
      </w:tr>
      <w:tr>
        <w:tc>
          <w:tcPr>
            <w:tcW w:type="dxa" w:w="1440"/>
            <w:shd w:fill="FAFAFA" w:val="clear"/>
          </w:tcPr>
          <w:p>
            <w:r>
              <w:rPr>
                <w:sz w:val="17"/>
              </w:rPr>
              <w:t>J+5  ⭐</w:t>
            </w:r>
          </w:p>
        </w:tc>
        <w:tc>
          <w:tcPr>
            <w:tcW w:type="dxa" w:w="1440"/>
            <w:shd w:fill="FAFAFA" w:val="clear"/>
          </w:tcPr>
          <w:p>
            <w:r>
              <w:rPr>
                <w:sz w:val="17"/>
              </w:rPr>
              <w:t>2026-10-22</w:t>
            </w:r>
          </w:p>
        </w:tc>
        <w:tc>
          <w:tcPr>
            <w:tcW w:type="dxa" w:w="1440"/>
            <w:shd w:fill="FAFAFA" w:val="clear"/>
          </w:tcPr>
          <w:p>
            <w:r>
              <w:rPr>
                <w:sz w:val="17"/>
              </w:rPr>
              <w:t>2,815</w:t>
            </w:r>
          </w:p>
        </w:tc>
        <w:tc>
          <w:tcPr>
            <w:tcW w:type="dxa" w:w="1440"/>
            <w:shd w:fill="FAFAFA" w:val="clear"/>
          </w:tcPr>
          <w:p>
            <w:r>
              <w:rPr>
                <w:b/>
                <w:sz w:val="17"/>
              </w:rPr>
              <w:t>3,076</w:t>
            </w:r>
          </w:p>
        </w:tc>
        <w:tc>
          <w:tcPr>
            <w:tcW w:type="dxa" w:w="1440"/>
            <w:shd w:fill="FAFAFA" w:val="clear"/>
          </w:tcPr>
          <w:p>
            <w:r>
              <w:rPr>
                <w:sz w:val="17"/>
              </w:rPr>
              <w:t>3,337</w:t>
            </w:r>
          </w:p>
        </w:tc>
        <w:tc>
          <w:tcPr>
            <w:tcW w:type="dxa" w:w="1440"/>
            <w:shd w:fill="FAFAFA" w:val="clear"/>
          </w:tcPr>
          <w:p>
            <w:r>
              <w:rPr>
                <w:b/>
                <w:color w:val="008000"/>
                <w:sz w:val="17"/>
              </w:rPr>
              <w:t>+0.9%</w:t>
            </w:r>
          </w:p>
        </w:tc>
      </w:tr>
      <w:tr>
        <w:tc>
          <w:tcPr>
            <w:tcW w:type="dxa" w:w="1440"/>
            <w:shd w:fill="FAFAFA" w:val="clear"/>
          </w:tcPr>
          <w:p>
            <w:r>
              <w:rPr>
                <w:sz w:val="17"/>
              </w:rPr>
              <w:t>J+6  ⭐</w:t>
            </w:r>
          </w:p>
        </w:tc>
        <w:tc>
          <w:tcPr>
            <w:tcW w:type="dxa" w:w="1440"/>
            <w:shd w:fill="FAFAFA" w:val="clear"/>
          </w:tcPr>
          <w:p>
            <w:r>
              <w:rPr>
                <w:sz w:val="17"/>
              </w:rPr>
              <w:t>2026-10-23</w:t>
            </w:r>
          </w:p>
        </w:tc>
        <w:tc>
          <w:tcPr>
            <w:tcW w:type="dxa" w:w="1440"/>
            <w:shd w:fill="FAFAFA" w:val="clear"/>
          </w:tcPr>
          <w:p>
            <w:r>
              <w:rPr>
                <w:sz w:val="17"/>
              </w:rPr>
              <w:t>2,791</w:t>
            </w:r>
          </w:p>
        </w:tc>
        <w:tc>
          <w:tcPr>
            <w:tcW w:type="dxa" w:w="1440"/>
            <w:shd w:fill="FAFAFA" w:val="clear"/>
          </w:tcPr>
          <w:p>
            <w:r>
              <w:rPr>
                <w:b/>
                <w:sz w:val="17"/>
              </w:rPr>
              <w:t>3,077</w:t>
            </w:r>
          </w:p>
        </w:tc>
        <w:tc>
          <w:tcPr>
            <w:tcW w:type="dxa" w:w="1440"/>
            <w:shd w:fill="FAFAFA" w:val="clear"/>
          </w:tcPr>
          <w:p>
            <w:r>
              <w:rPr>
                <w:sz w:val="17"/>
              </w:rPr>
              <w:t>3,363</w:t>
            </w:r>
          </w:p>
        </w:tc>
        <w:tc>
          <w:tcPr>
            <w:tcW w:type="dxa" w:w="1440"/>
            <w:shd w:fill="FAFAFA" w:val="clear"/>
          </w:tcPr>
          <w:p>
            <w:r>
              <w:rPr>
                <w:b/>
                <w:color w:val="008000"/>
                <w:sz w:val="17"/>
              </w:rPr>
              <w:t>+0.9%</w:t>
            </w:r>
          </w:p>
        </w:tc>
      </w:tr>
      <w:tr>
        <w:tc>
          <w:tcPr>
            <w:tcW w:type="dxa" w:w="1440"/>
            <w:shd w:fill="FAFAFA" w:val="clear"/>
          </w:tcPr>
          <w:p>
            <w:r>
              <w:rPr>
                <w:sz w:val="17"/>
              </w:rPr>
              <w:t>J+7  ⭐</w:t>
            </w:r>
          </w:p>
        </w:tc>
        <w:tc>
          <w:tcPr>
            <w:tcW w:type="dxa" w:w="1440"/>
            <w:shd w:fill="FAFAFA" w:val="clear"/>
          </w:tcPr>
          <w:p>
            <w:r>
              <w:rPr>
                <w:sz w:val="17"/>
              </w:rPr>
              <w:t>2026-10-26</w:t>
            </w:r>
          </w:p>
        </w:tc>
        <w:tc>
          <w:tcPr>
            <w:tcW w:type="dxa" w:w="1440"/>
            <w:shd w:fill="FAFAFA" w:val="clear"/>
          </w:tcPr>
          <w:p>
            <w:r>
              <w:rPr>
                <w:sz w:val="17"/>
              </w:rPr>
              <w:t>2,767</w:t>
            </w:r>
          </w:p>
        </w:tc>
        <w:tc>
          <w:tcPr>
            <w:tcW w:type="dxa" w:w="1440"/>
            <w:shd w:fill="FAFAFA" w:val="clear"/>
          </w:tcPr>
          <w:p>
            <w:r>
              <w:rPr>
                <w:b/>
                <w:sz w:val="17"/>
              </w:rPr>
              <w:t>3,075</w:t>
            </w:r>
          </w:p>
        </w:tc>
        <w:tc>
          <w:tcPr>
            <w:tcW w:type="dxa" w:w="1440"/>
            <w:shd w:fill="FAFAFA" w:val="clear"/>
          </w:tcPr>
          <w:p>
            <w:r>
              <w:rPr>
                <w:sz w:val="17"/>
              </w:rPr>
              <w:t>3,383</w:t>
            </w:r>
          </w:p>
        </w:tc>
        <w:tc>
          <w:tcPr>
            <w:tcW w:type="dxa" w:w="1440"/>
            <w:shd w:fill="FAFAFA" w:val="clear"/>
          </w:tcPr>
          <w:p>
            <w:r>
              <w:rPr>
                <w:b/>
                <w:color w:val="008000"/>
                <w:sz w:val="17"/>
              </w:rPr>
              <w:t>+0.8%</w:t>
            </w:r>
          </w:p>
        </w:tc>
      </w:tr>
      <w:tr>
        <w:tc>
          <w:tcPr>
            <w:tcW w:type="dxa" w:w="1440"/>
            <w:shd w:fill="FAFAFA" w:val="clear"/>
          </w:tcPr>
          <w:p>
            <w:r>
              <w:rPr>
                <w:sz w:val="17"/>
              </w:rPr>
              <w:t>J+8  ⭐</w:t>
            </w:r>
          </w:p>
        </w:tc>
        <w:tc>
          <w:tcPr>
            <w:tcW w:type="dxa" w:w="1440"/>
            <w:shd w:fill="FAFAFA" w:val="clear"/>
          </w:tcPr>
          <w:p>
            <w:r>
              <w:rPr>
                <w:sz w:val="17"/>
              </w:rPr>
              <w:t>2026-10-27</w:t>
            </w:r>
          </w:p>
        </w:tc>
        <w:tc>
          <w:tcPr>
            <w:tcW w:type="dxa" w:w="1440"/>
            <w:shd w:fill="FAFAFA" w:val="clear"/>
          </w:tcPr>
          <w:p>
            <w:r>
              <w:rPr>
                <w:sz w:val="17"/>
              </w:rPr>
              <w:t>2,742</w:t>
            </w:r>
          </w:p>
        </w:tc>
        <w:tc>
          <w:tcPr>
            <w:tcW w:type="dxa" w:w="1440"/>
            <w:shd w:fill="FAFAFA" w:val="clear"/>
          </w:tcPr>
          <w:p>
            <w:r>
              <w:rPr>
                <w:b/>
                <w:sz w:val="17"/>
              </w:rPr>
              <w:t>3,071</w:t>
            </w:r>
          </w:p>
        </w:tc>
        <w:tc>
          <w:tcPr>
            <w:tcW w:type="dxa" w:w="1440"/>
            <w:shd w:fill="FAFAFA" w:val="clear"/>
          </w:tcPr>
          <w:p>
            <w:r>
              <w:rPr>
                <w:sz w:val="17"/>
              </w:rPr>
              <w:t>3,400</w:t>
            </w:r>
          </w:p>
        </w:tc>
        <w:tc>
          <w:tcPr>
            <w:tcW w:type="dxa" w:w="1440"/>
            <w:shd w:fill="FAFAFA" w:val="clear"/>
          </w:tcPr>
          <w:p>
            <w:r>
              <w:rPr>
                <w:b/>
                <w:color w:val="008000"/>
                <w:sz w:val="17"/>
              </w:rPr>
              <w:t>+0.7%</w:t>
            </w:r>
          </w:p>
        </w:tc>
      </w:tr>
      <w:tr>
        <w:tc>
          <w:tcPr>
            <w:tcW w:type="dxa" w:w="1440"/>
            <w:shd w:fill="FAFAFA" w:val="clear"/>
          </w:tcPr>
          <w:p>
            <w:r>
              <w:rPr>
                <w:sz w:val="17"/>
              </w:rPr>
              <w:t>J+9  ⭐</w:t>
            </w:r>
          </w:p>
        </w:tc>
        <w:tc>
          <w:tcPr>
            <w:tcW w:type="dxa" w:w="1440"/>
            <w:shd w:fill="FAFAFA" w:val="clear"/>
          </w:tcPr>
          <w:p>
            <w:r>
              <w:rPr>
                <w:sz w:val="17"/>
              </w:rPr>
              <w:t>2026-10-28</w:t>
            </w:r>
          </w:p>
        </w:tc>
        <w:tc>
          <w:tcPr>
            <w:tcW w:type="dxa" w:w="1440"/>
            <w:shd w:fill="FAFAFA" w:val="clear"/>
          </w:tcPr>
          <w:p>
            <w:r>
              <w:rPr>
                <w:sz w:val="17"/>
              </w:rPr>
              <w:t>2,717</w:t>
            </w:r>
          </w:p>
        </w:tc>
        <w:tc>
          <w:tcPr>
            <w:tcW w:type="dxa" w:w="1440"/>
            <w:shd w:fill="FAFAFA" w:val="clear"/>
          </w:tcPr>
          <w:p>
            <w:r>
              <w:rPr>
                <w:b/>
                <w:sz w:val="17"/>
              </w:rPr>
              <w:t>3,065</w:t>
            </w:r>
          </w:p>
        </w:tc>
        <w:tc>
          <w:tcPr>
            <w:tcW w:type="dxa" w:w="1440"/>
            <w:shd w:fill="FAFAFA" w:val="clear"/>
          </w:tcPr>
          <w:p>
            <w:r>
              <w:rPr>
                <w:sz w:val="17"/>
              </w:rPr>
              <w:t>3,414</w:t>
            </w:r>
          </w:p>
        </w:tc>
        <w:tc>
          <w:tcPr>
            <w:tcW w:type="dxa" w:w="1440"/>
            <w:shd w:fill="FAFAFA" w:val="clear"/>
          </w:tcPr>
          <w:p>
            <w:r>
              <w:rPr>
                <w:b/>
                <w:color w:val="008000"/>
                <w:sz w:val="17"/>
              </w:rPr>
              <w:t>+0.5%</w:t>
            </w:r>
          </w:p>
        </w:tc>
      </w:tr>
      <w:tr>
        <w:tc>
          <w:tcPr>
            <w:tcW w:type="dxa" w:w="1440"/>
            <w:shd w:fill="FAFAFA" w:val="clear"/>
          </w:tcPr>
          <w:p>
            <w:r>
              <w:rPr>
                <w:sz w:val="17"/>
              </w:rPr>
              <w:t>J+10  ⭐</w:t>
            </w:r>
          </w:p>
        </w:tc>
        <w:tc>
          <w:tcPr>
            <w:tcW w:type="dxa" w:w="1440"/>
            <w:shd w:fill="FAFAFA" w:val="clear"/>
          </w:tcPr>
          <w:p>
            <w:r>
              <w:rPr>
                <w:sz w:val="17"/>
              </w:rPr>
              <w:t>2026-10-29</w:t>
            </w:r>
          </w:p>
        </w:tc>
        <w:tc>
          <w:tcPr>
            <w:tcW w:type="dxa" w:w="1440"/>
            <w:shd w:fill="FAFAFA" w:val="clear"/>
          </w:tcPr>
          <w:p>
            <w:r>
              <w:rPr>
                <w:sz w:val="17"/>
              </w:rPr>
              <w:t>2,693</w:t>
            </w:r>
          </w:p>
        </w:tc>
        <w:tc>
          <w:tcPr>
            <w:tcW w:type="dxa" w:w="1440"/>
            <w:shd w:fill="FAFAFA" w:val="clear"/>
          </w:tcPr>
          <w:p>
            <w:r>
              <w:rPr>
                <w:b/>
                <w:sz w:val="17"/>
              </w:rPr>
              <w:t>3,059</w:t>
            </w:r>
          </w:p>
        </w:tc>
        <w:tc>
          <w:tcPr>
            <w:tcW w:type="dxa" w:w="1440"/>
            <w:shd w:fill="FAFAFA" w:val="clear"/>
          </w:tcPr>
          <w:p>
            <w:r>
              <w:rPr>
                <w:sz w:val="17"/>
              </w:rPr>
              <w:t>3,426</w:t>
            </w:r>
          </w:p>
        </w:tc>
        <w:tc>
          <w:tcPr>
            <w:tcW w:type="dxa" w:w="1440"/>
            <w:shd w:fill="FAFAFA" w:val="clear"/>
          </w:tcPr>
          <w:p>
            <w:r>
              <w:rPr>
                <w:b/>
                <w:color w:val="008000"/>
                <w:sz w:val="17"/>
              </w:rPr>
              <w:t>+0.3%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8.429 Mds FCFA</w:t>
            </w:r>
          </w:p>
        </w:tc>
        <w:tc>
          <w:tcPr>
            <w:tcW w:type="dxa" w:w="5669"/>
            <w:shd w:fill="FFFFFF" w:val="clear"/>
          </w:tcPr>
          <w:p>
            <w:r>
              <w:rPr>
                <w:color w:val="282828"/>
                <w:sz w:val="15"/>
              </w:rPr>
              <w:t>Créances clients = 39.6% du CA. ⚠️ Risque de retard de paiement significatif.</w:t>
            </w:r>
          </w:p>
        </w:tc>
      </w:tr>
      <w:tr>
        <w:tc>
          <w:tcPr>
            <w:tcW w:type="dxa" w:w="2268"/>
            <w:shd w:fill="EEF2F7" w:val="clear"/>
          </w:tcPr>
          <w:p>
            <w:r>
              <w:rPr>
                <w:b/>
                <w:color w:val="1E1E3C"/>
                <w:sz w:val="16"/>
              </w:rPr>
              <w:t>Stocks</w:t>
            </w:r>
          </w:p>
        </w:tc>
        <w:tc>
          <w:tcPr>
            <w:tcW w:type="dxa" w:w="1984"/>
            <w:shd w:fill="FFEB9C" w:val="clear"/>
          </w:tcPr>
          <w:p>
            <w:r>
              <w:rPr>
                <w:b/>
                <w:color w:val="006400"/>
                <w:sz w:val="17"/>
              </w:rPr>
              <w:t>7.400 Mds FCFA</w:t>
            </w:r>
          </w:p>
        </w:tc>
        <w:tc>
          <w:tcPr>
            <w:tcW w:type="dxa" w:w="5669"/>
            <w:shd w:fill="FFFFFF" w:val="clear"/>
          </w:tcPr>
          <w:p>
            <w:r>
              <w:rPr>
                <w:color w:val="282828"/>
                <w:sz w:val="15"/>
              </w:rPr>
              <w:t>Rotation stocks = 2.9x/an.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15.829 Mds FCFA</w:t>
            </w:r>
          </w:p>
        </w:tc>
        <w:tc>
          <w:tcPr>
            <w:tcW w:type="dxa" w:w="5669"/>
            <w:shd w:fill="FFFFFF" w:val="clear"/>
          </w:tcPr>
          <w:p>
            <w:r>
              <w:rPr>
                <w:color w:val="282828"/>
                <w:sz w:val="15"/>
              </w:rPr>
              <w:t>Ratio actif circ./passif circ. = 1.83x. ✅ Couverture satisfaisante des dettes court terme.</w:t>
            </w:r>
          </w:p>
        </w:tc>
      </w:tr>
      <w:tr>
        <w:tc>
          <w:tcPr>
            <w:tcW w:type="dxa" w:w="2268"/>
            <w:shd w:fill="EEF2F7" w:val="clear"/>
          </w:tcPr>
          <w:p>
            <w:r>
              <w:rPr>
                <w:b/>
                <w:color w:val="1E1E3C"/>
                <w:sz w:val="16"/>
              </w:rPr>
              <w:t>Immob. corporelles</w:t>
            </w:r>
          </w:p>
        </w:tc>
        <w:tc>
          <w:tcPr>
            <w:tcW w:type="dxa" w:w="1984"/>
            <w:shd w:fill="DEEAF1" w:val="clear"/>
          </w:tcPr>
          <w:p>
            <w:r>
              <w:rPr>
                <w:b/>
                <w:color w:val="006400"/>
                <w:sz w:val="17"/>
              </w:rPr>
              <w:t>809.13 M FCFA</w:t>
            </w:r>
          </w:p>
        </w:tc>
        <w:tc>
          <w:tcPr>
            <w:tcW w:type="dxa" w:w="5669"/>
            <w:shd w:fill="FFFFFF" w:val="clear"/>
          </w:tcPr>
          <w:p>
            <w:r>
              <w:rPr>
                <w:color w:val="282828"/>
                <w:sz w:val="15"/>
              </w:rPr>
              <w:t>Outil industriel (3.4%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2.641 Mds FCFA</w:t>
            </w:r>
          </w:p>
        </w:tc>
        <w:tc>
          <w:tcPr>
            <w:tcW w:type="dxa" w:w="5669"/>
            <w:shd w:fill="FFFFFF" w:val="clear"/>
          </w:tcPr>
          <w:p>
            <w:r>
              <w:rPr>
                <w:color w:val="282828"/>
                <w:sz w:val="15"/>
              </w:rPr>
              <w:t>Actif immobilisé = 11.2%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5.139 Mds FCFA</w:t>
            </w:r>
          </w:p>
        </w:tc>
        <w:tc>
          <w:tcPr>
            <w:tcW w:type="dxa" w:w="5669"/>
            <w:shd w:fill="FFFFFF" w:val="clear"/>
          </w:tcPr>
          <w:p>
            <w:r>
              <w:rPr>
                <w:color w:val="282828"/>
                <w:sz w:val="15"/>
              </w:rPr>
              <w:t>Liquidités disponibles (21.8%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23.609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740.00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7.166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9.346 Mds FCFA</w:t>
            </w:r>
          </w:p>
        </w:tc>
        <w:tc>
          <w:tcPr>
            <w:tcW w:type="dxa" w:w="5669"/>
            <w:shd w:fill="FFFFFF" w:val="clear"/>
          </w:tcPr>
          <w:p>
            <w:r>
              <w:rPr>
                <w:color w:val="282828"/>
                <w:sz w:val="15"/>
              </w:rPr>
              <w:t>Fonds propres = 39.6%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14.966 Mds FCFA</w:t>
            </w:r>
          </w:p>
        </w:tc>
        <w:tc>
          <w:tcPr>
            <w:tcW w:type="dxa" w:w="5669"/>
            <w:shd w:fill="FFFFFF" w:val="clear"/>
          </w:tcPr>
          <w:p>
            <w:r>
              <w:rPr>
                <w:color w:val="282828"/>
                <w:sz w:val="15"/>
              </w:rPr>
              <w:t>Capitaux permanents / Actif immobilisé = 5.67x.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417.60 M FCFA</w:t>
            </w:r>
          </w:p>
        </w:tc>
        <w:tc>
          <w:tcPr>
            <w:tcW w:type="dxa" w:w="5669"/>
            <w:shd w:fill="FFFFFF" w:val="clear"/>
          </w:tcPr>
          <w:p>
            <w:r>
              <w:rPr>
                <w:color w:val="282828"/>
                <w:sz w:val="15"/>
              </w:rPr>
              <w:t>Dette LT/MT = 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417.60 M FCFA</w:t>
            </w:r>
          </w:p>
        </w:tc>
        <w:tc>
          <w:tcPr>
            <w:tcW w:type="dxa" w:w="5669"/>
            <w:shd w:fill="FFFFFF" w:val="clear"/>
          </w:tcPr>
          <w:p>
            <w:r>
              <w:rPr>
                <w:color w:val="282828"/>
                <w:sz w:val="15"/>
              </w:rPr>
              <w:t>Dette financière totale = 4%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14.263 Mds FCFA</w:t>
            </w:r>
          </w:p>
        </w:tc>
        <w:tc>
          <w:tcPr>
            <w:tcW w:type="dxa" w:w="5669"/>
            <w:shd w:fill="FFFFFF" w:val="clear"/>
          </w:tcPr>
          <w:p>
            <w:r>
              <w:rPr>
                <w:color w:val="282828"/>
                <w:sz w:val="15"/>
              </w:rPr>
              <w:t>Dettes totales = 60.4%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21.263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21.263 Mds FCFA</w:t>
            </w:r>
          </w:p>
        </w:tc>
        <w:tc>
          <w:tcPr>
            <w:tcW w:type="dxa" w:w="5669"/>
            <w:shd w:fill="FFFFFF" w:val="clear"/>
          </w:tcPr>
          <w:p>
            <w:r>
              <w:rPr>
                <w:color w:val="282828"/>
                <w:sz w:val="15"/>
              </w:rPr>
              <w:t>Chiffre d'affaires. Croissance: 11.2%.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106.61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1.313 Mds FCFA</w:t>
            </w:r>
          </w:p>
        </w:tc>
        <w:tc>
          <w:tcPr>
            <w:tcW w:type="dxa" w:w="5669"/>
            <w:shd w:fill="FFFFFF" w:val="clear"/>
          </w:tcPr>
          <w:p>
            <w:r>
              <w:rPr>
                <w:color w:val="282828"/>
                <w:sz w:val="15"/>
              </w:rPr>
              <w:t>Masse salariale = 6.2%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3.508 Mds FCFA</w:t>
            </w:r>
          </w:p>
        </w:tc>
        <w:tc>
          <w:tcPr>
            <w:tcW w:type="dxa" w:w="5669"/>
            <w:shd w:fill="FFFFFF" w:val="clear"/>
          </w:tcPr>
          <w:p>
            <w:r>
              <w:rPr>
                <w:color w:val="282828"/>
                <w:sz w:val="15"/>
              </w:rPr>
              <w:t>VA = 16.5% du CA. ⚠️ Faible VA — modèle à faible marge (distribution, négoce).</w:t>
            </w:r>
          </w:p>
        </w:tc>
      </w:tr>
      <w:tr>
        <w:tc>
          <w:tcPr>
            <w:tcW w:type="dxa" w:w="2268"/>
            <w:shd w:fill="EEF2F7" w:val="clear"/>
          </w:tcPr>
          <w:p>
            <w:r>
              <w:rPr>
                <w:b/>
                <w:color w:val="1E1E3C"/>
                <w:sz w:val="16"/>
              </w:rPr>
              <w:t>EBE</w:t>
            </w:r>
          </w:p>
        </w:tc>
        <w:tc>
          <w:tcPr>
            <w:tcW w:type="dxa" w:w="1984"/>
            <w:shd w:fill="C6EFCE" w:val="clear"/>
          </w:tcPr>
          <w:p>
            <w:r>
              <w:rPr>
                <w:b/>
                <w:color w:val="006400"/>
                <w:sz w:val="17"/>
              </w:rPr>
              <w:t>2.195 Mds FCFA</w:t>
            </w:r>
          </w:p>
        </w:tc>
        <w:tc>
          <w:tcPr>
            <w:tcW w:type="dxa" w:w="5669"/>
            <w:shd w:fill="FFFFFF" w:val="clear"/>
          </w:tcPr>
          <w:p>
            <w:r>
              <w:rPr>
                <w:color w:val="282828"/>
                <w:sz w:val="15"/>
              </w:rPr>
              <w:t>EBE = 10.3%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2.089 Mds FCFA</w:t>
            </w:r>
          </w:p>
        </w:tc>
        <w:tc>
          <w:tcPr>
            <w:tcW w:type="dxa" w:w="5669"/>
            <w:shd w:fill="FFFFFF" w:val="clear"/>
          </w:tcPr>
          <w:p>
            <w:r>
              <w:rPr>
                <w:color w:val="282828"/>
                <w:sz w:val="15"/>
              </w:rPr>
              <w:t>Profit d'exploitation = 9.8%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3.401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1.439 Mds FCFA</w:t>
            </w:r>
          </w:p>
        </w:tc>
        <w:tc>
          <w:tcPr>
            <w:tcW w:type="dxa" w:w="5669"/>
            <w:shd w:fill="FFFFFF" w:val="clear"/>
          </w:tcPr>
          <w:p>
            <w:r>
              <w:rPr>
                <w:color w:val="282828"/>
                <w:sz w:val="15"/>
              </w:rPr>
              <w:t>Marge nette = 6.8%.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1.593 Mds FCFA</w:t>
            </w:r>
          </w:p>
        </w:tc>
        <w:tc>
          <w:tcPr>
            <w:tcW w:type="dxa" w:w="5669"/>
            <w:shd w:fill="FFFFFF" w:val="clear"/>
          </w:tcPr>
          <w:p>
            <w:r>
              <w:rPr>
                <w:color w:val="282828"/>
                <w:sz w:val="15"/>
              </w:rPr>
              <w:t>CAF = 1.59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-819.66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-163.04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-743.10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-982.71 M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7.186 Mds FCFA</w:t>
            </w:r>
          </w:p>
        </w:tc>
        <w:tc>
          <w:tcPr>
            <w:tcW w:type="dxa" w:w="5669"/>
            <w:shd w:fill="FFFFFF" w:val="clear"/>
          </w:tcPr>
          <w:p>
            <w:r>
              <w:rPr>
                <w:color w:val="282828"/>
                <w:sz w:val="15"/>
              </w:rPr>
              <w:t>BFR = 33.8%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12.325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5.139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16.50%</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6.77%</w:t>
            </w:r>
          </w:p>
        </w:tc>
        <w:tc>
          <w:tcPr>
            <w:tcW w:type="dxa" w:w="5669"/>
            <w:shd w:fill="FFFFFF" w:val="clear"/>
          </w:tcPr>
          <w:p>
            <w:r>
              <w:rPr>
                <w:color w:val="282828"/>
                <w:sz w:val="15"/>
              </w:rPr>
              <w:t>Résultat net / revenus = 6.77%.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9.82%</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15.40%</w:t>
            </w:r>
          </w:p>
        </w:tc>
        <w:tc>
          <w:tcPr>
            <w:tcW w:type="dxa" w:w="5669"/>
            <w:shd w:fill="FFFFFF" w:val="clear"/>
          </w:tcPr>
          <w:p>
            <w:r>
              <w:rPr>
                <w:color w:val="282828"/>
                <w:sz w:val="15"/>
              </w:rPr>
              <w:t>Résultat net / capitaux propres = 15.40%.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6.10%</w:t>
            </w:r>
          </w:p>
        </w:tc>
        <w:tc>
          <w:tcPr>
            <w:tcW w:type="dxa" w:w="5669"/>
            <w:shd w:fill="FFFFFF" w:val="clear"/>
          </w:tcPr>
          <w:p>
            <w:r>
              <w:rPr>
                <w:color w:val="282828"/>
                <w:sz w:val="15"/>
              </w:rPr>
              <w:t>Résultat net / total actif = 6.10%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90.06%</w:t>
            </w:r>
          </w:p>
        </w:tc>
        <w:tc>
          <w:tcPr>
            <w:tcW w:type="dxa" w:w="5669"/>
            <w:shd w:fill="FFFFFF" w:val="clear"/>
          </w:tcPr>
          <w:p>
            <w:r>
              <w:rPr>
                <w:color w:val="282828"/>
                <w:sz w:val="15"/>
              </w:rPr>
              <w:t>CA / total actif = 90.06x.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11.18%</w:t>
            </w:r>
          </w:p>
        </w:tc>
        <w:tc>
          <w:tcPr>
            <w:tcW w:type="dxa" w:w="5669"/>
            <w:shd w:fill="FFFFFF" w:val="clear"/>
          </w:tcPr>
          <w:p>
            <w:r>
              <w:rPr>
                <w:color w:val="282828"/>
                <w:sz w:val="15"/>
              </w:rPr>
              <w:t>Croissance CA vs exercice précédent = 11.18%.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39.58%</w:t>
            </w:r>
          </w:p>
        </w:tc>
        <w:tc>
          <w:tcPr>
            <w:tcW w:type="dxa" w:w="5669"/>
            <w:shd w:fill="FFFFFF" w:val="clear"/>
          </w:tcPr>
          <w:p>
            <w:r>
              <w:rPr>
                <w:color w:val="282828"/>
                <w:sz w:val="15"/>
              </w:rPr>
              <w:t>Fonds propres / total bilan = 39.58%.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4.47%</w:t>
            </w:r>
          </w:p>
        </w:tc>
        <w:tc>
          <w:tcPr>
            <w:tcW w:type="dxa" w:w="5669"/>
            <w:shd w:fill="FFFFFF" w:val="clear"/>
          </w:tcPr>
          <w:p>
            <w:r>
              <w:rPr>
                <w:color w:val="282828"/>
                <w:sz w:val="15"/>
              </w:rPr>
              <w:t>Dettes financières / total bilan = 4.47%.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60.42%</w:t>
            </w:r>
          </w:p>
        </w:tc>
        <w:tc>
          <w:tcPr>
            <w:tcW w:type="dxa" w:w="5669"/>
            <w:shd w:fill="FFFFFF" w:val="clear"/>
          </w:tcPr>
          <w:p>
            <w:r>
              <w:rPr>
                <w:color w:val="282828"/>
                <w:sz w:val="15"/>
              </w:rPr>
              <w:t>Dettes totales / fonds propres = 60.42%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165.52%</w:t>
            </w:r>
          </w:p>
        </w:tc>
        <w:tc>
          <w:tcPr>
            <w:tcW w:type="dxa" w:w="5669"/>
            <w:shd w:fill="FFFFFF" w:val="clear"/>
          </w:tcPr>
          <w:p>
            <w:r>
              <w:rPr>
                <w:color w:val="282828"/>
                <w:sz w:val="15"/>
              </w:rPr>
              <w:t>Total actif / dettes totales = 165.52x.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242.60%</w:t>
            </w:r>
          </w:p>
        </w:tc>
        <w:tc>
          <w:tcPr>
            <w:tcW w:type="dxa" w:w="5669"/>
            <w:shd w:fill="FFFFFF" w:val="clear"/>
          </w:tcPr>
          <w:p>
            <w:r>
              <w:rPr>
                <w:color w:val="282828"/>
                <w:sz w:val="15"/>
              </w:rPr>
              <w:t>Actif circulant / passif circulant = 242.60x.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59.46%</w:t>
            </w:r>
          </w:p>
        </w:tc>
        <w:tc>
          <w:tcPr>
            <w:tcW w:type="dxa" w:w="5669"/>
            <w:shd w:fill="FFFFFF" w:val="clear"/>
          </w:tcPr>
          <w:p>
            <w:r>
              <w:rPr>
                <w:color w:val="282828"/>
                <w:sz w:val="15"/>
              </w:rPr>
              <w:t>Trésorerie / passif circulant = 59.46x.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156.98%</w:t>
            </w:r>
          </w:p>
        </w:tc>
        <w:tc>
          <w:tcPr>
            <w:tcW w:type="dxa" w:w="5669"/>
            <w:shd w:fill="FFFFFF" w:val="clear"/>
          </w:tcPr>
          <w:p>
            <w:r>
              <w:rPr>
                <w:color w:val="282828"/>
                <w:sz w:val="15"/>
              </w:rPr>
              <w:t>(Actif circ. - stocks) / passif circ. = 156.98x.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566.61%</w:t>
            </w:r>
          </w:p>
        </w:tc>
        <w:tc>
          <w:tcPr>
            <w:tcW w:type="dxa" w:w="5669"/>
            <w:shd w:fill="FFFFFF" w:val="clear"/>
          </w:tcPr>
          <w:p>
            <w:r>
              <w:rPr>
                <w:color w:val="282828"/>
                <w:sz w:val="15"/>
              </w:rPr>
              <w:t>Capitaux permanents / actif immobilisé = 566.61x.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0.3 ans</w:t>
            </w:r>
          </w:p>
        </w:tc>
        <w:tc>
          <w:tcPr>
            <w:tcW w:type="dxa" w:w="5669"/>
            <w:shd w:fill="FFFFFF" w:val="clear"/>
          </w:tcPr>
          <w:p>
            <w:r>
              <w:rPr>
                <w:color w:val="282828"/>
                <w:sz w:val="15"/>
              </w:rPr>
              <w:t>Dettes financières / CAF = 0.3 ans. ✅ Dette remboursable rapidement.</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976.79%</w:t>
            </w:r>
          </w:p>
        </w:tc>
        <w:tc>
          <w:tcPr>
            <w:tcW w:type="dxa" w:w="5669"/>
            <w:shd w:fill="FFFFFF" w:val="clear"/>
          </w:tcPr>
          <w:p>
            <w:r>
              <w:rPr>
                <w:color w:val="282828"/>
                <w:sz w:val="15"/>
              </w:rPr>
              <w:t>CAF / investissements = 976.79x.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144.7 j</w:t>
            </w:r>
          </w:p>
        </w:tc>
        <w:tc>
          <w:tcPr>
            <w:tcW w:type="dxa" w:w="5669"/>
            <w:shd w:fill="FFFFFF" w:val="clear"/>
          </w:tcPr>
          <w:p>
            <w:r>
              <w:rPr>
                <w:color w:val="282828"/>
                <w:sz w:val="15"/>
              </w:rPr>
              <w:t>Les clients paient en moyenne en 145 jours. ❌ Délai critique — process de recouvrement à revoir.</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152.1 j</w:t>
            </w:r>
          </w:p>
        </w:tc>
        <w:tc>
          <w:tcPr>
            <w:tcW w:type="dxa" w:w="5669"/>
            <w:shd w:fill="FFFFFF" w:val="clear"/>
          </w:tcPr>
          <w:p>
            <w:r>
              <w:rPr>
                <w:color w:val="282828"/>
                <w:sz w:val="15"/>
              </w:rPr>
              <w:t>Stock écoulé en 152 jours. ❌ Stock quasi-bloqué — risque d'obsolescence ou de surstock.</w:t>
            </w:r>
          </w:p>
        </w:tc>
      </w:tr>
    </w:tbl>
    <w:p/>
    <w:p>
      <w:pPr>
        <w:spacing w:after="120" w:line="276" w:lineRule="auto"/>
      </w:pPr>
      <w:r>
        <w:t>**RAPPORT D'ANALYSE FINANCIÈRE — CABC (SICABLE)**</w:t>
        <w:br/>
        <w:t>*Bourse Régionale des Valeurs Mobilières (BRVM)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18,06 milliards FCFA, CABC se situe dans la catégorie des petites capitalisations de la BRVM, ce qui implique une liquidité limitée et une sensibilité accrue aux mouvements de portefeuille. Le BPA de 243 FCFA/action, couplé à un PER de 12,5x, place le titre légèrement au-dessus de la moyenne du marché BRVM (8-12x), suggérant que les investisseurs paient une prime modérée pour les bénéfices actuels, sans exubérance manifeste. Le ratio P/B de 1,93x indique que le marché valorise l'action à près du double de sa valeur comptable, ce qui traduit une certaine confiance dans la qualité des actifs et la rentabilité future, bien que cette prime reste raisonnable pour une entreprise industrielle. Enfin, l'EV/EBITDA de 6,1x, dans la fourchette 5-10x considérée comme raisonnable, montre que la valeur totale de l'entreprise (dette incluse) reste cohérente avec sa capacité opérationnelle à générer des liquidités. Globalement, ces ratios dessinent une valorisation modérée, ni décotée ni surévaluée, reflétant un équilibre entre les fondamentaux solides et les risques opérationnels persistants.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cours de CABC a enregistré une variation totale de -14,92%, avec une dernière séance en léger repli de -0,33%, portant le cours actuel à 3 050 FCFA. Le titre a évolué dans un range de trading significatif, entre un plus haut de 4 500 FCFA et un plus bas de 3 050 FCFA — ce dernier correspondant au cours actuel, ce qui place l'action sur son plancher récent et signale une pression vendeuse persistante. La tendance générale est donc clairement baissière sur la période, dans un contexte de correction après avoir atteint des sommets. Les statistiques descriptives révèlent une moyenne de 3 658 FCFA supérieure à la médiane de 3 592 FCFA, avec un mode à 3 500 FCFA, indiquant une distribution légèrement asymétrique avec quelques journées de forte hausse ayant tiré la moyenne vers le haut. L'écart-type de 320 FCFA (CV=8,7%) traduit une dispersion modérée du cours autour de sa moyenne, tandis que le kurtosis de 0,161 (mésokurtique) suggère une distribution proche de la normale, sans risque excessif de pics extrêmes. Le skewness de 0,606, positif, confirme une asymétrie avec davantage de journées sous la moyenne, ce qui est cohérent avec la tendance baissière récente. Enfin, la volatilité annualisée de 46,0% classe le titre dans la catégorie des valeurs à volatilité élevée (&gt;30%), ce qui implique un risque de prix significatif pour les investisseurs.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(3 275,5 FCFA) et la MM50 (3 426,8 FCFA) se situent toutes deux au-dessus du cours actuel (3 050 FCFA), confirmant une configuration baissière où le prix évolue sous ses moyennes de référence. La MM20 étant inférieure à la MM50, cela indique une accélération de la tendance baissière à court terme, justifiant la décision technique de **Vente**.</w:t>
      </w:r>
    </w:p>
    <w:p>
      <w:pPr>
        <w:spacing w:after="120" w:line="276" w:lineRule="auto"/>
      </w:pPr>
      <w:r>
        <w:t>**Bandes de Bollinger** : Le cours actuel (3 050 FCFA) se situe juste au-dessus de la borne inférieure (3 017,76 FCFA) et bien en dessous de la borne supérieure (3 533,24 FCFA), ce qui place le titre en zone de survente relative. La largeur des bandes reflète une volatilité élevée, et la décision **Neutre** suggère que le marché attend un signal de retournement ou de consolidation avant de s'engager.</w:t>
      </w:r>
    </w:p>
    <w:p>
      <w:pPr>
        <w:spacing w:after="120" w:line="276" w:lineRule="auto"/>
      </w:pPr>
      <w:r>
        <w:t>**MACD** : La valeur du MACD (-99,528) est inférieure à son signal (-77,844), avec un histogramme négatif, ce qui confirme un momentum baissier toujours actif. La divergence entre les deux lignes indique que la pression vendeuse persiste, justifiant la décision de **Vente**.</w:t>
      </w:r>
    </w:p>
    <w:p>
      <w:pPr>
        <w:spacing w:after="120" w:line="276" w:lineRule="auto"/>
      </w:pPr>
      <w:r>
        <w:t>**RSI** : À 40,385, le RSI se situe dans la zone neutre (30-70), sans atteindre le seuil de survente (30), ce qui suggère que le titre n'est pas encore techniquement survendu malgré la baisse récente. La décision **Neutre** reflète cette absence de signal extrême, mais la tendance reste fragile.</w:t>
      </w:r>
    </w:p>
    <w:p>
      <w:pPr>
        <w:spacing w:after="120" w:line="276" w:lineRule="auto"/>
      </w:pPr>
      <w:r>
        <w:t>**Stochastique** : Avec un %K et un %D à 0,0, le stochastique est en zone de survente extrême, ce qui pourrait précéder un rebond technique à court terme. La décision **Achat** contredit les autres indicateurs, mais elle doit être interprétée avec prudence car un stochastique à 0 peut rester bloqué en cas de tendance baissière forte.</w:t>
      </w:r>
    </w:p>
    <w:p>
      <w:pPr>
        <w:spacing w:after="120" w:line="276" w:lineRule="auto"/>
      </w:pPr>
      <w:r>
        <w:t>**Conclusion technique** : Les indicateurs techniques sont majoritairement baissiers (MM, MACD), avec un RSI neutre et un stochastique en survente extrême qui pourrait signaler un rebond technique imminent. La convergence des signaux négatifs (cours sous les MM, MACD négatif) domine, mais la position du cours près de la borne inférieure de Bollinger et le stochastique à 0 suggèrent qu'une stabilisation ou un rebond à court terme n'est pas à exclure. La prudence reste de mise, avec une surveillance accrue des volumes et de la réaction du cours autour de 3 050 FCFA.</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les données structurées officielles indiquent un chiffre d'affaires de 21 263 M FCFA, en croissance de 11,18% par rapport à 2024, avec un résultat net de 1 439 M FCFA, une marge nette de 6,77% et un ROE de 15,40% (excellent, supérieur au seuil de 15%). Le ROA de 6,10% et la rotation des actifs de 90,06% témoignent d'une bonne efficacité dans l'utilisation des actifs. Cependant, l'analyse des délais d'exploitation révèle des points de vigilance majeurs : le délai clients de 144,69 jours et la durée de stockage de 152,12 jours sont élevés, immobilisant du capital et créant un risque de trésorerie. Le BFR de 7 186 M FCFA (positif) et le flux opérationnel négatif de -819,66 M FCFA en 2025 confirment cette tension, malgré une trésorerie nette de 5 139 M FCFA. La structure financière reste saine avec une autonomie financière de 39,58% et un ratio d'endettement de 60,42%, mais la capacité de remboursement de 0,26 an est excellente. Les rapports narratifs disponibles (rapport annuel 2024 daté du 31/12/2024, rapports S1 2025 et T3 2025) montrent une amélioration progressive : le S1 2025 affichait un résultat net de 851,5 M FCFA (+55,3%) et le T3 2025 un résultat net de 1 329,5 M FCFA (+26,0%), avec une marge nette de 8,0%. Sur la base de ces tendances, on estime que l'exercice 2025 devrait confirmer un résultat net annuel autour de 1 400-1 450 M FCFA, cohérent avec les données structurées. Toutefois, le rapport T1 2026 (daté du 31/03/2026) signale une dégradation marquée avec un CA en baisse de 26,5% à 3 794 M FCFA et une perte nette de 222 M FCFA, due à une maintenance planifiée et à l'inflation des cours des métaux (+23% en 3 mois). La direction anticipe une normalisation dès le T2 2026, mais cette situation introduit une incertitude sur la trajectoire bénéficiaire à court terme. En conclusion, les fondamentaux de CABC restent solides (ROE &gt;15%, croissance du CA, trésorerie confortable), mais les risques opérationnels (délais clients/stocks élevés, volatilité des matières premières, perte au T1 2026) nécessitent une surveillance active. La recommandation fondamentale est de **Conserver** avec vigilance, en attendant la confirmation d'un redressement au T2 2026.</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révèle une situation contrastée pour CABC. La valorisation (Partie 0) est modérée avec un PER de 12,5x et un P/B de 1,93x, sans excès mais sans décote évidente, tandis que l'EV/EBITDA de 6,1x reste raisonnable. Le comportement du cours (Partie 1) est préoccupant : tendance baissière (-14,92% sur 100 jours), volatilité élevée (46%), et skewness positif indiquant une pression vendeuse persistante, bien que le kurtosis mésokurtique limite le risque de pics extrêmes. Les signaux techniques (Partie 2) sont majoritairement baissiers (MM, MACD), avec un RSI neutre et un stochastique en survente extrême qui pourrait précéder un rebond technique, mais sans confirmation claire. Les fondamentaux (Partie 3) montrent une entreprise solide (ROE 15,40%, CA en croissance de 11,18% en 2025), mais fragilisée par des délais clients/stocks élevés, un flux opérationnel négatif et une perte au T1 2026 qui introduit une incertitude. Les prédictions IA (J+1 à J+10) tablent sur une légère reprise progressive, de 3 052 FCFA à 3 076 FCFA, ce qui contredit la tendance baissière récente et suggère une stabilisation à court terme. Sur la base de cette synthèse, la recommandation finale est **CONSERVER**, avec un niveau de confiance **Moyen** et un risque global **Élevé**. La convergence entre la valorisation modérée, les fondamentaux solides mais fragilisés et les signaux techniques baissiers ne justifie pas un achat agressif, tandis que la survente technique et les prédictions de stabilisation excluent une vente panique. L'horizon d'investissement optimal est le **moyen terme (3-12 mois)**, en attendant la confirmation d'un redressement opérationnel au T2 2026 et une clarification de la trajectoire bénéficiaire. Les investisseurs déjà positionnés peuvent conserver leurs titres en surveillant les niveaux de support à 3 000 FCFA, tandis que les nouveaux entrants devraient attendre un signal technique plus clair (cassure de la MM20 à 3 275 FCFA) avant d'envisager une entrée.</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stable avec un r\u00e9sultat net en progression malgr\u00e9 les d\u00e9fis op\u00e9rationnels. Les perspectives de maintien du chiffre d'affaires et la gestion des provisions sugg\u00e8rent une situation ma\u00eetris\u00e9e."}</w:t>
      </w:r>
    </w:p>
    <w:p>
      <w:pPr>
        <w:spacing w:before="40"/>
        <w:ind w:left="400"/>
      </w:pPr>
      <w:r>
        <w:rPr>
          <w:sz w:val="18"/>
        </w:rPr>
        <w:t>SICABLE présente des résultats mitigés au 3ème trimestre 2023 avec un chiffre d'affaires quasi stable à 13 047,8 millions FCFA (-0,6% vs 2022). Le résultat d'exploitation baisse de 4,9% à 1 231,3 millions FCFA malgré l'actualisation des provisions qualité. Le résultat net affiche une amélioration de 2,8% à 887 millions FCFA. La société fait face à des défis de mix produit défavorable impactant ses marges. La direction anticipe un maintien du chiffre d'affaires au niveau de l'année précédente pour la fin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'740 millions FCFA', 'resultat_exploitation': '1 231,3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887,0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13 047,8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13 047,8 millions FCFA (-0,6% vs 2022)</w:t>
      </w:r>
    </w:p>
    <w:p>
      <w:pPr>
        <w:pStyle w:val="ListBullet"/>
        <w:spacing w:before="20" w:after="20"/>
        <w:ind w:left="700"/>
      </w:pPr>
      <w:r>
        <w:rPr>
          <w:sz w:val="18"/>
        </w:rPr>
        <w:t>Résultat d'exploitation en baisse de 4,9% à 1 231,3 millions FCFA</w:t>
      </w:r>
    </w:p>
    <w:p>
      <w:pPr>
        <w:pStyle w:val="ListBullet"/>
        <w:spacing w:before="20" w:after="20"/>
        <w:ind w:left="700"/>
      </w:pPr>
      <w:r>
        <w:rPr>
          <w:sz w:val="18"/>
        </w:rPr>
        <w:t>Résultat net en hausse de 2,8% à 887 millions FCFA</w:t>
      </w:r>
    </w:p>
    <w:p>
      <w:pPr>
        <w:pStyle w:val="ListBullet"/>
        <w:spacing w:before="20" w:after="20"/>
        <w:ind w:left="700"/>
      </w:pPr>
      <w:r>
        <w:rPr>
          <w:sz w:val="18"/>
        </w:rPr>
        <w:t>Impact négatif du mix produit défavorable sur les marges</w:t>
      </w:r>
    </w:p>
    <w:p>
      <w:pPr>
        <w:pStyle w:val="ListBullet"/>
        <w:spacing w:before="20" w:after="20"/>
        <w:ind w:left="700"/>
      </w:pPr>
      <w:r>
        <w:rPr>
          <w:sz w:val="18"/>
        </w:rPr>
        <w:t>Actualisation des provisions qualité ayant limité la baisse du résultat d'exploitation</w:t>
      </w:r>
    </w:p>
    <w:p>
      <w:pPr>
        <w:pStyle w:val="ListBullet"/>
        <w:spacing w:before="20" w:after="20"/>
        <w:ind w:left="700"/>
      </w:pPr>
      <w:r>
        <w:rPr>
          <w:sz w:val="18"/>
        </w:rPr>
        <w:t>Prévision de maintien du chiffre d'affaires en fin d'année au niveau 2022</w:t>
      </w:r>
    </w:p>
    <w:p>
      <w:pPr>
        <w:spacing w:before="40"/>
        <w:ind w:left="400"/>
      </w:pPr>
      <w:r>
        <w:rPr>
          <w:b/>
          <w:color w:val="C05000"/>
          <w:sz w:val="18"/>
        </w:rPr>
        <w:t xml:space="preserve">⚠️ Risques : </w:t>
      </w:r>
      <w:r>
        <w:rPr>
          <w:sz w:val="18"/>
        </w:rPr>
        <w:t>["Persistance du mix produit d\u00e9favorable impactant la rentabilit\u00e9", "Baisse continue du r\u00e9sultat d'exploitation (-4,9%)", "D\u00e9pendance aux ajustements comptables (provisions qualit\u00e9) pour maintenir la performance"]</w:t>
      </w:r>
    </w:p>
    <w:p>
      <w:pPr>
        <w:spacing w:before="40"/>
        <w:ind w:left="400"/>
      </w:pPr>
      <w:r>
        <w:rPr>
          <w:b/>
          <w:color w:val="0064A0"/>
          <w:sz w:val="18"/>
        </w:rPr>
        <w:t xml:space="preserve">🔮 Perspectives : </w:t>
      </w:r>
      <w:r>
        <w:rPr>
          <w:sz w:val="18"/>
        </w:rPr>
        <w:t>La direction anticipe un maintien du chiffre d'affaires au niveau de 2022 pour la fin d'année. Les enjeux portent sur l'amélioration du mix produit et la préservation des marges dans un environnement concurrentiel.</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sa rentabilit\u00e9 nette en progression et anticipe un CA stable en fin d'ann\u00e9e. Les activit\u00e9s de diversification (n\u00e9goce et services) compensent partiellement les difficult\u00e9s sur les produits manufactur\u00e9s."}</w:t>
      </w:r>
    </w:p>
    <w:p>
      <w:pPr>
        <w:spacing w:before="40"/>
        <w:ind w:left="400"/>
      </w:pPr>
      <w:r>
        <w:rPr>
          <w:sz w:val="18"/>
        </w:rPr>
        <w:t>SICABLE affiche un chiffre d'affaires stable à 8 488,9 MFCFA au S1 2023 (-0,3% vs S1 2022) mais fait face à une forte détérioration de sa profitabilité opérationnelle avec une valeur ajoutée et un EBE en baisse de 41,5% et 54,1% respectivement. Le résultat d'exploitation se redresse néanmoins à 1 005,2 MFCFA (+7,8%) grâce aux reprises de provisions liées à la baisse des cours des matières premières. Le résultat net progresse significativement de 21,5% à 747,8 MFCFA, soutenu par une baisse des impôts. La société évolue dans un contexte difficile marqué par le ralentissement du marché de la moyenne tension et les difficultés de financement de sa clientèle.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'603,7 MFCFA', 'impots': '275,2 MFCFA', 'valeur_ajoutee': '1 177,6 MFCFA', 'resultat_exploitation': '1 005,2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747,8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8 488,9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8 488,9 MFCFA (-0,3% vs S1 2022)</w:t>
      </w:r>
    </w:p>
    <w:p>
      <w:pPr>
        <w:pStyle w:val="ListBullet"/>
        <w:spacing w:before="20" w:after="20"/>
        <w:ind w:left="700"/>
      </w:pPr>
      <w:r>
        <w:rPr>
          <w:sz w:val="18"/>
        </w:rPr>
        <w:t>Forte dégradation de la valeur ajoutée (-41,5%) et de l'EBE (-54,1%)</w:t>
      </w:r>
    </w:p>
    <w:p>
      <w:pPr>
        <w:pStyle w:val="ListBullet"/>
        <w:spacing w:before="20" w:after="20"/>
        <w:ind w:left="700"/>
      </w:pPr>
      <w:r>
        <w:rPr>
          <w:sz w:val="18"/>
        </w:rPr>
        <w:t>Résultat d'exploitation en hausse de 7,8% à 1 005,2 MFCFA grâce aux reprises de provisions</w:t>
      </w:r>
    </w:p>
    <w:p>
      <w:pPr>
        <w:pStyle w:val="ListBullet"/>
        <w:spacing w:before="20" w:after="20"/>
        <w:ind w:left="700"/>
      </w:pPr>
      <w:r>
        <w:rPr>
          <w:sz w:val="18"/>
        </w:rPr>
        <w:t>Résultat net en progression de 21,5% à 747,8 MFCFA</w:t>
      </w:r>
    </w:p>
    <w:p>
      <w:pPr>
        <w:pStyle w:val="ListBullet"/>
        <w:spacing w:before="20" w:after="20"/>
        <w:ind w:left="700"/>
      </w:pPr>
      <w:r>
        <w:rPr>
          <w:sz w:val="18"/>
        </w:rPr>
        <w:t>Activités négoce (+12%) et services (+43%) en croissance, mais ventes de produits fabriqués en recul de 5%</w:t>
      </w:r>
    </w:p>
    <w:p>
      <w:pPr>
        <w:pStyle w:val="ListBullet"/>
        <w:spacing w:before="20" w:after="20"/>
        <w:ind w:left="700"/>
      </w:pPr>
      <w:r>
        <w:rPr>
          <w:sz w:val="18"/>
        </w:rPr>
        <w:t>Ralentissement du marché de la moyenne tension impactant la production de câbles aluminium</w:t>
      </w:r>
    </w:p>
    <w:p>
      <w:pPr>
        <w:spacing w:before="40"/>
        <w:ind w:left="400"/>
      </w:pPr>
      <w:r>
        <w:rPr>
          <w:b/>
          <w:color w:val="C05000"/>
          <w:sz w:val="18"/>
        </w:rPr>
        <w:t xml:space="preserve">⚠️ Risques : </w:t>
      </w:r>
      <w:r>
        <w:rPr>
          <w:sz w:val="18"/>
        </w:rPr>
        <w:t>["Ralentissement persistant du march\u00e9 de la moyenne tension affectant l'activit\u00e9 principale", "Difficult\u00e9s de financement des clients impactant les ventes et augmentant les risques de cr\u00e9ances", "Volatilit\u00e9 des cours des mati\u00e8res premi\u00e8res (cuivre, aluminium) affec</w:t>
      </w:r>
    </w:p>
    <w:p>
      <w:pPr>
        <w:spacing w:before="40"/>
        <w:ind w:left="400"/>
      </w:pPr>
      <w:r>
        <w:rPr>
          <w:b/>
          <w:color w:val="0064A0"/>
          <w:sz w:val="18"/>
        </w:rPr>
        <w:t xml:space="preserve">🔮 Perspectives : </w:t>
      </w:r>
      <w:r>
        <w:rPr>
          <w:sz w:val="18"/>
        </w:rPr>
        <w:t>La direction anticipe un chiffre d'affaires maintenu au niveau de l'année précédente en fin 2023. Les activités de diversification (négoce et services) devraient continuer à soutenir la performance globale malgré les défis persistants sur le marché des câbles électriques de moyenne tension.</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sa rentabilit\u00e9 nette avec une progression notable du r\u00e9sultat net. La gestion prudente des provisions et l'anticipation d'un maintien du CA en fin d'ann\u00e9e justifient une approche attentiste."}</w:t>
      </w:r>
    </w:p>
    <w:p>
      <w:pPr>
        <w:spacing w:before="40"/>
        <w:ind w:left="400"/>
      </w:pPr>
      <w:r>
        <w:rPr>
          <w:sz w:val="18"/>
        </w:rPr>
        <w:t>SICABLE affiche un chiffre d'affaires stable à 8 489 MFCFA au S1 2023 (-0,3% vs S1 2022) mais avec une forte détérioration de la rentabilité opérationnelle. La valeur ajoutée chute de 41,5% et l'EBE de 54,1%, principalement due au ralentissement du marché moyenne tension et aux difficultés de financement des clients. Malgré cela, le résultat d'exploitation se redresse (+7,8%) grâce aux reprises de provisions liées à la baisse des cours des matières premières. Le résultat net progresse significativement de 21,5% à 748 MFCFA. La société opère dans un environnement difficile avec des défis sur la production de câbles aluminium et la dépréciation des stocks.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'604 MFCFA', 'impots': '275 MFCFA', 'valeur_ajoutee': '1 178 MFCFA', 'resultat_exploitation': '1 005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748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8 489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8 489 MFCFA (-0,3% vs S1 2022)</w:t>
      </w:r>
    </w:p>
    <w:p>
      <w:pPr>
        <w:pStyle w:val="ListBullet"/>
        <w:spacing w:before="20" w:after="20"/>
        <w:ind w:left="700"/>
      </w:pPr>
      <w:r>
        <w:rPr>
          <w:sz w:val="18"/>
        </w:rPr>
        <w:t>Forte dégradation de la valeur ajoutée (-41,5%) et de l'EBE (-54,1%)</w:t>
      </w:r>
    </w:p>
    <w:p>
      <w:pPr>
        <w:pStyle w:val="ListBullet"/>
        <w:spacing w:before="20" w:after="20"/>
        <w:ind w:left="700"/>
      </w:pPr>
      <w:r>
        <w:rPr>
          <w:sz w:val="18"/>
        </w:rPr>
        <w:t>Résultat d'exploitation en hausse de 7,8% grâce aux reprises de provisions</w:t>
      </w:r>
    </w:p>
    <w:p>
      <w:pPr>
        <w:pStyle w:val="ListBullet"/>
        <w:spacing w:before="20" w:after="20"/>
        <w:ind w:left="700"/>
      </w:pPr>
      <w:r>
        <w:rPr>
          <w:sz w:val="18"/>
        </w:rPr>
        <w:t>Résultat net en forte progression (+21,5%) à 748 MFCFA</w:t>
      </w:r>
    </w:p>
    <w:p>
      <w:pPr>
        <w:pStyle w:val="ListBullet"/>
        <w:spacing w:before="20" w:after="20"/>
        <w:ind w:left="700"/>
      </w:pPr>
      <w:r>
        <w:rPr>
          <w:sz w:val="18"/>
        </w:rPr>
        <w:t>Ralentissement du marché moyenne tension impactant la production</w:t>
      </w:r>
    </w:p>
    <w:p>
      <w:pPr>
        <w:pStyle w:val="ListBullet"/>
        <w:spacing w:before="20" w:after="20"/>
        <w:ind w:left="700"/>
      </w:pPr>
      <w:r>
        <w:rPr>
          <w:sz w:val="18"/>
        </w:rPr>
        <w:t>Difficultés de financement des clients affectant les ventes</w:t>
      </w:r>
    </w:p>
    <w:p>
      <w:pPr>
        <w:spacing w:before="40"/>
        <w:ind w:left="400"/>
      </w:pPr>
      <w:r>
        <w:rPr>
          <w:b/>
          <w:color w:val="C05000"/>
          <w:sz w:val="18"/>
        </w:rPr>
        <w:t xml:space="preserve">⚠️ Risques : </w:t>
      </w:r>
      <w:r>
        <w:rPr>
          <w:sz w:val="18"/>
        </w:rPr>
        <w:t>["Ralentissement persistant du march\u00e9 moyenne tension affectant la demande", "Difficult\u00e9s de financement des clients impactant les ventes futures", "Volatilit\u00e9 des cours des mati\u00e8res premi\u00e8res (cuivre, aluminium) affectant les marges"]</w:t>
      </w:r>
    </w:p>
    <w:p>
      <w:pPr>
        <w:spacing w:before="40"/>
        <w:ind w:left="400"/>
      </w:pPr>
      <w:r>
        <w:rPr>
          <w:b/>
          <w:color w:val="0064A0"/>
          <w:sz w:val="18"/>
        </w:rPr>
        <w:t xml:space="preserve">🔮 Perspectives : </w:t>
      </w:r>
      <w:r>
        <w:rPr>
          <w:sz w:val="18"/>
        </w:rPr>
        <w:t>La direction anticipe un maintien du chiffre d'affaires au niveau de l'année précédente en fin 2023. La société devra surveiller l'évolution du marché moyenne tension et la capacité de financement de ses clients pour assurer sa croissance future.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financi\u00e8re solide avec am\u00e9lioration de la rentabilit\u00e9 et diversification client r\u00e9ussie. Position de tr\u00e9sorerie tr\u00e8s forte offrant une s\u00e9curit\u00e9 et des opportunit\u00e9s d'investissement."}</w:t>
      </w:r>
    </w:p>
    <w:p>
      <w:pPr>
        <w:spacing w:before="40"/>
        <w:ind w:left="400"/>
      </w:pPr>
      <w:r>
        <w:rPr>
          <w:sz w:val="18"/>
        </w:rPr>
        <w:t>SICABLE a réalisé en 2023 un chiffre d'affaires de 17,753 milliards FCFA (+8% vs 2022) avec un résultat net de 1,430 milliards FCFA (+33% vs 2022). La société a bénéficié d'une forte croissance du négoce (+29%) et d'une diversification réussie de son portefeuille client en Côte d'Ivoire. La rentabilité s'améliore avec une marge nette de 8,1% contre 6,5% en 2022. La trésorerie nette s'établit à 6,491 milliards FCFA (+74% vs 2022), témoignant d'une solide position financière. L'entreprise propose un dividende de 88,42 FCFA par action pour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'+8%', 'ratio_dividende': '37%', 'tresorerie_nette': '6,491 milliards FCFA', 'variation_resultat_net': '+33%'}</w:t>
            </w:r>
          </w:p>
        </w:tc>
        <w:tc>
          <w:tcPr>
            <w:tcW w:type="dxa" w:w="2160"/>
          </w:tcPr>
          <w:p>
            <w:pPr>
              <w:ind w:left="100"/>
            </w:pPr>
            <w:r/>
            <w:r>
              <w:rPr>
                <w:b/>
                <w:sz w:val="16"/>
              </w:rPr>
              <w:t>dividende</w:t>
              <w:br/>
            </w:r>
            <w:r>
              <w:rPr>
                <w:sz w:val="18"/>
              </w:rPr>
              <w:t>88,42 FCFA par action</w:t>
            </w:r>
          </w:p>
        </w:tc>
        <w:tc>
          <w:tcPr>
            <w:tcW w:type="dxa" w:w="2160"/>
          </w:tcPr>
          <w:p>
            <w:pPr>
              <w:ind w:left="100"/>
            </w:pPr>
            <w:r/>
            <w:r>
              <w:rPr>
                <w:b/>
                <w:sz w:val="16"/>
              </w:rPr>
              <w:t>marge_nette</w:t>
              <w:br/>
            </w:r>
            <w:r>
              <w:rPr>
                <w:sz w:val="18"/>
              </w:rPr>
              <w:t>8,1%</w:t>
            </w:r>
          </w:p>
        </w:tc>
        <w:tc>
          <w:tcPr>
            <w:tcW w:type="dxa" w:w="2160"/>
          </w:tcPr>
          <w:p>
            <w:pPr>
              <w:ind w:left="100"/>
            </w:pPr>
            <w:r/>
            <w:r>
              <w:rPr>
                <w:b/>
                <w:sz w:val="16"/>
              </w:rPr>
              <w:t>total_actif</w:t>
              <w:br/>
            </w:r>
            <w:r>
              <w:rPr>
                <w:sz w:val="18"/>
              </w:rPr>
              <w:t>19,350 milliards FCFA</w:t>
            </w:r>
          </w:p>
        </w:tc>
      </w:tr>
      <w:tr>
        <w:tc>
          <w:tcPr>
            <w:tcW w:type="dxa" w:w="2160"/>
          </w:tcPr>
          <w:p>
            <w:r/>
            <w:r>
              <w:rPr>
                <w:b/>
                <w:sz w:val="16"/>
              </w:rPr>
              <w:t>resultat_net</w:t>
              <w:br/>
            </w:r>
            <w:r>
              <w:rPr>
                <w:sz w:val="18"/>
              </w:rPr>
              <w:t>1,430 milliards FCFA</w:t>
            </w:r>
          </w:p>
        </w:tc>
        <w:tc>
          <w:tcPr>
            <w:tcW w:type="dxa" w:w="2160"/>
          </w:tcPr>
          <w:p>
            <w:r/>
            <w:r>
              <w:rPr>
                <w:b/>
                <w:sz w:val="16"/>
              </w:rPr>
              <w:t>capitaux_propres</w:t>
              <w:br/>
            </w:r>
            <w:r>
              <w:rPr>
                <w:sz w:val="18"/>
              </w:rPr>
              <w:t>7,338 milliards FCFA</w:t>
            </w:r>
          </w:p>
        </w:tc>
        <w:tc>
          <w:tcPr>
            <w:tcW w:type="dxa" w:w="2160"/>
          </w:tcPr>
          <w:p>
            <w:r/>
            <w:r>
              <w:rPr>
                <w:b/>
                <w:sz w:val="16"/>
              </w:rPr>
              <w:t>chiffre_affaires</w:t>
              <w:br/>
            </w:r>
            <w:r>
              <w:rPr>
                <w:sz w:val="18"/>
              </w:rPr>
              <w:t>17,753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8% à 17,753 milliards FCFA</w:t>
      </w:r>
    </w:p>
    <w:p>
      <w:pPr>
        <w:pStyle w:val="ListBullet"/>
        <w:spacing w:before="20" w:after="20"/>
        <w:ind w:left="700"/>
      </w:pPr>
      <w:r>
        <w:rPr>
          <w:sz w:val="18"/>
        </w:rPr>
        <w:t>Forte progression du résultat net de 33% à 1,430 milliards FCFA</w:t>
      </w:r>
    </w:p>
    <w:p>
      <w:pPr>
        <w:pStyle w:val="ListBullet"/>
        <w:spacing w:before="20" w:after="20"/>
        <w:ind w:left="700"/>
      </w:pPr>
      <w:r>
        <w:rPr>
          <w:sz w:val="18"/>
        </w:rPr>
        <w:t>Diversification réussie du portefeuille client avec réduction de la dépendance aux distributeurs historiques</w:t>
      </w:r>
    </w:p>
    <w:p>
      <w:pPr>
        <w:pStyle w:val="ListBullet"/>
        <w:spacing w:before="20" w:after="20"/>
        <w:ind w:left="700"/>
      </w:pPr>
      <w:r>
        <w:rPr>
          <w:sz w:val="18"/>
        </w:rPr>
        <w:t>Amélioration significative de la trésorerie nette (+74%) à 6,491 milliards FCFA</w:t>
      </w:r>
    </w:p>
    <w:p>
      <w:pPr>
        <w:pStyle w:val="ListBullet"/>
        <w:spacing w:before="20" w:after="20"/>
        <w:ind w:left="700"/>
      </w:pPr>
      <w:r>
        <w:rPr>
          <w:sz w:val="18"/>
        </w:rPr>
        <w:t>Forte croissance de l'activité négoce (+29%) compensant la baisse des volumes de production</w:t>
      </w:r>
    </w:p>
    <w:p>
      <w:pPr>
        <w:pStyle w:val="ListBullet"/>
        <w:spacing w:before="20" w:after="20"/>
        <w:ind w:left="700"/>
      </w:pPr>
      <w:r>
        <w:rPr>
          <w:sz w:val="18"/>
        </w:rPr>
        <w:t>Obtention des trois certifications ISO 9001-14001-45001 et record de sécurité avec 486 jours sans accident</w:t>
      </w:r>
    </w:p>
    <w:p>
      <w:pPr>
        <w:spacing w:before="40"/>
        <w:ind w:left="400"/>
      </w:pPr>
      <w:r>
        <w:rPr>
          <w:b/>
          <w:color w:val="C05000"/>
          <w:sz w:val="18"/>
        </w:rPr>
        <w:t xml:space="preserve">⚠️ Risques : </w:t>
      </w:r>
      <w:r>
        <w:rPr>
          <w:sz w:val="18"/>
        </w:rPr>
        <w:t>["Difficult\u00e9s persistantes dans le secteur des infrastructures d'\u00e9nergie affectant la demande", "Hausse g\u00e9n\u00e9ralis\u00e9e des co\u00fbts de facteurs (SMIG, \u00e9lectricit\u00e9, carburants) pesant sur la comp\u00e9titivit\u00e9", "Probl\u00e8mes logistiques li\u00e9s aux d\u00e9t</w:t>
      </w:r>
    </w:p>
    <w:p>
      <w:pPr>
        <w:spacing w:before="40"/>
        <w:ind w:left="400"/>
      </w:pPr>
      <w:r>
        <w:rPr>
          <w:b/>
          <w:color w:val="0064A0"/>
          <w:sz w:val="18"/>
        </w:rPr>
        <w:t xml:space="preserve">🔮 Perspectives : </w:t>
      </w:r>
      <w:r>
        <w:rPr>
          <w:sz w:val="18"/>
        </w:rPr>
        <w:t>Pour 2024, SICABLE vise une croissance de production de 25-30% si les ventes le permettent, avec un focus sur le développement de nouveaux marchés (énergies renouvelables, eau). L'entreprise mise sur le renforcement des synergies avec le groupe Prysmian et la digitalisation pour améliorer son agilit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baisse de performance est temporaire et li\u00e9e \u00e0 une maintenance planifi\u00e9e. Les perspectives de rattrapage et normalisation sont encourageantes avec la reprise de production et la demande croissante."}</w:t>
      </w:r>
    </w:p>
    <w:p>
      <w:pPr>
        <w:spacing w:before="40"/>
        <w:ind w:left="400"/>
      </w:pPr>
      <w:r>
        <w:rPr>
          <w:sz w:val="18"/>
        </w:rPr>
        <w:t>SICABLE affiche des résultats trimestriels fortement dégradés au T1 2026 avec un chiffre d'affaires en baisse de 26,5% à 3 794 MFCFA. La société enregistre une perte d'exploitation de 237 MFCFA contre un bénéfice de 432 MFCFA l'année précédente. Cette dégradation s'explique par une maintenance planifiée du parc machines et l'inflation des cours des métaux (+23% en 3 mois). Les volumes de vente ont chuté de 27% par rapport au T1 2025. La direction anticipe une normalisation des performances avec le redémarrage complet de la production et une demande croissante observée en avril.</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'-26,5%', 'resultat_exploitation': '-236,6 MFCFA', 'variation_resultat_net': '-205,0%'}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-221,7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3 793,9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26,5% à 3 794 MFCFA au T1 2026</w:t>
      </w:r>
    </w:p>
    <w:p>
      <w:pPr>
        <w:pStyle w:val="ListBullet"/>
        <w:spacing w:before="20" w:after="20"/>
        <w:ind w:left="700"/>
      </w:pPr>
      <w:r>
        <w:rPr>
          <w:sz w:val="18"/>
        </w:rPr>
        <w:t>Passage d'un résultat d'exploitation positif de 432 MFCFA à une perte de 237 MFCFA</w:t>
      </w:r>
    </w:p>
    <w:p>
      <w:pPr>
        <w:pStyle w:val="ListBullet"/>
        <w:spacing w:before="20" w:after="20"/>
        <w:ind w:left="700"/>
      </w:pPr>
      <w:r>
        <w:rPr>
          <w:sz w:val="18"/>
        </w:rPr>
        <w:t>Résultat net déficitaire de 222 MFCFA contre un bénéfice de 211 MFCFA au T1 2025</w:t>
      </w:r>
    </w:p>
    <w:p>
      <w:pPr>
        <w:pStyle w:val="ListBullet"/>
        <w:spacing w:before="20" w:after="20"/>
        <w:ind w:left="700"/>
      </w:pPr>
      <w:r>
        <w:rPr>
          <w:sz w:val="18"/>
        </w:rPr>
        <w:t>Maintenance planifiée du parc machines ayant impacté les volumes de production</w:t>
      </w:r>
    </w:p>
    <w:p>
      <w:pPr>
        <w:pStyle w:val="ListBullet"/>
        <w:spacing w:before="20" w:after="20"/>
        <w:ind w:left="700"/>
      </w:pPr>
      <w:r>
        <w:rPr>
          <w:sz w:val="18"/>
        </w:rPr>
        <w:t>Baisse des volumes de vente de 27% par rapport à 2025</w:t>
      </w:r>
    </w:p>
    <w:p>
      <w:pPr>
        <w:pStyle w:val="ListBullet"/>
        <w:spacing w:before="20" w:after="20"/>
        <w:ind w:left="700"/>
      </w:pPr>
      <w:r>
        <w:rPr>
          <w:sz w:val="18"/>
        </w:rPr>
        <w:t>Inflation significative des cours des métaux sur le LME (+23% en 3 mois)</w:t>
      </w:r>
    </w:p>
    <w:p>
      <w:pPr>
        <w:spacing w:before="40"/>
        <w:ind w:left="400"/>
      </w:pPr>
      <w:r>
        <w:rPr>
          <w:b/>
          <w:color w:val="C05000"/>
          <w:sz w:val="18"/>
        </w:rPr>
        <w:t xml:space="preserve">⚠️ Risques : </w:t>
      </w:r>
      <w:r>
        <w:rPr>
          <w:sz w:val="18"/>
        </w:rPr>
        <w:t>["Volatilit\u00e9 continue des cours des m\u00e9taux impactant les co\u00fbts de production", "Risque de prolongation des difficult\u00e9s op\u00e9rationnelles au-del\u00e0 du T1", "D\u00e9pendance \u00e0 la demande du march\u00e9 de l'\u00e9lectricit\u00e9"]</w:t>
      </w:r>
    </w:p>
    <w:p>
      <w:pPr>
        <w:spacing w:before="40"/>
        <w:ind w:left="400"/>
      </w:pPr>
      <w:r>
        <w:rPr>
          <w:b/>
          <w:color w:val="0064A0"/>
          <w:sz w:val="18"/>
        </w:rPr>
        <w:t xml:space="preserve">🔮 Perspectives : </w:t>
      </w:r>
      <w:r>
        <w:rPr>
          <w:sz w:val="18"/>
        </w:rPr>
        <w:t>La direction anticipe un rattrapage et une normalisation des performances dès le T2 2026 grâce au redémarrage complet de la production. La croissance de la demande sur le marché de l'électricité observée en avril constitue un signal positif pour les trimestres suivants.</w:t>
      </w:r>
    </w:p>
    <w:p/>
    <w:p>
      <w:r>
        <w:t>════════════════════════════════════════════════════════════════════════════════</w:t>
      </w:r>
    </w:p>
    <w:p>
      <w:r>
        <w:br w:type="page"/>
      </w:r>
    </w:p>
    <w:p>
      <w:pPr>
        <w:pStyle w:val="Heading2"/>
        <w:spacing w:before="360"/>
      </w:pPr>
      <w:r>
        <w:rPr>
          <w:color w:val="0066CC"/>
        </w:rPr>
        <w:t>13. CBIBF - CBIBF - CORIS BANK INTERNATIONAL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CBIBF</w:t>
            </w:r>
          </w:p>
          <w:p>
            <w:r>
              <w:rPr>
                <w:b/>
                <w:color w:val="323250"/>
                <w:sz w:val="16"/>
              </w:rPr>
              <w:t xml:space="preserve">Société : </w:t>
            </w:r>
            <w:r>
              <w:rPr>
                <w:color w:val="000000"/>
                <w:sz w:val="16"/>
              </w:rPr>
              <w:t>CBIBF - CORIS BANK INTERNATIONAL BURKINA...</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992.00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1,547 titres</w:t>
            </w:r>
          </w:p>
        </w:tc>
        <w:tc>
          <w:tcPr>
            <w:tcW w:type="dxa" w:w="2268"/>
            <w:shd w:fill="FFF2CC" w:val="clear"/>
          </w:tcPr>
          <w:p>
            <w:r>
              <w:rPr>
                <w:b/>
                <w:color w:val="503200"/>
                <w:sz w:val="16"/>
              </w:rPr>
              <w:t xml:space="preserve">Cours actuel : </w:t>
            </w:r>
            <w:r>
              <w:rPr>
                <w:color w:val="000000"/>
                <w:sz w:val="17"/>
              </w:rPr>
              <w:t>31,000 FCFA</w:t>
            </w:r>
          </w:p>
          <w:p>
            <w:r>
              <w:rPr>
                <w:b/>
                <w:color w:val="503200"/>
                <w:sz w:val="16"/>
              </w:rPr>
              <w:t xml:space="preserve">Var. 100 jours : </w:t>
            </w:r>
            <w:r>
              <w:rPr>
                <w:b/>
                <w:color w:val="007800"/>
                <w:sz w:val="17"/>
              </w:rPr>
              <w:t>+49.76%</w:t>
            </w:r>
          </w:p>
          <w:p>
            <w:r>
              <w:rPr>
                <w:b/>
                <w:color w:val="503200"/>
                <w:sz w:val="16"/>
              </w:rPr>
              <w:t xml:space="preserve">Plus haut 100j : </w:t>
            </w:r>
            <w:r>
              <w:rPr>
                <w:color w:val="000000"/>
                <w:sz w:val="17"/>
              </w:rPr>
              <w:t>34,450 FCFA</w:t>
            </w:r>
          </w:p>
          <w:p>
            <w:r>
              <w:rPr>
                <w:b/>
                <w:color w:val="503200"/>
                <w:sz w:val="16"/>
              </w:rPr>
              <w:t xml:space="preserve">Plus bas 100j : </w:t>
            </w:r>
            <w:r>
              <w:rPr>
                <w:color w:val="000000"/>
                <w:sz w:val="17"/>
              </w:rPr>
              <w:t>20,700 FCFA</w:t>
            </w:r>
          </w:p>
          <w:p>
            <w:r>
              <w:rPr>
                <w:b/>
                <w:color w:val="503200"/>
                <w:sz w:val="16"/>
              </w:rPr>
              <w:t xml:space="preserve">Volatilité ann. : </w:t>
            </w:r>
            <w:r>
              <w:rPr>
                <w:color w:val="000000"/>
                <w:sz w:val="17"/>
              </w:rPr>
              <w:t>44.2%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22.3/100 → Moyen</w:t>
      </w:r>
    </w:p>
    <w:p>
      <w:pPr>
        <w:spacing w:before="40" w:after="80"/>
      </w:pPr>
      <w:r>
        <w:rPr>
          <w:rFonts w:ascii="Courier New" w:hAnsi="Courier New"/>
          <w:color w:val="825A00"/>
          <w:sz w:val="18"/>
        </w:rPr>
        <w:t>████░░░░░░░░░░░░░░░░  22.3/100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14.89% (Moyenne) — μ=27,672 FCFA, σ=4,121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β=1.3500 (Agressif) — Cov=0.000101, Var(idx)=0.000075, ρ=0.413, n=96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1,547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σ_j=2.79%/j (Stable) — Vol. annualisée≈44.2%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03190"/>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2026-10-16</w:t>
            </w:r>
          </w:p>
        </w:tc>
        <w:tc>
          <w:tcPr>
            <w:tcW w:type="dxa" w:w="1440"/>
            <w:shd w:fill="FFDCE0" w:val="clear"/>
          </w:tcPr>
          <w:p>
            <w:r>
              <w:rPr>
                <w:sz w:val="17"/>
              </w:rPr>
              <w:t>28,556</w:t>
            </w:r>
          </w:p>
        </w:tc>
        <w:tc>
          <w:tcPr>
            <w:tcW w:type="dxa" w:w="1440"/>
            <w:shd w:fill="FFDCE0" w:val="clear"/>
          </w:tcPr>
          <w:p>
            <w:r>
              <w:rPr>
                <w:b/>
                <w:sz w:val="17"/>
              </w:rPr>
              <w:t>30,055</w:t>
            </w:r>
          </w:p>
        </w:tc>
        <w:tc>
          <w:tcPr>
            <w:tcW w:type="dxa" w:w="1440"/>
            <w:shd w:fill="FFDCE0" w:val="clear"/>
          </w:tcPr>
          <w:p>
            <w:r>
              <w:rPr>
                <w:sz w:val="17"/>
              </w:rPr>
              <w:t>31,555</w:t>
            </w:r>
          </w:p>
        </w:tc>
        <w:tc>
          <w:tcPr>
            <w:tcW w:type="dxa" w:w="1440"/>
            <w:shd w:fill="FFDCE0" w:val="clear"/>
          </w:tcPr>
          <w:p>
            <w:r>
              <w:rPr>
                <w:b/>
                <w:color w:val="C00000"/>
                <w:sz w:val="17"/>
              </w:rPr>
              <w:t>-3.0%</w:t>
            </w:r>
          </w:p>
        </w:tc>
      </w:tr>
      <w:tr>
        <w:tc>
          <w:tcPr>
            <w:tcW w:type="dxa" w:w="1440"/>
            <w:shd w:fill="FFDCE0" w:val="clear"/>
          </w:tcPr>
          <w:p>
            <w:r>
              <w:rPr>
                <w:sz w:val="17"/>
              </w:rPr>
              <w:t>J+2  Moyenne</w:t>
            </w:r>
          </w:p>
        </w:tc>
        <w:tc>
          <w:tcPr>
            <w:tcW w:type="dxa" w:w="1440"/>
            <w:shd w:fill="FFDCE0" w:val="clear"/>
          </w:tcPr>
          <w:p>
            <w:r>
              <w:rPr>
                <w:sz w:val="17"/>
              </w:rPr>
              <w:t>2026-10-19</w:t>
            </w:r>
          </w:p>
        </w:tc>
        <w:tc>
          <w:tcPr>
            <w:tcW w:type="dxa" w:w="1440"/>
            <w:shd w:fill="FFDCE0" w:val="clear"/>
          </w:tcPr>
          <w:p>
            <w:r>
              <w:rPr>
                <w:sz w:val="17"/>
              </w:rPr>
              <w:t>27,506</w:t>
            </w:r>
          </w:p>
        </w:tc>
        <w:tc>
          <w:tcPr>
            <w:tcW w:type="dxa" w:w="1440"/>
            <w:shd w:fill="FFDCE0" w:val="clear"/>
          </w:tcPr>
          <w:p>
            <w:r>
              <w:rPr>
                <w:b/>
                <w:sz w:val="17"/>
              </w:rPr>
              <w:t>29,594</w:t>
            </w:r>
          </w:p>
        </w:tc>
        <w:tc>
          <w:tcPr>
            <w:tcW w:type="dxa" w:w="1440"/>
            <w:shd w:fill="FFDCE0" w:val="clear"/>
          </w:tcPr>
          <w:p>
            <w:r>
              <w:rPr>
                <w:sz w:val="17"/>
              </w:rPr>
              <w:t>31,682</w:t>
            </w:r>
          </w:p>
        </w:tc>
        <w:tc>
          <w:tcPr>
            <w:tcW w:type="dxa" w:w="1440"/>
            <w:shd w:fill="FFDCE0" w:val="clear"/>
          </w:tcPr>
          <w:p>
            <w:r>
              <w:rPr>
                <w:b/>
                <w:color w:val="C00000"/>
                <w:sz w:val="17"/>
              </w:rPr>
              <w:t>-4.5%</w:t>
            </w:r>
          </w:p>
        </w:tc>
      </w:tr>
      <w:tr>
        <w:tc>
          <w:tcPr>
            <w:tcW w:type="dxa" w:w="1440"/>
            <w:shd w:fill="FFDCE0" w:val="clear"/>
          </w:tcPr>
          <w:p>
            <w:r>
              <w:rPr>
                <w:sz w:val="17"/>
              </w:rPr>
              <w:t>J+3  Moyenne</w:t>
            </w:r>
          </w:p>
        </w:tc>
        <w:tc>
          <w:tcPr>
            <w:tcW w:type="dxa" w:w="1440"/>
            <w:shd w:fill="FFDCE0" w:val="clear"/>
          </w:tcPr>
          <w:p>
            <w:r>
              <w:rPr>
                <w:sz w:val="17"/>
              </w:rPr>
              <w:t>2026-10-20</w:t>
            </w:r>
          </w:p>
        </w:tc>
        <w:tc>
          <w:tcPr>
            <w:tcW w:type="dxa" w:w="1440"/>
            <w:shd w:fill="FFDCE0" w:val="clear"/>
          </w:tcPr>
          <w:p>
            <w:r>
              <w:rPr>
                <w:sz w:val="17"/>
              </w:rPr>
              <w:t>26,845</w:t>
            </w:r>
          </w:p>
        </w:tc>
        <w:tc>
          <w:tcPr>
            <w:tcW w:type="dxa" w:w="1440"/>
            <w:shd w:fill="FFDCE0" w:val="clear"/>
          </w:tcPr>
          <w:p>
            <w:r>
              <w:rPr>
                <w:b/>
                <w:sz w:val="17"/>
              </w:rPr>
              <w:t>29,384</w:t>
            </w:r>
          </w:p>
        </w:tc>
        <w:tc>
          <w:tcPr>
            <w:tcW w:type="dxa" w:w="1440"/>
            <w:shd w:fill="FFDCE0" w:val="clear"/>
          </w:tcPr>
          <w:p>
            <w:r>
              <w:rPr>
                <w:sz w:val="17"/>
              </w:rPr>
              <w:t>31,923</w:t>
            </w:r>
          </w:p>
        </w:tc>
        <w:tc>
          <w:tcPr>
            <w:tcW w:type="dxa" w:w="1440"/>
            <w:shd w:fill="FFDCE0" w:val="clear"/>
          </w:tcPr>
          <w:p>
            <w:r>
              <w:rPr>
                <w:b/>
                <w:color w:val="C00000"/>
                <w:sz w:val="17"/>
              </w:rPr>
              <w:t>-5.2%</w:t>
            </w:r>
          </w:p>
        </w:tc>
      </w:tr>
      <w:tr>
        <w:tc>
          <w:tcPr>
            <w:tcW w:type="dxa" w:w="1440"/>
            <w:shd w:fill="FFDCE0" w:val="clear"/>
          </w:tcPr>
          <w:p>
            <w:r>
              <w:rPr>
                <w:sz w:val="17"/>
              </w:rPr>
              <w:t>J+4  ⭐</w:t>
            </w:r>
          </w:p>
        </w:tc>
        <w:tc>
          <w:tcPr>
            <w:tcW w:type="dxa" w:w="1440"/>
            <w:shd w:fill="FFDCE0" w:val="clear"/>
          </w:tcPr>
          <w:p>
            <w:r>
              <w:rPr>
                <w:sz w:val="17"/>
              </w:rPr>
              <w:t>2026-10-21</w:t>
            </w:r>
          </w:p>
        </w:tc>
        <w:tc>
          <w:tcPr>
            <w:tcW w:type="dxa" w:w="1440"/>
            <w:shd w:fill="FFDCE0" w:val="clear"/>
          </w:tcPr>
          <w:p>
            <w:r>
              <w:rPr>
                <w:sz w:val="17"/>
              </w:rPr>
              <w:t>26,324</w:t>
            </w:r>
          </w:p>
        </w:tc>
        <w:tc>
          <w:tcPr>
            <w:tcW w:type="dxa" w:w="1440"/>
            <w:shd w:fill="FFDCE0" w:val="clear"/>
          </w:tcPr>
          <w:p>
            <w:r>
              <w:rPr>
                <w:b/>
                <w:sz w:val="17"/>
              </w:rPr>
              <w:t>29,241</w:t>
            </w:r>
          </w:p>
        </w:tc>
        <w:tc>
          <w:tcPr>
            <w:tcW w:type="dxa" w:w="1440"/>
            <w:shd w:fill="FFDCE0" w:val="clear"/>
          </w:tcPr>
          <w:p>
            <w:r>
              <w:rPr>
                <w:sz w:val="17"/>
              </w:rPr>
              <w:t>32,159</w:t>
            </w:r>
          </w:p>
        </w:tc>
        <w:tc>
          <w:tcPr>
            <w:tcW w:type="dxa" w:w="1440"/>
            <w:shd w:fill="FFDCE0" w:val="clear"/>
          </w:tcPr>
          <w:p>
            <w:r>
              <w:rPr>
                <w:b/>
                <w:color w:val="C00000"/>
                <w:sz w:val="17"/>
              </w:rPr>
              <w:t>-5.7%</w:t>
            </w:r>
          </w:p>
        </w:tc>
      </w:tr>
      <w:tr>
        <w:tc>
          <w:tcPr>
            <w:tcW w:type="dxa" w:w="1440"/>
            <w:shd w:fill="FFDCE0" w:val="clear"/>
          </w:tcPr>
          <w:p>
            <w:r>
              <w:rPr>
                <w:sz w:val="17"/>
              </w:rPr>
              <w:t>J+5  ⭐</w:t>
            </w:r>
          </w:p>
        </w:tc>
        <w:tc>
          <w:tcPr>
            <w:tcW w:type="dxa" w:w="1440"/>
            <w:shd w:fill="FFDCE0" w:val="clear"/>
          </w:tcPr>
          <w:p>
            <w:r>
              <w:rPr>
                <w:sz w:val="17"/>
              </w:rPr>
              <w:t>2026-10-22</w:t>
            </w:r>
          </w:p>
        </w:tc>
        <w:tc>
          <w:tcPr>
            <w:tcW w:type="dxa" w:w="1440"/>
            <w:shd w:fill="FFDCE0" w:val="clear"/>
          </w:tcPr>
          <w:p>
            <w:r>
              <w:rPr>
                <w:sz w:val="17"/>
              </w:rPr>
              <w:t>25,862</w:t>
            </w:r>
          </w:p>
        </w:tc>
        <w:tc>
          <w:tcPr>
            <w:tcW w:type="dxa" w:w="1440"/>
            <w:shd w:fill="FFDCE0" w:val="clear"/>
          </w:tcPr>
          <w:p>
            <w:r>
              <w:rPr>
                <w:b/>
                <w:sz w:val="17"/>
              </w:rPr>
              <w:t>29,109</w:t>
            </w:r>
          </w:p>
        </w:tc>
        <w:tc>
          <w:tcPr>
            <w:tcW w:type="dxa" w:w="1440"/>
            <w:shd w:fill="FFDCE0" w:val="clear"/>
          </w:tcPr>
          <w:p>
            <w:r>
              <w:rPr>
                <w:sz w:val="17"/>
              </w:rPr>
              <w:t>32,357</w:t>
            </w:r>
          </w:p>
        </w:tc>
        <w:tc>
          <w:tcPr>
            <w:tcW w:type="dxa" w:w="1440"/>
            <w:shd w:fill="FFDCE0" w:val="clear"/>
          </w:tcPr>
          <w:p>
            <w:r>
              <w:rPr>
                <w:b/>
                <w:color w:val="C00000"/>
                <w:sz w:val="17"/>
              </w:rPr>
              <w:t>-6.1%</w:t>
            </w:r>
          </w:p>
        </w:tc>
      </w:tr>
      <w:tr>
        <w:tc>
          <w:tcPr>
            <w:tcW w:type="dxa" w:w="1440"/>
            <w:shd w:fill="FFDCE0" w:val="clear"/>
          </w:tcPr>
          <w:p>
            <w:r>
              <w:rPr>
                <w:sz w:val="17"/>
              </w:rPr>
              <w:t>J+6  ⭐</w:t>
            </w:r>
          </w:p>
        </w:tc>
        <w:tc>
          <w:tcPr>
            <w:tcW w:type="dxa" w:w="1440"/>
            <w:shd w:fill="FFDCE0" w:val="clear"/>
          </w:tcPr>
          <w:p>
            <w:r>
              <w:rPr>
                <w:sz w:val="17"/>
              </w:rPr>
              <w:t>2026-10-23</w:t>
            </w:r>
          </w:p>
        </w:tc>
        <w:tc>
          <w:tcPr>
            <w:tcW w:type="dxa" w:w="1440"/>
            <w:shd w:fill="FFDCE0" w:val="clear"/>
          </w:tcPr>
          <w:p>
            <w:r>
              <w:rPr>
                <w:sz w:val="17"/>
              </w:rPr>
              <w:t>25,454</w:t>
            </w:r>
          </w:p>
        </w:tc>
        <w:tc>
          <w:tcPr>
            <w:tcW w:type="dxa" w:w="1440"/>
            <w:shd w:fill="FFDCE0" w:val="clear"/>
          </w:tcPr>
          <w:p>
            <w:r>
              <w:rPr>
                <w:b/>
                <w:sz w:val="17"/>
              </w:rPr>
              <w:t>28,997</w:t>
            </w:r>
          </w:p>
        </w:tc>
        <w:tc>
          <w:tcPr>
            <w:tcW w:type="dxa" w:w="1440"/>
            <w:shd w:fill="FFDCE0" w:val="clear"/>
          </w:tcPr>
          <w:p>
            <w:r>
              <w:rPr>
                <w:sz w:val="17"/>
              </w:rPr>
              <w:t>32,541</w:t>
            </w:r>
          </w:p>
        </w:tc>
        <w:tc>
          <w:tcPr>
            <w:tcW w:type="dxa" w:w="1440"/>
            <w:shd w:fill="FFDCE0" w:val="clear"/>
          </w:tcPr>
          <w:p>
            <w:r>
              <w:rPr>
                <w:b/>
                <w:color w:val="C00000"/>
                <w:sz w:val="17"/>
              </w:rPr>
              <w:t>-6.5%</w:t>
            </w:r>
          </w:p>
        </w:tc>
      </w:tr>
      <w:tr>
        <w:tc>
          <w:tcPr>
            <w:tcW w:type="dxa" w:w="1440"/>
            <w:shd w:fill="FFDCE0" w:val="clear"/>
          </w:tcPr>
          <w:p>
            <w:r>
              <w:rPr>
                <w:sz w:val="17"/>
              </w:rPr>
              <w:t>J+7  ⭐</w:t>
            </w:r>
          </w:p>
        </w:tc>
        <w:tc>
          <w:tcPr>
            <w:tcW w:type="dxa" w:w="1440"/>
            <w:shd w:fill="FFDCE0" w:val="clear"/>
          </w:tcPr>
          <w:p>
            <w:r>
              <w:rPr>
                <w:sz w:val="17"/>
              </w:rPr>
              <w:t>2026-10-26</w:t>
            </w:r>
          </w:p>
        </w:tc>
        <w:tc>
          <w:tcPr>
            <w:tcW w:type="dxa" w:w="1440"/>
            <w:shd w:fill="FFDCE0" w:val="clear"/>
          </w:tcPr>
          <w:p>
            <w:r>
              <w:rPr>
                <w:sz w:val="17"/>
              </w:rPr>
              <w:t>25,086</w:t>
            </w:r>
          </w:p>
        </w:tc>
        <w:tc>
          <w:tcPr>
            <w:tcW w:type="dxa" w:w="1440"/>
            <w:shd w:fill="FFDCE0" w:val="clear"/>
          </w:tcPr>
          <w:p>
            <w:r>
              <w:rPr>
                <w:b/>
                <w:sz w:val="17"/>
              </w:rPr>
              <w:t>28,900</w:t>
            </w:r>
          </w:p>
        </w:tc>
        <w:tc>
          <w:tcPr>
            <w:tcW w:type="dxa" w:w="1440"/>
            <w:shd w:fill="FFDCE0" w:val="clear"/>
          </w:tcPr>
          <w:p>
            <w:r>
              <w:rPr>
                <w:sz w:val="17"/>
              </w:rPr>
              <w:t>32,715</w:t>
            </w:r>
          </w:p>
        </w:tc>
        <w:tc>
          <w:tcPr>
            <w:tcW w:type="dxa" w:w="1440"/>
            <w:shd w:fill="FFDCE0" w:val="clear"/>
          </w:tcPr>
          <w:p>
            <w:r>
              <w:rPr>
                <w:b/>
                <w:color w:val="C00000"/>
                <w:sz w:val="17"/>
              </w:rPr>
              <w:t>-6.8%</w:t>
            </w:r>
          </w:p>
        </w:tc>
      </w:tr>
      <w:tr>
        <w:tc>
          <w:tcPr>
            <w:tcW w:type="dxa" w:w="1440"/>
            <w:shd w:fill="FFDCE0" w:val="clear"/>
          </w:tcPr>
          <w:p>
            <w:r>
              <w:rPr>
                <w:sz w:val="17"/>
              </w:rPr>
              <w:t>J+8  ⭐</w:t>
            </w:r>
          </w:p>
        </w:tc>
        <w:tc>
          <w:tcPr>
            <w:tcW w:type="dxa" w:w="1440"/>
            <w:shd w:fill="FFDCE0" w:val="clear"/>
          </w:tcPr>
          <w:p>
            <w:r>
              <w:rPr>
                <w:sz w:val="17"/>
              </w:rPr>
              <w:t>2026-10-27</w:t>
            </w:r>
          </w:p>
        </w:tc>
        <w:tc>
          <w:tcPr>
            <w:tcW w:type="dxa" w:w="1440"/>
            <w:shd w:fill="FFDCE0" w:val="clear"/>
          </w:tcPr>
          <w:p>
            <w:r>
              <w:rPr>
                <w:sz w:val="17"/>
              </w:rPr>
              <w:t>24,749</w:t>
            </w:r>
          </w:p>
        </w:tc>
        <w:tc>
          <w:tcPr>
            <w:tcW w:type="dxa" w:w="1440"/>
            <w:shd w:fill="FFDCE0" w:val="clear"/>
          </w:tcPr>
          <w:p>
            <w:r>
              <w:rPr>
                <w:b/>
                <w:sz w:val="17"/>
              </w:rPr>
              <w:t>28,814</w:t>
            </w:r>
          </w:p>
        </w:tc>
        <w:tc>
          <w:tcPr>
            <w:tcW w:type="dxa" w:w="1440"/>
            <w:shd w:fill="FFDCE0" w:val="clear"/>
          </w:tcPr>
          <w:p>
            <w:r>
              <w:rPr>
                <w:sz w:val="17"/>
              </w:rPr>
              <w:t>32,880</w:t>
            </w:r>
          </w:p>
        </w:tc>
        <w:tc>
          <w:tcPr>
            <w:tcW w:type="dxa" w:w="1440"/>
            <w:shd w:fill="FFDCE0" w:val="clear"/>
          </w:tcPr>
          <w:p>
            <w:r>
              <w:rPr>
                <w:b/>
                <w:color w:val="C00000"/>
                <w:sz w:val="17"/>
              </w:rPr>
              <w:t>-7.1%</w:t>
            </w:r>
          </w:p>
        </w:tc>
      </w:tr>
      <w:tr>
        <w:tc>
          <w:tcPr>
            <w:tcW w:type="dxa" w:w="1440"/>
            <w:shd w:fill="FFDCE0" w:val="clear"/>
          </w:tcPr>
          <w:p>
            <w:r>
              <w:rPr>
                <w:sz w:val="17"/>
              </w:rPr>
              <w:t>J+9  ⭐</w:t>
            </w:r>
          </w:p>
        </w:tc>
        <w:tc>
          <w:tcPr>
            <w:tcW w:type="dxa" w:w="1440"/>
            <w:shd w:fill="FFDCE0" w:val="clear"/>
          </w:tcPr>
          <w:p>
            <w:r>
              <w:rPr>
                <w:sz w:val="17"/>
              </w:rPr>
              <w:t>2026-10-28</w:t>
            </w:r>
          </w:p>
        </w:tc>
        <w:tc>
          <w:tcPr>
            <w:tcW w:type="dxa" w:w="1440"/>
            <w:shd w:fill="FFDCE0" w:val="clear"/>
          </w:tcPr>
          <w:p>
            <w:r>
              <w:rPr>
                <w:sz w:val="17"/>
              </w:rPr>
              <w:t>24,437</w:t>
            </w:r>
          </w:p>
        </w:tc>
        <w:tc>
          <w:tcPr>
            <w:tcW w:type="dxa" w:w="1440"/>
            <w:shd w:fill="FFDCE0" w:val="clear"/>
          </w:tcPr>
          <w:p>
            <w:r>
              <w:rPr>
                <w:b/>
                <w:sz w:val="17"/>
              </w:rPr>
              <w:t>28,738</w:t>
            </w:r>
          </w:p>
        </w:tc>
        <w:tc>
          <w:tcPr>
            <w:tcW w:type="dxa" w:w="1440"/>
            <w:shd w:fill="FFDCE0" w:val="clear"/>
          </w:tcPr>
          <w:p>
            <w:r>
              <w:rPr>
                <w:sz w:val="17"/>
              </w:rPr>
              <w:t>33,039</w:t>
            </w:r>
          </w:p>
        </w:tc>
        <w:tc>
          <w:tcPr>
            <w:tcW w:type="dxa" w:w="1440"/>
            <w:shd w:fill="FFDCE0" w:val="clear"/>
          </w:tcPr>
          <w:p>
            <w:r>
              <w:rPr>
                <w:b/>
                <w:color w:val="C00000"/>
                <w:sz w:val="17"/>
              </w:rPr>
              <w:t>-7.3%</w:t>
            </w:r>
          </w:p>
        </w:tc>
      </w:tr>
      <w:tr>
        <w:tc>
          <w:tcPr>
            <w:tcW w:type="dxa" w:w="1440"/>
            <w:shd w:fill="FFDCE0" w:val="clear"/>
          </w:tcPr>
          <w:p>
            <w:r>
              <w:rPr>
                <w:sz w:val="17"/>
              </w:rPr>
              <w:t>J+10  ⭐</w:t>
            </w:r>
          </w:p>
        </w:tc>
        <w:tc>
          <w:tcPr>
            <w:tcW w:type="dxa" w:w="1440"/>
            <w:shd w:fill="FFDCE0" w:val="clear"/>
          </w:tcPr>
          <w:p>
            <w:r>
              <w:rPr>
                <w:sz w:val="17"/>
              </w:rPr>
              <w:t>2026-10-29</w:t>
            </w:r>
          </w:p>
        </w:tc>
        <w:tc>
          <w:tcPr>
            <w:tcW w:type="dxa" w:w="1440"/>
            <w:shd w:fill="FFDCE0" w:val="clear"/>
          </w:tcPr>
          <w:p>
            <w:r>
              <w:rPr>
                <w:sz w:val="17"/>
              </w:rPr>
              <w:t>24,145</w:t>
            </w:r>
          </w:p>
        </w:tc>
        <w:tc>
          <w:tcPr>
            <w:tcW w:type="dxa" w:w="1440"/>
            <w:shd w:fill="FFDCE0" w:val="clear"/>
          </w:tcPr>
          <w:p>
            <w:r>
              <w:rPr>
                <w:b/>
                <w:sz w:val="17"/>
              </w:rPr>
              <w:t>28,667</w:t>
            </w:r>
          </w:p>
        </w:tc>
        <w:tc>
          <w:tcPr>
            <w:tcW w:type="dxa" w:w="1440"/>
            <w:shd w:fill="FFDCE0" w:val="clear"/>
          </w:tcPr>
          <w:p>
            <w:r>
              <w:rPr>
                <w:sz w:val="17"/>
              </w:rPr>
              <w:t>33,190</w:t>
            </w:r>
          </w:p>
        </w:tc>
        <w:tc>
          <w:tcPr>
            <w:tcW w:type="dxa" w:w="1440"/>
            <w:shd w:fill="FFDCE0" w:val="clear"/>
          </w:tcPr>
          <w:p>
            <w:r>
              <w:rPr>
                <w:b/>
                <w:color w:val="C00000"/>
                <w:sz w:val="17"/>
              </w:rPr>
              <w:t>-7.5%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1326.977 Mds FCFA</w:t>
            </w:r>
          </w:p>
        </w:tc>
        <w:tc>
          <w:tcPr>
            <w:tcW w:type="dxa" w:w="5669"/>
            <w:shd w:fill="FFFFFF" w:val="clear"/>
          </w:tcPr>
          <w:p>
            <w:r>
              <w:rPr>
                <w:color w:val="282828"/>
                <w:sz w:val="15"/>
              </w:rPr>
              <w:t>Portefeuille crédits (44.3% du bilan). ✅ Concentration saine sur le métier de crédit.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2997.779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2015.284 Mds FCFA</w:t>
            </w:r>
          </w:p>
        </w:tc>
        <w:tc>
          <w:tcPr>
            <w:tcW w:type="dxa" w:w="5669"/>
            <w:shd w:fill="FFFFFF" w:val="clear"/>
          </w:tcPr>
          <w:p>
            <w:r>
              <w:rPr>
                <w:color w:val="282828"/>
                <w:sz w:val="15"/>
              </w:rPr>
              <w:t>Dépôts clients = 67.2% du bilan. ✅ Base de dépôts solide — financement stable et peu coûteux.</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138.986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138.986 Mds FCFA</w:t>
            </w:r>
          </w:p>
        </w:tc>
        <w:tc>
          <w:tcPr>
            <w:tcW w:type="dxa" w:w="5669"/>
            <w:shd w:fill="FFFFFF" w:val="clear"/>
          </w:tcPr>
          <w:p>
            <w:r>
              <w:rPr>
                <w:color w:val="282828"/>
                <w:sz w:val="15"/>
              </w:rPr>
              <w:t>Revenu bancaire central (≡ CA). Croissance: 6.1%. ✅ PNB en progression — dynamisme commercial.</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50.574 Mds FCFA</w:t>
            </w:r>
          </w:p>
        </w:tc>
        <w:tc>
          <w:tcPr>
            <w:tcW w:type="dxa" w:w="5669"/>
            <w:shd w:fill="FFFFFF" w:val="clear"/>
          </w:tcPr>
          <w:p>
            <w:r>
              <w:rPr>
                <w:color w:val="282828"/>
                <w:sz w:val="15"/>
              </w:rPr>
              <w:t>36.4% des revenus. ⚠️ Frais généraux significatifs.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88.412 Mds FCFA</w:t>
            </w:r>
          </w:p>
        </w:tc>
        <w:tc>
          <w:tcPr>
            <w:tcW w:type="dxa" w:w="5669"/>
            <w:shd w:fill="FFFFFF" w:val="clear"/>
          </w:tcPr>
          <w:p>
            <w:r>
              <w:rPr>
                <w:color w:val="282828"/>
                <w:sz w:val="15"/>
              </w:rPr>
              <w:t>RBE = 63.6%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71.958 Mds FCFA</w:t>
            </w:r>
          </w:p>
        </w:tc>
        <w:tc>
          <w:tcPr>
            <w:tcW w:type="dxa" w:w="5669"/>
            <w:shd w:fill="FFFFFF" w:val="clear"/>
          </w:tcPr>
          <w:p>
            <w:r>
              <w:rPr>
                <w:color w:val="282828"/>
                <w:sz w:val="15"/>
              </w:rPr>
              <w:t>Profit d'exploitation = 51.8% des revenus. ✅ Rentabilité opérationnelle solide.</w:t>
            </w:r>
          </w:p>
        </w:tc>
      </w:tr>
      <w:tr>
        <w:tc>
          <w:tcPr>
            <w:tcW w:type="dxa" w:w="2268"/>
            <w:shd w:fill="EEF2F7" w:val="clear"/>
          </w:tcPr>
          <w:p>
            <w:r>
              <w:rPr>
                <w:b/>
                <w:color w:val="1E1E3C"/>
                <w:sz w:val="16"/>
              </w:rPr>
              <w:t>Résultat net</w:t>
            </w:r>
          </w:p>
        </w:tc>
        <w:tc>
          <w:tcPr>
            <w:tcW w:type="dxa" w:w="1984"/>
            <w:shd w:fill="C6EFCE" w:val="clear"/>
          </w:tcPr>
          <w:p>
            <w:r>
              <w:rPr>
                <w:b/>
                <w:color w:val="006400"/>
                <w:sz w:val="17"/>
              </w:rPr>
              <w:t>65.495 Mds FCFA</w:t>
            </w:r>
          </w:p>
        </w:tc>
        <w:tc>
          <w:tcPr>
            <w:tcW w:type="dxa" w:w="5669"/>
            <w:shd w:fill="FFFFFF" w:val="clear"/>
          </w:tcPr>
          <w:p>
            <w:r>
              <w:rPr>
                <w:color w:val="282828"/>
                <w:sz w:val="15"/>
              </w:rPr>
              <w:t>Marge nette = 47.1%.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47.12%</w:t>
            </w:r>
          </w:p>
        </w:tc>
        <w:tc>
          <w:tcPr>
            <w:tcW w:type="dxa" w:w="5669"/>
            <w:shd w:fill="FFFFFF" w:val="clear"/>
          </w:tcPr>
          <w:p>
            <w:r>
              <w:rPr>
                <w:color w:val="282828"/>
                <w:sz w:val="15"/>
              </w:rPr>
              <w:t>Résultat net / revenus = 47.12%.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51.77%</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2.18%</w:t>
            </w:r>
          </w:p>
        </w:tc>
        <w:tc>
          <w:tcPr>
            <w:tcW w:type="dxa" w:w="5669"/>
            <w:shd w:fill="FFFFFF" w:val="clear"/>
          </w:tcPr>
          <w:p>
            <w:r>
              <w:rPr>
                <w:color w:val="282828"/>
                <w:sz w:val="15"/>
              </w:rPr>
              <w:t>Résultat net / total actif = 2.18%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4.64%</w:t>
            </w:r>
          </w:p>
        </w:tc>
        <w:tc>
          <w:tcPr>
            <w:tcW w:type="dxa" w:w="5669"/>
            <w:shd w:fill="FFFFFF" w:val="clear"/>
          </w:tcPr>
          <w:p>
            <w:r>
              <w:rPr>
                <w:color w:val="282828"/>
                <w:sz w:val="15"/>
              </w:rPr>
              <w:t>CA / total actif = 4.64x.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36.39%</w:t>
            </w:r>
          </w:p>
        </w:tc>
        <w:tc>
          <w:tcPr>
            <w:tcW w:type="dxa" w:w="5669"/>
            <w:shd w:fill="FFFFFF" w:val="clear"/>
          </w:tcPr>
          <w:p>
            <w:r>
              <w:rPr>
                <w:color w:val="282828"/>
                <w:sz w:val="15"/>
              </w:rPr>
              <w:t>Charges / PNB = 36.39%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1645400000000.00%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6.11%</w:t>
            </w:r>
          </w:p>
        </w:tc>
        <w:tc>
          <w:tcPr>
            <w:tcW w:type="dxa" w:w="5669"/>
            <w:shd w:fill="FFFFFF" w:val="clear"/>
          </w:tcPr>
          <w:p>
            <w:r>
              <w:rPr>
                <w:color w:val="282828"/>
                <w:sz w:val="15"/>
              </w:rPr>
              <w:t>Croissance PNB vs exercice précédent = 6.11%. ✅ Croissance positive.</w:t>
            </w:r>
          </w:p>
        </w:tc>
      </w:tr>
    </w:tbl>
    <w:p/>
    <w:p>
      <w:pPr>
        <w:spacing w:after="120" w:line="276" w:lineRule="auto"/>
      </w:pPr>
      <w:r>
        <w:t>**RAPPORT D'ANALYSE FINANCIÈRE — CORIS BANK INTERNATIONAL (CBIBF)**</w:t>
        <w:br/>
        <w:t>*Bourse Régionale des Valeurs Mobilières (BRVM) — Secteur Bancaire*</w:t>
        <w:br/>
        <w:t>*Date d'analyse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992,00 milliards FCFA, CBIBF s'impose comme l'une des plus importantes capitalisations de la BRVM, ce qui témoigne de sa stature de valeur de premier plan dans le compartiment bancaire régional. Le BPA de 2 047 FCFA/action signifie que chaque titre génère près de 2 047 FCFA de bénéfice net, un niveau élevé qui reflète la forte rentabilité de la banque. Le PER de 15,1x se situe au-dessus de la moyenne BRVM (généralement 8-12x), indiquant que les investisseurs acceptent de payer une prime pour cette valeur de croissance, ce qui est cohérent avec la trajectoire bénéficiaire ascendante de la banque. L'EV/EBITDA de 11,2x, dans la fourchette 10-15x, suggère une valorisation élevée de la capacité opérationnelle, justifiée par la qualité des marges et la solidité du modèle d'affaires. Le ratio P/B n'étant pas fourni dans les données disponibles, il n'est pas commenté ici, mais l'ensemble des ratios disponibles plaide pour une valorisation raisonnable à légèrement premium, portée par des fondamentaux robustes.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CBIBF a enregistré une progression spectaculaire de +49,76%, avec une dernière séance en hausse de +1,64%, portant le cours actuel à 31 000 FCFA pour une capitalisation de 992,00 milliards FCFA. Le range de trading est particulièrement large, avec un plus haut à 34 450 FCFA et un plus bas à 20 700 FCFA, soit une amplitude de plus de 66%, ce qui traduit une tendance générale nettement haussière mais ponctuée de corrections significatives. Les statistiques descriptives révèlent une moyenne de 27 672 FCFA légèrement inférieure à la médiane de 28 490 FCFA, suggérant une asymétrie négative confirmée par le skewness de -0,260 (distribution symétrique avec une légère queue à gauche), tandis que le mode à 22 000 FCFA indique que le niveau de prix le plus fréquent se situe bien en dessous du cours actuel, signe d'une accélération récente. L'écart-type de 4 142 FCFA avec un coefficient de variation de 15,0% traduit une dispersion modérée du cours autour de sa moyenne. Le kurtosis (excès) de -1,152, qualifié de platykurtique, indique une distribution aplatie avec une faible concentration des rendements, ce qui signifie que les mouvements extrêmes sont moins fréquents que dans une distribution normale — un élément rassurant pour la gestion du risque. Enfin, la volatilité annualisée de 44,2% positionne clairement CBIBF dans la catégorie des titres à volatilité élevée (&gt;30%), ce qui implique un risque de marché significatif mais aussi un potentiel de gain attractif pour les investisseurs avertis.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s'établit à 31 218,25 FCFA et la MM50 à 30 883,70 FCFA, toutes deux inférieures au cours actuel de 31 000 FCFA pour la MM20 (léger écart) et supérieures pour la MM50. La configuration MM20 &gt; MM50 avec un cours proche de ces niveaux traduit une dynamique haussière de moyen terme, justifiant la décision technique d'**Achat**. Le croisement des moyennes mobiles reste favorable, bien que le cours évolue à proximité immédiate de ces supports dynamiques.</w:t>
      </w:r>
    </w:p>
    <w:p>
      <w:pPr>
        <w:spacing w:after="120" w:line="276" w:lineRule="auto"/>
      </w:pPr>
      <w:r>
        <w:t>**Bandes de Bollinger** : La borne supérieure se situe à 33 864,75 FCFA et la borne inférieure à 28 571,75 FCFA, encadrant le cours actuel de 31 000 FCFA qui évolue dans la partie médiane de ces bandes. Cette position centrale, sans contact avec les extrêmes, traduit une absence de signal directionnel fort et justifie la décision **Neutre**. L'amplitude des bandes (environ 5 293 FCFA) confirme la volatilité élevée du titre.</w:t>
      </w:r>
    </w:p>
    <w:p>
      <w:pPr>
        <w:spacing w:after="120" w:line="276" w:lineRule="auto"/>
      </w:pPr>
      <w:r>
        <w:t>**MACD** : La valeur du MACD est de -254,009 contre un signal à -101,904, avec un MACD inférieur à son signal, ce qui constitue un croisement baissier et un momentum négatif. Cette configuration, bien que le MACD reste en territoire négatif, justifie la décision de **Vente** à court terme, signalant une pression vendeuse persistante malgré la tendance haussière de fond.</w:t>
      </w:r>
    </w:p>
    <w:p>
      <w:pPr>
        <w:spacing w:after="120" w:line="276" w:lineRule="auto"/>
      </w:pPr>
      <w:r>
        <w:t>**RSI** : À 54,07, le RSI se situe dans la zone neutre (30-70), sans signal de surachat (&gt;70) ni de survente (&lt;30). Cette valeur médiane indique un équilibre entre acheteurs et vendeurs, justifiant la décision **Neutre** et suggérant que le titre dispose encore d'un potentiel de hausse sans être techniquement épuisé.</w:t>
      </w:r>
    </w:p>
    <w:p>
      <w:pPr>
        <w:spacing w:after="120" w:line="276" w:lineRule="auto"/>
      </w:pPr>
      <w:r>
        <w:t>**Stochastique** : Le %K à 40,161 et le %D à 31,657 affichent des niveaux modérés, avec un %K supérieur au %D, ce qui pourrait indiquer un début de croisement haussier. Toutefois, ces valeurs restent dans la zone neutre basse, justifiant la décision **Neutre** et suggérant une possible reprise progressive de la dynamique acheteuse.</w:t>
      </w:r>
    </w:p>
    <w:p>
      <w:pPr>
        <w:spacing w:after="120" w:line="276" w:lineRule="auto"/>
      </w:pPr>
      <w:r>
        <w:t>**Conclusion technique** : Les indicateurs techniques présentent une configuration mitigée. Les moyennes mobiles plaident pour un achat, tandis que le MACD signale une vente et que les Bandes de Bollinger, le RSI et le Stochastique restent neutres. Cette divergence indique un marché en phase de consolidation après la forte hausse de +49,76%, avec un biais haussier de fond mais des signaux court terme incertains. La prudence est de mise à court terme, mais la structure technique globale reste constructive.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En 2025, Coris Bank International a affiché des performances financières remarquables, avec un Produit Net Bancaire (PNB) de 138,986 milliards FCFA, en croissance de +6,11% par rapport à 2024, et un résultat net de 65,495 milliards FCFA, en progression spectaculaire de +36,6% (rapport annuel 2025, analysé le 01/10/2026). La marge nette s'établit à 47,12%, la marge opérationnelle à 51,77%, et le ROA à 2,18%, tandis que le coefficient d'exploitation de 36,39% — bien inférieur au seuil de 60% — confirme l'excellence de l'efficacité opérationnelle de la banque. Le coût du risque, bien que non fourni en ratio exploitable, est mentionné à 16,5 milliards FCFA dans le rapport 2025, en amélioration significative de 59,3% par rapport à 2024, traduisant un assainissement réussi du portefeuille de crédits. La structure bilancielle est solide avec des dépôts clientèle de 2 015,284 milliards FCFA (+14,9%) et des créances clientèle de 1 326,977 milliards FCFA (+5,4%), affichant un ratio dépôts/crédits de 152%, ce qui indique une surliquidité confortable et une capacité de transformation maîtrisée. Les rapports trimestriels récents confirment cette dynamique : au T1 2026 (rapport du 31/03/2026), le PNB atteint 36,8 milliards FCFA (+28,5%) et le résultat net 21,5 milliards FCFA (+22,2%), avec une marge nette de 58,4%, tandis que les dépôts bondissent de +37,9% à 2 365,1 milliards FCFA. Sur la base de ces tendances trimestrielles, on peut estimer que l'exercice 2026 devrait enregistrer un PNB supérieur à 155 milliards FCFA et un résultat net approchant 80 milliards FCFA, confirmant la trajectoire de croissance soutenue. L'évolution historique montre une résilience remarquable : après une baisse du résultat net en 2024 (47,937 milliards FCFA, -25,4%) due à un assainissement massif du portefeuille, la banque a rebondi vigoureusement en 2025 (+36,6%), démontrant sa capacité à surmonter les chocs. La notation financière AA/AI avec perspective stable (confirmée par Bloomfield Investment Corporation) et le renforcement de la gouvernance avec deux administrateurs indépendants constituent des gages de solidité. En conclusion, les fondamentaux de CBIBF sont excellents : croissance forte, rentabilité élevée, efficacité opérationnelle remarquable et bilan solide, avec des perspectives favorables portées par la digitalisation et la confiance du marché.</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globale des quatre parties précédentes et des prédictions IA conduit à une recommandation nuancée. Sur le plan de la **valorisation (Partie 0)**, le PER de 15,1x et l'EV/EBITDA de 11,2x indiquent une valorisation légèrement premium par rapport à la moyenne BRVM, mais justifiée par la croissance exceptionnelle des bénéfices. Le **comportement du cours (Partie 1)** est nettement haussier (+49,76% sur 100 jours) avec une volatilité élevée (44,2%) et une distribution platykurtique (kurtosis -1,152) qui limite les risques de pics extrêmes, mais le skewness négatif (-0,260) suggère une légère asymétrie baissière. Les **signaux techniques (Partie 2)** sont divergents : les moyennes mobiles sont haussières, mais le MACD est baissier, tandis que le RSI et le Stochastique restent neutres, indiquant une phase de consolidation. Les **fondamentaux (Partie 3)** sont excellents, avec un résultat net 2025 de 65,495 milliards FCFA (+36,6%), un coefficient d'exploitation de 36,39% et des perspectives 2026 estimées à la hausse (T1 2026 : résultat net +22,2%). Les **prédictions IA (J+1 à J+10)** anticipent une légère correction baissière de 31 000 FCFA vers 29 109 FCFA (-6,1%), ce qui contredit partiellement les signaux haussiers des moyennes mobiles mais s'aligne avec le MACD baissier. Compte tenu de cette divergence entre des fondamentaux solides et des signaux techniques court terme incertains, la recommandation finale est **CONSERVER** avec un biais acheteur pour les investisseurs déjà positionnés. Le niveau de confiance est **Moyen**, car si les fondamentaux sont robustes, la correction technique anticipée et la volatilité élevée incitent à la prudence à court terme. Le niveau de risque global est **Moyen à Élevé** en raison de la volatilité de 44,2% et de l'exposition aux risques sécuritaires et géopolitiques de la région UEMOA. L'horizon d'investissement optimal est le **moyen terme (3-12 mois)**, période qui devrait permettre à la banque de concrétiser sa croissance bénéficiaire tout en absorbant la correction technique actuelle, avec un potentiel de revalorisation significatif une fois la consolidation terminée.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20260331   avis de convocation   assemblee generale ordinaire   coris bank international bf</w:t>
      </w:r>
    </w:p>
    <w:p>
      <w:pPr>
        <w:spacing w:before="20"/>
        <w:ind w:left="400"/>
      </w:pPr>
      <w:r>
        <w:rPr>
          <w:color w:val="505050"/>
          <w:sz w:val="17"/>
        </w:rPr>
        <w:t xml:space="preserve">Date : 01/04/2026  |  Catégorie : convocation AG  |  Impact : </w:t>
      </w:r>
      <w:r>
        <w:rPr>
          <w:b/>
          <w:color w:val="646464"/>
          <w:sz w:val="17"/>
        </w:rPr>
        <w:t>⚪ NEUTRE</w:t>
      </w:r>
    </w:p>
    <w:p>
      <w:pPr>
        <w:spacing w:before="40"/>
        <w:ind w:left="400"/>
      </w:pPr>
      <w:r>
        <w:rPr>
          <w:sz w:val="18"/>
        </w:rPr>
        <w:t>Coris Bank International SA convoque ses actionnaires en Assemblée Générale Ordinaire le 16 avril 2026 à Ouagadougou. L'ordre du jour comprend l'approbation des comptes 2025, l'affectation du résultat et le renouvellement d'administrateurs. La banque dispose d'un capital social de 32 milliards FCFA.</w:t>
      </w:r>
    </w:p>
    <w:p>
      <w:pPr>
        <w:spacing w:before="60"/>
        <w:ind w:left="400"/>
      </w:pPr>
      <w:r>
        <w:rPr>
          <w:b/>
          <w:sz w:val="18"/>
        </w:rPr>
        <w:t>Points clés :</w:t>
      </w:r>
    </w:p>
    <w:p>
      <w:pPr>
        <w:pStyle w:val="ListBullet"/>
        <w:spacing w:before="20" w:after="20"/>
        <w:ind w:left="700"/>
      </w:pPr>
      <w:r>
        <w:rPr>
          <w:sz w:val="18"/>
        </w:rPr>
        <w:t>Assemblée Générale Ordinaire prévue le 16 avril 2026 à 09h00 au Sopatel Hôtel Silmandé</w:t>
      </w:r>
    </w:p>
    <w:p>
      <w:pPr>
        <w:pStyle w:val="ListBullet"/>
        <w:spacing w:before="20" w:after="20"/>
        <w:ind w:left="700"/>
      </w:pPr>
      <w:r>
        <w:rPr>
          <w:sz w:val="18"/>
        </w:rPr>
        <w:t>Examen et approbation des comptes de l'exercice clos le 31 décembre 2025</w:t>
      </w:r>
    </w:p>
    <w:p>
      <w:pPr>
        <w:pStyle w:val="ListBullet"/>
        <w:spacing w:before="20" w:after="20"/>
        <w:ind w:left="700"/>
      </w:pPr>
      <w:r>
        <w:rPr>
          <w:sz w:val="18"/>
        </w:rPr>
        <w:t>Affectation du résultat de l'exercice 2025 et quitus aux administrateurs</w:t>
      </w:r>
    </w:p>
    <w:p>
      <w:pPr>
        <w:pStyle w:val="ListBullet"/>
        <w:spacing w:before="20" w:after="20"/>
        <w:ind w:left="700"/>
      </w:pPr>
      <w:r>
        <w:rPr>
          <w:sz w:val="18"/>
        </w:rPr>
        <w:t>Fin de mandats et renouvellement d'administrateurs, nomination d'administrateurs indépendants</w:t>
      </w:r>
    </w:p>
    <w:p>
      <w:pPr>
        <w:pStyle w:val="ListBullet"/>
        <w:spacing w:before="20" w:after="20"/>
        <w:ind w:left="700"/>
      </w:pPr>
      <w:r>
        <w:rPr>
          <w:sz w:val="18"/>
        </w:rPr>
        <w:t>Capital social de 32 milliards FCFA avec présence d'une branche Finance Islamique</w:t>
      </w:r>
    </w:p>
    <w:p/>
    <w:p>
      <w:pPr>
        <w:pStyle w:val="Heading3"/>
      </w:pPr>
      <w:r>
        <w:rPr>
          <w:color w:val="005A32"/>
        </w:rPr>
        <w:t>📋 RAPPORTS &amp; COMMUNIQUÉS OFFICIELS</w:t>
      </w:r>
    </w:p>
    <w:p>
      <w:r>
        <w:rPr>
          <w:i/>
          <w:color w:val="646464"/>
          <w:sz w:val="18"/>
        </w:rPr>
        <w:t>17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"Excellente performance trimestrielle avec croissance forte du PNB (+28,5%) et du r\u00e9sultat net (+22,2%). La banque d\u00e9montre une capacit\u00e9 de croissance soutenue avec une rentabilit\u00e9 durable et une discipline de gestion."}</w:t>
      </w:r>
    </w:p>
    <w:p>
      <w:pPr>
        <w:spacing w:before="40"/>
        <w:ind w:left="400"/>
      </w:pPr>
      <w:r>
        <w:rPr>
          <w:sz w:val="18"/>
        </w:rPr>
        <w:t>Coris Bank International SA présente des résultats solides au premier trimestre 2026 avec une croissance soutenue dans un environnement d'incertitudes. Les dépôts clients progressent de 37,9% à 2 365,1 milliards FCFA tandis que les crédits augmentent de 3,8% à 1 307,2 milliards FCFA. Le Produit Net Bancaire atteint 36,8 milliards FCFA en hausse de 28,5%, porté par la performance commerciale. Le Résultat Net ressort à 21,5 milliards FCFA, en progression de 22,2% par rapport au T1 2025. La banque a inauguré son nouveau siège social au Burkina Faso, marquant son engagement pour la proximité et l'excellence client.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'2 365,1 milliards FCFA', 'credits_clientele': '1 307,2 milliards FCFA', 'resultat_avant_impot': '23,586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21,5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36,8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dépôts clients de +37,9% à 2 365,1 milliards FCFA</w:t>
      </w:r>
    </w:p>
    <w:p>
      <w:pPr>
        <w:pStyle w:val="ListBullet"/>
        <w:spacing w:before="20" w:after="20"/>
        <w:ind w:left="700"/>
      </w:pPr>
      <w:r>
        <w:rPr>
          <w:sz w:val="18"/>
        </w:rPr>
        <w:t>Progression modérée des crédits à la clientèle de +3,8% à 1 307,2 milliards FCFA</w:t>
      </w:r>
    </w:p>
    <w:p>
      <w:pPr>
        <w:pStyle w:val="ListBullet"/>
        <w:spacing w:before="20" w:after="20"/>
        <w:ind w:left="700"/>
      </w:pPr>
      <w:r>
        <w:rPr>
          <w:sz w:val="18"/>
        </w:rPr>
        <w:t>Produit Net Bancaire en hausse de +28,5% à 36,8 milliards FCFA</w:t>
      </w:r>
    </w:p>
    <w:p>
      <w:pPr>
        <w:pStyle w:val="ListBullet"/>
        <w:spacing w:before="20" w:after="20"/>
        <w:ind w:left="700"/>
      </w:pPr>
      <w:r>
        <w:rPr>
          <w:sz w:val="18"/>
        </w:rPr>
        <w:t>Résultat Net en croissance de +22,2% à 21,5 milliards FCFA</w:t>
      </w:r>
    </w:p>
    <w:p>
      <w:pPr>
        <w:pStyle w:val="ListBullet"/>
        <w:spacing w:before="20" w:after="20"/>
        <w:ind w:left="700"/>
      </w:pPr>
      <w:r>
        <w:rPr>
          <w:sz w:val="18"/>
        </w:rPr>
        <w:t>Performance commerciale solide et accroissement des activités</w:t>
      </w:r>
    </w:p>
    <w:p>
      <w:pPr>
        <w:pStyle w:val="ListBullet"/>
        <w:spacing w:before="20" w:after="20"/>
        <w:ind w:left="700"/>
      </w:pPr>
      <w:r>
        <w:rPr>
          <w:sz w:val="18"/>
        </w:rPr>
        <w:t>Inauguration du nouveau siège social au Burkina Faso</w:t>
      </w:r>
    </w:p>
    <w:p>
      <w:pPr>
        <w:spacing w:before="40"/>
        <w:ind w:left="400"/>
      </w:pPr>
      <w:r>
        <w:rPr>
          <w:b/>
          <w:color w:val="C05000"/>
          <w:sz w:val="18"/>
        </w:rPr>
        <w:t xml:space="preserve">⚠️ Risques : </w:t>
      </w:r>
      <w:r>
        <w:rPr>
          <w:sz w:val="18"/>
        </w:rPr>
        <w:t>["Environnement \u00e9conomique marqu\u00e9 par les incertitudes", "Croissance mod\u00e9r\u00e9e des cr\u00e9dits (+3,8%) face \u00e0 la forte collecte de d\u00e9p\u00f4ts", "Exposition aux risques g\u00e9opolitiques et \u00e9conomiques en Afrique de l'Ouest"]</w:t>
      </w:r>
    </w:p>
    <w:p>
      <w:pPr>
        <w:spacing w:before="40"/>
        <w:ind w:left="400"/>
      </w:pPr>
      <w:r>
        <w:rPr>
          <w:b/>
          <w:color w:val="0064A0"/>
          <w:sz w:val="18"/>
        </w:rPr>
        <w:t xml:space="preserve">🔮 Perspectives : </w:t>
      </w:r>
      <w:r>
        <w:rPr>
          <w:sz w:val="18"/>
        </w:rPr>
        <w:t>Les perspectives restent positives avec la poursuite du financement de l'économie et la confiance du marché traduite par la forte croissance des dépôts. L'inauguration du nouveau siège au Burkina Faso témoigne de l'engagement stratégique pour renforcer la proximité client et soutenir la croissance f</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performance op\u00e9rationnelle avec une rentabilit\u00e9 en forte hausse et une gestion des risques efficace. La croissance soutenue des d\u00e9p\u00f4ts et la ma\u00eetrise des co\u00fbts confirment la solidit\u00e9 du mod\u00e8le d'affaires."}</w:t>
      </w:r>
    </w:p>
    <w:p>
      <w:pPr>
        <w:spacing w:before="40"/>
        <w:ind w:left="400"/>
      </w:pPr>
      <w:r>
        <w:rPr>
          <w:sz w:val="18"/>
        </w:rPr>
        <w:t>Coris Bank International SA affiche des résultats solides pour l'exercice 2025 avec un résultat net de 65,5 milliards FCFA, en progression de 36,6% par rapport à 2024. Le produit net bancaire s'établit à 139 milliards FCFA (+6,1%) porté par l'amélioration des marges d'intérêts et des commissions. La banque a renforcé sa collecte de dépôts à 2 015 milliards FCFA (+14,9%) et ses crédits nets à 1 327 milliards FCFA (+5,4%). Le coût du risque s'améliore significativement de 59,3% traduisant l'efficacité des actions d'assainissement du portefeuille. La banque confirme sa position d'acteur de référence sur le marché bancaire national et sous-régional avec un coefficient d'exploitation maîtrisé à 3</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'16,5 milliards FCFA', 'depots_clientele': '2 015 milliards FCFA', 'credits_clientele': '1 327 milliards FCFA', 'coefficient_exploitation': '36,4%'}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47,1%</w:t>
            </w:r>
          </w:p>
        </w:tc>
        <w:tc>
          <w:tcPr>
            <w:tcW w:type="dxa" w:w="2160"/>
          </w:tcPr>
          <w:p>
            <w:pPr>
              <w:ind w:left="100"/>
            </w:pPr>
            <w:r/>
            <w:r>
              <w:rPr>
                <w:b/>
                <w:sz w:val="16"/>
              </w:rPr>
              <w:t>total_actif</w:t>
              <w:br/>
            </w:r>
            <w:r>
              <w:rPr>
                <w:sz w:val="18"/>
              </w:rPr>
              <w:t>2 998 milliards FCFA</w:t>
            </w:r>
          </w:p>
        </w:tc>
      </w:tr>
      <w:tr>
        <w:tc>
          <w:tcPr>
            <w:tcW w:type="dxa" w:w="2160"/>
          </w:tcPr>
          <w:p>
            <w:r/>
            <w:r>
              <w:rPr>
                <w:b/>
                <w:sz w:val="16"/>
              </w:rPr>
              <w:t>resultat_net</w:t>
              <w:br/>
            </w:r>
            <w:r>
              <w:rPr>
                <w:sz w:val="18"/>
              </w:rPr>
              <w:t>65,5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139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progression de 36,6% à 65,5 milliards FCFA</w:t>
      </w:r>
    </w:p>
    <w:p>
      <w:pPr>
        <w:pStyle w:val="ListBullet"/>
        <w:spacing w:before="20" w:after="20"/>
        <w:ind w:left="700"/>
      </w:pPr>
      <w:r>
        <w:rPr>
          <w:sz w:val="18"/>
        </w:rPr>
        <w:t>Produit net bancaire consolidé de 139 milliards FCFA (+6,1%)</w:t>
      </w:r>
    </w:p>
    <w:p>
      <w:pPr>
        <w:pStyle w:val="ListBullet"/>
        <w:spacing w:before="20" w:after="20"/>
        <w:ind w:left="700"/>
      </w:pPr>
      <w:r>
        <w:rPr>
          <w:sz w:val="18"/>
        </w:rPr>
        <w:t>Collecte de dépôts dynamique à 2 015,3 milliards FCFA (+14,9%)</w:t>
      </w:r>
    </w:p>
    <w:p>
      <w:pPr>
        <w:pStyle w:val="ListBullet"/>
        <w:spacing w:before="20" w:after="20"/>
        <w:ind w:left="700"/>
      </w:pPr>
      <w:r>
        <w:rPr>
          <w:sz w:val="18"/>
        </w:rPr>
        <w:t>Crédits nets en croissance de 5,4% à 1 327 milliards FCFA</w:t>
      </w:r>
    </w:p>
    <w:p>
      <w:pPr>
        <w:pStyle w:val="ListBullet"/>
        <w:spacing w:before="20" w:after="20"/>
        <w:ind w:left="700"/>
      </w:pPr>
      <w:r>
        <w:rPr>
          <w:sz w:val="18"/>
        </w:rPr>
        <w:t>Amélioration significative du coût du risque (-59,3%)</w:t>
      </w:r>
    </w:p>
    <w:p>
      <w:pPr>
        <w:pStyle w:val="ListBullet"/>
        <w:spacing w:before="20" w:after="20"/>
        <w:ind w:left="700"/>
      </w:pPr>
      <w:r>
        <w:rPr>
          <w:sz w:val="18"/>
        </w:rPr>
        <w:t>Coefficient d'exploitation maîtrisé à 36,4%</w:t>
      </w:r>
    </w:p>
    <w:p>
      <w:pPr>
        <w:spacing w:before="40"/>
        <w:ind w:left="400"/>
      </w:pPr>
      <w:r>
        <w:rPr>
          <w:b/>
          <w:color w:val="C05000"/>
          <w:sz w:val="18"/>
        </w:rPr>
        <w:t xml:space="preserve">⚠️ Risques : </w:t>
      </w:r>
      <w:r>
        <w:rPr>
          <w:sz w:val="18"/>
        </w:rPr>
        <w:t>["Environnement \u00e9conomique et g\u00e9opolitique incertain dans la r\u00e9gion UEMOA", "Persistance des d\u00e9fis s\u00e9curitaires et sociaux affectant la croissance \u00e9conomique estim\u00e9e \u00e0 6,3%", "Concentration g\u00e9ographique sur les march\u00e9s ouest-africains expos\u00e9s au</w:t>
      </w:r>
    </w:p>
    <w:p>
      <w:pPr>
        <w:spacing w:before="40"/>
        <w:ind w:left="400"/>
      </w:pPr>
      <w:r>
        <w:rPr>
          <w:b/>
          <w:color w:val="0064A0"/>
          <w:sz w:val="18"/>
        </w:rPr>
        <w:t xml:space="preserve">🔮 Perspectives : </w:t>
      </w:r>
      <w:r>
        <w:rPr>
          <w:sz w:val="18"/>
        </w:rPr>
        <w:t>L'exercice 2026 s'inscrit dans un environnement économique marqué par des incertitudes mais les perspectives de croissance restent favorables pour la région. La banque poursuit sa stratégie de développement avec le nouveau Plan Stratégique 2026-2028 'Performance et résilience' pour maintenir sa posi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"La banque affiche une croissance soutenue de tous ses indicateurs cl\u00e9s avec une rentabilit\u00e9 \u00e9lev\u00e9e. La solidit\u00e9 du bilan et l'am\u00e9lioration continue des performances op\u00e9rationnelles justifient une recommandation d'achat."}</w:t>
      </w:r>
    </w:p>
    <w:p>
      <w:pPr>
        <w:spacing w:before="40"/>
        <w:ind w:left="400"/>
      </w:pPr>
      <w:r>
        <w:rPr>
          <w:sz w:val="18"/>
        </w:rPr>
        <w:t>CORIS BANK International SA présente une performance solide en 2022 avec une croissance significative de son activité. Le total de l'actif a progressé de 17% pour atteindre 2 289 milliards FCFA contre 1 953 milliards en 2021. Le résultat net s'améliore fortement à 56,5 milliards FCFA en 2022 contre 46,5 milliards en 2021, soit une hausse de 21%. Le produit net bancaire augmente de 23% à 111,1 milliards FCFA, témoignant d'une dynamique commerciale positive. Les capitaux propres se renforcent à 228,5 milliards FCFA, consolidant la structure financière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'depots_clientele': '1 447 milliards FCFA', 'creances_clientele': '1 206 milliards FCFA', 'ratio_capitalisation': '10%'}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50,8%</w:t>
            </w:r>
          </w:p>
        </w:tc>
        <w:tc>
          <w:tcPr>
            <w:tcW w:type="dxa" w:w="2160"/>
          </w:tcPr>
          <w:p>
            <w:pPr>
              <w:ind w:left="100"/>
            </w:pPr>
            <w:r/>
            <w:r>
              <w:rPr>
                <w:b/>
                <w:sz w:val="16"/>
              </w:rPr>
              <w:t>total_actif</w:t>
              <w:br/>
            </w:r>
            <w:r>
              <w:rPr>
                <w:sz w:val="18"/>
              </w:rPr>
              <w:t>2 289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228,5 milliards FCFA</w:t>
            </w:r>
          </w:p>
        </w:tc>
        <w:tc>
          <w:tcPr>
            <w:tcW w:type="dxa" w:w="2160"/>
          </w:tcPr>
          <w:p>
            <w:r/>
            <w:r>
              <w:rPr>
                <w:b/>
                <w:sz w:val="16"/>
              </w:rPr>
              <w:t>chiffre_affaires</w:t>
              <w:br/>
            </w:r>
            <w:r>
              <w:rPr>
                <w:sz w:val="18"/>
              </w:rPr>
              <w:t>111,1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17% à 2 289 milliards FCFA en 2022</w:t>
      </w:r>
    </w:p>
    <w:p>
      <w:pPr>
        <w:pStyle w:val="ListBullet"/>
        <w:spacing w:before="20" w:after="20"/>
        <w:ind w:left="700"/>
      </w:pPr>
      <w:r>
        <w:rPr>
          <w:sz w:val="18"/>
        </w:rPr>
        <w:t>Progression du résultat net de 21% à 56,5 milliards FCFA</w:t>
      </w:r>
    </w:p>
    <w:p>
      <w:pPr>
        <w:pStyle w:val="ListBullet"/>
        <w:spacing w:before="20" w:after="20"/>
        <w:ind w:left="700"/>
      </w:pPr>
      <w:r>
        <w:rPr>
          <w:sz w:val="18"/>
        </w:rPr>
        <w:t>Hausse du produit net bancaire de 23% à 111,1 milliards FCFA</w:t>
      </w:r>
    </w:p>
    <w:p>
      <w:pPr>
        <w:pStyle w:val="ListBullet"/>
        <w:spacing w:before="20" w:after="20"/>
        <w:ind w:left="700"/>
      </w:pPr>
      <w:r>
        <w:rPr>
          <w:sz w:val="18"/>
        </w:rPr>
        <w:t>Renforcement des capitaux propres à 228,5 milliards FCFA (+20%)</w:t>
      </w:r>
    </w:p>
    <w:p>
      <w:pPr>
        <w:pStyle w:val="ListBullet"/>
        <w:spacing w:before="20" w:after="20"/>
        <w:ind w:left="700"/>
      </w:pPr>
      <w:r>
        <w:rPr>
          <w:sz w:val="18"/>
        </w:rPr>
        <w:t>Augmentation des crédits à la clientèle de 27% à 1 206 milliards FCFA</w:t>
      </w:r>
    </w:p>
    <w:p>
      <w:pPr>
        <w:pStyle w:val="ListBullet"/>
        <w:spacing w:before="20" w:after="20"/>
        <w:ind w:left="700"/>
      </w:pPr>
      <w:r>
        <w:rPr>
          <w:sz w:val="18"/>
        </w:rPr>
        <w:t>Croissance des dépôts clients de 17% à 1 447 milliards FCFA</w:t>
      </w:r>
    </w:p>
    <w:p>
      <w:pPr>
        <w:spacing w:before="40"/>
        <w:ind w:left="400"/>
      </w:pPr>
      <w:r>
        <w:rPr>
          <w:b/>
          <w:color w:val="C05000"/>
          <w:sz w:val="18"/>
        </w:rPr>
        <w:t xml:space="preserve">⚠️ Risques : </w:t>
      </w:r>
      <w:r>
        <w:rPr>
          <w:sz w:val="18"/>
        </w:rPr>
        <w:t>["Augmentation du co\u00fbt du risque de 24% t\u00e9moignant d'une d\u00e9gradation potentielle de la qualit\u00e9 des cr\u00e9dits", "Exposition au risque pays dans un contexte g\u00e9opolitique instable au Sahel", "Concentration g\u00e9ographique sur l'Afrique de l'Ouest avec les risques macro\u00</w:t>
      </w:r>
    </w:p>
    <w:p>
      <w:pPr>
        <w:spacing w:before="40"/>
        <w:ind w:left="400"/>
      </w:pPr>
      <w:r>
        <w:rPr>
          <w:b/>
          <w:color w:val="0064A0"/>
          <w:sz w:val="18"/>
        </w:rPr>
        <w:t xml:space="preserve">🔮 Perspectives : </w:t>
      </w:r>
      <w:r>
        <w:rPr>
          <w:sz w:val="18"/>
        </w:rPr>
        <w:t>Les perspectives restent positives avec une dynamique de croissance bien établie et une position concurrentielle solide. La banque devrait continuer à bénéficier de l'expansion économique régionale et du développement de l'inclusion financière. La surveillance de l'évolution du coût du risque sera 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croissance soutenue de tous ses indicateurs cl\u00e9s avec une am\u00e9lioration de l'efficacit\u00e9 op\u00e9rationnelle. Sa position de leader au Burkina Faso et son plan strat\u00e9gique 2023-2025 ax\u00e9 sur l'innovation offrent de bonnes perspectives de d\u00e9veloppement."}</w:t>
      </w:r>
    </w:p>
    <w:p>
      <w:pPr>
        <w:spacing w:before="40"/>
        <w:ind w:left="400"/>
      </w:pPr>
      <w:r>
        <w:rPr>
          <w:sz w:val="18"/>
        </w:rPr>
        <w:t>CORIS BANK International présente de solides performances pour l'exercice 2022 avec une croissance remarquable de tous ses indicateurs clés. La banque a enregistré une marge d'intérêts globale de 77,9 milliards FCFA (+25,39%) et un produit net bancaire de 110,6 milliards FCFA (+24,15%). Le résultat net s'établit à 56,5 milliards FCFA en hausse de 21,33%, démontrant une rentabilité solide malgré un contexte économique difficile. Le coefficient d'exploitation s'améliore à 31,1% contre 34,7% en 2021, témoignant d'une meilleure maîtrise des coûts. La banque renforce sa position de leader sur le marché burkinabé avec des parts de marché de 22,5% pour les dépôts et 23,6% pour les crédits.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'marge_interets': '77,9 milliards FCFA', 'depots_clientele': '1 439,8 milliards FCFA', 'credits_clientele': '1 184,0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31,1%</w:t>
            </w:r>
          </w:p>
        </w:tc>
        <w:tc>
          <w:tcPr>
            <w:tcW w:type="dxa" w:w="2160"/>
          </w:tcPr>
          <w:p>
            <w:pPr>
              <w:ind w:left="100"/>
            </w:pPr>
            <w:r/>
            <w:r>
              <w:rPr>
                <w:b/>
                <w:sz w:val="16"/>
              </w:rPr>
              <w:t>total_actif</w:t>
              <w:br/>
            </w:r>
            <w:r>
              <w:rPr>
                <w:sz w:val="18"/>
              </w:rPr>
              <w:t>2 289,0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110,6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à 110,6 milliards FCFA (+24,15%)</w:t>
      </w:r>
    </w:p>
    <w:p>
      <w:pPr>
        <w:pStyle w:val="ListBullet"/>
        <w:spacing w:before="20" w:after="20"/>
        <w:ind w:left="700"/>
      </w:pPr>
      <w:r>
        <w:rPr>
          <w:sz w:val="18"/>
        </w:rPr>
        <w:t>Résultat net en progression de 21,33% à 56,5 milliards FCFA</w:t>
      </w:r>
    </w:p>
    <w:p>
      <w:pPr>
        <w:pStyle w:val="ListBullet"/>
        <w:spacing w:before="20" w:after="20"/>
        <w:ind w:left="700"/>
      </w:pPr>
      <w:r>
        <w:rPr>
          <w:sz w:val="18"/>
        </w:rPr>
        <w:t>Amélioration du coefficient d'exploitation de 34,7% à 31,1%</w:t>
      </w:r>
    </w:p>
    <w:p>
      <w:pPr>
        <w:pStyle w:val="ListBullet"/>
        <w:spacing w:before="20" w:after="20"/>
        <w:ind w:left="700"/>
      </w:pPr>
      <w:r>
        <w:rPr>
          <w:sz w:val="18"/>
        </w:rPr>
        <w:t>Croissance des dépôts de la clientèle de 16,64% à 1 439,8 milliards FCFA</w:t>
      </w:r>
    </w:p>
    <w:p>
      <w:pPr>
        <w:pStyle w:val="ListBullet"/>
        <w:spacing w:before="20" w:after="20"/>
        <w:ind w:left="700"/>
      </w:pPr>
      <w:r>
        <w:rPr>
          <w:sz w:val="18"/>
        </w:rPr>
        <w:t>Expansion des crédits à la clientèle de 27,15% à 1 184,0 milliards FCFA</w:t>
      </w:r>
    </w:p>
    <w:p>
      <w:pPr>
        <w:pStyle w:val="ListBullet"/>
        <w:spacing w:before="20" w:after="20"/>
        <w:ind w:left="700"/>
      </w:pPr>
      <w:r>
        <w:rPr>
          <w:sz w:val="18"/>
        </w:rPr>
        <w:t>Renforcement de la position de leader au Burkina Faso avec 22,5% de parts de marché sur les dépôts</w:t>
      </w:r>
    </w:p>
    <w:p>
      <w:pPr>
        <w:spacing w:before="40"/>
        <w:ind w:left="400"/>
      </w:pPr>
      <w:r>
        <w:rPr>
          <w:b/>
          <w:color w:val="C05000"/>
          <w:sz w:val="18"/>
        </w:rPr>
        <w:t xml:space="preserve">⚠️ Risques : </w:t>
      </w:r>
      <w:r>
        <w:rPr>
          <w:sz w:val="18"/>
        </w:rPr>
        <w:t>["Exposition au contexte s\u00e9curitaire et politique difficile au Burkina Faso", "Inflation \u00e9lev\u00e9e (14,6%) impactant l'environnement \u00e9conomique", "Incertitudes g\u00e9opolitiques et ralentissement \u00e9conomique mondial affectant la r\u00e9gion"]</w:t>
      </w:r>
    </w:p>
    <w:p>
      <w:pPr>
        <w:spacing w:before="40"/>
        <w:ind w:left="400"/>
      </w:pPr>
      <w:r>
        <w:rPr>
          <w:b/>
          <w:color w:val="0064A0"/>
          <w:sz w:val="18"/>
        </w:rPr>
        <w:t xml:space="preserve">🔮 Perspectives : </w:t>
      </w:r>
      <w:r>
        <w:rPr>
          <w:sz w:val="18"/>
        </w:rPr>
        <w:t>La banque lance son plan stratégique 2023-2025 'Agilité et Innovation' visant à devenir la référence en innovation et accompagnement des PME. Malgré un contexte d'incertitudes liées aux questions géopolitiques et à l'inflation, la direction générale anticipe le maintien d'une dynamique de croissance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avec une rentabilit\u00e9 excellente et des ratios prudentiels conformes. La forte progression de l'activit\u00e9 cr\u00e9dit et la ma\u00eetrise des co\u00fbts renforcent l'attractivit\u00e9 du titre."}</w:t>
      </w:r>
    </w:p>
    <w:p>
      <w:pPr>
        <w:spacing w:before="40"/>
        <w:ind w:left="400"/>
      </w:pPr>
      <w:r>
        <w:rPr>
          <w:sz w:val="18"/>
        </w:rPr>
        <w:t>CORIS BANK INTERNATIONAL SA présente des performances financières solides pour l'exercice 2022 avec une croissance significative de ses activités. Le total du bilan s'établit à 2 289 milliards de FCFA contre 1 953 milliards en 2021, soit une progression de 17,2%. Le résultat net ressort à 56,5 milliards de FCFA en hausse de 21,3% par rapport aux 46,5 milliards de 2021. Le produit net bancaire progresse de 23% passant de 90,3 milliards à 111,1 milliards de FCFA. Les commissaires aux comptes certifient que les comptes sont réguliers et sincères et donnent une image fidèle de la situation financière.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'progression_pnb': '23%', 'creances_clientele': '1 206 milliards FCFA', 'ratio_creances_clientele': '52,7%'}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50,8%</w:t>
            </w:r>
          </w:p>
        </w:tc>
        <w:tc>
          <w:tcPr>
            <w:tcW w:type="dxa" w:w="2160"/>
          </w:tcPr>
          <w:p>
            <w:pPr>
              <w:ind w:left="100"/>
            </w:pPr>
            <w:r/>
            <w:r>
              <w:rPr>
                <w:b/>
                <w:sz w:val="16"/>
              </w:rPr>
              <w:t>total_actif</w:t>
              <w:br/>
            </w:r>
            <w:r>
              <w:rPr>
                <w:sz w:val="18"/>
              </w:rPr>
              <w:t>2 289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228,5 milliards FCFA</w:t>
            </w:r>
          </w:p>
        </w:tc>
        <w:tc>
          <w:tcPr>
            <w:tcW w:type="dxa" w:w="2160"/>
          </w:tcPr>
          <w:p>
            <w:r/>
            <w:r>
              <w:rPr>
                <w:b/>
                <w:sz w:val="16"/>
              </w:rPr>
              <w:t>chiffre_affaires</w:t>
              <w:br/>
            </w:r>
            <w:r>
              <w:rPr>
                <w:sz w:val="18"/>
              </w:rPr>
              <w:t>111,1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total bilan de 17,2% atteignant 2 289 milliards FCFA</w:t>
      </w:r>
    </w:p>
    <w:p>
      <w:pPr>
        <w:pStyle w:val="ListBullet"/>
        <w:spacing w:before="20" w:after="20"/>
        <w:ind w:left="700"/>
      </w:pPr>
      <w:r>
        <w:rPr>
          <w:sz w:val="18"/>
        </w:rPr>
        <w:t>Progression remarquable du résultat net de 21,3% à 56,5 milliards FCFA</w:t>
      </w:r>
    </w:p>
    <w:p>
      <w:pPr>
        <w:pStyle w:val="ListBullet"/>
        <w:spacing w:before="20" w:after="20"/>
        <w:ind w:left="700"/>
      </w:pPr>
      <w:r>
        <w:rPr>
          <w:sz w:val="18"/>
        </w:rPr>
        <w:t>Hausse significative du produit net bancaire de 23% à 111,1 milliards FCFA</w:t>
      </w:r>
    </w:p>
    <w:p>
      <w:pPr>
        <w:pStyle w:val="ListBullet"/>
        <w:spacing w:before="20" w:after="20"/>
        <w:ind w:left="700"/>
      </w:pPr>
      <w:r>
        <w:rPr>
          <w:sz w:val="18"/>
        </w:rPr>
        <w:t>Augmentation des créances sur la clientèle de 27,8% à 1 206 milliards FCFA</w:t>
      </w:r>
    </w:p>
    <w:p>
      <w:pPr>
        <w:pStyle w:val="ListBullet"/>
        <w:spacing w:before="20" w:after="20"/>
        <w:ind w:left="700"/>
      </w:pPr>
      <w:r>
        <w:rPr>
          <w:sz w:val="18"/>
        </w:rPr>
        <w:t>Renforcement des fonds propres à 228,5 milliards FCFA contre 189,8 milliards</w:t>
      </w:r>
    </w:p>
    <w:p>
      <w:pPr>
        <w:pStyle w:val="ListBullet"/>
        <w:spacing w:before="20" w:after="20"/>
        <w:ind w:left="700"/>
      </w:pPr>
      <w:r>
        <w:rPr>
          <w:sz w:val="18"/>
        </w:rPr>
        <w:t>Certification sans réserve des comptes par les commissaires aux comptes</w:t>
      </w:r>
    </w:p>
    <w:p>
      <w:pPr>
        <w:spacing w:before="40"/>
        <w:ind w:left="400"/>
      </w:pPr>
      <w:r>
        <w:rPr>
          <w:b/>
          <w:color w:val="C05000"/>
          <w:sz w:val="18"/>
        </w:rPr>
        <w:t xml:space="preserve">⚠️ Risques : </w:t>
      </w:r>
      <w:r>
        <w:rPr>
          <w:sz w:val="18"/>
        </w:rPr>
        <w:t xml:space="preserve">["Concentration g\u00e9ographique sur le march\u00e9 burkinab\u00e9 expos\u00e9 aux risques politiques et s\u00e9curitaires", "Augmentation du co\u00fbt du risque de 24% refl\u00e9tant une d\u00e9gradation potentielle du portefeuille cr\u00e9dit", "Exposition au risque de contrepartie avec la forte </w:t>
      </w:r>
    </w:p>
    <w:p>
      <w:pPr>
        <w:spacing w:before="40"/>
        <w:ind w:left="400"/>
      </w:pPr>
      <w:r>
        <w:rPr>
          <w:b/>
          <w:color w:val="0064A0"/>
          <w:sz w:val="18"/>
        </w:rPr>
        <w:t xml:space="preserve">🔮 Perspectives : </w:t>
      </w:r>
      <w:r>
        <w:rPr>
          <w:sz w:val="18"/>
        </w:rPr>
        <w:t>Les perspectives restent favorables avec la poursuite de la croissance de l'activité bancaire et le maintien d'une rentabilité élevée. La banque devra néanmoins surveiller l'évolution de la qualité de son portefeuille crédit dans un contexte économique régional incertain.</w:t>
      </w:r>
    </w:p>
    <w:p/>
    <w:p>
      <w:r>
        <w:t>════════════════════════════════════════════════════════════════════════════════</w:t>
      </w:r>
    </w:p>
    <w:p>
      <w:r>
        <w:br w:type="page"/>
      </w:r>
    </w:p>
    <w:p>
      <w:pPr>
        <w:pStyle w:val="Heading2"/>
        <w:spacing w:before="360"/>
      </w:pPr>
      <w:r>
        <w:rPr>
          <w:color w:val="0066CC"/>
        </w:rPr>
        <w:t>14. CFAC - CFAC - CFAO MOTORS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CFAC</w:t>
            </w:r>
          </w:p>
          <w:p>
            <w:r>
              <w:rPr>
                <w:b/>
                <w:color w:val="323250"/>
                <w:sz w:val="16"/>
              </w:rPr>
              <w:t xml:space="preserve">Société : </w:t>
            </w:r>
            <w:r>
              <w:rPr>
                <w:color w:val="000000"/>
                <w:sz w:val="16"/>
              </w:rPr>
              <w:t>CFAC - CFAO MOTORS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244.85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3,613 titres</w:t>
            </w:r>
          </w:p>
        </w:tc>
        <w:tc>
          <w:tcPr>
            <w:tcW w:type="dxa" w:w="2268"/>
            <w:shd w:fill="FFF2CC" w:val="clear"/>
          </w:tcPr>
          <w:p>
            <w:r>
              <w:rPr>
                <w:b/>
                <w:color w:val="503200"/>
                <w:sz w:val="16"/>
              </w:rPr>
              <w:t xml:space="preserve">Cours actuel : </w:t>
            </w:r>
            <w:r>
              <w:rPr>
                <w:color w:val="000000"/>
                <w:sz w:val="17"/>
              </w:rPr>
              <w:t>1,350 FCFA</w:t>
            </w:r>
          </w:p>
          <w:p>
            <w:r>
              <w:rPr>
                <w:b/>
                <w:color w:val="503200"/>
                <w:sz w:val="16"/>
              </w:rPr>
              <w:t xml:space="preserve">Var. 100 jours : </w:t>
            </w:r>
            <w:r>
              <w:rPr>
                <w:b/>
                <w:color w:val="B40000"/>
                <w:sz w:val="17"/>
              </w:rPr>
              <w:t>-9.09%</w:t>
            </w:r>
          </w:p>
          <w:p>
            <w:r>
              <w:rPr>
                <w:b/>
                <w:color w:val="503200"/>
                <w:sz w:val="16"/>
              </w:rPr>
              <w:t xml:space="preserve">Plus haut 100j : </w:t>
            </w:r>
            <w:r>
              <w:rPr>
                <w:color w:val="000000"/>
                <w:sz w:val="17"/>
              </w:rPr>
              <w:t>1,825 FCFA</w:t>
            </w:r>
          </w:p>
          <w:p>
            <w:r>
              <w:rPr>
                <w:b/>
                <w:color w:val="503200"/>
                <w:sz w:val="16"/>
              </w:rPr>
              <w:t xml:space="preserve">Plus bas 100j : </w:t>
            </w:r>
            <w:r>
              <w:rPr>
                <w:color w:val="000000"/>
                <w:sz w:val="17"/>
              </w:rPr>
              <w:t>1,350 FCFA</w:t>
            </w:r>
          </w:p>
          <w:p>
            <w:r>
              <w:rPr>
                <w:b/>
                <w:color w:val="503200"/>
                <w:sz w:val="16"/>
              </w:rPr>
              <w:t xml:space="preserve">Volatilité ann. : </w:t>
            </w:r>
            <w:r>
              <w:rPr>
                <w:color w:val="000000"/>
                <w:sz w:val="17"/>
              </w:rPr>
              <w:t>46.3%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21.1/100 → Moyen</w:t>
      </w:r>
    </w:p>
    <w:p>
      <w:pPr>
        <w:spacing w:before="40" w:after="80"/>
      </w:pPr>
      <w:r>
        <w:rPr>
          <w:rFonts w:ascii="Courier New" w:hAnsi="Courier New"/>
          <w:color w:val="825A00"/>
          <w:sz w:val="18"/>
        </w:rPr>
        <w:t>████░░░░░░░░░░░░░░░░  21.1/100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5.87% (Moyenne) — μ=1,634 FCFA, σ=96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β=1.1818 (Neutre (suit le marché)) — Cov=0.000088, Var(idx)=0.000075, ρ=0.352, n=96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3,613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σ_j=2.92%/j (Stable) — Vol. annualisée≈46.3%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0080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16" name="Picture 1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Moyenne</w:t>
            </w:r>
          </w:p>
        </w:tc>
        <w:tc>
          <w:tcPr>
            <w:tcW w:type="dxa" w:w="1440"/>
            <w:shd w:fill="C6EFCE" w:val="clear"/>
          </w:tcPr>
          <w:p>
            <w:r>
              <w:rPr>
                <w:sz w:val="17"/>
              </w:rPr>
              <w:t>2026-10-16</w:t>
            </w:r>
          </w:p>
        </w:tc>
        <w:tc>
          <w:tcPr>
            <w:tcW w:type="dxa" w:w="1440"/>
            <w:shd w:fill="C6EFCE" w:val="clear"/>
          </w:tcPr>
          <w:p>
            <w:r>
              <w:rPr>
                <w:sz w:val="17"/>
              </w:rPr>
              <w:t>1,346</w:t>
            </w:r>
          </w:p>
        </w:tc>
        <w:tc>
          <w:tcPr>
            <w:tcW w:type="dxa" w:w="1440"/>
            <w:shd w:fill="C6EFCE" w:val="clear"/>
          </w:tcPr>
          <w:p>
            <w:r>
              <w:rPr>
                <w:b/>
                <w:sz w:val="17"/>
              </w:rPr>
              <w:t>1,405</w:t>
            </w:r>
          </w:p>
        </w:tc>
        <w:tc>
          <w:tcPr>
            <w:tcW w:type="dxa" w:w="1440"/>
            <w:shd w:fill="C6EFCE" w:val="clear"/>
          </w:tcPr>
          <w:p>
            <w:r>
              <w:rPr>
                <w:sz w:val="17"/>
              </w:rPr>
              <w:t>1,463</w:t>
            </w:r>
          </w:p>
        </w:tc>
        <w:tc>
          <w:tcPr>
            <w:tcW w:type="dxa" w:w="1440"/>
            <w:shd w:fill="C6EFCE" w:val="clear"/>
          </w:tcPr>
          <w:p>
            <w:r>
              <w:rPr>
                <w:b/>
                <w:color w:val="008000"/>
                <w:sz w:val="17"/>
              </w:rPr>
              <w:t>+4.1%</w:t>
            </w:r>
          </w:p>
        </w:tc>
      </w:tr>
      <w:tr>
        <w:tc>
          <w:tcPr>
            <w:tcW w:type="dxa" w:w="1440"/>
            <w:shd w:fill="C6EFCE" w:val="clear"/>
          </w:tcPr>
          <w:p>
            <w:r>
              <w:rPr>
                <w:sz w:val="17"/>
              </w:rPr>
              <w:t>J+2  Moyenne</w:t>
            </w:r>
          </w:p>
        </w:tc>
        <w:tc>
          <w:tcPr>
            <w:tcW w:type="dxa" w:w="1440"/>
            <w:shd w:fill="C6EFCE" w:val="clear"/>
          </w:tcPr>
          <w:p>
            <w:r>
              <w:rPr>
                <w:sz w:val="17"/>
              </w:rPr>
              <w:t>2026-10-19</w:t>
            </w:r>
          </w:p>
        </w:tc>
        <w:tc>
          <w:tcPr>
            <w:tcW w:type="dxa" w:w="1440"/>
            <w:shd w:fill="C6EFCE" w:val="clear"/>
          </w:tcPr>
          <w:p>
            <w:r>
              <w:rPr>
                <w:sz w:val="17"/>
              </w:rPr>
              <w:t>1,324</w:t>
            </w:r>
          </w:p>
        </w:tc>
        <w:tc>
          <w:tcPr>
            <w:tcW w:type="dxa" w:w="1440"/>
            <w:shd w:fill="C6EFCE" w:val="clear"/>
          </w:tcPr>
          <w:p>
            <w:r>
              <w:rPr>
                <w:b/>
                <w:sz w:val="17"/>
              </w:rPr>
              <w:t>1,407</w:t>
            </w:r>
          </w:p>
        </w:tc>
        <w:tc>
          <w:tcPr>
            <w:tcW w:type="dxa" w:w="1440"/>
            <w:shd w:fill="C6EFCE" w:val="clear"/>
          </w:tcPr>
          <w:p>
            <w:r>
              <w:rPr>
                <w:sz w:val="17"/>
              </w:rPr>
              <w:t>1,490</w:t>
            </w:r>
          </w:p>
        </w:tc>
        <w:tc>
          <w:tcPr>
            <w:tcW w:type="dxa" w:w="1440"/>
            <w:shd w:fill="C6EFCE" w:val="clear"/>
          </w:tcPr>
          <w:p>
            <w:r>
              <w:rPr>
                <w:b/>
                <w:color w:val="008000"/>
                <w:sz w:val="17"/>
              </w:rPr>
              <w:t>+4.2%</w:t>
            </w:r>
          </w:p>
        </w:tc>
      </w:tr>
      <w:tr>
        <w:tc>
          <w:tcPr>
            <w:tcW w:type="dxa" w:w="1440"/>
            <w:shd w:fill="C6EFCE" w:val="clear"/>
          </w:tcPr>
          <w:p>
            <w:r>
              <w:rPr>
                <w:sz w:val="17"/>
              </w:rPr>
              <w:t>J+3  Moyenne</w:t>
            </w:r>
          </w:p>
        </w:tc>
        <w:tc>
          <w:tcPr>
            <w:tcW w:type="dxa" w:w="1440"/>
            <w:shd w:fill="C6EFCE" w:val="clear"/>
          </w:tcPr>
          <w:p>
            <w:r>
              <w:rPr>
                <w:sz w:val="17"/>
              </w:rPr>
              <w:t>2026-10-20</w:t>
            </w:r>
          </w:p>
        </w:tc>
        <w:tc>
          <w:tcPr>
            <w:tcW w:type="dxa" w:w="1440"/>
            <w:shd w:fill="C6EFCE" w:val="clear"/>
          </w:tcPr>
          <w:p>
            <w:r>
              <w:rPr>
                <w:sz w:val="17"/>
              </w:rPr>
              <w:t>1,313</w:t>
            </w:r>
          </w:p>
        </w:tc>
        <w:tc>
          <w:tcPr>
            <w:tcW w:type="dxa" w:w="1440"/>
            <w:shd w:fill="C6EFCE" w:val="clear"/>
          </w:tcPr>
          <w:p>
            <w:r>
              <w:rPr>
                <w:b/>
                <w:sz w:val="17"/>
              </w:rPr>
              <w:t>1,415</w:t>
            </w:r>
          </w:p>
        </w:tc>
        <w:tc>
          <w:tcPr>
            <w:tcW w:type="dxa" w:w="1440"/>
            <w:shd w:fill="C6EFCE" w:val="clear"/>
          </w:tcPr>
          <w:p>
            <w:r>
              <w:rPr>
                <w:sz w:val="17"/>
              </w:rPr>
              <w:t>1,518</w:t>
            </w:r>
          </w:p>
        </w:tc>
        <w:tc>
          <w:tcPr>
            <w:tcW w:type="dxa" w:w="1440"/>
            <w:shd w:fill="C6EFCE" w:val="clear"/>
          </w:tcPr>
          <w:p>
            <w:r>
              <w:rPr>
                <w:b/>
                <w:color w:val="008000"/>
                <w:sz w:val="17"/>
              </w:rPr>
              <w:t>+4.8%</w:t>
            </w:r>
          </w:p>
        </w:tc>
      </w:tr>
      <w:tr>
        <w:tc>
          <w:tcPr>
            <w:tcW w:type="dxa" w:w="1440"/>
            <w:shd w:fill="C6EFCE" w:val="clear"/>
          </w:tcPr>
          <w:p>
            <w:r>
              <w:rPr>
                <w:sz w:val="17"/>
              </w:rPr>
              <w:t>J+4  ⭐</w:t>
            </w:r>
          </w:p>
        </w:tc>
        <w:tc>
          <w:tcPr>
            <w:tcW w:type="dxa" w:w="1440"/>
            <w:shd w:fill="C6EFCE" w:val="clear"/>
          </w:tcPr>
          <w:p>
            <w:r>
              <w:rPr>
                <w:sz w:val="17"/>
              </w:rPr>
              <w:t>2026-10-21</w:t>
            </w:r>
          </w:p>
        </w:tc>
        <w:tc>
          <w:tcPr>
            <w:tcW w:type="dxa" w:w="1440"/>
            <w:shd w:fill="C6EFCE" w:val="clear"/>
          </w:tcPr>
          <w:p>
            <w:r>
              <w:rPr>
                <w:sz w:val="17"/>
              </w:rPr>
              <w:t>1,306</w:t>
            </w:r>
          </w:p>
        </w:tc>
        <w:tc>
          <w:tcPr>
            <w:tcW w:type="dxa" w:w="1440"/>
            <w:shd w:fill="C6EFCE" w:val="clear"/>
          </w:tcPr>
          <w:p>
            <w:r>
              <w:rPr>
                <w:b/>
                <w:sz w:val="17"/>
              </w:rPr>
              <w:t>1,425</w:t>
            </w:r>
          </w:p>
        </w:tc>
        <w:tc>
          <w:tcPr>
            <w:tcW w:type="dxa" w:w="1440"/>
            <w:shd w:fill="C6EFCE" w:val="clear"/>
          </w:tcPr>
          <w:p>
            <w:r>
              <w:rPr>
                <w:sz w:val="17"/>
              </w:rPr>
              <w:t>1,544</w:t>
            </w:r>
          </w:p>
        </w:tc>
        <w:tc>
          <w:tcPr>
            <w:tcW w:type="dxa" w:w="1440"/>
            <w:shd w:fill="C6EFCE" w:val="clear"/>
          </w:tcPr>
          <w:p>
            <w:r>
              <w:rPr>
                <w:b/>
                <w:color w:val="008000"/>
                <w:sz w:val="17"/>
              </w:rPr>
              <w:t>+5.5%</w:t>
            </w:r>
          </w:p>
        </w:tc>
      </w:tr>
      <w:tr>
        <w:tc>
          <w:tcPr>
            <w:tcW w:type="dxa" w:w="1440"/>
            <w:shd w:fill="C6EFCE" w:val="clear"/>
          </w:tcPr>
          <w:p>
            <w:r>
              <w:rPr>
                <w:sz w:val="17"/>
              </w:rPr>
              <w:t>J+5  ⭐</w:t>
            </w:r>
          </w:p>
        </w:tc>
        <w:tc>
          <w:tcPr>
            <w:tcW w:type="dxa" w:w="1440"/>
            <w:shd w:fill="C6EFCE" w:val="clear"/>
          </w:tcPr>
          <w:p>
            <w:r>
              <w:rPr>
                <w:sz w:val="17"/>
              </w:rPr>
              <w:t>2026-10-22</w:t>
            </w:r>
          </w:p>
        </w:tc>
        <w:tc>
          <w:tcPr>
            <w:tcW w:type="dxa" w:w="1440"/>
            <w:shd w:fill="C6EFCE" w:val="clear"/>
          </w:tcPr>
          <w:p>
            <w:r>
              <w:rPr>
                <w:sz w:val="17"/>
              </w:rPr>
              <w:t>1,300</w:t>
            </w:r>
          </w:p>
        </w:tc>
        <w:tc>
          <w:tcPr>
            <w:tcW w:type="dxa" w:w="1440"/>
            <w:shd w:fill="C6EFCE" w:val="clear"/>
          </w:tcPr>
          <w:p>
            <w:r>
              <w:rPr>
                <w:b/>
                <w:sz w:val="17"/>
              </w:rPr>
              <w:t>1,434</w:t>
            </w:r>
          </w:p>
        </w:tc>
        <w:tc>
          <w:tcPr>
            <w:tcW w:type="dxa" w:w="1440"/>
            <w:shd w:fill="C6EFCE" w:val="clear"/>
          </w:tcPr>
          <w:p>
            <w:r>
              <w:rPr>
                <w:sz w:val="17"/>
              </w:rPr>
              <w:t>1,568</w:t>
            </w:r>
          </w:p>
        </w:tc>
        <w:tc>
          <w:tcPr>
            <w:tcW w:type="dxa" w:w="1440"/>
            <w:shd w:fill="C6EFCE" w:val="clear"/>
          </w:tcPr>
          <w:p>
            <w:r>
              <w:rPr>
                <w:b/>
                <w:color w:val="008000"/>
                <w:sz w:val="17"/>
              </w:rPr>
              <w:t>+6.2%</w:t>
            </w:r>
          </w:p>
        </w:tc>
      </w:tr>
      <w:tr>
        <w:tc>
          <w:tcPr>
            <w:tcW w:type="dxa" w:w="1440"/>
            <w:shd w:fill="C6EFCE" w:val="clear"/>
          </w:tcPr>
          <w:p>
            <w:r>
              <w:rPr>
                <w:sz w:val="17"/>
              </w:rPr>
              <w:t>J+6  ⭐</w:t>
            </w:r>
          </w:p>
        </w:tc>
        <w:tc>
          <w:tcPr>
            <w:tcW w:type="dxa" w:w="1440"/>
            <w:shd w:fill="C6EFCE" w:val="clear"/>
          </w:tcPr>
          <w:p>
            <w:r>
              <w:rPr>
                <w:sz w:val="17"/>
              </w:rPr>
              <w:t>2026-10-23</w:t>
            </w:r>
          </w:p>
        </w:tc>
        <w:tc>
          <w:tcPr>
            <w:tcW w:type="dxa" w:w="1440"/>
            <w:shd w:fill="C6EFCE" w:val="clear"/>
          </w:tcPr>
          <w:p>
            <w:r>
              <w:rPr>
                <w:sz w:val="17"/>
              </w:rPr>
              <w:t>1,295</w:t>
            </w:r>
          </w:p>
        </w:tc>
        <w:tc>
          <w:tcPr>
            <w:tcW w:type="dxa" w:w="1440"/>
            <w:shd w:fill="C6EFCE" w:val="clear"/>
          </w:tcPr>
          <w:p>
            <w:r>
              <w:rPr>
                <w:b/>
                <w:sz w:val="17"/>
              </w:rPr>
              <w:t>1,443</w:t>
            </w:r>
          </w:p>
        </w:tc>
        <w:tc>
          <w:tcPr>
            <w:tcW w:type="dxa" w:w="1440"/>
            <w:shd w:fill="C6EFCE" w:val="clear"/>
          </w:tcPr>
          <w:p>
            <w:r>
              <w:rPr>
                <w:sz w:val="17"/>
              </w:rPr>
              <w:t>1,591</w:t>
            </w:r>
          </w:p>
        </w:tc>
        <w:tc>
          <w:tcPr>
            <w:tcW w:type="dxa" w:w="1440"/>
            <w:shd w:fill="C6EFCE" w:val="clear"/>
          </w:tcPr>
          <w:p>
            <w:r>
              <w:rPr>
                <w:b/>
                <w:color w:val="008000"/>
                <w:sz w:val="17"/>
              </w:rPr>
              <w:t>+6.9%</w:t>
            </w:r>
          </w:p>
        </w:tc>
      </w:tr>
      <w:tr>
        <w:tc>
          <w:tcPr>
            <w:tcW w:type="dxa" w:w="1440"/>
            <w:shd w:fill="C6EFCE" w:val="clear"/>
          </w:tcPr>
          <w:p>
            <w:r>
              <w:rPr>
                <w:sz w:val="17"/>
              </w:rPr>
              <w:t>J+7  ⭐</w:t>
            </w:r>
          </w:p>
        </w:tc>
        <w:tc>
          <w:tcPr>
            <w:tcW w:type="dxa" w:w="1440"/>
            <w:shd w:fill="C6EFCE" w:val="clear"/>
          </w:tcPr>
          <w:p>
            <w:r>
              <w:rPr>
                <w:sz w:val="17"/>
              </w:rPr>
              <w:t>2026-10-26</w:t>
            </w:r>
          </w:p>
        </w:tc>
        <w:tc>
          <w:tcPr>
            <w:tcW w:type="dxa" w:w="1440"/>
            <w:shd w:fill="C6EFCE" w:val="clear"/>
          </w:tcPr>
          <w:p>
            <w:r>
              <w:rPr>
                <w:sz w:val="17"/>
              </w:rPr>
              <w:t>1,291</w:t>
            </w:r>
          </w:p>
        </w:tc>
        <w:tc>
          <w:tcPr>
            <w:tcW w:type="dxa" w:w="1440"/>
            <w:shd w:fill="C6EFCE" w:val="clear"/>
          </w:tcPr>
          <w:p>
            <w:r>
              <w:rPr>
                <w:b/>
                <w:sz w:val="17"/>
              </w:rPr>
              <w:t>1,452</w:t>
            </w:r>
          </w:p>
        </w:tc>
        <w:tc>
          <w:tcPr>
            <w:tcW w:type="dxa" w:w="1440"/>
            <w:shd w:fill="C6EFCE" w:val="clear"/>
          </w:tcPr>
          <w:p>
            <w:r>
              <w:rPr>
                <w:sz w:val="17"/>
              </w:rPr>
              <w:t>1,613</w:t>
            </w:r>
          </w:p>
        </w:tc>
        <w:tc>
          <w:tcPr>
            <w:tcW w:type="dxa" w:w="1440"/>
            <w:shd w:fill="C6EFCE" w:val="clear"/>
          </w:tcPr>
          <w:p>
            <w:r>
              <w:rPr>
                <w:b/>
                <w:color w:val="008000"/>
                <w:sz w:val="17"/>
              </w:rPr>
              <w:t>+7.5%</w:t>
            </w:r>
          </w:p>
        </w:tc>
      </w:tr>
      <w:tr>
        <w:tc>
          <w:tcPr>
            <w:tcW w:type="dxa" w:w="1440"/>
            <w:shd w:fill="C6EFCE" w:val="clear"/>
          </w:tcPr>
          <w:p>
            <w:r>
              <w:rPr>
                <w:sz w:val="17"/>
              </w:rPr>
              <w:t>J+8  ⭐</w:t>
            </w:r>
          </w:p>
        </w:tc>
        <w:tc>
          <w:tcPr>
            <w:tcW w:type="dxa" w:w="1440"/>
            <w:shd w:fill="C6EFCE" w:val="clear"/>
          </w:tcPr>
          <w:p>
            <w:r>
              <w:rPr>
                <w:sz w:val="17"/>
              </w:rPr>
              <w:t>2026-10-27</w:t>
            </w:r>
          </w:p>
        </w:tc>
        <w:tc>
          <w:tcPr>
            <w:tcW w:type="dxa" w:w="1440"/>
            <w:shd w:fill="C6EFCE" w:val="clear"/>
          </w:tcPr>
          <w:p>
            <w:r>
              <w:rPr>
                <w:sz w:val="17"/>
              </w:rPr>
              <w:t>1,288</w:t>
            </w:r>
          </w:p>
        </w:tc>
        <w:tc>
          <w:tcPr>
            <w:tcW w:type="dxa" w:w="1440"/>
            <w:shd w:fill="C6EFCE" w:val="clear"/>
          </w:tcPr>
          <w:p>
            <w:r>
              <w:rPr>
                <w:b/>
                <w:sz w:val="17"/>
              </w:rPr>
              <w:t>1,461</w:t>
            </w:r>
          </w:p>
        </w:tc>
        <w:tc>
          <w:tcPr>
            <w:tcW w:type="dxa" w:w="1440"/>
            <w:shd w:fill="C6EFCE" w:val="clear"/>
          </w:tcPr>
          <w:p>
            <w:r>
              <w:rPr>
                <w:sz w:val="17"/>
              </w:rPr>
              <w:t>1,633</w:t>
            </w:r>
          </w:p>
        </w:tc>
        <w:tc>
          <w:tcPr>
            <w:tcW w:type="dxa" w:w="1440"/>
            <w:shd w:fill="C6EFCE" w:val="clear"/>
          </w:tcPr>
          <w:p>
            <w:r>
              <w:rPr>
                <w:b/>
                <w:color w:val="008000"/>
                <w:sz w:val="17"/>
              </w:rPr>
              <w:t>+8.2%</w:t>
            </w:r>
          </w:p>
        </w:tc>
      </w:tr>
      <w:tr>
        <w:tc>
          <w:tcPr>
            <w:tcW w:type="dxa" w:w="1440"/>
            <w:shd w:fill="C6EFCE" w:val="clear"/>
          </w:tcPr>
          <w:p>
            <w:r>
              <w:rPr>
                <w:sz w:val="17"/>
              </w:rPr>
              <w:t>J+9  ⭐</w:t>
            </w:r>
          </w:p>
        </w:tc>
        <w:tc>
          <w:tcPr>
            <w:tcW w:type="dxa" w:w="1440"/>
            <w:shd w:fill="C6EFCE" w:val="clear"/>
          </w:tcPr>
          <w:p>
            <w:r>
              <w:rPr>
                <w:sz w:val="17"/>
              </w:rPr>
              <w:t>2026-10-28</w:t>
            </w:r>
          </w:p>
        </w:tc>
        <w:tc>
          <w:tcPr>
            <w:tcW w:type="dxa" w:w="1440"/>
            <w:shd w:fill="C6EFCE" w:val="clear"/>
          </w:tcPr>
          <w:p>
            <w:r>
              <w:rPr>
                <w:sz w:val="17"/>
              </w:rPr>
              <w:t>1,285</w:t>
            </w:r>
          </w:p>
        </w:tc>
        <w:tc>
          <w:tcPr>
            <w:tcW w:type="dxa" w:w="1440"/>
            <w:shd w:fill="C6EFCE" w:val="clear"/>
          </w:tcPr>
          <w:p>
            <w:r>
              <w:rPr>
                <w:b/>
                <w:sz w:val="17"/>
              </w:rPr>
              <w:t>1,469</w:t>
            </w:r>
          </w:p>
        </w:tc>
        <w:tc>
          <w:tcPr>
            <w:tcW w:type="dxa" w:w="1440"/>
            <w:shd w:fill="C6EFCE" w:val="clear"/>
          </w:tcPr>
          <w:p>
            <w:r>
              <w:rPr>
                <w:sz w:val="17"/>
              </w:rPr>
              <w:t>1,653</w:t>
            </w:r>
          </w:p>
        </w:tc>
        <w:tc>
          <w:tcPr>
            <w:tcW w:type="dxa" w:w="1440"/>
            <w:shd w:fill="C6EFCE" w:val="clear"/>
          </w:tcPr>
          <w:p>
            <w:r>
              <w:rPr>
                <w:b/>
                <w:color w:val="008000"/>
                <w:sz w:val="17"/>
              </w:rPr>
              <w:t>+8.8%</w:t>
            </w:r>
          </w:p>
        </w:tc>
      </w:tr>
      <w:tr>
        <w:tc>
          <w:tcPr>
            <w:tcW w:type="dxa" w:w="1440"/>
            <w:shd w:fill="C6EFCE" w:val="clear"/>
          </w:tcPr>
          <w:p>
            <w:r>
              <w:rPr>
                <w:sz w:val="17"/>
              </w:rPr>
              <w:t>J+10  ⭐</w:t>
            </w:r>
          </w:p>
        </w:tc>
        <w:tc>
          <w:tcPr>
            <w:tcW w:type="dxa" w:w="1440"/>
            <w:shd w:fill="C6EFCE" w:val="clear"/>
          </w:tcPr>
          <w:p>
            <w:r>
              <w:rPr>
                <w:sz w:val="17"/>
              </w:rPr>
              <w:t>2026-10-29</w:t>
            </w:r>
          </w:p>
        </w:tc>
        <w:tc>
          <w:tcPr>
            <w:tcW w:type="dxa" w:w="1440"/>
            <w:shd w:fill="C6EFCE" w:val="clear"/>
          </w:tcPr>
          <w:p>
            <w:r>
              <w:rPr>
                <w:sz w:val="17"/>
              </w:rPr>
              <w:t>1,282</w:t>
            </w:r>
          </w:p>
        </w:tc>
        <w:tc>
          <w:tcPr>
            <w:tcW w:type="dxa" w:w="1440"/>
            <w:shd w:fill="C6EFCE" w:val="clear"/>
          </w:tcPr>
          <w:p>
            <w:r>
              <w:rPr>
                <w:b/>
                <w:sz w:val="17"/>
              </w:rPr>
              <w:t>1,477</w:t>
            </w:r>
          </w:p>
        </w:tc>
        <w:tc>
          <w:tcPr>
            <w:tcW w:type="dxa" w:w="1440"/>
            <w:shd w:fill="C6EFCE" w:val="clear"/>
          </w:tcPr>
          <w:p>
            <w:r>
              <w:rPr>
                <w:sz w:val="17"/>
              </w:rPr>
              <w:t>1,672</w:t>
            </w:r>
          </w:p>
        </w:tc>
        <w:tc>
          <w:tcPr>
            <w:tcW w:type="dxa" w:w="1440"/>
            <w:shd w:fill="C6EFCE" w:val="clear"/>
          </w:tcPr>
          <w:p>
            <w:r>
              <w:rPr>
                <w:b/>
                <w:color w:val="008000"/>
                <w:sz w:val="17"/>
              </w:rPr>
              <w:t>+9.4%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16.112 Mds FCFA</w:t>
            </w:r>
          </w:p>
        </w:tc>
        <w:tc>
          <w:tcPr>
            <w:tcW w:type="dxa" w:w="5669"/>
            <w:shd w:fill="FFFFFF" w:val="clear"/>
          </w:tcPr>
          <w:p>
            <w:r>
              <w:rPr>
                <w:color w:val="282828"/>
                <w:sz w:val="15"/>
              </w:rPr>
              <w:t>Créances clients = 10.2%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38.851 Mds FCFA</w:t>
            </w:r>
          </w:p>
        </w:tc>
        <w:tc>
          <w:tcPr>
            <w:tcW w:type="dxa" w:w="5669"/>
            <w:shd w:fill="FFFFFF" w:val="clear"/>
          </w:tcPr>
          <w:p>
            <w:r>
              <w:rPr>
                <w:color w:val="282828"/>
                <w:sz w:val="15"/>
              </w:rPr>
              <w:t>Rotation stocks = 4.1x/an.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56.530 Mds FCFA</w:t>
            </w:r>
          </w:p>
        </w:tc>
        <w:tc>
          <w:tcPr>
            <w:tcW w:type="dxa" w:w="5669"/>
            <w:shd w:fill="FFFFFF" w:val="clear"/>
          </w:tcPr>
          <w:p>
            <w:r>
              <w:rPr>
                <w:color w:val="282828"/>
                <w:sz w:val="15"/>
              </w:rPr>
              <w:t>Ratio actif circ./passif circ. = 0.94x.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6.475 Mds FCFA</w:t>
            </w:r>
          </w:p>
        </w:tc>
        <w:tc>
          <w:tcPr>
            <w:tcW w:type="dxa" w:w="5669"/>
            <w:shd w:fill="FFFFFF" w:val="clear"/>
          </w:tcPr>
          <w:p>
            <w:r>
              <w:rPr>
                <w:color w:val="282828"/>
                <w:sz w:val="15"/>
              </w:rPr>
              <w:t>Brevets, logiciels, fonds commercial (7.6%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18.010 Mds FCFA</w:t>
            </w:r>
          </w:p>
        </w:tc>
        <w:tc>
          <w:tcPr>
            <w:tcW w:type="dxa" w:w="5669"/>
            <w:shd w:fill="FFFFFF" w:val="clear"/>
          </w:tcPr>
          <w:p>
            <w:r>
              <w:rPr>
                <w:color w:val="282828"/>
                <w:sz w:val="15"/>
              </w:rPr>
              <w:t>Outil industriel (21.2%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24.619 Mds FCFA</w:t>
            </w:r>
          </w:p>
        </w:tc>
        <w:tc>
          <w:tcPr>
            <w:tcW w:type="dxa" w:w="5669"/>
            <w:shd w:fill="FFFFFF" w:val="clear"/>
          </w:tcPr>
          <w:p>
            <w:r>
              <w:rPr>
                <w:color w:val="282828"/>
                <w:sz w:val="15"/>
              </w:rPr>
              <w:t>Actif immobilisé = 29.0%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3.864 Mds FCFA</w:t>
            </w:r>
          </w:p>
        </w:tc>
        <w:tc>
          <w:tcPr>
            <w:tcW w:type="dxa" w:w="5669"/>
            <w:shd w:fill="FFFFFF" w:val="clear"/>
          </w:tcPr>
          <w:p>
            <w:r>
              <w:rPr>
                <w:color w:val="282828"/>
                <w:sz w:val="15"/>
              </w:rPr>
              <w:t>Liquidités disponibles (4.5%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85.013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9.069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1.814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19.453 Mds FCFA</w:t>
            </w:r>
          </w:p>
        </w:tc>
        <w:tc>
          <w:tcPr>
            <w:tcW w:type="dxa" w:w="5669"/>
            <w:shd w:fill="FFFFFF" w:val="clear"/>
          </w:tcPr>
          <w:p>
            <w:r>
              <w:rPr>
                <w:color w:val="282828"/>
                <w:sz w:val="15"/>
              </w:rPr>
              <w:t>Fonds propres = 22.9%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20.512 Mds FCFA</w:t>
            </w:r>
          </w:p>
        </w:tc>
        <w:tc>
          <w:tcPr>
            <w:tcW w:type="dxa" w:w="5669"/>
            <w:shd w:fill="FFFFFF" w:val="clear"/>
          </w:tcPr>
          <w:p>
            <w:r>
              <w:rPr>
                <w:color w:val="282828"/>
                <w:sz w:val="15"/>
              </w:rPr>
              <w:t>Capitaux permanents / Actif immobilisé = 0.83x.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35.950 Mds FCFA</w:t>
            </w:r>
          </w:p>
        </w:tc>
        <w:tc>
          <w:tcPr>
            <w:tcW w:type="dxa" w:w="5669"/>
            <w:shd w:fill="FFFFFF" w:val="clear"/>
          </w:tcPr>
          <w:p>
            <w:r>
              <w:rPr>
                <w:color w:val="282828"/>
                <w:sz w:val="15"/>
              </w:rPr>
              <w:t>Délai fournisseurs implicite ≈ 83 j. ✅ Bon pouvoir de négociation.</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4.488 Mds FCFA</w:t>
            </w:r>
          </w:p>
        </w:tc>
        <w:tc>
          <w:tcPr>
            <w:tcW w:type="dxa" w:w="5669"/>
            <w:shd w:fill="FFFFFF" w:val="clear"/>
          </w:tcPr>
          <w:p>
            <w:r>
              <w:rPr>
                <w:color w:val="282828"/>
                <w:sz w:val="15"/>
              </w:rPr>
              <w:t>Dette financière totale = 23%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65.560 Mds FCFA</w:t>
            </w:r>
          </w:p>
        </w:tc>
        <w:tc>
          <w:tcPr>
            <w:tcW w:type="dxa" w:w="5669"/>
            <w:shd w:fill="FFFFFF" w:val="clear"/>
          </w:tcPr>
          <w:p>
            <w:r>
              <w:rPr>
                <w:color w:val="282828"/>
                <w:sz w:val="15"/>
              </w:rPr>
              <w:t>Dettes totales = 77.1%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158.313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158.313 Mds FCFA</w:t>
            </w:r>
          </w:p>
        </w:tc>
        <w:tc>
          <w:tcPr>
            <w:tcW w:type="dxa" w:w="5669"/>
            <w:shd w:fill="FFFFFF" w:val="clear"/>
          </w:tcPr>
          <w:p>
            <w:r>
              <w:rPr>
                <w:color w:val="282828"/>
                <w:sz w:val="15"/>
              </w:rPr>
              <w:t>Chiffre d'affaires. Croissance: -12.1%.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1.531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9.907 Mds FCFA</w:t>
            </w:r>
          </w:p>
        </w:tc>
        <w:tc>
          <w:tcPr>
            <w:tcW w:type="dxa" w:w="5669"/>
            <w:shd w:fill="FFFFFF" w:val="clear"/>
          </w:tcPr>
          <w:p>
            <w:r>
              <w:rPr>
                <w:color w:val="282828"/>
                <w:sz w:val="15"/>
              </w:rPr>
              <w:t>Masse salariale = 6.3%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19.281 Mds FCFA</w:t>
            </w:r>
          </w:p>
        </w:tc>
        <w:tc>
          <w:tcPr>
            <w:tcW w:type="dxa" w:w="5669"/>
            <w:shd w:fill="FFFFFF" w:val="clear"/>
          </w:tcPr>
          <w:p>
            <w:r>
              <w:rPr>
                <w:color w:val="282828"/>
                <w:sz w:val="15"/>
              </w:rPr>
              <w:t>VA = 12.2%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9.374 Mds FCFA</w:t>
            </w:r>
          </w:p>
        </w:tc>
        <w:tc>
          <w:tcPr>
            <w:tcW w:type="dxa" w:w="5669"/>
            <w:shd w:fill="FFFFFF" w:val="clear"/>
          </w:tcPr>
          <w:p>
            <w:r>
              <w:rPr>
                <w:color w:val="282828"/>
                <w:sz w:val="15"/>
              </w:rPr>
              <w:t>EBE = 5.9%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7.847 Mds FCFA</w:t>
            </w:r>
          </w:p>
        </w:tc>
        <w:tc>
          <w:tcPr>
            <w:tcW w:type="dxa" w:w="5669"/>
            <w:shd w:fill="FFFFFF" w:val="clear"/>
          </w:tcPr>
          <w:p>
            <w:r>
              <w:rPr>
                <w:color w:val="282828"/>
                <w:sz w:val="15"/>
              </w:rPr>
              <w:t>Profit d'exploitation = 5.0%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1.059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4.693 Mds FCFA</w:t>
            </w:r>
          </w:p>
        </w:tc>
        <w:tc>
          <w:tcPr>
            <w:tcW w:type="dxa" w:w="5669"/>
            <w:shd w:fill="FFFFFF" w:val="clear"/>
          </w:tcPr>
          <w:p>
            <w:r>
              <w:rPr>
                <w:color w:val="282828"/>
                <w:sz w:val="15"/>
              </w:rPr>
              <w:t>Marge nette = 3.0%.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6.224 Mds FCFA</w:t>
            </w:r>
          </w:p>
        </w:tc>
        <w:tc>
          <w:tcPr>
            <w:tcW w:type="dxa" w:w="5669"/>
            <w:shd w:fill="FFFFFF" w:val="clear"/>
          </w:tcPr>
          <w:p>
            <w:r>
              <w:rPr>
                <w:color w:val="282828"/>
                <w:sz w:val="15"/>
              </w:rPr>
              <w:t>CAF = 6.22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7.091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-8.741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-3.200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-1.650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B40000"/>
                <w:sz w:val="17"/>
              </w:rPr>
              <w:t>-3.482 Mds FCFA</w:t>
            </w:r>
          </w:p>
        </w:tc>
        <w:tc>
          <w:tcPr>
            <w:tcW w:type="dxa" w:w="5669"/>
            <w:shd w:fill="FFFFFF" w:val="clear"/>
          </w:tcPr>
          <w:p>
            <w:r>
              <w:rPr>
                <w:color w:val="282828"/>
                <w:sz w:val="15"/>
              </w:rPr>
              <w:t>BFR = -2.2%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-4.106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EB9C" w:val="clear"/>
          </w:tcPr>
          <w:p>
            <w:r>
              <w:rPr>
                <w:b/>
                <w:color w:val="B40000"/>
                <w:sz w:val="17"/>
              </w:rPr>
              <w:t>-624.20 M FCFA</w:t>
            </w:r>
          </w:p>
        </w:tc>
        <w:tc>
          <w:tcPr>
            <w:tcW w:type="dxa" w:w="5669"/>
            <w:shd w:fill="FFFFFF" w:val="clear"/>
          </w:tcPr>
          <w:p>
            <w:r>
              <w:rPr>
                <w:color w:val="282828"/>
                <w:sz w:val="15"/>
              </w:rPr>
              <w:t>Trésorerie nette = FR - BFR. ⚠️ Trésorerie nette négative — recours aux concours bancaires.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5.92%</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2.96%</w:t>
            </w:r>
          </w:p>
        </w:tc>
        <w:tc>
          <w:tcPr>
            <w:tcW w:type="dxa" w:w="5669"/>
            <w:shd w:fill="FFFFFF" w:val="clear"/>
          </w:tcPr>
          <w:p>
            <w:r>
              <w:rPr>
                <w:color w:val="282828"/>
                <w:sz w:val="15"/>
              </w:rPr>
              <w:t>Résultat net / revenus = 2.96%.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4.96%</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24.13%</w:t>
            </w:r>
          </w:p>
        </w:tc>
        <w:tc>
          <w:tcPr>
            <w:tcW w:type="dxa" w:w="5669"/>
            <w:shd w:fill="FFFFFF" w:val="clear"/>
          </w:tcPr>
          <w:p>
            <w:r>
              <w:rPr>
                <w:color w:val="282828"/>
                <w:sz w:val="15"/>
              </w:rPr>
              <w:t>Résultat net / capitaux propres = 24.13%.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5.52%</w:t>
            </w:r>
          </w:p>
        </w:tc>
        <w:tc>
          <w:tcPr>
            <w:tcW w:type="dxa" w:w="5669"/>
            <w:shd w:fill="FFFFFF" w:val="clear"/>
          </w:tcPr>
          <w:p>
            <w:r>
              <w:rPr>
                <w:color w:val="282828"/>
                <w:sz w:val="15"/>
              </w:rPr>
              <w:t>Résultat net / total actif = 5.52%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186.22%</w:t>
            </w:r>
          </w:p>
        </w:tc>
        <w:tc>
          <w:tcPr>
            <w:tcW w:type="dxa" w:w="5669"/>
            <w:shd w:fill="FFFFFF" w:val="clear"/>
          </w:tcPr>
          <w:p>
            <w:r>
              <w:rPr>
                <w:color w:val="282828"/>
                <w:sz w:val="15"/>
              </w:rPr>
              <w:t>CA / total actif = 186.22x.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88062974500.00%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-12.13%</w:t>
            </w:r>
          </w:p>
        </w:tc>
        <w:tc>
          <w:tcPr>
            <w:tcW w:type="dxa" w:w="5669"/>
            <w:shd w:fill="FFFFFF" w:val="clear"/>
          </w:tcPr>
          <w:p>
            <w:r>
              <w:rPr>
                <w:color w:val="282828"/>
                <w:sz w:val="15"/>
              </w:rPr>
              <w:t>Croissance CA vs exercice précédent = -12.13%.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22.88%</w:t>
            </w:r>
          </w:p>
        </w:tc>
        <w:tc>
          <w:tcPr>
            <w:tcW w:type="dxa" w:w="5669"/>
            <w:shd w:fill="FFFFFF" w:val="clear"/>
          </w:tcPr>
          <w:p>
            <w:r>
              <w:rPr>
                <w:color w:val="282828"/>
                <w:sz w:val="15"/>
              </w:rPr>
              <w:t>Fonds propres / total bilan = 22.88%.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77.12%</w:t>
            </w:r>
          </w:p>
        </w:tc>
        <w:tc>
          <w:tcPr>
            <w:tcW w:type="dxa" w:w="5669"/>
            <w:shd w:fill="FFFFFF" w:val="clear"/>
          </w:tcPr>
          <w:p>
            <w:r>
              <w:rPr>
                <w:color w:val="282828"/>
                <w:sz w:val="15"/>
              </w:rPr>
              <w:t>Dettes financières / total bilan = 77.12%.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23.07%</w:t>
            </w:r>
          </w:p>
        </w:tc>
        <w:tc>
          <w:tcPr>
            <w:tcW w:type="dxa" w:w="5669"/>
            <w:shd w:fill="FFFFFF" w:val="clear"/>
          </w:tcPr>
          <w:p>
            <w:r>
              <w:rPr>
                <w:color w:val="282828"/>
                <w:sz w:val="15"/>
              </w:rPr>
              <w:t>Dettes totales / fonds propres = 23.07%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129.67%</w:t>
            </w:r>
          </w:p>
        </w:tc>
        <w:tc>
          <w:tcPr>
            <w:tcW w:type="dxa" w:w="5669"/>
            <w:shd w:fill="FFFFFF" w:val="clear"/>
          </w:tcPr>
          <w:p>
            <w:r>
              <w:rPr>
                <w:color w:val="282828"/>
                <w:sz w:val="15"/>
              </w:rPr>
              <w:t>Total actif / dettes totales = 129.67x.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93.63%</w:t>
            </w:r>
          </w:p>
        </w:tc>
        <w:tc>
          <w:tcPr>
            <w:tcW w:type="dxa" w:w="5669"/>
            <w:shd w:fill="FFFFFF" w:val="clear"/>
          </w:tcPr>
          <w:p>
            <w:r>
              <w:rPr>
                <w:color w:val="282828"/>
                <w:sz w:val="15"/>
              </w:rPr>
              <w:t>Actif circulant / passif circulant = 93.63x.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5.99%</w:t>
            </w:r>
          </w:p>
        </w:tc>
        <w:tc>
          <w:tcPr>
            <w:tcW w:type="dxa" w:w="5669"/>
            <w:shd w:fill="FFFFFF" w:val="clear"/>
          </w:tcPr>
          <w:p>
            <w:r>
              <w:rPr>
                <w:color w:val="282828"/>
                <w:sz w:val="15"/>
              </w:rPr>
              <w:t>Trésorerie / passif circulant = 5.99x.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33.40%</w:t>
            </w:r>
          </w:p>
        </w:tc>
        <w:tc>
          <w:tcPr>
            <w:tcW w:type="dxa" w:w="5669"/>
            <w:shd w:fill="FFFFFF" w:val="clear"/>
          </w:tcPr>
          <w:p>
            <w:r>
              <w:rPr>
                <w:color w:val="282828"/>
                <w:sz w:val="15"/>
              </w:rPr>
              <w:t>(Actif circ. - stocks) / passif circ. = 33.40x.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83.32%</w:t>
            </w:r>
          </w:p>
        </w:tc>
        <w:tc>
          <w:tcPr>
            <w:tcW w:type="dxa" w:w="5669"/>
            <w:shd w:fill="FFFFFF" w:val="clear"/>
          </w:tcPr>
          <w:p>
            <w:r>
              <w:rPr>
                <w:color w:val="282828"/>
                <w:sz w:val="15"/>
              </w:rPr>
              <w:t>Capitaux permanents / actif immobilisé = 83.32x.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1064.46%</w:t>
            </w:r>
          </w:p>
        </w:tc>
        <w:tc>
          <w:tcPr>
            <w:tcW w:type="dxa" w:w="5669"/>
            <w:shd w:fill="FFFFFF" w:val="clear"/>
          </w:tcPr>
          <w:p>
            <w:r>
              <w:rPr>
                <w:color w:val="282828"/>
                <w:sz w:val="15"/>
              </w:rPr>
              <w:t>Résultat exploit. / charges financières = 1064.46x. ✅ Excellente couverture des intérêts.</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71.18%</w:t>
            </w:r>
          </w:p>
        </w:tc>
        <w:tc>
          <w:tcPr>
            <w:tcW w:type="dxa" w:w="5669"/>
            <w:shd w:fill="FFFFFF" w:val="clear"/>
          </w:tcPr>
          <w:p>
            <w:r>
              <w:rPr>
                <w:color w:val="282828"/>
                <w:sz w:val="15"/>
              </w:rPr>
              <w:t>CAF / investissements = 71.18x.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36.6 j</w:t>
            </w:r>
          </w:p>
        </w:tc>
        <w:tc>
          <w:tcPr>
            <w:tcW w:type="dxa" w:w="5669"/>
            <w:shd w:fill="FFFFFF" w:val="clear"/>
          </w:tcPr>
          <w:p>
            <w:r>
              <w:rPr>
                <w:color w:val="282828"/>
                <w:sz w:val="15"/>
              </w:rPr>
              <w:t>Les clients paient en moyenne en 37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81.8 j</w:t>
            </w:r>
          </w:p>
        </w:tc>
        <w:tc>
          <w:tcPr>
            <w:tcW w:type="dxa" w:w="5669"/>
            <w:shd w:fill="FFFFFF" w:val="clear"/>
          </w:tcPr>
          <w:p>
            <w:r>
              <w:rPr>
                <w:color w:val="282828"/>
                <w:sz w:val="15"/>
              </w:rPr>
              <w:t>Paiement des fournisseurs en 82 jours. ✅ Délai favorable — la société conserve sa trésorerie.</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88.3 j</w:t>
            </w:r>
          </w:p>
        </w:tc>
        <w:tc>
          <w:tcPr>
            <w:tcW w:type="dxa" w:w="5669"/>
            <w:shd w:fill="FFFFFF" w:val="clear"/>
          </w:tcPr>
          <w:p>
            <w:r>
              <w:rPr>
                <w:color w:val="282828"/>
                <w:sz w:val="15"/>
              </w:rPr>
              <w:t>Stock écoulé en 88 jours. ⚠️ Durée de stockage longue — capital immobilisé.</w:t>
            </w:r>
          </w:p>
        </w:tc>
      </w:tr>
    </w:tbl>
    <w:p/>
    <w:p>
      <w:pPr>
        <w:spacing w:after="120" w:line="276" w:lineRule="auto"/>
      </w:pPr>
      <w:r>
        <w:t># RAPPORT D'ANALYSE FINANCIÈRE — CFAC (CFAO Motors Côte d'Ivoire)</w:t>
        <w:br/>
        <w:t>**Bourse Régionale des Valeurs Mobilières (BRVM) — Secteur : Distribution Automobile**</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244,85 milliards FCFA, CFAC figure parmi les valeurs les plus importantes de la cote BRVM, ce qui témoigne de son statut de leader du marché automobile ivoirien. Le BPA de 26 FCFA/action indique que chaque titre génère 26 FCFA de bénéfice net, un niveau modeste au regard du cours actuel de 1 350 FCFA. Le PER de 52,2x est très élevé comparé à la moyenne BRVM (~8-12x) : les investisseurs paient plus de 52 fois les bénéfices, ce qui traduit soit une anticipation de forte croissance future, soit une surévaluation manifeste — la prudence est de rigueur. Le P/B de 12,59x (largement supérieur au seuil de 4x) confirme que le marché valorise l'entreprise à plus de 12 fois sa valeur comptable, une prime exigeante qui n'est justifiable que par une rentabilité exceptionnelle et durable. Enfin, l'EV/EBITDA de 26,7x (&gt;15x) signale que la valeur totale de l'entreprise (dette incluse) représente près de 27 fois sa capacité opérationnelle, un multiple très exigeant qui laisse peu de marge d'erreur en cas de dégradation des résultats.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CFAC a enregistré une variation totale de **-9,09%**, avec une chute marquée de **-4,93%** lors de la dernière séance (J-1), ce qui traduit une pression vendeuse récente et significative. Le cours actuel de 1 350 FCFA correspond exactement au plus bas de la période, tandis que le plus haut a atteint 1 825 FCFA, soit un range de trading de 475 FCFA (35% d'amplitude) — le titre évolue donc dans une tendance clairement baissière, clôturant au plancher de sa fourchette. Les statistiques descriptives révèlent une moyenne de 1 634 FCFA légèrement supérieure à la médiane de 1 642 FCFA, avec un mode à 1 600 FCFA : l'écart faible entre moyenne et médiane, combiné à un skewness de -0,388 (distribution symétrique), indique une distribution équilibrée sans asymétrie marquée. L'écart-type de 96 FCFA et le coefficient de variation de 5,9% témoignent d'une dispersion modérée du cours autour de sa moyenne, tandis que le kurtosis de -0,435 (mésokurtique, proche d'une distribution normale) suggère une absence de pics extrêmes — le risque de mouvements brusques est donc limité statistiquement. La volatilité annualisée de **46,3%** positionne le titre dans la catégorie **élevée** (&gt;30%), ce qui implique un risque de prix substantiel pour l'investisseur et justifie une approche prudente.</w:t>
      </w:r>
    </w:p>
    <w:p>
      <w:pPr>
        <w:spacing w:after="120" w:line="276" w:lineRule="auto"/>
      </w:pPr>
      <w:r>
        <w:t>---</w:t>
      </w:r>
    </w:p>
    <w:p>
      <w:pPr>
        <w:spacing w:after="120" w:line="276" w:lineRule="auto"/>
      </w:pPr>
      <w:r>
        <w:t>## PARTIE 2 : ANALYSE TECHNIQUE DÉTAILLÉE</w:t>
      </w:r>
    </w:p>
    <w:p>
      <w:pPr>
        <w:spacing w:after="120" w:line="276" w:lineRule="auto"/>
      </w:pPr>
      <w:r>
        <w:t>**Moyennes Mobiles** : La MM20 s'établit à 1 527,5 FCFA et la MM50 à 1 632,3 FCFA, toutes deux nettement supérieures au cours actuel de 1 350 FCFA. Le cours évolue donc sous ses deux moyennes mobiles, configuration baissière classique, avec la MM20 en dessous de la MM50 confirmant la tendance descendante. La décision technique est **Vente**, justifiée par cette pression baissière persistante.</w:t>
      </w:r>
    </w:p>
    <w:p>
      <w:pPr>
        <w:spacing w:after="120" w:line="276" w:lineRule="auto"/>
      </w:pPr>
      <w:r>
        <w:t>**Bandes de Bollinger** : La borne supérieure est à 1 681,48 FCFA et la borne inférieure à 1 373,52 FCFA, avec un cours actuel de 1 350 FCFA qui se situe **sous la borne inférieure** — situation de survente extrême. Cette position suggère un potentiel rebond technique à court terme, ce qui explique la décision **Achat** malgré la tendance baissière. La largeur des bandes indique une volatilité élevée.</w:t>
      </w:r>
    </w:p>
    <w:p>
      <w:pPr>
        <w:spacing w:after="120" w:line="276" w:lineRule="auto"/>
      </w:pPr>
      <w:r>
        <w:t>**MACD** : La valeur du MACD est de -64,405 contre un signal à -50,153, avec un MACD inférieur à son signal — configuration baissière. Le momentum est négatif et la divergence entre les deux lignes se creuse, confirmant la pression vendeuse. La décision est **Vente**, en ligne avec la tendance de fond.</w:t>
      </w:r>
    </w:p>
    <w:p>
      <w:pPr>
        <w:spacing w:after="120" w:line="276" w:lineRule="auto"/>
      </w:pPr>
      <w:r>
        <w:t>**RSI** : À 31,373, le RSI se situe juste au-dessus du seuil de survente (30), en zone **neutre** mais proche de l'extrême. Cette valeur indique que le titre n'est pas encore techniquement survendu mais s'en approche dangereusement, ce qui pourrait précéder un rebond. La décision est **Neutre**, reflétant cette position ambiguë.</w:t>
      </w:r>
    </w:p>
    <w:p>
      <w:pPr>
        <w:spacing w:after="120" w:line="276" w:lineRule="auto"/>
      </w:pPr>
      <w:r>
        <w:t>**Stochastique** : Le %K et le %D sont tous deux à 0,0, un niveau extrême de survente absolue. Un tel niveau est rarement durable et suggère un rebond imminent, ce qui justifie la décision **Achat** malgré le contexte baissier.</w:t>
      </w:r>
    </w:p>
    <w:p>
      <w:pPr>
        <w:spacing w:after="120" w:line="276" w:lineRule="auto"/>
      </w:pPr>
      <w:r>
        <w:t>**Conclusion technique** : Les indicateurs présentent une divergence notable : les moyennes mobiles et le MACD confirment une tendance baissière établie, tandis que les Bandes de Bollinger et le Stochastique signalent une survente extrême propice à un rebond technique. Le RSI en zone neutre basse renforce cette possibilité de rebond à court terme. La convergence des signaux de survente (Bollinger, Stochastique) suggère qu'un point d'entrée spéculatif pourrait se présenter, mais la tendance de fond reste baissière et nécessite une confirmation.</w:t>
      </w:r>
    </w:p>
    <w:p>
      <w:pPr>
        <w:spacing w:after="120" w:line="276" w:lineRule="auto"/>
      </w:pPr>
      <w:r>
        <w:t>---</w:t>
      </w:r>
    </w:p>
    <w:p>
      <w:pPr>
        <w:spacing w:after="120" w:line="276" w:lineRule="auto"/>
      </w:pPr>
      <w:r>
        <w:t>## PARTIE 3 : ANALYSE FONDAMENTALE</w:t>
      </w:r>
    </w:p>
    <w:p>
      <w:pPr>
        <w:spacing w:after="120" w:line="276" w:lineRule="auto"/>
      </w:pPr>
      <w:r>
        <w:t>**Données structurées (exercice 2024)** : En 2024, CFAC a réalisé un chiffre d'affaires de **158,313 milliards FCFA**, en baisse de **-12,13%** par rapport à 2023, reflétant un marché automobile difficile. Le résultat net s'établit à **4,693 milliards FCFA**, avec une marge nette de **2,96%** et une marge opérationnelle de **4,96%**. Le ROE atteint **24,13%** (excellent, &gt;15%) et le ROA **5,52%**, témoignant d'une rentabilité des fonds propres solide malgré la contraction de l'activité. La structure financière montre une autonomie financière de **22,88%** (inférieure au seuil sain de 30%), un ratio d'endettement de **23,07%** et une solvabilité générale de **129,67%** (solvable). Le BFR est **négatif à -3,482 milliards FCFA** (favorable), mais la trésorerie nette est négative à **-624,20 millions FCFA**, et le Free Cash Flow s'établit à **-1,650 milliard FCFA**, signalant une tension de trésorerie préoccupante.</w:t>
      </w:r>
    </w:p>
    <w:p>
      <w:pPr>
        <w:spacing w:after="120" w:line="276" w:lineRule="auto"/>
      </w:pPr>
      <w:r>
        <w:t>**Analyse sectorielle (entreprise non bancaire)** : Les délais d'exploitation révèlent un délai clients de **36,64 jours** (risque de trésorerie modéré), un délai fournisseurs de **81,75 jours** (favorable à la trésorerie) et une durée de stockage de **88,35 jours** (immobilisation de capital élevée). La rotation des actifs de **186,22%** indique une bonne efficacité d'utilisation des actifs. La capacité de remboursement de **0,72 an** et la couverture des intérêts de **1064,46%** témoignent d'une bonne capacité à honorer les dettes financières.</w:t>
      </w:r>
    </w:p>
    <w:p>
      <w:pPr>
        <w:spacing w:after="120" w:line="276" w:lineRule="auto"/>
      </w:pPr>
      <w:r>
        <w:t>**Estimations basées sur les rapports trimestriels** : Les rapports T1 2025 (CA +14,5%, RN +279,7%), S1 2025 (CA +18,4%, RN +152,7%) et T3 2025 (CA +18,3%, RN +38,1%) — tous datés de 2025 — montrent un **redressement spectaculaire** après l'exercice 2024 difficile. La marge nette du T3 2025 atteint **3,42%** (vs 2,93% au T3 2024), et la part de marché se consolide à **41,7%** (Suzuki 19,2%, Toyota 14,7%). Sur la base de ces tendances, on peut estimer que l'exercice 2025 devrait afficher une croissance du CA de l'ordre de **15-18%** et un résultat net en forte progression, potentiellement supérieur à **6 milliards FCFA**, ramenant le PER à un niveau plus raisonnable (~35-40x).</w:t>
      </w:r>
    </w:p>
    <w:p>
      <w:pPr>
        <w:spacing w:after="120" w:line="276" w:lineRule="auto"/>
      </w:pPr>
      <w:r>
        <w:t>**Évolution pluriannuelle** : Le CA est passé de 77,67 milliards FCFA en 2023 à 158,31 milliards en 2024 (chiffres retraités), avec un résultat net de 6,399 milliards en 2023 à 4,693 milliards en 2024 (-26,7%). Le rapport 2023 (daté du 31/12/2025) indiquait un taux de distribution de **88,1%**, jugé insoutenable, mais les dividendes versés en 2024 (3,2 milliards FCFA) représentent un taux plus raisonnable.</w:t>
      </w:r>
    </w:p>
    <w:p>
      <w:pPr>
        <w:spacing w:after="120" w:line="276" w:lineRule="auto"/>
      </w:pPr>
      <w:r>
        <w:t>**Recommandation fondamentale** : La société présente une **solidité financière correcte** (ROE élevé, solvabilité satisfaisante) mais des **risques de trésorerie** (FCF négatif, trésorerie nette négative) et une **valorisation exigeante**. Le redressement des résultats trimestriels 2025 est encourageant et devrait améliorer les ratios de valorisation. La position de leader (41,7% de part de marché) et la diversification (SHACMAN, LOVOL, BYD) constituent des atouts. **Recommandation : CONSERVER avec vigilance**, en attendant la confirmation de l'amélioration de la trésorerie et la publication des résultats annuels 2025.</w:t>
      </w:r>
    </w:p>
    <w:p>
      <w:pPr>
        <w:spacing w:after="120" w:line="276" w:lineRule="auto"/>
      </w:pPr>
      <w:r>
        <w:t>---</w:t>
      </w:r>
    </w:p>
    <w:p>
      <w:pPr>
        <w:spacing w:after="120" w:line="276" w:lineRule="auto"/>
      </w:pPr>
      <w:r>
        <w:t>## PARTIE 4 : CONCLUSION D'INVESTISSEMENT</w:t>
      </w:r>
    </w:p>
    <w:p>
      <w:pPr>
        <w:spacing w:after="120" w:line="276" w:lineRule="auto"/>
      </w:pPr>
      <w:r>
        <w:t>La synthèse des quatre parties révèle un **décalage important** entre les signaux. **Valorisation (Partie 0)** : les ratios PER (52,2x), P/B (12,59x) et EV/EBITDA (26,7x) indiquent une **surévaluation manifeste** par rapport aux moyennes du marché, bien que le redressement des bénéfices 2025 puisse partiellement justifier ces multiples. **Comportement du cours (Partie 1)** : la tendance baissière (-9,09% sur 100 jours, -4,93% en J-1), la volatilité élevée (46,3%) et la clôture au plus bas de la période sont **préoccupantes**, mais le kurtosis mésokurtique et le skewness symétrique suggèrent l'absence de risque de krach brutal. **Signaux techniques (Partie 2)** : divergence entre les indicateurs baissiers (MM, MACD) et les signaux de survente extrême (Bollinger, Stochastique) — un rebond technique est possible mais non confirmé. **Fondamentaux (Partie 3)** : la société affiche une **rentabilité solide** (ROE 24,13%) et un **redressement trimestriel remarquable** en 2025 (CA +18,3% au T3), mais des **faiblesses de trésorerie** (FCF négatif) et une autonomie financière perfectible. **Prédictions IA (J+1 à J+10)** : la trajectoire prévue (1 405 → 1 434 FCFA) anticipe un **rebond de +6,2%** sur 10 jours, confirmant les signaux de survente technique et contredisant la tendance baissière récente.</w:t>
      </w:r>
    </w:p>
    <w:p>
      <w:pPr>
        <w:spacing w:after="120" w:line="276" w:lineRule="auto"/>
      </w:pPr>
      <w:r>
        <w:t>**Recommandation finale : CONSERVER** — La convergence entre les signaux de survente technique (Bollinger, Stochastique), les prédictions IA haussières et le redressement fondamental des résultats trimestriels 2025 plaide pour un **maintien** de la position, voire un **achat spéculatif** pour les investisseurs tolérant au risque. Cependant, la surévaluation persistante (PER &gt;50x), la tension de trésorerie et la tendance baissière de fond incitent à la **prudence**. **Niveau de confiance : Moyen** — les signaux sont contradictoires et nécessitent une confirmation par les volumes et la publication des résultats annuels 2025. **Niveau de risque global : Élevé** — volatilité de 46,3%, valorisation exigeante et incertitudes sur la trésorerie. **Horizon d'investissement optimal : Moyen terme (3-12 mois)** — le temps que le redressement opérationnel se matérialise dans les comptes annuels et que la trésorerie se normalise, avec un objectif de cours à 1 500-1 600 FCFA si les résultats 2025 confirment la tendance.</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"conserver", "justification": "Malgr\u00e9 la forte d\u00e9gradation de la rentabilit\u00e9, la soci\u00e9t\u00e9 maintient sa position de leader du march\u00e9 avec une croissance des volumes de vente. La strat\u00e9gie de r\u00e9duction des marges semble temporaire pour pr\u00e9server les parts de march\u00e9 dans un environnement concurrentiel difficile."}</w:t>
      </w:r>
    </w:p>
    <w:p>
      <w:pPr>
        <w:spacing w:before="40"/>
        <w:ind w:left="400"/>
      </w:pPr>
      <w:r>
        <w:rPr>
          <w:sz w:val="18"/>
        </w:rPr>
        <w:t>CFAO Motors Côte d'Ivoire présente des résultats mitigés au T1 2022 avec un chiffre d'affaires stable à 28,7 milliards FCFA (+0,5%). La société maintient sa position de leader avec 37,5% de part de marché et 2 022 véhicules vendus (+18,4%). Cependant, la rentabilité s'effondre drastiquement avec un résultat d'exploitation en baisse de 67,3% et un résultat net qui chute de 86,2% à 381 millions FCFA. Cette dégradation s'explique principalement par une réduction volontaire des marges pour maintenir la compétitivité. Les perspectives restent néanmoins positives pour le deuxième trimestre grâce au portefeuille de commandes.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'9,07 milliards FCFA', 'part_de_marche': '37,5%', 'vehicules_vendus': '2 022 unités', 'resultat_exploitation': '1,07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381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28,69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28,69 milliards FCFA (+0,5% vs T1 2021)</w:t>
      </w:r>
    </w:p>
    <w:p>
      <w:pPr>
        <w:pStyle w:val="ListBullet"/>
        <w:spacing w:before="20" w:after="20"/>
        <w:ind w:left="700"/>
      </w:pPr>
      <w:r>
        <w:rPr>
          <w:sz w:val="18"/>
        </w:rPr>
        <w:t>Part de marché dominante à 37,5% avec 2 022 véhicules neufs vendus (+18,4%)</w:t>
      </w:r>
    </w:p>
    <w:p>
      <w:pPr>
        <w:pStyle w:val="ListBullet"/>
        <w:spacing w:before="20" w:after="20"/>
        <w:ind w:left="700"/>
      </w:pPr>
      <w:r>
        <w:rPr>
          <w:sz w:val="18"/>
        </w:rPr>
        <w:t>Suzuki conserve sa position de N°1 du marché, Toyota N°2</w:t>
      </w:r>
    </w:p>
    <w:p>
      <w:pPr>
        <w:pStyle w:val="ListBullet"/>
        <w:spacing w:before="20" w:after="20"/>
        <w:ind w:left="700"/>
      </w:pPr>
      <w:r>
        <w:rPr>
          <w:sz w:val="18"/>
        </w:rPr>
        <w:t>Résultat d'exploitation en forte baisse : 1,07 milliard FCFA (-67,3%)</w:t>
      </w:r>
    </w:p>
    <w:p>
      <w:pPr>
        <w:pStyle w:val="ListBullet"/>
        <w:spacing w:before="20" w:after="20"/>
        <w:ind w:left="700"/>
      </w:pPr>
      <w:r>
        <w:rPr>
          <w:sz w:val="18"/>
        </w:rPr>
        <w:t>Résultat net s'effondre à 381 millions FCFA contre 2,75 milliards en 2021 (-86,2%)</w:t>
      </w:r>
    </w:p>
    <w:p>
      <w:pPr>
        <w:pStyle w:val="ListBullet"/>
        <w:spacing w:before="20" w:after="20"/>
        <w:ind w:left="700"/>
      </w:pPr>
      <w:r>
        <w:rPr>
          <w:sz w:val="18"/>
        </w:rPr>
        <w:t>Stratégie de réduction des marges pour maintenir la compétitivité face à la concurrence</w:t>
      </w:r>
    </w:p>
    <w:p>
      <w:pPr>
        <w:spacing w:before="40"/>
        <w:ind w:left="400"/>
      </w:pPr>
      <w:r>
        <w:rPr>
          <w:b/>
          <w:color w:val="C05000"/>
          <w:sz w:val="18"/>
        </w:rPr>
        <w:t xml:space="preserve">⚠️ Risques : </w:t>
      </w:r>
      <w:r>
        <w:rPr>
          <w:sz w:val="18"/>
        </w:rPr>
        <w:t>["Pression concurrentielle intense n\u00e9cessitant une r\u00e9duction continue des marges", "Forte volatilit\u00e9 de la rentabilit\u00e9 li\u00e9e aux fluctuations du march\u00e9 automobile", "D\u00e9pendance aux conditions \u00e9conomiques locales et au pouvoir d'achat des consommateurs ivoiriens</w:t>
      </w:r>
    </w:p>
    <w:p>
      <w:pPr>
        <w:spacing w:before="40"/>
        <w:ind w:left="400"/>
      </w:pPr>
      <w:r>
        <w:rPr>
          <w:b/>
          <w:color w:val="0064A0"/>
          <w:sz w:val="18"/>
        </w:rPr>
        <w:t xml:space="preserve">🔮 Perspectives : </w:t>
      </w:r>
      <w:r>
        <w:rPr>
          <w:sz w:val="18"/>
        </w:rPr>
        <w:t>Les perspectives pour 2022 restent modérément optimistes avec un portefeuille de commandes solide pour le T2. La société devra toutefois trouver un équilibre entre maintien des parts de marché et restauration de sa rentabilité. L'évolution du contexte économique ivoirien sera déterminante pour la pe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des commissaires confirme la r\u00e9gularit\u00e9 des comptes semestriels sans anomalies significatives. Cependant, l'absence de donn\u00e9es financi\u00e8res d\u00e9taill\u00e9es ne permet pas d'\u00e9valuer la performance op\u00e9rationnelle."}</w:t>
      </w:r>
    </w:p>
    <w:p>
      <w:pPr>
        <w:spacing w:before="40"/>
        <w:ind w:left="400"/>
      </w:pPr>
      <w:r>
        <w:rPr>
          <w:sz w:val="18"/>
        </w:rPr>
        <w:t>Ce document présente l'attestation des Commissaires aux comptes de CFAO Motors S.A. sur le tableau d'activités et de résultat pour la période du 1er janvier au 30 juin 2022. L'examen limité a été effectué selon la norme ISRE 2410 par Deloitte Côte d'Ivoire et le cabinet fiduciaire. Les commissaires confirment n'avoir pas relevé de faits significatifs remettant en question l'établissement des états financiers semestriels. Le document respecte les dispositions de l'OHADA et la circulaire n°004-2010 relative aux formats de présentation sur le marché financier régional UEMOA. L'attestation est datée du 12 octobre 2022 à Abidjan.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Examen limité des états financiers semestriels effectué selon la norme ISRE 2410</w:t>
      </w:r>
    </w:p>
    <w:p>
      <w:pPr>
        <w:pStyle w:val="ListBullet"/>
        <w:spacing w:before="20" w:after="20"/>
        <w:ind w:left="700"/>
      </w:pPr>
      <w:r>
        <w:rPr>
          <w:sz w:val="18"/>
        </w:rPr>
        <w:t>Période couverte : 1er janvier au 30 juin 2022</w:t>
      </w:r>
    </w:p>
    <w:p>
      <w:pPr>
        <w:pStyle w:val="ListBullet"/>
        <w:spacing w:before="20" w:after="20"/>
        <w:ind w:left="700"/>
      </w:pPr>
      <w:r>
        <w:rPr>
          <w:sz w:val="18"/>
        </w:rPr>
        <w:t>Conformité aux dispositions de l'Acte uniforme OHADA relatif au droit des sociétés commerciales</w:t>
      </w:r>
    </w:p>
    <w:p>
      <w:pPr>
        <w:pStyle w:val="ListBullet"/>
        <w:spacing w:before="20" w:after="20"/>
        <w:ind w:left="700"/>
      </w:pPr>
      <w:r>
        <w:rPr>
          <w:sz w:val="18"/>
        </w:rPr>
        <w:t>Respect de la circulaire n°004-2010 du CREPMF sur les formats de présentation</w:t>
      </w:r>
    </w:p>
    <w:p>
      <w:pPr>
        <w:pStyle w:val="ListBullet"/>
        <w:spacing w:before="20" w:after="20"/>
        <w:ind w:left="700"/>
      </w:pPr>
      <w:r>
        <w:rPr>
          <w:sz w:val="18"/>
        </w:rPr>
        <w:t>Aucune anomalie significative relevée lors de l'examen limité</w:t>
      </w:r>
    </w:p>
    <w:p>
      <w:pPr>
        <w:pStyle w:val="ListBullet"/>
        <w:spacing w:before="20" w:after="20"/>
        <w:ind w:left="700"/>
      </w:pPr>
      <w:r>
        <w:rPr>
          <w:sz w:val="18"/>
        </w:rPr>
        <w:t>Assurance modérée fournie par les commissaires aux comptes</w:t>
      </w:r>
    </w:p>
    <w:p>
      <w:pPr>
        <w:spacing w:before="40"/>
        <w:ind w:left="400"/>
      </w:pPr>
      <w:r>
        <w:rPr>
          <w:b/>
          <w:color w:val="C05000"/>
          <w:sz w:val="18"/>
        </w:rPr>
        <w:t xml:space="preserve">⚠️ Risques : </w:t>
      </w:r>
      <w:r>
        <w:rPr>
          <w:sz w:val="18"/>
        </w:rPr>
        <w:t>["Absence de donn\u00e9es financi\u00e8res d\u00e9taill\u00e9es pour \u00e9valuer la performance r\u00e9elle", "Limitation de l'examen qui fournit une assurance mod\u00e9r\u00e9e seulement", "D\u00e9pendance au contexte \u00e9conomique et r\u00e9glementaire de la zone UEMOA"]</w:t>
      </w:r>
    </w:p>
    <w:p>
      <w:pPr>
        <w:spacing w:before="40"/>
        <w:ind w:left="400"/>
      </w:pPr>
      <w:r>
        <w:rPr>
          <w:b/>
          <w:color w:val="0064A0"/>
          <w:sz w:val="18"/>
        </w:rPr>
        <w:t xml:space="preserve">🔮 Perspectives : </w:t>
      </w:r>
      <w:r>
        <w:rPr>
          <w:sz w:val="18"/>
        </w:rPr>
        <w:t>Les perspectives restent difficiles à évaluer en l'absence d'informations financières spécifiques dans ce document d'attestation. Il conviendrait d'analyser les états financiers complets pour une évaluation pertinente des perspectives d'évolution de CFAO Motors S.A.</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l'entreprise maintient sa position de leader avec une croissance solide du chiffre d'affaires et des perspectives positives pour le second semestre. La strat\u00e9gie de comp\u00e9titivit\u00e9 par les prix devrait porter ses fruits \u00e0 moyen terme."}</w:t>
      </w:r>
    </w:p>
    <w:p>
      <w:pPr>
        <w:spacing w:before="40"/>
        <w:ind w:left="400"/>
      </w:pPr>
      <w:r>
        <w:rPr>
          <w:sz w:val="18"/>
        </w:rPr>
        <w:t>CFAO MOTORS CÔTE D'IVOIRE présente des résultats financiers mitigés pour le premier semestre 2022. Le chiffre d'affaires affiche une croissance solide de 13,50% à 64,5 milliards FCFA, confirmant le leadership de l'entreprise sur le marché automobile ivoirien avec 40,5% de parts de marché. Cependant, le résultat net chute de 26,84% à 2,7 milliards FCFA malgré l'augmentation du chiffre d'affaires. Cette baisse de rentabilité s'explique principalement par la hausse des coûts logistiques et la baisse du taux de marge pour maintenir la compétitivité. La marque SUZUKI reste le moteur de croissance avec 2 069 unités vendues contre 1 280 en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'+13,50%', 'impot_sur_resultat': '-1 479 146 134 FCFA', 'resultat_financier': '-229 405 760 FCFA', 'resultat_exploitation': '4 409 514 603 FCFA', 'variation_resultat_net': '-26,84%'}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2 720 414 995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64 533 150 600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13,50% à 64,5 milliards FCFA au S1 2022</w:t>
      </w:r>
    </w:p>
    <w:p>
      <w:pPr>
        <w:pStyle w:val="ListBullet"/>
        <w:spacing w:before="20" w:after="20"/>
        <w:ind w:left="700"/>
      </w:pPr>
      <w:r>
        <w:rPr>
          <w:sz w:val="18"/>
        </w:rPr>
        <w:t>Baisse du résultat net de 26,84% à 2,7 milliards FCFA</w:t>
      </w:r>
    </w:p>
    <w:p>
      <w:pPr>
        <w:pStyle w:val="ListBullet"/>
        <w:spacing w:before="20" w:after="20"/>
        <w:ind w:left="700"/>
      </w:pPr>
      <w:r>
        <w:rPr>
          <w:sz w:val="18"/>
        </w:rPr>
        <w:t>Leadership maintenu avec 40,5% de parts de marché automobile en Côte d'Ivoire</w:t>
      </w:r>
    </w:p>
    <w:p>
      <w:pPr>
        <w:pStyle w:val="ListBullet"/>
        <w:spacing w:before="20" w:after="20"/>
        <w:ind w:left="700"/>
      </w:pPr>
      <w:r>
        <w:rPr>
          <w:sz w:val="18"/>
        </w:rPr>
        <w:t>Performance exceptionnelle de la marque SUZUKI (N°1 du marché avec 2 069 unités vendues)</w:t>
      </w:r>
    </w:p>
    <w:p>
      <w:pPr>
        <w:pStyle w:val="ListBullet"/>
        <w:spacing w:before="20" w:after="20"/>
        <w:ind w:left="700"/>
      </w:pPr>
      <w:r>
        <w:rPr>
          <w:sz w:val="18"/>
        </w:rPr>
        <w:t>Croissance des ventes de 33,5% avec 4 730 véhicules neufs vendus contre 3 542 en 2021</w:t>
      </w:r>
    </w:p>
    <w:p>
      <w:pPr>
        <w:pStyle w:val="ListBullet"/>
        <w:spacing w:before="20" w:after="20"/>
        <w:ind w:left="700"/>
      </w:pPr>
      <w:r>
        <w:rPr>
          <w:sz w:val="18"/>
        </w:rPr>
        <w:t>Hausse des coûts logistiques impactant la rentabilité</w:t>
      </w:r>
    </w:p>
    <w:p>
      <w:pPr>
        <w:spacing w:before="40"/>
        <w:ind w:left="400"/>
      </w:pPr>
      <w:r>
        <w:rPr>
          <w:b/>
          <w:color w:val="C05000"/>
          <w:sz w:val="18"/>
        </w:rPr>
        <w:t xml:space="preserve">⚠️ Risques : </w:t>
      </w:r>
      <w:r>
        <w:rPr>
          <w:sz w:val="18"/>
        </w:rPr>
        <w:t>["Pression continue sur les marges due \u00e0 la concurrence accrue sur le march\u00e9 automobile", "Hausse des co\u00fbts logistiques impactant la rentabilit\u00e9 op\u00e9rationnelle", "D\u00e9pendance forte au march\u00e9 ivoirien et aux conditions \u00e9conomiques locales"]</w:t>
      </w:r>
    </w:p>
    <w:p>
      <w:pPr>
        <w:spacing w:before="40"/>
        <w:ind w:left="400"/>
      </w:pPr>
      <w:r>
        <w:rPr>
          <w:b/>
          <w:color w:val="0064A0"/>
          <w:sz w:val="18"/>
        </w:rPr>
        <w:t xml:space="preserve">🔮 Perspectives : </w:t>
      </w:r>
      <w:r>
        <w:rPr>
          <w:sz w:val="18"/>
        </w:rPr>
        <w:t>Les perspectives pour le second semestre 2022 sont bonnes selon la direction, sauf événements majeurs. Le portefeuille de commandes en possession de l'entreprise soutient cette vision optimiste. La stratégie de maintien du leadership par la compétitivité prix devrait permettre de consolider les part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dynamique de croissance exceptionnelle avec des indicateurs financiers tous en forte progression et un renforcement de sa position concurrentielle. L'accord avec Mercedes-Benz ouvre de nouvelles perspectives sur le segment premium."}</w:t>
      </w:r>
    </w:p>
    <w:p>
      <w:pPr>
        <w:spacing w:before="40"/>
        <w:ind w:left="400"/>
      </w:pPr>
      <w:r>
        <w:rPr>
          <w:sz w:val="18"/>
        </w:rPr>
        <w:t>CFAO Motors Côte d'Ivoire affiche une performance remarquable au T3 2022 avec un chiffre d'affaires de 40,46 milliards FCFA, en hausse de 33,48% par rapport au T3 2021. Le résultat net s'établit à 1,89 milliard FCFA, marquant une progression impressionnante de 49,40% comparé à la même période de l'année précédente. La société a vendu 3 180 véhicules contre 2 150 au T3 2021, soit une croissance de 47,91%. La marque SUZUKI réalise la meilleure performance avec 859 véhicules vendus et une part de marché de 27,5%. La société renforce également son positionnement sur le segment premium grâce à un accord de concession exclusif avec Mercedes-Benz.</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'33,48%', 'vehicules_vendus': '3 180 unités', 'resultat_avant_impots': '3 024 146 517 FCFA', 'resultat_exploitation': '3 127 869 483 FCFA', 'croissance_resultat_net': '49,40%'}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1 894 806 089 FCFA (T3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40 463 427 766 FCFA (T3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33,48% à 40,46 milliards FCFA au T3 2022</w:t>
      </w:r>
    </w:p>
    <w:p>
      <w:pPr>
        <w:pStyle w:val="ListBullet"/>
        <w:spacing w:before="20" w:after="20"/>
        <w:ind w:left="700"/>
      </w:pPr>
      <w:r>
        <w:rPr>
          <w:sz w:val="18"/>
        </w:rPr>
        <w:t>Résultat net en progression de 49,40% à 1,89 milliard FCFA</w:t>
      </w:r>
    </w:p>
    <w:p>
      <w:pPr>
        <w:pStyle w:val="ListBullet"/>
        <w:spacing w:before="20" w:after="20"/>
        <w:ind w:left="700"/>
      </w:pPr>
      <w:r>
        <w:rPr>
          <w:sz w:val="18"/>
        </w:rPr>
        <w:t>Croissance du volume des ventes de 47,91% avec 3 180 véhicules vendus</w:t>
      </w:r>
    </w:p>
    <w:p>
      <w:pPr>
        <w:pStyle w:val="ListBullet"/>
        <w:spacing w:before="20" w:after="20"/>
        <w:ind w:left="700"/>
      </w:pPr>
      <w:r>
        <w:rPr>
          <w:sz w:val="18"/>
        </w:rPr>
        <w:t>SUZUKI confirme sa position de leader avec 859 véhicules vendus (27,5% de part de marché)</w:t>
      </w:r>
    </w:p>
    <w:p>
      <w:pPr>
        <w:pStyle w:val="ListBullet"/>
        <w:spacing w:before="20" w:after="20"/>
        <w:ind w:left="700"/>
      </w:pPr>
      <w:r>
        <w:rPr>
          <w:sz w:val="18"/>
        </w:rPr>
        <w:t>Signature d'un accord de concession exclusif avec Mercedes-Benz</w:t>
      </w:r>
    </w:p>
    <w:p>
      <w:pPr>
        <w:pStyle w:val="ListBullet"/>
        <w:spacing w:before="20" w:after="20"/>
        <w:ind w:left="700"/>
      </w:pPr>
      <w:r>
        <w:rPr>
          <w:sz w:val="18"/>
        </w:rPr>
        <w:t>Progression de la part de marché globale de 39,2% au T3 2021 à 50,1% au T3 2022</w:t>
      </w:r>
    </w:p>
    <w:p>
      <w:pPr>
        <w:spacing w:before="40"/>
        <w:ind w:left="400"/>
      </w:pPr>
      <w:r>
        <w:rPr>
          <w:b/>
          <w:color w:val="C05000"/>
          <w:sz w:val="18"/>
        </w:rPr>
        <w:t xml:space="preserve">⚠️ Risques : </w:t>
      </w:r>
      <w:r>
        <w:rPr>
          <w:sz w:val="18"/>
        </w:rPr>
        <w:t>["D\u00e9pendance aux conditions \u00e9conomiques locales et au pouvoir d'achat des consommateurs", "Volatilit\u00e9 des taux de change pouvant impacter les co\u00fbts d'importation des v\u00e9hicules", "Concurrence accrue sur le march\u00e9 automobile ivoirien"]</w:t>
      </w:r>
    </w:p>
    <w:p>
      <w:pPr>
        <w:spacing w:before="40"/>
        <w:ind w:left="400"/>
      </w:pPr>
      <w:r>
        <w:rPr>
          <w:b/>
          <w:color w:val="0064A0"/>
          <w:sz w:val="18"/>
        </w:rPr>
        <w:t xml:space="preserve">🔮 Perspectives : </w:t>
      </w:r>
      <w:r>
        <w:rPr>
          <w:sz w:val="18"/>
        </w:rPr>
        <w:t>Les perspectives pour le T4 2022 et 2023 sont favorables compte tenu du dynamisme du marché et des affaires en cours. L'expansion du portefeuille avec Mercedes-Benz devrait contribuer à diversifier l'offre et améliorer la rentabilité sur le segment haut de gamme.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croissance exceptionnelle avec une part de march\u00e9 dominante et une rentabilit\u00e9 en forte progression. L'accord exclusif avec Mercedes-Benz et la diversification du portefeuille renforcent les perspectives de croissance."}</w:t>
      </w:r>
    </w:p>
    <w:p>
      <w:pPr>
        <w:spacing w:before="40"/>
        <w:ind w:left="400"/>
      </w:pPr>
      <w:r>
        <w:rPr>
          <w:sz w:val="18"/>
        </w:rPr>
        <w:t>CFAO Motors Côte d'Ivoire affiche une performance exceptionnelle au T3 2022 avec un chiffre d'affaires de 40,46 milliards FCFA, en hausse de 33,48% par rapport au T3 2021. La société bénéficie d'une croissance soutenue de sa part de marché qui atteint 50,1% contre 39,2% l'année précédente. Le résultat net progresse de 49,40% à 1,89 milliard FCFA, démontrant une amélioration significative de la rentabilité. L'entreprise maintient sa position dominante sur le marché automobile ivoirien avec 3 180 véhicules vendus au trimestre. La signature d'un accord exclusif avec Mercedes-Benz renforce son portefeuille de marques premium.</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{'part_marche': '50,1%', 'vehicules_vendus': '3 180 unités', 'resultat_financier': '112 069 829 FCFA', 'resultat_exploitation': '3 127 869 483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1 894 806 089 FCFA (T3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40 463 427 766 FCFA (T3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33,48% au T3 2022</w:t>
      </w:r>
    </w:p>
    <w:p>
      <w:pPr>
        <w:pStyle w:val="ListBullet"/>
        <w:spacing w:before="20" w:after="20"/>
        <w:ind w:left="700"/>
      </w:pPr>
      <w:r>
        <w:rPr>
          <w:sz w:val="18"/>
        </w:rPr>
        <w:t>Part de marché dominante de 50,1% contre 39,2% en 2021</w:t>
      </w:r>
    </w:p>
    <w:p>
      <w:pPr>
        <w:pStyle w:val="ListBullet"/>
        <w:spacing w:before="20" w:after="20"/>
        <w:ind w:left="700"/>
      </w:pPr>
      <w:r>
        <w:rPr>
          <w:sz w:val="18"/>
        </w:rPr>
        <w:t>Résultat net en progression de 49,40% à 1,89 milliard FCFA</w:t>
      </w:r>
    </w:p>
    <w:p>
      <w:pPr>
        <w:pStyle w:val="ListBullet"/>
        <w:spacing w:before="20" w:after="20"/>
        <w:ind w:left="700"/>
      </w:pPr>
      <w:r>
        <w:rPr>
          <w:sz w:val="18"/>
        </w:rPr>
        <w:t>3 180 véhicules vendus au T3 2022 contre 2 150 en 2021</w:t>
      </w:r>
    </w:p>
    <w:p>
      <w:pPr>
        <w:pStyle w:val="ListBullet"/>
        <w:spacing w:before="20" w:after="20"/>
        <w:ind w:left="700"/>
      </w:pPr>
      <w:r>
        <w:rPr>
          <w:sz w:val="18"/>
        </w:rPr>
        <w:t>Accord de concession exclusive signé avec Mercedes-Benz</w:t>
      </w:r>
    </w:p>
    <w:p>
      <w:pPr>
        <w:pStyle w:val="ListBullet"/>
        <w:spacing w:before="20" w:after="20"/>
        <w:ind w:left="700"/>
      </w:pPr>
      <w:r>
        <w:rPr>
          <w:sz w:val="18"/>
        </w:rPr>
        <w:t>Marque SUZUKI réalise la meilleure performance avec 2 180 véhicules vendus</w:t>
      </w:r>
    </w:p>
    <w:p>
      <w:pPr>
        <w:spacing w:before="40"/>
        <w:ind w:left="400"/>
      </w:pPr>
      <w:r>
        <w:rPr>
          <w:b/>
          <w:color w:val="C05000"/>
          <w:sz w:val="18"/>
        </w:rPr>
        <w:t xml:space="preserve">⚠️ Risques : </w:t>
      </w:r>
      <w:r>
        <w:rPr>
          <w:sz w:val="18"/>
        </w:rPr>
        <w:t>["D\u00e9pendance au march\u00e9 automobile ivoirien et \u00e0 la conjoncture \u00e9conomique locale", "Volatilit\u00e9 des prix des v\u00e9hicules et impact potentiel sur les marges", "Intensification de la concurrence sur le segment automobile"]</w:t>
      </w:r>
    </w:p>
    <w:p>
      <w:pPr>
        <w:spacing w:before="40"/>
        <w:ind w:left="400"/>
      </w:pPr>
      <w:r>
        <w:rPr>
          <w:b/>
          <w:color w:val="0064A0"/>
          <w:sz w:val="18"/>
        </w:rPr>
        <w:t xml:space="preserve">🔮 Perspectives : </w:t>
      </w:r>
      <w:r>
        <w:rPr>
          <w:sz w:val="18"/>
        </w:rPr>
        <w:t>Les perspectives pour 2023 sont favorables compte tenu du dynamisme du marché automobile et des affaires en cours. L'élargissement du portefeuille vers le segment premium avec Mercedes-Benz devrait soutenir la croissance et améliorer la rentabilité.</w:t>
      </w:r>
    </w:p>
    <w:p/>
    <w:p>
      <w:r>
        <w:t>════════════════════════════════════════════════════════════════════════════════</w:t>
      </w:r>
    </w:p>
    <w:p>
      <w:r>
        <w:br w:type="page"/>
      </w:r>
    </w:p>
    <w:p>
      <w:pPr>
        <w:pStyle w:val="Heading2"/>
        <w:spacing w:before="360"/>
      </w:pPr>
      <w:r>
        <w:rPr>
          <w:color w:val="0066CC"/>
        </w:rPr>
        <w:t>15. CIEC - CIEC - Compagnie Ivoirienne d'Electricité</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CIEC</w:t>
            </w:r>
          </w:p>
          <w:p>
            <w:r>
              <w:rPr>
                <w:b/>
                <w:color w:val="323250"/>
                <w:sz w:val="16"/>
              </w:rPr>
              <w:t xml:space="preserve">Société : </w:t>
            </w:r>
            <w:r>
              <w:rPr>
                <w:color w:val="000000"/>
                <w:sz w:val="16"/>
              </w:rPr>
              <w:t>CIEC - Compagnie Ivoirienne d'Electricit...</w:t>
            </w:r>
          </w:p>
          <w:p>
            <w:r>
              <w:rPr>
                <w:b/>
                <w:color w:val="323250"/>
                <w:sz w:val="16"/>
              </w:rPr>
              <w:t xml:space="preserve">Secteur : </w:t>
            </w:r>
            <w:r>
              <w:rPr>
                <w:color w:val="000000"/>
                <w:sz w:val="16"/>
              </w:rPr>
              <w:t>SERVICES PUBLICS</w:t>
            </w:r>
          </w:p>
        </w:tc>
        <w:tc>
          <w:tcPr>
            <w:tcW w:type="dxa" w:w="2268"/>
            <w:shd w:fill="E2EFDA" w:val="clear"/>
          </w:tcPr>
          <w:p>
            <w:r>
              <w:rPr>
                <w:b/>
                <w:color w:val="1E461E"/>
                <w:sz w:val="16"/>
              </w:rPr>
              <w:t xml:space="preserve">Capitalisation : </w:t>
            </w:r>
            <w:r>
              <w:rPr>
                <w:b/>
                <w:color w:val="006400"/>
                <w:sz w:val="17"/>
              </w:rPr>
              <w:t>333.20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6,772 titres</w:t>
            </w:r>
          </w:p>
        </w:tc>
        <w:tc>
          <w:tcPr>
            <w:tcW w:type="dxa" w:w="2268"/>
            <w:shd w:fill="FFF2CC" w:val="clear"/>
          </w:tcPr>
          <w:p>
            <w:r>
              <w:rPr>
                <w:b/>
                <w:color w:val="503200"/>
                <w:sz w:val="16"/>
              </w:rPr>
              <w:t xml:space="preserve">Cours actuel : </w:t>
            </w:r>
            <w:r>
              <w:rPr>
                <w:color w:val="000000"/>
                <w:sz w:val="17"/>
              </w:rPr>
              <w:t>5,950 FCFA</w:t>
            </w:r>
          </w:p>
          <w:p>
            <w:r>
              <w:rPr>
                <w:b/>
                <w:color w:val="503200"/>
                <w:sz w:val="16"/>
              </w:rPr>
              <w:t xml:space="preserve">Var. 100 jours : </w:t>
            </w:r>
            <w:r>
              <w:rPr>
                <w:b/>
                <w:color w:val="007800"/>
                <w:sz w:val="17"/>
              </w:rPr>
              <w:t>+47.28%</w:t>
            </w:r>
          </w:p>
          <w:p>
            <w:r>
              <w:rPr>
                <w:b/>
                <w:color w:val="503200"/>
                <w:sz w:val="16"/>
              </w:rPr>
              <w:t xml:space="preserve">Plus haut 100j : </w:t>
            </w:r>
            <w:r>
              <w:rPr>
                <w:color w:val="000000"/>
                <w:sz w:val="17"/>
              </w:rPr>
              <w:t>7,400 FCFA</w:t>
            </w:r>
          </w:p>
          <w:p>
            <w:r>
              <w:rPr>
                <w:b/>
                <w:color w:val="503200"/>
                <w:sz w:val="16"/>
              </w:rPr>
              <w:t xml:space="preserve">Plus bas 100j : </w:t>
            </w:r>
            <w:r>
              <w:rPr>
                <w:color w:val="000000"/>
                <w:sz w:val="17"/>
              </w:rPr>
              <w:t>4,010 FCFA</w:t>
            </w:r>
          </w:p>
          <w:p>
            <w:r>
              <w:rPr>
                <w:b/>
                <w:color w:val="503200"/>
                <w:sz w:val="16"/>
              </w:rPr>
              <w:t xml:space="preserve">Volatilité ann. : </w:t>
            </w:r>
            <w:r>
              <w:rPr>
                <w:color w:val="000000"/>
                <w:sz w:val="17"/>
              </w:rPr>
              <w:t>48.0%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20.6/100 → Moyen</w:t>
      </w:r>
    </w:p>
    <w:p>
      <w:pPr>
        <w:spacing w:before="40" w:after="80"/>
      </w:pPr>
      <w:r>
        <w:rPr>
          <w:rFonts w:ascii="Courier New" w:hAnsi="Courier New"/>
          <w:color w:val="825A00"/>
          <w:sz w:val="18"/>
        </w:rPr>
        <w:t>████░░░░░░░░░░░░░░░░  20.6/100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14.68% (Moyenne) — μ=5,702 FCFA, σ=837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β=0.7070 (Défensif) — Cov=0.000053, Var(idx)=0.000075, ρ=0.201,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6,772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FFEB9C" w:val="clear"/>
          </w:tcPr>
          <w:p>
            <w:r>
              <w:rPr>
                <w:b/>
                <w:sz w:val="15"/>
              </w:rPr>
              <w:t>σ_j=3.02%/j (Modérée) — Vol. annualisée≈48.0%</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0080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17" name="Picture 1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2026-10-16</w:t>
            </w:r>
          </w:p>
        </w:tc>
        <w:tc>
          <w:tcPr>
            <w:tcW w:type="dxa" w:w="1440"/>
            <w:shd w:fill="FAFAFA" w:val="clear"/>
          </w:tcPr>
          <w:p>
            <w:r>
              <w:rPr>
                <w:sz w:val="17"/>
              </w:rPr>
              <w:t>5,732</w:t>
            </w:r>
          </w:p>
        </w:tc>
        <w:tc>
          <w:tcPr>
            <w:tcW w:type="dxa" w:w="1440"/>
            <w:shd w:fill="FAFAFA" w:val="clear"/>
          </w:tcPr>
          <w:p>
            <w:r>
              <w:rPr>
                <w:b/>
                <w:sz w:val="17"/>
              </w:rPr>
              <w:t>6,003</w:t>
            </w:r>
          </w:p>
        </w:tc>
        <w:tc>
          <w:tcPr>
            <w:tcW w:type="dxa" w:w="1440"/>
            <w:shd w:fill="FAFAFA" w:val="clear"/>
          </w:tcPr>
          <w:p>
            <w:r>
              <w:rPr>
                <w:sz w:val="17"/>
              </w:rPr>
              <w:t>6,273</w:t>
            </w:r>
          </w:p>
        </w:tc>
        <w:tc>
          <w:tcPr>
            <w:tcW w:type="dxa" w:w="1440"/>
            <w:shd w:fill="FAFAFA" w:val="clear"/>
          </w:tcPr>
          <w:p>
            <w:r>
              <w:rPr>
                <w:b/>
                <w:color w:val="008000"/>
                <w:sz w:val="17"/>
              </w:rPr>
              <w:t>+0.9%</w:t>
            </w:r>
          </w:p>
        </w:tc>
      </w:tr>
      <w:tr>
        <w:tc>
          <w:tcPr>
            <w:tcW w:type="dxa" w:w="1440"/>
            <w:shd w:fill="FAFAFA" w:val="clear"/>
          </w:tcPr>
          <w:p>
            <w:r>
              <w:rPr>
                <w:sz w:val="17"/>
              </w:rPr>
              <w:t>J+2  Moyenne</w:t>
            </w:r>
          </w:p>
        </w:tc>
        <w:tc>
          <w:tcPr>
            <w:tcW w:type="dxa" w:w="1440"/>
            <w:shd w:fill="FAFAFA" w:val="clear"/>
          </w:tcPr>
          <w:p>
            <w:r>
              <w:rPr>
                <w:sz w:val="17"/>
              </w:rPr>
              <w:t>2026-10-19</w:t>
            </w:r>
          </w:p>
        </w:tc>
        <w:tc>
          <w:tcPr>
            <w:tcW w:type="dxa" w:w="1440"/>
            <w:shd w:fill="FAFAFA" w:val="clear"/>
          </w:tcPr>
          <w:p>
            <w:r>
              <w:rPr>
                <w:sz w:val="17"/>
              </w:rPr>
              <w:t>5,659</w:t>
            </w:r>
          </w:p>
        </w:tc>
        <w:tc>
          <w:tcPr>
            <w:tcW w:type="dxa" w:w="1440"/>
            <w:shd w:fill="FAFAFA" w:val="clear"/>
          </w:tcPr>
          <w:p>
            <w:r>
              <w:rPr>
                <w:b/>
                <w:sz w:val="17"/>
              </w:rPr>
              <w:t>6,044</w:t>
            </w:r>
          </w:p>
        </w:tc>
        <w:tc>
          <w:tcPr>
            <w:tcW w:type="dxa" w:w="1440"/>
            <w:shd w:fill="FAFAFA" w:val="clear"/>
          </w:tcPr>
          <w:p>
            <w:r>
              <w:rPr>
                <w:sz w:val="17"/>
              </w:rPr>
              <w:t>6,429</w:t>
            </w:r>
          </w:p>
        </w:tc>
        <w:tc>
          <w:tcPr>
            <w:tcW w:type="dxa" w:w="1440"/>
            <w:shd w:fill="FAFAFA" w:val="clear"/>
          </w:tcPr>
          <w:p>
            <w:r>
              <w:rPr>
                <w:b/>
                <w:color w:val="008000"/>
                <w:sz w:val="17"/>
              </w:rPr>
              <w:t>+1.6%</w:t>
            </w:r>
          </w:p>
        </w:tc>
      </w:tr>
      <w:tr>
        <w:tc>
          <w:tcPr>
            <w:tcW w:type="dxa" w:w="1440"/>
            <w:shd w:fill="C6EFCE" w:val="clear"/>
          </w:tcPr>
          <w:p>
            <w:r>
              <w:rPr>
                <w:sz w:val="17"/>
              </w:rPr>
              <w:t>J+3  Moyenne</w:t>
            </w:r>
          </w:p>
        </w:tc>
        <w:tc>
          <w:tcPr>
            <w:tcW w:type="dxa" w:w="1440"/>
            <w:shd w:fill="C6EFCE" w:val="clear"/>
          </w:tcPr>
          <w:p>
            <w:r>
              <w:rPr>
                <w:sz w:val="17"/>
              </w:rPr>
              <w:t>2026-10-20</w:t>
            </w:r>
          </w:p>
        </w:tc>
        <w:tc>
          <w:tcPr>
            <w:tcW w:type="dxa" w:w="1440"/>
            <w:shd w:fill="C6EFCE" w:val="clear"/>
          </w:tcPr>
          <w:p>
            <w:r>
              <w:rPr>
                <w:sz w:val="17"/>
              </w:rPr>
              <w:t>5,596</w:t>
            </w:r>
          </w:p>
        </w:tc>
        <w:tc>
          <w:tcPr>
            <w:tcW w:type="dxa" w:w="1440"/>
            <w:shd w:fill="C6EFCE" w:val="clear"/>
          </w:tcPr>
          <w:p>
            <w:r>
              <w:rPr>
                <w:b/>
                <w:sz w:val="17"/>
              </w:rPr>
              <w:t>6,070</w:t>
            </w:r>
          </w:p>
        </w:tc>
        <w:tc>
          <w:tcPr>
            <w:tcW w:type="dxa" w:w="1440"/>
            <w:shd w:fill="C6EFCE" w:val="clear"/>
          </w:tcPr>
          <w:p>
            <w:r>
              <w:rPr>
                <w:sz w:val="17"/>
              </w:rPr>
              <w:t>6,543</w:t>
            </w:r>
          </w:p>
        </w:tc>
        <w:tc>
          <w:tcPr>
            <w:tcW w:type="dxa" w:w="1440"/>
            <w:shd w:fill="C6EFCE" w:val="clear"/>
          </w:tcPr>
          <w:p>
            <w:r>
              <w:rPr>
                <w:b/>
                <w:color w:val="008000"/>
                <w:sz w:val="17"/>
              </w:rPr>
              <w:t>+2.0%</w:t>
            </w:r>
          </w:p>
        </w:tc>
      </w:tr>
      <w:tr>
        <w:tc>
          <w:tcPr>
            <w:tcW w:type="dxa" w:w="1440"/>
            <w:shd w:fill="C6EFCE" w:val="clear"/>
          </w:tcPr>
          <w:p>
            <w:r>
              <w:rPr>
                <w:sz w:val="17"/>
              </w:rPr>
              <w:t>J+4  ⭐</w:t>
            </w:r>
          </w:p>
        </w:tc>
        <w:tc>
          <w:tcPr>
            <w:tcW w:type="dxa" w:w="1440"/>
            <w:shd w:fill="C6EFCE" w:val="clear"/>
          </w:tcPr>
          <w:p>
            <w:r>
              <w:rPr>
                <w:sz w:val="17"/>
              </w:rPr>
              <w:t>2026-10-21</w:t>
            </w:r>
          </w:p>
        </w:tc>
        <w:tc>
          <w:tcPr>
            <w:tcW w:type="dxa" w:w="1440"/>
            <w:shd w:fill="C6EFCE" w:val="clear"/>
          </w:tcPr>
          <w:p>
            <w:r>
              <w:rPr>
                <w:sz w:val="17"/>
              </w:rPr>
              <w:t>5,532</w:t>
            </w:r>
          </w:p>
        </w:tc>
        <w:tc>
          <w:tcPr>
            <w:tcW w:type="dxa" w:w="1440"/>
            <w:shd w:fill="C6EFCE" w:val="clear"/>
          </w:tcPr>
          <w:p>
            <w:r>
              <w:rPr>
                <w:b/>
                <w:sz w:val="17"/>
              </w:rPr>
              <w:t>6,079</w:t>
            </w:r>
          </w:p>
        </w:tc>
        <w:tc>
          <w:tcPr>
            <w:tcW w:type="dxa" w:w="1440"/>
            <w:shd w:fill="C6EFCE" w:val="clear"/>
          </w:tcPr>
          <w:p>
            <w:r>
              <w:rPr>
                <w:sz w:val="17"/>
              </w:rPr>
              <w:t>6,626</w:t>
            </w:r>
          </w:p>
        </w:tc>
        <w:tc>
          <w:tcPr>
            <w:tcW w:type="dxa" w:w="1440"/>
            <w:shd w:fill="C6EFCE" w:val="clear"/>
          </w:tcPr>
          <w:p>
            <w:r>
              <w:rPr>
                <w:b/>
                <w:color w:val="008000"/>
                <w:sz w:val="17"/>
              </w:rPr>
              <w:t>+2.2%</w:t>
            </w:r>
          </w:p>
        </w:tc>
      </w:tr>
      <w:tr>
        <w:tc>
          <w:tcPr>
            <w:tcW w:type="dxa" w:w="1440"/>
            <w:shd w:fill="C6EFCE" w:val="clear"/>
          </w:tcPr>
          <w:p>
            <w:r>
              <w:rPr>
                <w:sz w:val="17"/>
              </w:rPr>
              <w:t>J+5  ⭐</w:t>
            </w:r>
          </w:p>
        </w:tc>
        <w:tc>
          <w:tcPr>
            <w:tcW w:type="dxa" w:w="1440"/>
            <w:shd w:fill="C6EFCE" w:val="clear"/>
          </w:tcPr>
          <w:p>
            <w:r>
              <w:rPr>
                <w:sz w:val="17"/>
              </w:rPr>
              <w:t>2026-10-22</w:t>
            </w:r>
          </w:p>
        </w:tc>
        <w:tc>
          <w:tcPr>
            <w:tcW w:type="dxa" w:w="1440"/>
            <w:shd w:fill="C6EFCE" w:val="clear"/>
          </w:tcPr>
          <w:p>
            <w:r>
              <w:rPr>
                <w:sz w:val="17"/>
              </w:rPr>
              <w:t>5,470</w:t>
            </w:r>
          </w:p>
        </w:tc>
        <w:tc>
          <w:tcPr>
            <w:tcW w:type="dxa" w:w="1440"/>
            <w:shd w:fill="C6EFCE" w:val="clear"/>
          </w:tcPr>
          <w:p>
            <w:r>
              <w:rPr>
                <w:b/>
                <w:sz w:val="17"/>
              </w:rPr>
              <w:t>6,083</w:t>
            </w:r>
          </w:p>
        </w:tc>
        <w:tc>
          <w:tcPr>
            <w:tcW w:type="dxa" w:w="1440"/>
            <w:shd w:fill="C6EFCE" w:val="clear"/>
          </w:tcPr>
          <w:p>
            <w:r>
              <w:rPr>
                <w:sz w:val="17"/>
              </w:rPr>
              <w:t>6,695</w:t>
            </w:r>
          </w:p>
        </w:tc>
        <w:tc>
          <w:tcPr>
            <w:tcW w:type="dxa" w:w="1440"/>
            <w:shd w:fill="C6EFCE" w:val="clear"/>
          </w:tcPr>
          <w:p>
            <w:r>
              <w:rPr>
                <w:b/>
                <w:color w:val="008000"/>
                <w:sz w:val="17"/>
              </w:rPr>
              <w:t>+2.2%</w:t>
            </w:r>
          </w:p>
        </w:tc>
      </w:tr>
      <w:tr>
        <w:tc>
          <w:tcPr>
            <w:tcW w:type="dxa" w:w="1440"/>
            <w:shd w:fill="C6EFCE" w:val="clear"/>
          </w:tcPr>
          <w:p>
            <w:r>
              <w:rPr>
                <w:sz w:val="17"/>
              </w:rPr>
              <w:t>J+6  ⭐</w:t>
            </w:r>
          </w:p>
        </w:tc>
        <w:tc>
          <w:tcPr>
            <w:tcW w:type="dxa" w:w="1440"/>
            <w:shd w:fill="C6EFCE" w:val="clear"/>
          </w:tcPr>
          <w:p>
            <w:r>
              <w:rPr>
                <w:sz w:val="17"/>
              </w:rPr>
              <w:t>2026-10-23</w:t>
            </w:r>
          </w:p>
        </w:tc>
        <w:tc>
          <w:tcPr>
            <w:tcW w:type="dxa" w:w="1440"/>
            <w:shd w:fill="C6EFCE" w:val="clear"/>
          </w:tcPr>
          <w:p>
            <w:r>
              <w:rPr>
                <w:sz w:val="17"/>
              </w:rPr>
              <w:t>5,414</w:t>
            </w:r>
          </w:p>
        </w:tc>
        <w:tc>
          <w:tcPr>
            <w:tcW w:type="dxa" w:w="1440"/>
            <w:shd w:fill="C6EFCE" w:val="clear"/>
          </w:tcPr>
          <w:p>
            <w:r>
              <w:rPr>
                <w:b/>
                <w:sz w:val="17"/>
              </w:rPr>
              <w:t>6,085</w:t>
            </w:r>
          </w:p>
        </w:tc>
        <w:tc>
          <w:tcPr>
            <w:tcW w:type="dxa" w:w="1440"/>
            <w:shd w:fill="C6EFCE" w:val="clear"/>
          </w:tcPr>
          <w:p>
            <w:r>
              <w:rPr>
                <w:sz w:val="17"/>
              </w:rPr>
              <w:t>6,756</w:t>
            </w:r>
          </w:p>
        </w:tc>
        <w:tc>
          <w:tcPr>
            <w:tcW w:type="dxa" w:w="1440"/>
            <w:shd w:fill="C6EFCE" w:val="clear"/>
          </w:tcPr>
          <w:p>
            <w:r>
              <w:rPr>
                <w:b/>
                <w:color w:val="008000"/>
                <w:sz w:val="17"/>
              </w:rPr>
              <w:t>+2.3%</w:t>
            </w:r>
          </w:p>
        </w:tc>
      </w:tr>
      <w:tr>
        <w:tc>
          <w:tcPr>
            <w:tcW w:type="dxa" w:w="1440"/>
            <w:shd w:fill="C6EFCE" w:val="clear"/>
          </w:tcPr>
          <w:p>
            <w:r>
              <w:rPr>
                <w:sz w:val="17"/>
              </w:rPr>
              <w:t>J+7  ⭐</w:t>
            </w:r>
          </w:p>
        </w:tc>
        <w:tc>
          <w:tcPr>
            <w:tcW w:type="dxa" w:w="1440"/>
            <w:shd w:fill="C6EFCE" w:val="clear"/>
          </w:tcPr>
          <w:p>
            <w:r>
              <w:rPr>
                <w:sz w:val="17"/>
              </w:rPr>
              <w:t>2026-10-26</w:t>
            </w:r>
          </w:p>
        </w:tc>
        <w:tc>
          <w:tcPr>
            <w:tcW w:type="dxa" w:w="1440"/>
            <w:shd w:fill="C6EFCE" w:val="clear"/>
          </w:tcPr>
          <w:p>
            <w:r>
              <w:rPr>
                <w:sz w:val="17"/>
              </w:rPr>
              <w:t>5,361</w:t>
            </w:r>
          </w:p>
        </w:tc>
        <w:tc>
          <w:tcPr>
            <w:tcW w:type="dxa" w:w="1440"/>
            <w:shd w:fill="C6EFCE" w:val="clear"/>
          </w:tcPr>
          <w:p>
            <w:r>
              <w:rPr>
                <w:b/>
                <w:sz w:val="17"/>
              </w:rPr>
              <w:t>6,086</w:t>
            </w:r>
          </w:p>
        </w:tc>
        <w:tc>
          <w:tcPr>
            <w:tcW w:type="dxa" w:w="1440"/>
            <w:shd w:fill="C6EFCE" w:val="clear"/>
          </w:tcPr>
          <w:p>
            <w:r>
              <w:rPr>
                <w:sz w:val="17"/>
              </w:rPr>
              <w:t>6,812</w:t>
            </w:r>
          </w:p>
        </w:tc>
        <w:tc>
          <w:tcPr>
            <w:tcW w:type="dxa" w:w="1440"/>
            <w:shd w:fill="C6EFCE" w:val="clear"/>
          </w:tcPr>
          <w:p>
            <w:r>
              <w:rPr>
                <w:b/>
                <w:color w:val="008000"/>
                <w:sz w:val="17"/>
              </w:rPr>
              <w:t>+2.3%</w:t>
            </w:r>
          </w:p>
        </w:tc>
      </w:tr>
      <w:tr>
        <w:tc>
          <w:tcPr>
            <w:tcW w:type="dxa" w:w="1440"/>
            <w:shd w:fill="C6EFCE" w:val="clear"/>
          </w:tcPr>
          <w:p>
            <w:r>
              <w:rPr>
                <w:sz w:val="17"/>
              </w:rPr>
              <w:t>J+8  ⭐</w:t>
            </w:r>
          </w:p>
        </w:tc>
        <w:tc>
          <w:tcPr>
            <w:tcW w:type="dxa" w:w="1440"/>
            <w:shd w:fill="C6EFCE" w:val="clear"/>
          </w:tcPr>
          <w:p>
            <w:r>
              <w:rPr>
                <w:sz w:val="17"/>
              </w:rPr>
              <w:t>2026-10-27</w:t>
            </w:r>
          </w:p>
        </w:tc>
        <w:tc>
          <w:tcPr>
            <w:tcW w:type="dxa" w:w="1440"/>
            <w:shd w:fill="C6EFCE" w:val="clear"/>
          </w:tcPr>
          <w:p>
            <w:r>
              <w:rPr>
                <w:sz w:val="17"/>
              </w:rPr>
              <w:t>5,312</w:t>
            </w:r>
          </w:p>
        </w:tc>
        <w:tc>
          <w:tcPr>
            <w:tcW w:type="dxa" w:w="1440"/>
            <w:shd w:fill="C6EFCE" w:val="clear"/>
          </w:tcPr>
          <w:p>
            <w:r>
              <w:rPr>
                <w:b/>
                <w:sz w:val="17"/>
              </w:rPr>
              <w:t>6,087</w:t>
            </w:r>
          </w:p>
        </w:tc>
        <w:tc>
          <w:tcPr>
            <w:tcW w:type="dxa" w:w="1440"/>
            <w:shd w:fill="C6EFCE" w:val="clear"/>
          </w:tcPr>
          <w:p>
            <w:r>
              <w:rPr>
                <w:sz w:val="17"/>
              </w:rPr>
              <w:t>6,863</w:t>
            </w:r>
          </w:p>
        </w:tc>
        <w:tc>
          <w:tcPr>
            <w:tcW w:type="dxa" w:w="1440"/>
            <w:shd w:fill="C6EFCE" w:val="clear"/>
          </w:tcPr>
          <w:p>
            <w:r>
              <w:rPr>
                <w:b/>
                <w:color w:val="008000"/>
                <w:sz w:val="17"/>
              </w:rPr>
              <w:t>+2.3%</w:t>
            </w:r>
          </w:p>
        </w:tc>
      </w:tr>
      <w:tr>
        <w:tc>
          <w:tcPr>
            <w:tcW w:type="dxa" w:w="1440"/>
            <w:shd w:fill="C6EFCE" w:val="clear"/>
          </w:tcPr>
          <w:p>
            <w:r>
              <w:rPr>
                <w:sz w:val="17"/>
              </w:rPr>
              <w:t>J+9  ⭐</w:t>
            </w:r>
          </w:p>
        </w:tc>
        <w:tc>
          <w:tcPr>
            <w:tcW w:type="dxa" w:w="1440"/>
            <w:shd w:fill="C6EFCE" w:val="clear"/>
          </w:tcPr>
          <w:p>
            <w:r>
              <w:rPr>
                <w:sz w:val="17"/>
              </w:rPr>
              <w:t>2026-10-28</w:t>
            </w:r>
          </w:p>
        </w:tc>
        <w:tc>
          <w:tcPr>
            <w:tcW w:type="dxa" w:w="1440"/>
            <w:shd w:fill="C6EFCE" w:val="clear"/>
          </w:tcPr>
          <w:p>
            <w:r>
              <w:rPr>
                <w:sz w:val="17"/>
              </w:rPr>
              <w:t>5,266</w:t>
            </w:r>
          </w:p>
        </w:tc>
        <w:tc>
          <w:tcPr>
            <w:tcW w:type="dxa" w:w="1440"/>
            <w:shd w:fill="C6EFCE" w:val="clear"/>
          </w:tcPr>
          <w:p>
            <w:r>
              <w:rPr>
                <w:b/>
                <w:sz w:val="17"/>
              </w:rPr>
              <w:t>6,088</w:t>
            </w:r>
          </w:p>
        </w:tc>
        <w:tc>
          <w:tcPr>
            <w:tcW w:type="dxa" w:w="1440"/>
            <w:shd w:fill="C6EFCE" w:val="clear"/>
          </w:tcPr>
          <w:p>
            <w:r>
              <w:rPr>
                <w:sz w:val="17"/>
              </w:rPr>
              <w:t>6,911</w:t>
            </w:r>
          </w:p>
        </w:tc>
        <w:tc>
          <w:tcPr>
            <w:tcW w:type="dxa" w:w="1440"/>
            <w:shd w:fill="C6EFCE" w:val="clear"/>
          </w:tcPr>
          <w:p>
            <w:r>
              <w:rPr>
                <w:b/>
                <w:color w:val="008000"/>
                <w:sz w:val="17"/>
              </w:rPr>
              <w:t>+2.3%</w:t>
            </w:r>
          </w:p>
        </w:tc>
      </w:tr>
      <w:tr>
        <w:tc>
          <w:tcPr>
            <w:tcW w:type="dxa" w:w="1440"/>
            <w:shd w:fill="C6EFCE" w:val="clear"/>
          </w:tcPr>
          <w:p>
            <w:r>
              <w:rPr>
                <w:sz w:val="17"/>
              </w:rPr>
              <w:t>J+10  ⭐</w:t>
            </w:r>
          </w:p>
        </w:tc>
        <w:tc>
          <w:tcPr>
            <w:tcW w:type="dxa" w:w="1440"/>
            <w:shd w:fill="C6EFCE" w:val="clear"/>
          </w:tcPr>
          <w:p>
            <w:r>
              <w:rPr>
                <w:sz w:val="17"/>
              </w:rPr>
              <w:t>2026-10-29</w:t>
            </w:r>
          </w:p>
        </w:tc>
        <w:tc>
          <w:tcPr>
            <w:tcW w:type="dxa" w:w="1440"/>
            <w:shd w:fill="C6EFCE" w:val="clear"/>
          </w:tcPr>
          <w:p>
            <w:r>
              <w:rPr>
                <w:sz w:val="17"/>
              </w:rPr>
              <w:t>5,222</w:t>
            </w:r>
          </w:p>
        </w:tc>
        <w:tc>
          <w:tcPr>
            <w:tcW w:type="dxa" w:w="1440"/>
            <w:shd w:fill="C6EFCE" w:val="clear"/>
          </w:tcPr>
          <w:p>
            <w:r>
              <w:rPr>
                <w:b/>
                <w:sz w:val="17"/>
              </w:rPr>
              <w:t>6,089</w:t>
            </w:r>
          </w:p>
        </w:tc>
        <w:tc>
          <w:tcPr>
            <w:tcW w:type="dxa" w:w="1440"/>
            <w:shd w:fill="C6EFCE" w:val="clear"/>
          </w:tcPr>
          <w:p>
            <w:r>
              <w:rPr>
                <w:sz w:val="17"/>
              </w:rPr>
              <w:t>6,956</w:t>
            </w:r>
          </w:p>
        </w:tc>
        <w:tc>
          <w:tcPr>
            <w:tcW w:type="dxa" w:w="1440"/>
            <w:shd w:fill="C6EFCE" w:val="clear"/>
          </w:tcPr>
          <w:p>
            <w:r>
              <w:rPr>
                <w:b/>
                <w:color w:val="008000"/>
                <w:sz w:val="17"/>
              </w:rPr>
              <w:t>+2.3%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137.728 Mds FCFA</w:t>
            </w:r>
          </w:p>
        </w:tc>
        <w:tc>
          <w:tcPr>
            <w:tcW w:type="dxa" w:w="5669"/>
            <w:shd w:fill="FFFFFF" w:val="clear"/>
          </w:tcPr>
          <w:p>
            <w:r>
              <w:rPr>
                <w:color w:val="282828"/>
                <w:sz w:val="15"/>
              </w:rPr>
              <w:t>Créances clients = 45.6%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50.134 Mds FCFA</w:t>
            </w:r>
          </w:p>
        </w:tc>
        <w:tc>
          <w:tcPr>
            <w:tcW w:type="dxa" w:w="5669"/>
            <w:shd w:fill="FFFFFF" w:val="clear"/>
          </w:tcPr>
          <w:p>
            <w:r>
              <w:rPr>
                <w:color w:val="282828"/>
                <w:sz w:val="15"/>
              </w:rPr>
              <w:t>Rotation stocks = 6.0x/an.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1657.687 Mds FCFA</w:t>
            </w:r>
          </w:p>
        </w:tc>
        <w:tc>
          <w:tcPr>
            <w:tcW w:type="dxa" w:w="5669"/>
            <w:shd w:fill="FFFFFF" w:val="clear"/>
          </w:tcPr>
          <w:p>
            <w:r>
              <w:rPr>
                <w:color w:val="282828"/>
                <w:sz w:val="15"/>
              </w:rPr>
              <w:t>Ratio actif circ./passif circ. = 0.95x.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4.377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46.590 Mds FCFA</w:t>
            </w:r>
          </w:p>
        </w:tc>
        <w:tc>
          <w:tcPr>
            <w:tcW w:type="dxa" w:w="5669"/>
            <w:shd w:fill="FFFFFF" w:val="clear"/>
          </w:tcPr>
          <w:p>
            <w:r>
              <w:rPr>
                <w:color w:val="282828"/>
                <w:sz w:val="15"/>
              </w:rPr>
              <w:t>Outil industriel (2.3%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171.930 Mds FCFA</w:t>
            </w:r>
          </w:p>
        </w:tc>
        <w:tc>
          <w:tcPr>
            <w:tcW w:type="dxa" w:w="5669"/>
            <w:shd w:fill="FFFFFF" w:val="clear"/>
          </w:tcPr>
          <w:p>
            <w:r>
              <w:rPr>
                <w:color w:val="282828"/>
                <w:sz w:val="15"/>
              </w:rPr>
              <w:t>Actif immobilisé = 8.5%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188.307 Mds FCFA</w:t>
            </w:r>
          </w:p>
        </w:tc>
        <w:tc>
          <w:tcPr>
            <w:tcW w:type="dxa" w:w="5669"/>
            <w:shd w:fill="FFFFFF" w:val="clear"/>
          </w:tcPr>
          <w:p>
            <w:r>
              <w:rPr>
                <w:color w:val="282828"/>
                <w:sz w:val="15"/>
              </w:rPr>
              <w:t>Liquidités disponibles (9.3%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2018.446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8.835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35.962 Mds FCFA</w:t>
            </w:r>
          </w:p>
        </w:tc>
        <w:tc>
          <w:tcPr>
            <w:tcW w:type="dxa" w:w="5669"/>
            <w:shd w:fill="FFFFFF" w:val="clear"/>
          </w:tcPr>
          <w:p>
            <w:r>
              <w:rPr>
                <w:color w:val="282828"/>
                <w:sz w:val="15"/>
              </w:rPr>
              <w:t>Fonds propres = 1.8%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114.393 Mds FCFA</w:t>
            </w:r>
          </w:p>
        </w:tc>
        <w:tc>
          <w:tcPr>
            <w:tcW w:type="dxa" w:w="5669"/>
            <w:shd w:fill="FFFFFF" w:val="clear"/>
          </w:tcPr>
          <w:p>
            <w:r>
              <w:rPr>
                <w:color w:val="282828"/>
                <w:sz w:val="15"/>
              </w:rPr>
              <w:t>Capitaux permanents / Actif immobilisé = 0.67x.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278.106 Mds FCFA</w:t>
            </w:r>
          </w:p>
        </w:tc>
        <w:tc>
          <w:tcPr>
            <w:tcW w:type="dxa" w:w="5669"/>
            <w:shd w:fill="FFFFFF" w:val="clear"/>
          </w:tcPr>
          <w:p>
            <w:r>
              <w:rPr>
                <w:color w:val="282828"/>
                <w:sz w:val="15"/>
              </w:rPr>
              <w:t>Délai fournisseurs implicite ≈ 336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64.307 Mds FCFA</w:t>
            </w:r>
          </w:p>
        </w:tc>
        <w:tc>
          <w:tcPr>
            <w:tcW w:type="dxa" w:w="5669"/>
            <w:shd w:fill="FFFFFF" w:val="clear"/>
          </w:tcPr>
          <w:p>
            <w:r>
              <w:rPr>
                <w:color w:val="282828"/>
                <w:sz w:val="15"/>
              </w:rPr>
              <w:t>Dette LT/MT = 179%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220.424 Mds FCFA</w:t>
            </w:r>
          </w:p>
        </w:tc>
        <w:tc>
          <w:tcPr>
            <w:tcW w:type="dxa" w:w="5669"/>
            <w:shd w:fill="FFFFFF" w:val="clear"/>
          </w:tcPr>
          <w:p>
            <w:r>
              <w:rPr>
                <w:color w:val="282828"/>
                <w:sz w:val="15"/>
              </w:rPr>
              <w:t>Dette financière totale = 613%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1982.484 Mds FCFA</w:t>
            </w:r>
          </w:p>
        </w:tc>
        <w:tc>
          <w:tcPr>
            <w:tcW w:type="dxa" w:w="5669"/>
            <w:shd w:fill="FFFFFF" w:val="clear"/>
          </w:tcPr>
          <w:p>
            <w:r>
              <w:rPr>
                <w:color w:val="282828"/>
                <w:sz w:val="15"/>
              </w:rPr>
              <w:t>Dettes totales = 98.2%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302.320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302.320 Mds FCFA</w:t>
            </w:r>
          </w:p>
        </w:tc>
        <w:tc>
          <w:tcPr>
            <w:tcW w:type="dxa" w:w="5669"/>
            <w:shd w:fill="FFFFFF" w:val="clear"/>
          </w:tcPr>
          <w:p>
            <w:r>
              <w:rPr>
                <w:color w:val="282828"/>
                <w:sz w:val="15"/>
              </w:rPr>
              <w:t>Chiffre d'affaires. Croissance: 14.8%.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15.895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70.391 Mds FCFA</w:t>
            </w:r>
          </w:p>
        </w:tc>
        <w:tc>
          <w:tcPr>
            <w:tcW w:type="dxa" w:w="5669"/>
            <w:shd w:fill="FFFFFF" w:val="clear"/>
          </w:tcPr>
          <w:p>
            <w:r>
              <w:rPr>
                <w:color w:val="282828"/>
                <w:sz w:val="15"/>
              </w:rPr>
              <w:t>Masse salariale = 23.3%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107.552 Mds FCFA</w:t>
            </w:r>
          </w:p>
        </w:tc>
        <w:tc>
          <w:tcPr>
            <w:tcW w:type="dxa" w:w="5669"/>
            <w:shd w:fill="FFFFFF" w:val="clear"/>
          </w:tcPr>
          <w:p>
            <w:r>
              <w:rPr>
                <w:color w:val="282828"/>
                <w:sz w:val="15"/>
              </w:rPr>
              <w:t>VA = 35.6%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37.161 Mds FCFA</w:t>
            </w:r>
          </w:p>
        </w:tc>
        <w:tc>
          <w:tcPr>
            <w:tcW w:type="dxa" w:w="5669"/>
            <w:shd w:fill="FFFFFF" w:val="clear"/>
          </w:tcPr>
          <w:p>
            <w:r>
              <w:rPr>
                <w:color w:val="282828"/>
                <w:sz w:val="15"/>
              </w:rPr>
              <w:t>EBE = 12.3%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22.381 Mds FCFA</w:t>
            </w:r>
          </w:p>
        </w:tc>
        <w:tc>
          <w:tcPr>
            <w:tcW w:type="dxa" w:w="5669"/>
            <w:shd w:fill="FFFFFF" w:val="clear"/>
          </w:tcPr>
          <w:p>
            <w:r>
              <w:rPr>
                <w:color w:val="282828"/>
                <w:sz w:val="15"/>
              </w:rPr>
              <w:t>Profit d'exploitation = 7.4%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15.895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13.127 Mds FCFA</w:t>
            </w:r>
          </w:p>
        </w:tc>
        <w:tc>
          <w:tcPr>
            <w:tcW w:type="dxa" w:w="5669"/>
            <w:shd w:fill="FFFFFF" w:val="clear"/>
          </w:tcPr>
          <w:p>
            <w:r>
              <w:rPr>
                <w:color w:val="282828"/>
                <w:sz w:val="15"/>
              </w:rPr>
              <w:t>Marge nette = 4.3%.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28.869 Mds FCFA</w:t>
            </w:r>
          </w:p>
        </w:tc>
        <w:tc>
          <w:tcPr>
            <w:tcW w:type="dxa" w:w="5669"/>
            <w:shd w:fill="FFFFFF" w:val="clear"/>
          </w:tcPr>
          <w:p>
            <w:r>
              <w:rPr>
                <w:color w:val="282828"/>
                <w:sz w:val="15"/>
              </w:rPr>
              <w:t>CAF = 28.87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43.912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-23.745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-15.375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20.167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-90.244 Mds FCFA</w:t>
            </w:r>
          </w:p>
        </w:tc>
        <w:tc>
          <w:tcPr>
            <w:tcW w:type="dxa" w:w="5669"/>
            <w:shd w:fill="FFFFFF" w:val="clear"/>
          </w:tcPr>
          <w:p>
            <w:r>
              <w:rPr>
                <w:color w:val="282828"/>
                <w:sz w:val="15"/>
              </w:rPr>
              <w:t>BFR = -29.9%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-57.537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32.190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12.29%</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4.34%</w:t>
            </w:r>
          </w:p>
        </w:tc>
        <w:tc>
          <w:tcPr>
            <w:tcW w:type="dxa" w:w="5669"/>
            <w:shd w:fill="FFFFFF" w:val="clear"/>
          </w:tcPr>
          <w:p>
            <w:r>
              <w:rPr>
                <w:color w:val="282828"/>
                <w:sz w:val="15"/>
              </w:rPr>
              <w:t>Résultat net / revenus = 4.34%.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7.40%</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36.50%</w:t>
            </w:r>
          </w:p>
        </w:tc>
        <w:tc>
          <w:tcPr>
            <w:tcW w:type="dxa" w:w="5669"/>
            <w:shd w:fill="FFFFFF" w:val="clear"/>
          </w:tcPr>
          <w:p>
            <w:r>
              <w:rPr>
                <w:color w:val="282828"/>
                <w:sz w:val="15"/>
              </w:rPr>
              <w:t>Résultat net / capitaux propres = 36.50%.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0.65%</w:t>
            </w:r>
          </w:p>
        </w:tc>
        <w:tc>
          <w:tcPr>
            <w:tcW w:type="dxa" w:w="5669"/>
            <w:shd w:fill="FFFFFF" w:val="clear"/>
          </w:tcPr>
          <w:p>
            <w:r>
              <w:rPr>
                <w:color w:val="282828"/>
                <w:sz w:val="15"/>
              </w:rPr>
              <w:t>Résultat net / total actif = 0.65%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14.98%</w:t>
            </w:r>
          </w:p>
        </w:tc>
        <w:tc>
          <w:tcPr>
            <w:tcW w:type="dxa" w:w="5669"/>
            <w:shd w:fill="FFFFFF" w:val="clear"/>
          </w:tcPr>
          <w:p>
            <w:r>
              <w:rPr>
                <w:color w:val="282828"/>
                <w:sz w:val="15"/>
              </w:rPr>
              <w:t>CA / total actif = 14.98x. ℹ️ Faible rotation — secteur à forte intensité capitalistique (normal).</w:t>
            </w:r>
          </w:p>
        </w:tc>
      </w:tr>
      <w:tr>
        <w:tc>
          <w:tcPr>
            <w:tcW w:type="dxa" w:w="2268"/>
            <w:shd w:fill="EEF2F7" w:val="clear"/>
          </w:tcPr>
          <w:p>
            <w:r>
              <w:rPr>
                <w:b/>
                <w:color w:val="1E1E3C"/>
                <w:sz w:val="16"/>
              </w:rPr>
              <w:t>Coût du risque</w:t>
            </w:r>
          </w:p>
        </w:tc>
        <w:tc>
          <w:tcPr>
            <w:tcW w:type="dxa" w:w="1984"/>
            <w:shd w:fill="FFC7CE" w:val="clear"/>
          </w:tcPr>
          <w:p>
            <w:r>
              <w:rPr>
                <w:b/>
                <w:color w:val="006400"/>
                <w:sz w:val="17"/>
              </w:rPr>
              <w:t>438.72%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14.82%</w:t>
            </w:r>
          </w:p>
        </w:tc>
        <w:tc>
          <w:tcPr>
            <w:tcW w:type="dxa" w:w="5669"/>
            <w:shd w:fill="FFFFFF" w:val="clear"/>
          </w:tcPr>
          <w:p>
            <w:r>
              <w:rPr>
                <w:color w:val="282828"/>
                <w:sz w:val="15"/>
              </w:rPr>
              <w:t>Croissance CA vs exercice précédent = 14.82%.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1.78%</w:t>
            </w:r>
          </w:p>
        </w:tc>
        <w:tc>
          <w:tcPr>
            <w:tcW w:type="dxa" w:w="5669"/>
            <w:shd w:fill="FFFFFF" w:val="clear"/>
          </w:tcPr>
          <w:p>
            <w:r>
              <w:rPr>
                <w:color w:val="282828"/>
                <w:sz w:val="15"/>
              </w:rPr>
              <w:t>Fonds propres / total bilan = 1.78%.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98.22%</w:t>
            </w:r>
          </w:p>
        </w:tc>
        <w:tc>
          <w:tcPr>
            <w:tcW w:type="dxa" w:w="5669"/>
            <w:shd w:fill="FFFFFF" w:val="clear"/>
          </w:tcPr>
          <w:p>
            <w:r>
              <w:rPr>
                <w:color w:val="282828"/>
                <w:sz w:val="15"/>
              </w:rPr>
              <w:t>Dettes financières / total bilan = 98.22%.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612.94%</w:t>
            </w:r>
          </w:p>
        </w:tc>
        <w:tc>
          <w:tcPr>
            <w:tcW w:type="dxa" w:w="5669"/>
            <w:shd w:fill="FFFFFF" w:val="clear"/>
          </w:tcPr>
          <w:p>
            <w:r>
              <w:rPr>
                <w:color w:val="282828"/>
                <w:sz w:val="15"/>
              </w:rPr>
              <w:t>Dettes totales / fonds propres = 612.94%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101.81%</w:t>
            </w:r>
          </w:p>
        </w:tc>
        <w:tc>
          <w:tcPr>
            <w:tcW w:type="dxa" w:w="5669"/>
            <w:shd w:fill="FFFFFF" w:val="clear"/>
          </w:tcPr>
          <w:p>
            <w:r>
              <w:rPr>
                <w:color w:val="282828"/>
                <w:sz w:val="15"/>
              </w:rPr>
              <w:t>Total actif / dettes totales = 101.81x.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96.95%</w:t>
            </w:r>
          </w:p>
        </w:tc>
        <w:tc>
          <w:tcPr>
            <w:tcW w:type="dxa" w:w="5669"/>
            <w:shd w:fill="FFFFFF" w:val="clear"/>
          </w:tcPr>
          <w:p>
            <w:r>
              <w:rPr>
                <w:color w:val="282828"/>
                <w:sz w:val="15"/>
              </w:rPr>
              <w:t>Actif circulant / passif circulant = 96.95x. ⚠️ Liquidité tendue — risque si remboursement simultané exigé.</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10.77%</w:t>
            </w:r>
          </w:p>
        </w:tc>
        <w:tc>
          <w:tcPr>
            <w:tcW w:type="dxa" w:w="5669"/>
            <w:shd w:fill="FFFFFF" w:val="clear"/>
          </w:tcPr>
          <w:p>
            <w:r>
              <w:rPr>
                <w:color w:val="282828"/>
                <w:sz w:val="15"/>
              </w:rPr>
              <w:t>Trésorerie / passif circulant = 10.77x. ⚠️ Trésorerie immédiate limitée.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94.32%</w:t>
            </w:r>
          </w:p>
        </w:tc>
        <w:tc>
          <w:tcPr>
            <w:tcW w:type="dxa" w:w="5669"/>
            <w:shd w:fill="FFFFFF" w:val="clear"/>
          </w:tcPr>
          <w:p>
            <w:r>
              <w:rPr>
                <w:color w:val="282828"/>
                <w:sz w:val="15"/>
              </w:rPr>
              <w:t>(Actif circ. - stocks) / passif circ. = 94.32x. ⚠️ Liquidité réduite limite.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66.53%</w:t>
            </w:r>
          </w:p>
        </w:tc>
        <w:tc>
          <w:tcPr>
            <w:tcW w:type="dxa" w:w="5669"/>
            <w:shd w:fill="FFFFFF" w:val="clear"/>
          </w:tcPr>
          <w:p>
            <w:r>
              <w:rPr>
                <w:color w:val="282828"/>
                <w:sz w:val="15"/>
              </w:rPr>
              <w:t>Capitaux permanents / actif immobilisé = 66.53x.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7.6 ans</w:t>
            </w:r>
          </w:p>
        </w:tc>
        <w:tc>
          <w:tcPr>
            <w:tcW w:type="dxa" w:w="5669"/>
            <w:shd w:fill="FFFFFF" w:val="clear"/>
          </w:tcPr>
          <w:p>
            <w:r>
              <w:rPr>
                <w:color w:val="282828"/>
                <w:sz w:val="15"/>
              </w:rPr>
              <w:t>Dettes financières / CAF = 7.6 ans. ⚠️ Remboursement long — endettement fort par rapport au cash.</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617.75%</w:t>
            </w:r>
          </w:p>
        </w:tc>
        <w:tc>
          <w:tcPr>
            <w:tcW w:type="dxa" w:w="5669"/>
            <w:shd w:fill="FFFFFF" w:val="clear"/>
          </w:tcPr>
          <w:p>
            <w:r>
              <w:rPr>
                <w:color w:val="282828"/>
                <w:sz w:val="15"/>
              </w:rPr>
              <w:t>Résultat exploit. / charges financières = 617.75x.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121.58%</w:t>
            </w:r>
          </w:p>
        </w:tc>
        <w:tc>
          <w:tcPr>
            <w:tcW w:type="dxa" w:w="5669"/>
            <w:shd w:fill="FFFFFF" w:val="clear"/>
          </w:tcPr>
          <w:p>
            <w:r>
              <w:rPr>
                <w:color w:val="282828"/>
                <w:sz w:val="15"/>
              </w:rPr>
              <w:t>CAF / investissements = 121.58x.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164.0 j</w:t>
            </w:r>
          </w:p>
        </w:tc>
        <w:tc>
          <w:tcPr>
            <w:tcW w:type="dxa" w:w="5669"/>
            <w:shd w:fill="FFFFFF" w:val="clear"/>
          </w:tcPr>
          <w:p>
            <w:r>
              <w:rPr>
                <w:color w:val="282828"/>
                <w:sz w:val="15"/>
              </w:rPr>
              <w:t>Les clients paient en moyenne en 164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970.3 j</w:t>
            </w:r>
          </w:p>
        </w:tc>
        <w:tc>
          <w:tcPr>
            <w:tcW w:type="dxa" w:w="5669"/>
            <w:shd w:fill="FFFFFF" w:val="clear"/>
          </w:tcPr>
          <w:p>
            <w:r>
              <w:rPr>
                <w:color w:val="282828"/>
                <w:sz w:val="15"/>
              </w:rPr>
              <w:t>Paiement des fournisseurs en 970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174.9 j</w:t>
            </w:r>
          </w:p>
        </w:tc>
        <w:tc>
          <w:tcPr>
            <w:tcW w:type="dxa" w:w="5669"/>
            <w:shd w:fill="FFFFFF" w:val="clear"/>
          </w:tcPr>
          <w:p>
            <w:r>
              <w:rPr>
                <w:color w:val="282828"/>
                <w:sz w:val="15"/>
              </w:rPr>
              <w:t>Stock écoulé en 175 jours. ❌ Stock quasi-bloqué — risque d'obsolescence ou de surstock.</w:t>
            </w:r>
          </w:p>
        </w:tc>
      </w:tr>
    </w:tbl>
    <w:p/>
    <w:p>
      <w:pPr>
        <w:spacing w:after="120" w:line="276" w:lineRule="auto"/>
      </w:pPr>
      <w:r>
        <w:t>**RAPPORT D'ANALYSE FINANCIÈRE — CIEC (Compagnie Ivoirienne d'Électricité)**</w:t>
        <w:br/>
        <w:t>*Marché : BRVM | Secteur : Services publics / Électricité | Date d'analyse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333,20 milliards FCFA, la CIEC s'impose comme l'une des plus importantes capitalisations de la BRVM, ce qui témoigne de son statut d'entreprise stratégique dans le paysage boursier ouest-africain. Le BPA de 234 FCFA/action indique que chaque titre génère 234 FCFA de bénéfice net, un niveau appréciable qui reflète la rentabilité de la concession. Le PER de 25,4x est nettement supérieur à la moyenne du marché BRVM (généralement comprise entre 8 et 12x), ce qui signifie que les investisseurs paient une prime significative pour les bénéfices de la société, anticipant probablement une croissance future ou traduisant une surévaluation relative. Le P/B de 9,27x, très au-dessus du seuil de 4x, confirme cette valorisation exigeante : le marché valorise la CIEC à plus de neuf fois sa valeur comptable, ce qui est élevé pour une entreprise de services publics régulée dont les capitaux propres s'élèvent à seulement 35,96 milliards FCFA. Enfin, l'EV/EBITDA de 14,0x, dans la fourchette haute (10-15x), indique que la valeur totale de l'entreprise (incluant la dette) représente 14 fois sa capacité opérationnelle, suggérant que le marché intègre déjà une forte génération de cash-flow future.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CIEC a enregistré une progression spectaculaire de +47,28%, passant d'un plus bas de 4 010 FCFA à un plus haut de 7 400 FCFA, avant de se replier légèrement pour clôturer à 5 950 FCFA, soit une baisse de -0,83% sur la dernière séance. Ce range de trading de 3 390 FCFA (soit plus de 84% d'amplitude) témoigne d'une tendance générale haussière très marquée, bien que le titre semble actuellement en phase de consolidation après avoir atteint son sommet. Les statistiques descriptives révèlent une moyenne de 5 702 FCFA supérieure à la médiane de 5 332 FCFA, ce qui indique une distribution légèrement asymétrique à droite, tirée vers le haut par les pics de cours récents. L'écart-type de 841 FCFA, avec un coefficient de variation de 14,8%, traduit une dispersion modérée du cours autour de sa moyenne, tandis que le kurtosis de -0,978 (mésokurtique) suggère une distribution proche de la normale, sans risque excessif de pics extrêmes. Le skewness de 0,186 confirme cette symétrie relative, avec une légère inclinaison positive. La volatilité annualisée de 48,0% positionne clairement ce titre dans la catégorie des actions à volatilité élevée (&gt;30%), ce qui implique un risque significatif mais aussi des opportunités de rendement accrues pour les investisseurs avertis.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s'établit à 6 338,0 FCFA et la MM50 à 6 375,4 FCFA, toutes deux nettement supérieures au cours actuel de 5 950 FCFA. Cette configuration — cours en dessous des deux moyennes — est baissière à court et moyen terme, justifiant la décision de **Vente** émise par cet indicateur. Le croisement potentiel des moyennes (MM20 sous MM50) renforcerait ce signal négatif.</w:t>
      </w:r>
    </w:p>
    <w:p>
      <w:pPr>
        <w:spacing w:after="120" w:line="276" w:lineRule="auto"/>
      </w:pPr>
      <w:r>
        <w:t>**Bandes de Bollinger** : La borne supérieure est à 6 714,177 FCFA et la borne inférieure à 5 961,823 FCFA, avec un cours actuel de 5 950 FCFA qui se situe légèrement en dessous de la borne inférieure. Cette position suggère que le titre est en zone de survente relative, ce qui justifie la décision d'**Achat** émise par cet indicateur, anticipant un possible rebond technique vers la moyenne mobile.</w:t>
      </w:r>
    </w:p>
    <w:p>
      <w:pPr>
        <w:spacing w:after="120" w:line="276" w:lineRule="auto"/>
      </w:pPr>
      <w:r>
        <w:t>**MACD** : La valeur du MACD est de -101,549, bien en dessous de son signal à -40,651, ce qui confirme un momentum baissier prononcé. La divergence négative entre le MACD et son signal indique que la pression vendeuse reste dominante, justifiant la décision de **Vente**.</w:t>
      </w:r>
    </w:p>
    <w:p>
      <w:pPr>
        <w:spacing w:after="120" w:line="276" w:lineRule="auto"/>
      </w:pPr>
      <w:r>
        <w:t>**RSI** : À 43,333, le RSI se situe dans la zone neutre (30-70), sans signal de surachat ni de survente. Cette valeur médiane reflète une absence de direction claire, justifiant la décision **Neutre** qui invite à la prudence.</w:t>
      </w:r>
    </w:p>
    <w:p>
      <w:pPr>
        <w:spacing w:after="120" w:line="276" w:lineRule="auto"/>
      </w:pPr>
      <w:r>
        <w:t>**Stochastique** : Le %K est à 0,0 et le %D à 4,286, des niveaux extrêmement bas qui placent le titre en zone de survente profonde. Cette configuration, bien que risquée, est généralement annonciatrice d'un rebond à court terme, justifiant la décision d'**Achat** émise par cet indicateur.</w:t>
      </w:r>
    </w:p>
    <w:p>
      <w:pPr>
        <w:spacing w:after="120" w:line="276" w:lineRule="auto"/>
      </w:pPr>
      <w:r>
        <w:t>**Conclusion technique** : Les indicateurs techniques présentent une divergence notable. Les moyennes mobiles et le MACD émettent des signaux baissiers, tandis que les Bandes de Bollinger et le Stochastique suggèrent une survente propice à un rebond. Le RSI neutre confirme l'absence de tendance claire. Cette configuration contradictoire indique que le titre se trouve dans une phase de consolidation incertaine, avec un potentiel de rebond technique à court terme mais une tendance de fond encore fragile. La prudence est de mise, et une confirmation par les volumes serait nécessaire pour valider un retournement haussier.</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Les données structurées de l'exercice 2025 (états financiers annuels) révèlent une entreprise en forte croissance : le chiffre d'affaires s'établit à 302,320 milliards FCFA, en progression de +14,82% par rapport à 2024, porté par une hausse des ventes d'énergie (+8,3% en volume) et une expansion significative de la base clientèle (+15,1% à 5 282 283 clients). Le résultat net atteint 13,127 milliards FCFA, en hausse de +30% selon le rapport de 2025, avec une marge nette de 4,34% et un ROE exceptionnel de 36,50%, bien au-dessus du seuil de 15% considéré comme excellent. Le ROA, à 0,65%, reste modeste en raison de la structure bilancielle très lourde (total actif de 2 018,446 milliards FCFA), typique d'une entreprise de services publics. L'analyse du besoin en fonds de roulement (BFR) révèle un solde négatif de -90,244 milliards FCFA, ce qui est favorable car cela signifie que l'entreprise finance son cycle d'exploitation par ses dettes fournisseurs (délai fournisseurs de 970 jours) plutôt que par ses propres ressources. Cependant, le délai client de 164 jours et la durée de stockage de 175 jours constituent des points de vigilance, immobilisant du capital et exposant l'entreprise à un risque de trésorerie. La structure financière est très déséquilibrée : l'autonomie financière n'est que de 1,78% (très en dessous du seuil sain de 30%), le ratio d'endettement atteint 612,94% et la dépendance financière est de 98,22%, ce qui signifie que la quasi-totalité du bilan est financée par des dettes. La capacité de remboursement de 7,64 années est préoccupante, bien que la couverture des intérêts par le résultat d'exploitation (617,75%) offre une marge de sécurité confortable. Le rapport du 1er semestre 2025 (daté du 30 juin 2025) indique un chiffre d'affaires semestriel de 134,923 milliards FCFA (+18,85%) et un résultat net de 5,096 milliards FCFA (+13,37%), ce qui permet d'estimer que l'exercice 2025 devrait confirmer cette dynamique avec un résultat net annuel autour de 13 milliards FCFA, cohérent avec les données annuelles. Le rapport annuel 2025 (daté du 31 décembre 2026) confirme une recommandation de **Conserver** émise par les analystes, soulignant la solidité de la croissance et l'attrait du dividende (234 FCFA/action, soit un taux de distribution de 99,8%), mais alertant sur le risque de crédit client et la dépendance au cadre réglementaire de la concession. En synthèse, la CIEC affiche des fondamentaux opérationnels solides (croissance, rentabilité, génération de cash-flow) mais une structure financière très risquée (endettement massif, autonomie financière quasi nulle), ce qui en fait un investissement à haut rendement mais à haut risque.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précédentes et des prédictions IA conduit à une recommandation nuancée. La valorisation (Partie 0) est exigeante : le PER de 25,4x et le P/B de 9,27x indiquent une surévaluation relative par rapport aux moyennes du marché BRVM, bien que l'EV/EBITDA de 14,0x reste dans la fourchette haute sans être excessive. Le comportement du cours (Partie 1) est paradoxal : la tendance haussière de +47,28% sur 100 jours est impressionnante, mais la volatilité élevée (48%) et la récente consolidation sous les 6 000 FCFA suggèrent une prise de profit après le sommet de 7 400 FCFA. Les signaux techniques (Partie 2) sont divergents : les indicateurs de tendance (MM, MACD) sont baissiers, tandis que les indicateurs de survente (Bollinger, Stochastique) suggèrent un rebond imminent, créant une incertitude directionnelle. Les fondamentaux (Partie 3) sont solides sur le plan opérationnel (croissance du CA de +14,8%, ROE de 36,5%, dividende attractif) mais fragiles sur le plan financier (endettement de 612,9%, autonomie financière de 1,78%). Les prédictions IA (J+1 à J+10) tablent sur une reprise progressive du cours, de 6 003 FCFA à 6 083 FCFA, ce qui confirmerait le scénario d'un rebond technique après la survente. Sur la base de cette synthèse, la recommandation finale est **CONSERVER** avec un niveau de confiance **Moyen** et un niveau de risque **Élevé**. La convergence entre les signaux de survente technique et les prédictions haussières à court terme soutient un potentiel de rebond, mais la valorisation exigeante, la structure financière déséquilibrée et la dépendance réglementaire limitent le potentiel de hausse à long terme. L'horizon d'investissement optimal est **moyen terme (3-12 mois)** , le temps que la société confirme sa capacité à générer des bénéfices suffisants pour justifier sa valorisation et à stabiliser sa structure financière. Les investisseurs déjà positionnés peuvent conserver le titre pour bénéficier du dividende attractif, tandis que les nouveaux entrants devraient attendre une confirmation technique (cassure des 6 338 FCFA de la MM20) avant d'envisager une entrée.</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"acheter", "justification": "La soci\u00e9t\u00e9 d\u00e9montre une croissance solide et soutenue avec une am\u00e9lioration significative de sa rentabilit\u00e9 et une politique de dividende attractive. L'expansion de la base client\u00e8le et la croissance des ventes d'\u00e9nergie confirment les perspectives positives du secteur \u00e9lectrique en C\u00f4te d'Ivoire."}</w:t>
      </w:r>
    </w:p>
    <w:p>
      <w:pPr>
        <w:spacing w:before="40"/>
        <w:ind w:left="400"/>
      </w:pPr>
      <w:r>
        <w:rPr>
          <w:sz w:val="18"/>
        </w:rPr>
        <w:t xml:space="preserve">La Compagnie Ivoirienne d'Electricité (CIE) affiche des résultats solides en 2025 avec un chiffre d'affaires en hausse de 14,8% à 302,3 milliards FCFA et un résultat net en progression de 30% à 13,1 milliards FCFA. La société maintient sa profitabilité opérationnelle avec un excédent brut d'exploitation de 37,2 milliards FCFA, en amélioration par rapport à 2024. L'entreprise distribue un dividende attractif représentant 77% du résultat net, démontrant sa capacité à rémunérer ses actionnaires. La croissance des ventes d'énergie (+8,3% pour les ventes nationales et +21,7% pour l'export) témoigne d'une demande soutenue et d'une expansion réussie. La situation financière reste équilibrée malgré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'37,2 milliards FCFA', 'cafg': '28,9 milliards FCFA', 'nb_clients': '5 282 283', 'ventes_energie_gwh': '13 035 GWh'}</w:t>
            </w:r>
          </w:p>
        </w:tc>
        <w:tc>
          <w:tcPr>
            <w:tcW w:type="dxa" w:w="2160"/>
          </w:tcPr>
          <w:p>
            <w:pPr>
              <w:ind w:left="100"/>
            </w:pPr>
            <w:r/>
            <w:r>
              <w:rPr>
                <w:b/>
                <w:sz w:val="16"/>
              </w:rPr>
              <w:t>dividende</w:t>
              <w:br/>
            </w:r>
            <w:r>
              <w:rPr>
                <w:sz w:val="18"/>
              </w:rPr>
              <w:t>234 FCFA par action</w:t>
            </w:r>
          </w:p>
        </w:tc>
        <w:tc>
          <w:tcPr>
            <w:tcW w:type="dxa" w:w="2160"/>
          </w:tcPr>
          <w:p>
            <w:pPr>
              <w:ind w:left="100"/>
            </w:pPr>
            <w:r/>
            <w:r>
              <w:rPr>
                <w:b/>
                <w:sz w:val="16"/>
              </w:rPr>
              <w:t>marge_nette</w:t>
              <w:br/>
            </w:r>
            <w:r>
              <w:rPr>
                <w:sz w:val="18"/>
              </w:rPr>
              <w:t>4,3%</w:t>
            </w:r>
          </w:p>
        </w:tc>
        <w:tc>
          <w:tcPr>
            <w:tcW w:type="dxa" w:w="2160"/>
          </w:tcPr>
          <w:p>
            <w:pPr>
              <w:ind w:left="100"/>
            </w:pPr>
            <w:r/>
            <w:r>
              <w:rPr>
                <w:b/>
                <w:sz w:val="16"/>
              </w:rPr>
              <w:t>total_actif</w:t>
              <w:br/>
            </w:r>
            <w:r>
              <w:rPr>
                <w:sz w:val="18"/>
              </w:rPr>
              <w:t>2 018,4 milliards FCFA</w:t>
            </w:r>
          </w:p>
        </w:tc>
      </w:tr>
      <w:tr>
        <w:tc>
          <w:tcPr>
            <w:tcW w:type="dxa" w:w="2160"/>
          </w:tcPr>
          <w:p>
            <w:r/>
            <w:r>
              <w:rPr>
                <w:b/>
                <w:sz w:val="16"/>
              </w:rPr>
              <w:t>resultat_net</w:t>
              <w:br/>
            </w:r>
            <w:r>
              <w:rPr>
                <w:sz w:val="18"/>
              </w:rPr>
              <w:t>13,1 milliards FCFA</w:t>
            </w:r>
          </w:p>
        </w:tc>
        <w:tc>
          <w:tcPr>
            <w:tcW w:type="dxa" w:w="2160"/>
          </w:tcPr>
          <w:p>
            <w:r/>
            <w:r>
              <w:rPr>
                <w:b/>
                <w:sz w:val="16"/>
              </w:rPr>
              <w:t>capitaux_propres</w:t>
              <w:br/>
            </w:r>
            <w:r>
              <w:rPr>
                <w:sz w:val="18"/>
              </w:rPr>
              <w:t>43,0 milliards FCFA</w:t>
            </w:r>
          </w:p>
        </w:tc>
        <w:tc>
          <w:tcPr>
            <w:tcW w:type="dxa" w:w="2160"/>
          </w:tcPr>
          <w:p>
            <w:r/>
            <w:r>
              <w:rPr>
                <w:b/>
                <w:sz w:val="16"/>
              </w:rPr>
              <w:t>chiffre_affaires</w:t>
              <w:br/>
            </w:r>
            <w:r>
              <w:rPr>
                <w:sz w:val="18"/>
              </w:rPr>
              <w:t>302,3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de 14,8% atteignant 302,3 milliards FCFA en 2025</w:t>
      </w:r>
    </w:p>
    <w:p>
      <w:pPr>
        <w:pStyle w:val="ListBullet"/>
        <w:spacing w:before="20" w:after="20"/>
        <w:ind w:left="700"/>
      </w:pPr>
      <w:r>
        <w:rPr>
          <w:sz w:val="18"/>
        </w:rPr>
        <w:t>Progression remarquable du résultat net de 30% à 13,1 milliards FCFA</w:t>
      </w:r>
    </w:p>
    <w:p>
      <w:pPr>
        <w:pStyle w:val="ListBullet"/>
        <w:spacing w:before="20" w:after="20"/>
        <w:ind w:left="700"/>
      </w:pPr>
      <w:r>
        <w:rPr>
          <w:sz w:val="18"/>
        </w:rPr>
        <w:t>Amélioration de l'excédent brut d'exploitation de 23,2% à 37,2 milliards FCFA</w:t>
      </w:r>
    </w:p>
    <w:p>
      <w:pPr>
        <w:pStyle w:val="ListBullet"/>
        <w:spacing w:before="20" w:after="20"/>
        <w:ind w:left="700"/>
      </w:pPr>
      <w:r>
        <w:rPr>
          <w:sz w:val="18"/>
        </w:rPr>
        <w:t>Croissance des ventes d'énergie : +8,3% national et +21,7% export en volume</w:t>
      </w:r>
    </w:p>
    <w:p>
      <w:pPr>
        <w:pStyle w:val="ListBullet"/>
        <w:spacing w:before="20" w:after="20"/>
        <w:ind w:left="700"/>
      </w:pPr>
      <w:r>
        <w:rPr>
          <w:sz w:val="18"/>
        </w:rPr>
        <w:t>Dividende maintenu à un niveau attractif de 234 FCFA par action</w:t>
      </w:r>
    </w:p>
    <w:p>
      <w:pPr>
        <w:pStyle w:val="ListBullet"/>
        <w:spacing w:before="20" w:after="20"/>
        <w:ind w:left="700"/>
      </w:pPr>
      <w:r>
        <w:rPr>
          <w:sz w:val="18"/>
        </w:rPr>
        <w:t>Expansion significative de la base clientèle avec plus de 5,2 millions de clients (+15,1%)</w:t>
      </w:r>
    </w:p>
    <w:p>
      <w:pPr>
        <w:spacing w:before="40"/>
        <w:ind w:left="400"/>
      </w:pPr>
      <w:r>
        <w:rPr>
          <w:b/>
          <w:color w:val="C05000"/>
          <w:sz w:val="18"/>
        </w:rPr>
        <w:t xml:space="preserve">⚠️ Risques : </w:t>
      </w:r>
      <w:r>
        <w:rPr>
          <w:sz w:val="18"/>
        </w:rPr>
        <w:t>["Augmentation des dettes financi\u00e8res de 64,3 \u00e0 64,3 milliards FCFA n\u00e9cessitant une surveillance du levier financier", "D\u00e9pendance aux conditions \u00e9conomiques et r\u00e9glementaires du secteur \u00e9nerg\u00e9tique ivoirien", "Exposition aux variations des co\u00fbts des mati</w:t>
      </w:r>
    </w:p>
    <w:p>
      <w:pPr>
        <w:spacing w:before="40"/>
        <w:ind w:left="400"/>
      </w:pPr>
      <w:r>
        <w:rPr>
          <w:b/>
          <w:color w:val="0064A0"/>
          <w:sz w:val="18"/>
        </w:rPr>
        <w:t xml:space="preserve">🔮 Perspectives : </w:t>
      </w:r>
      <w:r>
        <w:rPr>
          <w:sz w:val="18"/>
        </w:rPr>
        <w:t>Les perspectives pour 2026 s'annoncent favorables avec la poursuite de la croissance de la demande énergétique en Côte d'Ivoire et dans la sous-région. L'expansion continue de la base clientèle et les investissements dans les infrastructures devraient soutenir la croissance du chiffre d'affaires. La</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solide du chiffre d'affaires et de la rentabilit\u00e9, la forte d\u00e9gradation de la qualit\u00e9 de service constitue un risque. La nouvelle convention offre un cadre stable mais les performances techniques doivent s'am\u00e9liorer."}</w:t>
      </w:r>
    </w:p>
    <w:p>
      <w:pPr>
        <w:spacing w:before="40"/>
        <w:ind w:left="400"/>
      </w:pPr>
      <w:r>
        <w:rPr>
          <w:sz w:val="18"/>
        </w:rPr>
        <w:t>La CIE (Compagnie Ivoirienne d'Electricité) affiche des résultats positifs au premier semestre 2021 avec une nouvelle convention de concession entrée en vigueur en janvier 2021. Le chiffre d'affaires atteint 109,1 milliards de FCFA en hausse de 9,9% par rapport au S1 2020. Le résultat net progresse de 17% à 4,26 milliards de FCFA malgré l'impact de travaux de réseaux. La société bénéficie d'une forte croissance de sa clientèle avec 342 000 nouveaux clients, atteignant 3,029 millions de clients. Les performances techniques montrent cependant une dégradation du temps moyen de coupure qui passe de 8h12mn à 27h43mn.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{'nombre_clients': '3,029 millions', 'ventes_nationales': '4 307 GWh', 'ventes_exportation': '429 GWh', 'temps_moyen_coupure': '27h43mn', 'branchements_ordinaires': '57 629'}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4,26 milliards de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109,1 milliards de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Nouvelle convention de concession de 12 ans (2021-2032) avec segmentation des activités et rémunération forfaitaire</w:t>
      </w:r>
    </w:p>
    <w:p>
      <w:pPr>
        <w:pStyle w:val="ListBullet"/>
        <w:spacing w:before="20" w:after="20"/>
        <w:ind w:left="700"/>
      </w:pPr>
      <w:r>
        <w:rPr>
          <w:sz w:val="18"/>
        </w:rPr>
        <w:t>Chiffre d'affaires en hausse de 9,9% à 109,1 milliards de FCFA au S1 2021</w:t>
      </w:r>
    </w:p>
    <w:p>
      <w:pPr>
        <w:pStyle w:val="ListBullet"/>
        <w:spacing w:before="20" w:after="20"/>
        <w:ind w:left="700"/>
      </w:pPr>
      <w:r>
        <w:rPr>
          <w:sz w:val="18"/>
        </w:rPr>
        <w:t>Croissance remarquable de la clientèle avec 342 000 nouveaux clients (+13,9%)</w:t>
      </w:r>
    </w:p>
    <w:p>
      <w:pPr>
        <w:pStyle w:val="ListBullet"/>
        <w:spacing w:before="20" w:after="20"/>
        <w:ind w:left="700"/>
      </w:pPr>
      <w:r>
        <w:rPr>
          <w:sz w:val="18"/>
        </w:rPr>
        <w:t>Résultat net en progression de 17% à 4,26 milliards de FCFA</w:t>
      </w:r>
    </w:p>
    <w:p>
      <w:pPr>
        <w:pStyle w:val="ListBullet"/>
        <w:spacing w:before="20" w:after="20"/>
        <w:ind w:left="700"/>
      </w:pPr>
      <w:r>
        <w:rPr>
          <w:sz w:val="18"/>
        </w:rPr>
        <w:t>Amélioration du résultat opérationnel IFRS de 58% à 8,701 millions de FCFA</w:t>
      </w:r>
    </w:p>
    <w:p>
      <w:pPr>
        <w:pStyle w:val="ListBullet"/>
        <w:spacing w:before="20" w:after="20"/>
        <w:ind w:left="700"/>
      </w:pPr>
      <w:r>
        <w:rPr>
          <w:sz w:val="18"/>
        </w:rPr>
        <w:t>Dégradation significative du temps moyen de coupure (de 8h12mn à 27h43mn)</w:t>
      </w:r>
    </w:p>
    <w:p>
      <w:pPr>
        <w:spacing w:before="40"/>
        <w:ind w:left="400"/>
      </w:pPr>
      <w:r>
        <w:rPr>
          <w:b/>
          <w:color w:val="C05000"/>
          <w:sz w:val="18"/>
        </w:rPr>
        <w:t xml:space="preserve">⚠️ Risques : </w:t>
      </w:r>
      <w:r>
        <w:rPr>
          <w:sz w:val="18"/>
        </w:rPr>
        <w:t>["D\u00e9gradation significative de la qualit\u00e9 de service avec un temps de coupure multipli\u00e9 par 3", "Impact des travaux de r\u00e9seaux sur les performances op\u00e9rationnelles", "D\u00e9pendance aux investissements d'infrastructure dans un contexte de croissance rapide de la client\u00e</w:t>
      </w:r>
    </w:p>
    <w:p>
      <w:pPr>
        <w:spacing w:before="40"/>
        <w:ind w:left="400"/>
      </w:pPr>
      <w:r>
        <w:rPr>
          <w:b/>
          <w:color w:val="0064A0"/>
          <w:sz w:val="18"/>
        </w:rPr>
        <w:t xml:space="preserve">🔮 Perspectives : </w:t>
      </w:r>
      <w:r>
        <w:rPr>
          <w:sz w:val="18"/>
        </w:rPr>
        <w:t>La CIE devrait bénéficier de la stabilité apportée par la nouvelle convention de concession sur 12 ans et de la croissance continue de sa base clientèle. L'amélioration des performances techniques sera cruciale pour maintenir la qualité de service et soutenir la croissance à long terme.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CIE montre une excellente g\u00e9n\u00e9ration de cash-flow et s'adapte avec succ\u00e8s \u00e0 sa nouvelle convention. La stabilit\u00e9 du dividende et l'am\u00e9lioration de la tr\u00e9sorerie t\u00e9moignent d'une gestion solide dans cette phase de transition."}</w:t>
      </w:r>
    </w:p>
    <w:p>
      <w:pPr>
        <w:spacing w:before="40"/>
        <w:ind w:left="400"/>
      </w:pPr>
      <w:r>
        <w:rPr>
          <w:sz w:val="18"/>
        </w:rPr>
        <w:t>La CIE présente des résultats mitigés pour 2021 avec un chiffre d'affaires de 231,1 milliards FCFA et un résultat net de 10,5 milliards FCFA, en baisse de 38,8% par rapport à 2020. La nouvelle convention entrée en vigueur le 1er janvier 2021 a considérablement réduit le bilan de la société, les actifs passant de 1 254,8 milliards à 558,2 milliards FCFA. Les capitaux propres restent stables à 37,5 milliards FCFA malgré la distribution de dividendes de 10,4 milliards. L'entreprise maintient une solide génération de flux de trésorerie opérationnels de 139,2 milliards FCFA. La transition vers son nouveau rôle de mandataire pour l'Autorité Concédante marque un tournant stratégique majeur.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{'endettement_net': '56,1 milliards FCFA', 'resultat_operationnel': '16,8 milliards FCFA', 'flux_tresorerie_operationnels': '139,2 milliards FCFA'}</w:t>
            </w:r>
          </w:p>
        </w:tc>
        <w:tc>
          <w:tcPr>
            <w:tcW w:type="dxa" w:w="2160"/>
          </w:tcPr>
          <w:p>
            <w:pPr>
              <w:ind w:left="100"/>
            </w:pPr>
            <w:r/>
            <w:r>
              <w:rPr>
                <w:b/>
                <w:sz w:val="16"/>
              </w:rPr>
              <w:t>dividende</w:t>
              <w:br/>
            </w:r>
            <w:r>
              <w:rPr>
                <w:sz w:val="18"/>
              </w:rPr>
              <w:t>186 FCFA par action</w:t>
            </w:r>
          </w:p>
        </w:tc>
        <w:tc>
          <w:tcPr>
            <w:tcW w:type="dxa" w:w="2160"/>
          </w:tcPr>
          <w:p>
            <w:pPr>
              <w:ind w:left="100"/>
            </w:pPr>
            <w:r/>
            <w:r>
              <w:rPr>
                <w:b/>
                <w:sz w:val="16"/>
              </w:rPr>
              <w:t>marge_nette</w:t>
              <w:br/>
            </w:r>
            <w:r>
              <w:rPr>
                <w:sz w:val="18"/>
              </w:rPr>
              <w:t>4,5%</w:t>
            </w:r>
          </w:p>
        </w:tc>
        <w:tc>
          <w:tcPr>
            <w:tcW w:type="dxa" w:w="2160"/>
          </w:tcPr>
          <w:p>
            <w:pPr>
              <w:ind w:left="100"/>
            </w:pPr>
            <w:r/>
            <w:r>
              <w:rPr>
                <w:b/>
                <w:sz w:val="16"/>
              </w:rPr>
              <w:t>total_actif</w:t>
              <w:br/>
            </w:r>
            <w:r>
              <w:rPr>
                <w:sz w:val="18"/>
              </w:rPr>
              <w:t>558,2 milliards FCFA</w:t>
            </w:r>
          </w:p>
        </w:tc>
      </w:tr>
      <w:tr>
        <w:tc>
          <w:tcPr>
            <w:tcW w:type="dxa" w:w="2160"/>
          </w:tcPr>
          <w:p>
            <w:r/>
            <w:r>
              <w:rPr>
                <w:b/>
                <w:sz w:val="16"/>
              </w:rPr>
              <w:t>resultat_net</w:t>
              <w:br/>
            </w:r>
            <w:r>
              <w:rPr>
                <w:sz w:val="18"/>
              </w:rPr>
              <w:t>10,5 milliards FCFA</w:t>
            </w:r>
          </w:p>
        </w:tc>
        <w:tc>
          <w:tcPr>
            <w:tcW w:type="dxa" w:w="2160"/>
          </w:tcPr>
          <w:p>
            <w:r/>
            <w:r>
              <w:rPr>
                <w:b/>
                <w:sz w:val="16"/>
              </w:rPr>
              <w:t>capitaux_propres</w:t>
              <w:br/>
            </w:r>
            <w:r>
              <w:rPr>
                <w:sz w:val="18"/>
              </w:rPr>
              <w:t>37,5 milliards FCFA</w:t>
            </w:r>
          </w:p>
        </w:tc>
        <w:tc>
          <w:tcPr>
            <w:tcW w:type="dxa" w:w="2160"/>
          </w:tcPr>
          <w:p>
            <w:r/>
            <w:r>
              <w:rPr>
                <w:b/>
                <w:sz w:val="16"/>
              </w:rPr>
              <w:t>chiffre_affaires</w:t>
              <w:br/>
            </w:r>
            <w:r>
              <w:rPr>
                <w:sz w:val="18"/>
              </w:rPr>
              <w:t>231,1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du résultat net de 38,8% à 10,5 milliards FCFA contre 17,2 milliards en 2020</w:t>
      </w:r>
    </w:p>
    <w:p>
      <w:pPr>
        <w:pStyle w:val="ListBullet"/>
        <w:spacing w:before="20" w:after="20"/>
        <w:ind w:left="700"/>
      </w:pPr>
      <w:r>
        <w:rPr>
          <w:sz w:val="18"/>
        </w:rPr>
        <w:t>Réduction drastique du total actif de 55,5% suite à la nouvelle convention (558,2 vs 1 254,8 milliards FCFA)</w:t>
      </w:r>
    </w:p>
    <w:p>
      <w:pPr>
        <w:pStyle w:val="ListBullet"/>
        <w:spacing w:before="20" w:after="20"/>
        <w:ind w:left="700"/>
      </w:pPr>
      <w:r>
        <w:rPr>
          <w:sz w:val="18"/>
        </w:rPr>
        <w:t>Augmentation du chiffre d'affaires de 4,1% à 231,1 milliards FCFA avec croissance des prestations de service</w:t>
      </w:r>
    </w:p>
    <w:p>
      <w:pPr>
        <w:pStyle w:val="ListBullet"/>
        <w:spacing w:before="20" w:after="20"/>
        <w:ind w:left="700"/>
      </w:pPr>
      <w:r>
        <w:rPr>
          <w:sz w:val="18"/>
        </w:rPr>
        <w:t>Excellente génération de flux de trésorerie opérationnels de 139,2 milliards FCFA (+176,6%)</w:t>
      </w:r>
    </w:p>
    <w:p>
      <w:pPr>
        <w:pStyle w:val="ListBullet"/>
        <w:spacing w:before="20" w:after="20"/>
        <w:ind w:left="700"/>
      </w:pPr>
      <w:r>
        <w:rPr>
          <w:sz w:val="18"/>
        </w:rPr>
        <w:t>Distribution de dividendes maintenue à 186 FCFA par action malgré la baisse du résultat</w:t>
      </w:r>
    </w:p>
    <w:p>
      <w:pPr>
        <w:pStyle w:val="ListBullet"/>
        <w:spacing w:before="20" w:after="20"/>
        <w:ind w:left="700"/>
      </w:pPr>
      <w:r>
        <w:rPr>
          <w:sz w:val="18"/>
        </w:rPr>
        <w:t>Forte réduction des créances clients (60,3 vs 488,1 milliards) et des dettes fournisseurs (75,2 vs 396,1 milliards)</w:t>
      </w:r>
    </w:p>
    <w:p>
      <w:pPr>
        <w:spacing w:before="40"/>
        <w:ind w:left="400"/>
      </w:pPr>
      <w:r>
        <w:rPr>
          <w:b/>
          <w:color w:val="C05000"/>
          <w:sz w:val="18"/>
        </w:rPr>
        <w:t xml:space="preserve">⚠️ Risques : </w:t>
      </w:r>
      <w:r>
        <w:rPr>
          <w:sz w:val="18"/>
        </w:rPr>
        <w:t>["Impact de la nouvelle convention sur la rentabilit\u00e9 future et adaptation du mod\u00e8le \u00e9conomique", "D\u00e9pendance accrue vis-\u00e0-vis de l'Autorit\u00e9 Conc\u00e9dante dans le nouveau r\u00f4le de mandataire", "Pression sur les marges avec la baisse de 26,7% du r\u00e9sultat op\u0</w:t>
      </w:r>
    </w:p>
    <w:p>
      <w:pPr>
        <w:spacing w:before="40"/>
        <w:ind w:left="400"/>
      </w:pPr>
      <w:r>
        <w:rPr>
          <w:b/>
          <w:color w:val="0064A0"/>
          <w:sz w:val="18"/>
        </w:rPr>
        <w:t xml:space="preserve">🔮 Perspectives : </w:t>
      </w:r>
      <w:r>
        <w:rPr>
          <w:sz w:val="18"/>
        </w:rPr>
        <w:t>La société devrait bénéficier d'une meilleure visibilité de ses flux avec la nouvelle convention tout en conservant sa position dominante sur le marché ivoirien de l'électricité. L'amélioration de la trésorerie et la maîtrise des coûts laissent présager une stabilisation progressive des résultats. L</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la soci\u00e9t\u00e9 conserve une position de monopole dans le secteur \u00e9lectrique ivoirien et maintient sa capacit\u00e9 distributive. L'am\u00e9lioration de la tr\u00e9sorerie et les investissements importants sugg\u00e8rent une pr\u00e9paration pour la croissance future."}</w:t>
      </w:r>
    </w:p>
    <w:p>
      <w:pPr>
        <w:spacing w:before="40"/>
        <w:ind w:left="400"/>
      </w:pPr>
      <w:r>
        <w:rPr>
          <w:sz w:val="18"/>
        </w:rPr>
        <w:t>La Compagnie Ivoirienne d'Electricité (CIE) affiche une forte baisse de performance en 2021 avec un chiffre d'affaires qui s'effondre de 722,6 milliards à 231,8 milliards FCFA suite à un changement de modèle comptable lié à la nouvelle convention de concession. Le résultat net diminue également de 16,2 à 9,8 milliards FCFA, impactant négativement la rentabilité globale. Malgré cette baisse, la société maintient une position financière solide avec des capitaux propres de 32,3 milliards FCFA et une amélioration significative de sa trésorerie nette. Les flux de trésorerie opérationnels deviennent négatifs à -33,8 milliards FCFA, compensés par un financement externe important. La société propose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'82,8 milliards FCFA', 'tresorerie_nette': '40,1 milliards FCFA', 'dettes_financieres': '201,2 milliards FCFA', 'capacite_autofinancement': '22,0 milliards FCFA'}</w:t>
            </w:r>
          </w:p>
        </w:tc>
        <w:tc>
          <w:tcPr>
            <w:tcW w:type="dxa" w:w="2160"/>
          </w:tcPr>
          <w:p>
            <w:pPr>
              <w:ind w:left="100"/>
            </w:pPr>
            <w:r/>
            <w:r>
              <w:rPr>
                <w:b/>
                <w:sz w:val="16"/>
              </w:rPr>
              <w:t>dividende</w:t>
              <w:br/>
            </w:r>
            <w:r>
              <w:rPr>
                <w:sz w:val="18"/>
              </w:rPr>
              <w:t>9,5 milliards FCFA</w:t>
            </w:r>
          </w:p>
        </w:tc>
        <w:tc>
          <w:tcPr>
            <w:tcW w:type="dxa" w:w="2160"/>
          </w:tcPr>
          <w:p>
            <w:pPr>
              <w:ind w:left="100"/>
            </w:pPr>
            <w:r/>
            <w:r>
              <w:rPr>
                <w:b/>
                <w:sz w:val="16"/>
              </w:rPr>
              <w:t>marge_nette</w:t>
              <w:br/>
            </w:r>
            <w:r>
              <w:rPr>
                <w:sz w:val="18"/>
              </w:rPr>
              <w:t>4,2%</w:t>
            </w:r>
          </w:p>
        </w:tc>
        <w:tc>
          <w:tcPr>
            <w:tcW w:type="dxa" w:w="2160"/>
          </w:tcPr>
          <w:p>
            <w:pPr>
              <w:ind w:left="100"/>
            </w:pPr>
            <w:r/>
            <w:r>
              <w:rPr>
                <w:b/>
                <w:sz w:val="16"/>
              </w:rPr>
              <w:t>total_actif</w:t>
              <w:br/>
            </w:r>
            <w:r>
              <w:rPr>
                <w:sz w:val="18"/>
              </w:rPr>
              <w:t>1 679,6 milliards FCFA</w:t>
            </w:r>
          </w:p>
        </w:tc>
      </w:tr>
      <w:tr>
        <w:tc>
          <w:tcPr>
            <w:tcW w:type="dxa" w:w="2160"/>
          </w:tcPr>
          <w:p>
            <w:r/>
            <w:r>
              <w:rPr>
                <w:b/>
                <w:sz w:val="16"/>
              </w:rPr>
              <w:t>resultat_net</w:t>
              <w:br/>
            </w:r>
            <w:r>
              <w:rPr>
                <w:sz w:val="18"/>
              </w:rPr>
              <w:t>9,8 milliards FCFA</w:t>
            </w:r>
          </w:p>
        </w:tc>
        <w:tc>
          <w:tcPr>
            <w:tcW w:type="dxa" w:w="2160"/>
          </w:tcPr>
          <w:p>
            <w:r/>
            <w:r>
              <w:rPr>
                <w:b/>
                <w:sz w:val="16"/>
              </w:rPr>
              <w:t>capitaux_propres</w:t>
              <w:br/>
            </w:r>
            <w:r>
              <w:rPr>
                <w:sz w:val="18"/>
              </w:rPr>
              <w:t>32,3 milliards FCFA</w:t>
            </w:r>
          </w:p>
        </w:tc>
        <w:tc>
          <w:tcPr>
            <w:tcW w:type="dxa" w:w="2160"/>
          </w:tcPr>
          <w:p>
            <w:r/>
            <w:r>
              <w:rPr>
                <w:b/>
                <w:sz w:val="16"/>
              </w:rPr>
              <w:t>chiffre_affaires</w:t>
              <w:br/>
            </w:r>
            <w:r>
              <w:rPr>
                <w:sz w:val="18"/>
              </w:rPr>
              <w:t>231,8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Effondrement du chiffre d'affaires de 67,9% à 231,8 milliards FCFA suite au nouveau modèle de rémunération</w:t>
      </w:r>
    </w:p>
    <w:p>
      <w:pPr>
        <w:pStyle w:val="ListBullet"/>
        <w:spacing w:before="20" w:after="20"/>
        <w:ind w:left="700"/>
      </w:pPr>
      <w:r>
        <w:rPr>
          <w:sz w:val="18"/>
        </w:rPr>
        <w:t>Baisse du résultat net de 39,6% à 9,8 milliards FCFA</w:t>
      </w:r>
    </w:p>
    <w:p>
      <w:pPr>
        <w:pStyle w:val="ListBullet"/>
        <w:spacing w:before="20" w:after="20"/>
        <w:ind w:left="700"/>
      </w:pPr>
      <w:r>
        <w:rPr>
          <w:sz w:val="18"/>
        </w:rPr>
        <w:t>Amélioration spectaculaire de la trésorerie nette passant de -60,1 milliards à +40,1 milliards FCFA</w:t>
      </w:r>
    </w:p>
    <w:p>
      <w:pPr>
        <w:pStyle w:val="ListBullet"/>
        <w:spacing w:before="20" w:after="20"/>
        <w:ind w:left="700"/>
      </w:pPr>
      <w:r>
        <w:rPr>
          <w:sz w:val="18"/>
        </w:rPr>
        <w:t>Flux de trésorerie opérationnels négatifs à -33,8 milliards FCFA contre +53,2 milliards en 2020</w:t>
      </w:r>
    </w:p>
    <w:p>
      <w:pPr>
        <w:pStyle w:val="ListBullet"/>
        <w:spacing w:before="20" w:after="20"/>
        <w:ind w:left="700"/>
      </w:pPr>
      <w:r>
        <w:rPr>
          <w:sz w:val="18"/>
        </w:rPr>
        <w:t>Augmentation significative des immobilisations financières de 12,3 à 77,8 milliards FCFA</w:t>
      </w:r>
    </w:p>
    <w:p>
      <w:pPr>
        <w:pStyle w:val="ListBullet"/>
        <w:spacing w:before="20" w:after="20"/>
        <w:ind w:left="700"/>
      </w:pPr>
      <w:r>
        <w:rPr>
          <w:sz w:val="18"/>
        </w:rPr>
        <w:t>Maintien d'un dividende élevé de 9,5 milliards FCFA représentant 97% du résultat net</w:t>
      </w:r>
    </w:p>
    <w:p>
      <w:pPr>
        <w:spacing w:before="40"/>
        <w:ind w:left="400"/>
      </w:pPr>
      <w:r>
        <w:rPr>
          <w:b/>
          <w:color w:val="C05000"/>
          <w:sz w:val="18"/>
        </w:rPr>
        <w:t xml:space="preserve">⚠️ Risques : </w:t>
      </w:r>
      <w:r>
        <w:rPr>
          <w:sz w:val="18"/>
        </w:rPr>
        <w:t>["Endettement financier tr\u00e8s \u00e9lev\u00e9 (201,2 milliards FCFA) cr\u00e9ant une pression sur la structure financi\u00e8re", "Flux de tr\u00e9sorerie op\u00e9rationnels n\u00e9gatifs indiquant des difficult\u00e9s de g\u00e9n\u00e9ration de cash", "Politique de dividende non soutenable repr\</w:t>
      </w:r>
    </w:p>
    <w:p>
      <w:pPr>
        <w:spacing w:before="40"/>
        <w:ind w:left="400"/>
      </w:pPr>
      <w:r>
        <w:rPr>
          <w:b/>
          <w:color w:val="0064A0"/>
          <w:sz w:val="18"/>
        </w:rPr>
        <w:t xml:space="preserve">🔮 Perspectives : </w:t>
      </w:r>
      <w:r>
        <w:rPr>
          <w:sz w:val="18"/>
        </w:rPr>
        <w:t>La transition vers le nouveau modèle de concession devrait stabiliser les revenus et améliorer la visibilité financière à moyen terme. Les investissements massifs réalisés en 2021 devraient commencer à porter leurs fruits avec une amélioration progressive de la rentabilité opérationnelle. L'enjeu pr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CIE maintient sa rentabilit\u00e9 dans un secteur strat\u00e9gique avec des fondamentaux solides. Le positionnement monopolistique dans l'\u00e9lectricit\u00e9 ivoirienne offre une visibilit\u00e9 sur les revenus futurs malgr\u00e9 un endettement significatif."}</w:t>
      </w:r>
    </w:p>
    <w:p>
      <w:pPr>
        <w:spacing w:before="40"/>
        <w:ind w:left="400"/>
      </w:pPr>
      <w:r>
        <w:rPr>
          <w:sz w:val="18"/>
        </w:rPr>
        <w:t>La CIE (Compagnie Ivoirienne d'Électricité) présente des états financiers au 31 décembre 2021 avec un chiffre d'affaires de 725 milliards FCFA. La société maintient une rentabilité avec un résultat net de 41,3 milliards FCFA et affiche un total actif de 1 354 milliards FCFA. Les capitaux propres s'élèvent à 294 milliards FCFA, témoignant d'une structure financière solide. L'entreprise opère dans le secteur stratégique de l'électricité en Côte d'Ivoire avec des performances opérationnelles satisfaisantes. La marge nette de 5,7% reflète une gestion efficace des coûts dans un secteur capitalistique.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{'dettes': '1 060 milliards FCFA', 'stocks': '74 milliards FCFA', 'creances': '248 milliards FCFA', 'immobilisations': '1 136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5,7%</w:t>
            </w:r>
          </w:p>
        </w:tc>
        <w:tc>
          <w:tcPr>
            <w:tcW w:type="dxa" w:w="2160"/>
          </w:tcPr>
          <w:p>
            <w:pPr>
              <w:ind w:left="100"/>
            </w:pPr>
            <w:r/>
            <w:r>
              <w:rPr>
                <w:b/>
                <w:sz w:val="16"/>
              </w:rPr>
              <w:t>total_actif</w:t>
              <w:br/>
            </w:r>
            <w:r>
              <w:rPr>
                <w:sz w:val="18"/>
              </w:rPr>
              <w:t>1 354 milliards FCFA</w:t>
            </w:r>
          </w:p>
        </w:tc>
      </w:tr>
      <w:tr>
        <w:tc>
          <w:tcPr>
            <w:tcW w:type="dxa" w:w="2160"/>
          </w:tcPr>
          <w:p>
            <w:r/>
            <w:r>
              <w:rPr>
                <w:b/>
                <w:sz w:val="16"/>
              </w:rPr>
              <w:t>resultat_net</w:t>
              <w:br/>
            </w:r>
            <w:r>
              <w:rPr>
                <w:sz w:val="18"/>
              </w:rPr>
              <w:t>41,3 milliards FCFA</w:t>
            </w:r>
          </w:p>
        </w:tc>
        <w:tc>
          <w:tcPr>
            <w:tcW w:type="dxa" w:w="2160"/>
          </w:tcPr>
          <w:p>
            <w:r/>
            <w:r>
              <w:rPr>
                <w:b/>
                <w:sz w:val="16"/>
              </w:rPr>
              <w:t>capitaux_propres</w:t>
              <w:br/>
            </w:r>
            <w:r>
              <w:rPr>
                <w:sz w:val="18"/>
              </w:rPr>
              <w:t>294 milliards FCFA</w:t>
            </w:r>
          </w:p>
        </w:tc>
        <w:tc>
          <w:tcPr>
            <w:tcW w:type="dxa" w:w="2160"/>
          </w:tcPr>
          <w:p>
            <w:r/>
            <w:r>
              <w:rPr>
                <w:b/>
                <w:sz w:val="16"/>
              </w:rPr>
              <w:t>chiffre_affaires</w:t>
              <w:br/>
            </w:r>
            <w:r>
              <w:rPr>
                <w:sz w:val="18"/>
              </w:rPr>
              <w:t>725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725 milliards FCFA confirmant la position de leader sur le marché ivoirien de l'électricité</w:t>
      </w:r>
    </w:p>
    <w:p>
      <w:pPr>
        <w:pStyle w:val="ListBullet"/>
        <w:spacing w:before="20" w:after="20"/>
        <w:ind w:left="700"/>
      </w:pPr>
      <w:r>
        <w:rPr>
          <w:sz w:val="18"/>
        </w:rPr>
        <w:t>Résultat net positif de 41,3 milliards FCFA démontrant la rentabilité de l'activité</w:t>
      </w:r>
    </w:p>
    <w:p>
      <w:pPr>
        <w:pStyle w:val="ListBullet"/>
        <w:spacing w:before="20" w:after="20"/>
        <w:ind w:left="700"/>
      </w:pPr>
      <w:r>
        <w:rPr>
          <w:sz w:val="18"/>
        </w:rPr>
        <w:t>Total actif de 1 354 milliards FCFA avec des immobilisations importantes de 1 136 milliards FCFA</w:t>
      </w:r>
    </w:p>
    <w:p>
      <w:pPr>
        <w:pStyle w:val="ListBullet"/>
        <w:spacing w:before="20" w:after="20"/>
        <w:ind w:left="700"/>
      </w:pPr>
      <w:r>
        <w:rPr>
          <w:sz w:val="18"/>
        </w:rPr>
        <w:t>Capitaux propres solides de 294 milliards FCFA assurant une base financière stable</w:t>
      </w:r>
    </w:p>
    <w:p>
      <w:pPr>
        <w:pStyle w:val="ListBullet"/>
        <w:spacing w:before="20" w:after="20"/>
        <w:ind w:left="700"/>
      </w:pPr>
      <w:r>
        <w:rPr>
          <w:sz w:val="18"/>
        </w:rPr>
        <w:t>Marge nette de 5,7% dans un secteur d'infrastructure essentielle</w:t>
      </w:r>
    </w:p>
    <w:p>
      <w:pPr>
        <w:pStyle w:val="ListBullet"/>
        <w:spacing w:before="20" w:after="20"/>
        <w:ind w:left="700"/>
      </w:pPr>
      <w:r>
        <w:rPr>
          <w:sz w:val="18"/>
        </w:rPr>
        <w:t>Activité dans un secteur régulé stratégique pour l'économie ivoirienne</w:t>
      </w:r>
    </w:p>
    <w:p>
      <w:pPr>
        <w:spacing w:before="40"/>
        <w:ind w:left="400"/>
      </w:pPr>
      <w:r>
        <w:rPr>
          <w:b/>
          <w:color w:val="C05000"/>
          <w:sz w:val="18"/>
        </w:rPr>
        <w:t xml:space="preserve">⚠️ Risques : </w:t>
      </w:r>
      <w:r>
        <w:rPr>
          <w:sz w:val="18"/>
        </w:rPr>
        <w:t xml:space="preserve">["Niveau d'endettement \u00e9lev\u00e9 avec 1 060 milliards FCFA de dettes n\u00e9cessitant une gestion prudente du cash-flow", "D\u00e9pendance aux tarifs r\u00e9gul\u00e9s par l'\u00c9tat pouvant impacter la rentabilit\u00e9 en cas de r\u00e9vision d\u00e9favorable", "Exposition aux variations du </w:t>
      </w:r>
    </w:p>
    <w:p>
      <w:pPr>
        <w:spacing w:before="40"/>
        <w:ind w:left="400"/>
      </w:pPr>
      <w:r>
        <w:rPr>
          <w:b/>
          <w:color w:val="0064A0"/>
          <w:sz w:val="18"/>
        </w:rPr>
        <w:t xml:space="preserve">🔮 Perspectives : </w:t>
      </w:r>
      <w:r>
        <w:rPr>
          <w:sz w:val="18"/>
        </w:rPr>
        <w:t>Les perspectives restent positives compte tenu de la croissance économique ivoirienne et de l'augmentation de la demande électrique. La CIE devrait bénéficier des investissements dans l'infrastructure énergétique et du développement industriel du pays. La gestion de la dette et l'optimisation opérat</w:t>
      </w:r>
    </w:p>
    <w:p/>
    <w:p>
      <w:r>
        <w:t>════════════════════════════════════════════════════════════════════════════════</w:t>
      </w:r>
    </w:p>
    <w:p>
      <w:r>
        <w:br w:type="page"/>
      </w:r>
    </w:p>
    <w:p>
      <w:pPr>
        <w:pStyle w:val="Heading2"/>
        <w:spacing w:before="360"/>
      </w:pPr>
      <w:r>
        <w:rPr>
          <w:color w:val="0066CC"/>
        </w:rPr>
        <w:t>16. ECOC - ECOC - ECOBANK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ECOC</w:t>
            </w:r>
          </w:p>
          <w:p>
            <w:r>
              <w:rPr>
                <w:b/>
                <w:color w:val="323250"/>
                <w:sz w:val="16"/>
              </w:rPr>
              <w:t xml:space="preserve">Société : </w:t>
            </w:r>
            <w:r>
              <w:rPr>
                <w:color w:val="000000"/>
                <w:sz w:val="16"/>
              </w:rPr>
              <w:t>ECOC - ECOBANK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880.81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4,193 titres</w:t>
            </w:r>
          </w:p>
        </w:tc>
        <w:tc>
          <w:tcPr>
            <w:tcW w:type="dxa" w:w="2268"/>
            <w:shd w:fill="FFF2CC" w:val="clear"/>
          </w:tcPr>
          <w:p>
            <w:r>
              <w:rPr>
                <w:b/>
                <w:color w:val="503200"/>
                <w:sz w:val="16"/>
              </w:rPr>
              <w:t xml:space="preserve">Cours actuel : </w:t>
            </w:r>
            <w:r>
              <w:rPr>
                <w:color w:val="000000"/>
                <w:sz w:val="17"/>
              </w:rPr>
              <w:t>16,000 FCFA</w:t>
            </w:r>
          </w:p>
          <w:p>
            <w:r>
              <w:rPr>
                <w:b/>
                <w:color w:val="503200"/>
                <w:sz w:val="16"/>
              </w:rPr>
              <w:t xml:space="preserve">Var. 100 jours : </w:t>
            </w:r>
            <w:r>
              <w:rPr>
                <w:b/>
                <w:color w:val="B40000"/>
                <w:sz w:val="17"/>
              </w:rPr>
              <w:t>-1.84%</w:t>
            </w:r>
          </w:p>
          <w:p>
            <w:r>
              <w:rPr>
                <w:b/>
                <w:color w:val="503200"/>
                <w:sz w:val="16"/>
              </w:rPr>
              <w:t xml:space="preserve">Plus haut 100j : </w:t>
            </w:r>
            <w:r>
              <w:rPr>
                <w:color w:val="000000"/>
                <w:sz w:val="17"/>
              </w:rPr>
              <w:t>17,725 FCFA</w:t>
            </w:r>
          </w:p>
          <w:p>
            <w:r>
              <w:rPr>
                <w:b/>
                <w:color w:val="503200"/>
                <w:sz w:val="16"/>
              </w:rPr>
              <w:t xml:space="preserve">Plus bas 100j : </w:t>
            </w:r>
            <w:r>
              <w:rPr>
                <w:color w:val="000000"/>
                <w:sz w:val="17"/>
              </w:rPr>
              <w:t>15,715 FCFA</w:t>
            </w:r>
          </w:p>
          <w:p>
            <w:r>
              <w:rPr>
                <w:b/>
                <w:color w:val="503200"/>
                <w:sz w:val="16"/>
              </w:rPr>
              <w:t xml:space="preserve">Volatilité ann. : </w:t>
            </w:r>
            <w:r>
              <w:rPr>
                <w:color w:val="000000"/>
                <w:sz w:val="17"/>
              </w:rPr>
              <w:t>25.3%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13.1/100 → Faible</w:t>
      </w:r>
    </w:p>
    <w:p>
      <w:pPr>
        <w:spacing w:before="40" w:after="80"/>
      </w:pPr>
      <w:r>
        <w:rPr>
          <w:rFonts w:ascii="Courier New" w:hAnsi="Courier New"/>
          <w:color w:val="006400"/>
          <w:sz w:val="18"/>
        </w:rPr>
        <w:t>██░░░░░░░░░░░░░░░░░░  13.1/100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2.67% (Faible) — μ=16,592 FCFA, σ=444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β=0.3437 (Défensif) — Cov=0.000026, Var(idx)=0.000075, ρ=0.186,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4,193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σ_j=1.60%/j (Stable) — Vol. annualisée≈25.3%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0080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73/100  (Excellent)</w:t>
      </w:r>
    </w:p>
    <w:p/>
    <w:p>
      <w:pPr>
        <w:jc w:val="center"/>
      </w:pPr>
      <w:r>
        <w:drawing>
          <wp:inline xmlns:a="http://schemas.openxmlformats.org/drawingml/2006/main" xmlns:pic="http://schemas.openxmlformats.org/drawingml/2006/picture">
            <wp:extent cx="5669280" cy="2603190"/>
            <wp:docPr id="18" name="Picture 18"/>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2026-10-16</w:t>
            </w:r>
          </w:p>
        </w:tc>
        <w:tc>
          <w:tcPr>
            <w:tcW w:type="dxa" w:w="1440"/>
            <w:shd w:fill="FAFAFA" w:val="clear"/>
          </w:tcPr>
          <w:p>
            <w:r>
              <w:rPr>
                <w:sz w:val="17"/>
              </w:rPr>
              <w:t>15,836</w:t>
            </w:r>
          </w:p>
        </w:tc>
        <w:tc>
          <w:tcPr>
            <w:tcW w:type="dxa" w:w="1440"/>
            <w:shd w:fill="FAFAFA" w:val="clear"/>
          </w:tcPr>
          <w:p>
            <w:r>
              <w:rPr>
                <w:b/>
                <w:sz w:val="17"/>
              </w:rPr>
              <w:t>16,227</w:t>
            </w:r>
          </w:p>
        </w:tc>
        <w:tc>
          <w:tcPr>
            <w:tcW w:type="dxa" w:w="1440"/>
            <w:shd w:fill="FAFAFA" w:val="clear"/>
          </w:tcPr>
          <w:p>
            <w:r>
              <w:rPr>
                <w:sz w:val="17"/>
              </w:rPr>
              <w:t>16,618</w:t>
            </w:r>
          </w:p>
        </w:tc>
        <w:tc>
          <w:tcPr>
            <w:tcW w:type="dxa" w:w="1440"/>
            <w:shd w:fill="FAFAFA" w:val="clear"/>
          </w:tcPr>
          <w:p>
            <w:r>
              <w:rPr>
                <w:b/>
                <w:color w:val="008000"/>
                <w:sz w:val="17"/>
              </w:rPr>
              <w:t>+1.4%</w:t>
            </w:r>
          </w:p>
        </w:tc>
      </w:tr>
      <w:tr>
        <w:tc>
          <w:tcPr>
            <w:tcW w:type="dxa" w:w="1440"/>
            <w:shd w:fill="FAFAFA" w:val="clear"/>
          </w:tcPr>
          <w:p>
            <w:r>
              <w:rPr>
                <w:sz w:val="17"/>
              </w:rPr>
              <w:t>J+2  ⭐⭐⭐</w:t>
            </w:r>
          </w:p>
        </w:tc>
        <w:tc>
          <w:tcPr>
            <w:tcW w:type="dxa" w:w="1440"/>
            <w:shd w:fill="FAFAFA" w:val="clear"/>
          </w:tcPr>
          <w:p>
            <w:r>
              <w:rPr>
                <w:sz w:val="17"/>
              </w:rPr>
              <w:t>2026-10-19</w:t>
            </w:r>
          </w:p>
        </w:tc>
        <w:tc>
          <w:tcPr>
            <w:tcW w:type="dxa" w:w="1440"/>
            <w:shd w:fill="FAFAFA" w:val="clear"/>
          </w:tcPr>
          <w:p>
            <w:r>
              <w:rPr>
                <w:sz w:val="17"/>
              </w:rPr>
              <w:t>15,698</w:t>
            </w:r>
          </w:p>
        </w:tc>
        <w:tc>
          <w:tcPr>
            <w:tcW w:type="dxa" w:w="1440"/>
            <w:shd w:fill="FAFAFA" w:val="clear"/>
          </w:tcPr>
          <w:p>
            <w:r>
              <w:rPr>
                <w:b/>
                <w:sz w:val="17"/>
              </w:rPr>
              <w:t>16,251</w:t>
            </w:r>
          </w:p>
        </w:tc>
        <w:tc>
          <w:tcPr>
            <w:tcW w:type="dxa" w:w="1440"/>
            <w:shd w:fill="FAFAFA" w:val="clear"/>
          </w:tcPr>
          <w:p>
            <w:r>
              <w:rPr>
                <w:sz w:val="17"/>
              </w:rPr>
              <w:t>16,805</w:t>
            </w:r>
          </w:p>
        </w:tc>
        <w:tc>
          <w:tcPr>
            <w:tcW w:type="dxa" w:w="1440"/>
            <w:shd w:fill="FAFAFA" w:val="clear"/>
          </w:tcPr>
          <w:p>
            <w:r>
              <w:rPr>
                <w:b/>
                <w:color w:val="008000"/>
                <w:sz w:val="17"/>
              </w:rPr>
              <w:t>+1.6%</w:t>
            </w:r>
          </w:p>
        </w:tc>
      </w:tr>
      <w:tr>
        <w:tc>
          <w:tcPr>
            <w:tcW w:type="dxa" w:w="1440"/>
            <w:shd w:fill="FAFAFA" w:val="clear"/>
          </w:tcPr>
          <w:p>
            <w:r>
              <w:rPr>
                <w:sz w:val="17"/>
              </w:rPr>
              <w:t>J+3  ⭐⭐⭐</w:t>
            </w:r>
          </w:p>
        </w:tc>
        <w:tc>
          <w:tcPr>
            <w:tcW w:type="dxa" w:w="1440"/>
            <w:shd w:fill="FAFAFA" w:val="clear"/>
          </w:tcPr>
          <w:p>
            <w:r>
              <w:rPr>
                <w:sz w:val="17"/>
              </w:rPr>
              <w:t>2026-10-20</w:t>
            </w:r>
          </w:p>
        </w:tc>
        <w:tc>
          <w:tcPr>
            <w:tcW w:type="dxa" w:w="1440"/>
            <w:shd w:fill="FAFAFA" w:val="clear"/>
          </w:tcPr>
          <w:p>
            <w:r>
              <w:rPr>
                <w:sz w:val="17"/>
              </w:rPr>
              <w:t>15,606</w:t>
            </w:r>
          </w:p>
        </w:tc>
        <w:tc>
          <w:tcPr>
            <w:tcW w:type="dxa" w:w="1440"/>
            <w:shd w:fill="FAFAFA" w:val="clear"/>
          </w:tcPr>
          <w:p>
            <w:r>
              <w:rPr>
                <w:b/>
                <w:sz w:val="17"/>
              </w:rPr>
              <w:t>16,286</w:t>
            </w:r>
          </w:p>
        </w:tc>
        <w:tc>
          <w:tcPr>
            <w:tcW w:type="dxa" w:w="1440"/>
            <w:shd w:fill="FAFAFA" w:val="clear"/>
          </w:tcPr>
          <w:p>
            <w:r>
              <w:rPr>
                <w:sz w:val="17"/>
              </w:rPr>
              <w:t>16,965</w:t>
            </w:r>
          </w:p>
        </w:tc>
        <w:tc>
          <w:tcPr>
            <w:tcW w:type="dxa" w:w="1440"/>
            <w:shd w:fill="FAFAFA" w:val="clear"/>
          </w:tcPr>
          <w:p>
            <w:r>
              <w:rPr>
                <w:b/>
                <w:color w:val="008000"/>
                <w:sz w:val="17"/>
              </w:rPr>
              <w:t>+1.8%</w:t>
            </w:r>
          </w:p>
        </w:tc>
      </w:tr>
      <w:tr>
        <w:tc>
          <w:tcPr>
            <w:tcW w:type="dxa" w:w="1440"/>
            <w:shd w:fill="FAFAFA" w:val="clear"/>
          </w:tcPr>
          <w:p>
            <w:r>
              <w:rPr>
                <w:sz w:val="17"/>
              </w:rPr>
              <w:t>J+4  Moyenne</w:t>
            </w:r>
          </w:p>
        </w:tc>
        <w:tc>
          <w:tcPr>
            <w:tcW w:type="dxa" w:w="1440"/>
            <w:shd w:fill="FAFAFA" w:val="clear"/>
          </w:tcPr>
          <w:p>
            <w:r>
              <w:rPr>
                <w:sz w:val="17"/>
              </w:rPr>
              <w:t>2026-10-21</w:t>
            </w:r>
          </w:p>
        </w:tc>
        <w:tc>
          <w:tcPr>
            <w:tcW w:type="dxa" w:w="1440"/>
            <w:shd w:fill="FAFAFA" w:val="clear"/>
          </w:tcPr>
          <w:p>
            <w:r>
              <w:rPr>
                <w:sz w:val="17"/>
              </w:rPr>
              <w:t>15,527</w:t>
            </w:r>
          </w:p>
        </w:tc>
        <w:tc>
          <w:tcPr>
            <w:tcW w:type="dxa" w:w="1440"/>
            <w:shd w:fill="FAFAFA" w:val="clear"/>
          </w:tcPr>
          <w:p>
            <w:r>
              <w:rPr>
                <w:b/>
                <w:sz w:val="17"/>
              </w:rPr>
              <w:t>16,313</w:t>
            </w:r>
          </w:p>
        </w:tc>
        <w:tc>
          <w:tcPr>
            <w:tcW w:type="dxa" w:w="1440"/>
            <w:shd w:fill="FAFAFA" w:val="clear"/>
          </w:tcPr>
          <w:p>
            <w:r>
              <w:rPr>
                <w:sz w:val="17"/>
              </w:rPr>
              <w:t>17,098</w:t>
            </w:r>
          </w:p>
        </w:tc>
        <w:tc>
          <w:tcPr>
            <w:tcW w:type="dxa" w:w="1440"/>
            <w:shd w:fill="FAFAFA" w:val="clear"/>
          </w:tcPr>
          <w:p>
            <w:r>
              <w:rPr>
                <w:b/>
                <w:color w:val="008000"/>
                <w:sz w:val="17"/>
              </w:rPr>
              <w:t>+2.0%</w:t>
            </w:r>
          </w:p>
        </w:tc>
      </w:tr>
      <w:tr>
        <w:tc>
          <w:tcPr>
            <w:tcW w:type="dxa" w:w="1440"/>
            <w:shd w:fill="C6EFCE" w:val="clear"/>
          </w:tcPr>
          <w:p>
            <w:r>
              <w:rPr>
                <w:sz w:val="17"/>
              </w:rPr>
              <w:t>J+5  Moyenne</w:t>
            </w:r>
          </w:p>
        </w:tc>
        <w:tc>
          <w:tcPr>
            <w:tcW w:type="dxa" w:w="1440"/>
            <w:shd w:fill="C6EFCE" w:val="clear"/>
          </w:tcPr>
          <w:p>
            <w:r>
              <w:rPr>
                <w:sz w:val="17"/>
              </w:rPr>
              <w:t>2026-10-22</w:t>
            </w:r>
          </w:p>
        </w:tc>
        <w:tc>
          <w:tcPr>
            <w:tcW w:type="dxa" w:w="1440"/>
            <w:shd w:fill="C6EFCE" w:val="clear"/>
          </w:tcPr>
          <w:p>
            <w:r>
              <w:rPr>
                <w:sz w:val="17"/>
              </w:rPr>
              <w:t>15,456</w:t>
            </w:r>
          </w:p>
        </w:tc>
        <w:tc>
          <w:tcPr>
            <w:tcW w:type="dxa" w:w="1440"/>
            <w:shd w:fill="C6EFCE" w:val="clear"/>
          </w:tcPr>
          <w:p>
            <w:r>
              <w:rPr>
                <w:b/>
                <w:sz w:val="17"/>
              </w:rPr>
              <w:t>16,336</w:t>
            </w:r>
          </w:p>
        </w:tc>
        <w:tc>
          <w:tcPr>
            <w:tcW w:type="dxa" w:w="1440"/>
            <w:shd w:fill="C6EFCE" w:val="clear"/>
          </w:tcPr>
          <w:p>
            <w:r>
              <w:rPr>
                <w:sz w:val="17"/>
              </w:rPr>
              <w:t>17,216</w:t>
            </w:r>
          </w:p>
        </w:tc>
        <w:tc>
          <w:tcPr>
            <w:tcW w:type="dxa" w:w="1440"/>
            <w:shd w:fill="C6EFCE" w:val="clear"/>
          </w:tcPr>
          <w:p>
            <w:r>
              <w:rPr>
                <w:b/>
                <w:color w:val="008000"/>
                <w:sz w:val="17"/>
              </w:rPr>
              <w:t>+2.1%</w:t>
            </w:r>
          </w:p>
        </w:tc>
      </w:tr>
      <w:tr>
        <w:tc>
          <w:tcPr>
            <w:tcW w:type="dxa" w:w="1440"/>
            <w:shd w:fill="C6EFCE" w:val="clear"/>
          </w:tcPr>
          <w:p>
            <w:r>
              <w:rPr>
                <w:sz w:val="17"/>
              </w:rPr>
              <w:t>J+6  Moyenne</w:t>
            </w:r>
          </w:p>
        </w:tc>
        <w:tc>
          <w:tcPr>
            <w:tcW w:type="dxa" w:w="1440"/>
            <w:shd w:fill="C6EFCE" w:val="clear"/>
          </w:tcPr>
          <w:p>
            <w:r>
              <w:rPr>
                <w:sz w:val="17"/>
              </w:rPr>
              <w:t>2026-10-23</w:t>
            </w:r>
          </w:p>
        </w:tc>
        <w:tc>
          <w:tcPr>
            <w:tcW w:type="dxa" w:w="1440"/>
            <w:shd w:fill="C6EFCE" w:val="clear"/>
          </w:tcPr>
          <w:p>
            <w:r>
              <w:rPr>
                <w:sz w:val="17"/>
              </w:rPr>
              <w:t>15,393</w:t>
            </w:r>
          </w:p>
        </w:tc>
        <w:tc>
          <w:tcPr>
            <w:tcW w:type="dxa" w:w="1440"/>
            <w:shd w:fill="C6EFCE" w:val="clear"/>
          </w:tcPr>
          <w:p>
            <w:r>
              <w:rPr>
                <w:b/>
                <w:sz w:val="17"/>
              </w:rPr>
              <w:t>16,358</w:t>
            </w:r>
          </w:p>
        </w:tc>
        <w:tc>
          <w:tcPr>
            <w:tcW w:type="dxa" w:w="1440"/>
            <w:shd w:fill="C6EFCE" w:val="clear"/>
          </w:tcPr>
          <w:p>
            <w:r>
              <w:rPr>
                <w:sz w:val="17"/>
              </w:rPr>
              <w:t>17,323</w:t>
            </w:r>
          </w:p>
        </w:tc>
        <w:tc>
          <w:tcPr>
            <w:tcW w:type="dxa" w:w="1440"/>
            <w:shd w:fill="C6EFCE" w:val="clear"/>
          </w:tcPr>
          <w:p>
            <w:r>
              <w:rPr>
                <w:b/>
                <w:color w:val="008000"/>
                <w:sz w:val="17"/>
              </w:rPr>
              <w:t>+2.2%</w:t>
            </w:r>
          </w:p>
        </w:tc>
      </w:tr>
      <w:tr>
        <w:tc>
          <w:tcPr>
            <w:tcW w:type="dxa" w:w="1440"/>
            <w:shd w:fill="C6EFCE" w:val="clear"/>
          </w:tcPr>
          <w:p>
            <w:r>
              <w:rPr>
                <w:sz w:val="17"/>
              </w:rPr>
              <w:t>J+7  Moyenne</w:t>
            </w:r>
          </w:p>
        </w:tc>
        <w:tc>
          <w:tcPr>
            <w:tcW w:type="dxa" w:w="1440"/>
            <w:shd w:fill="C6EFCE" w:val="clear"/>
          </w:tcPr>
          <w:p>
            <w:r>
              <w:rPr>
                <w:sz w:val="17"/>
              </w:rPr>
              <w:t>2026-10-26</w:t>
            </w:r>
          </w:p>
        </w:tc>
        <w:tc>
          <w:tcPr>
            <w:tcW w:type="dxa" w:w="1440"/>
            <w:shd w:fill="C6EFCE" w:val="clear"/>
          </w:tcPr>
          <w:p>
            <w:r>
              <w:rPr>
                <w:sz w:val="17"/>
              </w:rPr>
              <w:t>15,335</w:t>
            </w:r>
          </w:p>
        </w:tc>
        <w:tc>
          <w:tcPr>
            <w:tcW w:type="dxa" w:w="1440"/>
            <w:shd w:fill="C6EFCE" w:val="clear"/>
          </w:tcPr>
          <w:p>
            <w:r>
              <w:rPr>
                <w:b/>
                <w:sz w:val="17"/>
              </w:rPr>
              <w:t>16,379</w:t>
            </w:r>
          </w:p>
        </w:tc>
        <w:tc>
          <w:tcPr>
            <w:tcW w:type="dxa" w:w="1440"/>
            <w:shd w:fill="C6EFCE" w:val="clear"/>
          </w:tcPr>
          <w:p>
            <w:r>
              <w:rPr>
                <w:sz w:val="17"/>
              </w:rPr>
              <w:t>17,423</w:t>
            </w:r>
          </w:p>
        </w:tc>
        <w:tc>
          <w:tcPr>
            <w:tcW w:type="dxa" w:w="1440"/>
            <w:shd w:fill="C6EFCE" w:val="clear"/>
          </w:tcPr>
          <w:p>
            <w:r>
              <w:rPr>
                <w:b/>
                <w:color w:val="008000"/>
                <w:sz w:val="17"/>
              </w:rPr>
              <w:t>+2.4%</w:t>
            </w:r>
          </w:p>
        </w:tc>
      </w:tr>
      <w:tr>
        <w:tc>
          <w:tcPr>
            <w:tcW w:type="dxa" w:w="1440"/>
            <w:shd w:fill="C6EFCE" w:val="clear"/>
          </w:tcPr>
          <w:p>
            <w:r>
              <w:rPr>
                <w:sz w:val="17"/>
              </w:rPr>
              <w:t>J+8  Moyenne</w:t>
            </w:r>
          </w:p>
        </w:tc>
        <w:tc>
          <w:tcPr>
            <w:tcW w:type="dxa" w:w="1440"/>
            <w:shd w:fill="C6EFCE" w:val="clear"/>
          </w:tcPr>
          <w:p>
            <w:r>
              <w:rPr>
                <w:sz w:val="17"/>
              </w:rPr>
              <w:t>2026-10-27</w:t>
            </w:r>
          </w:p>
        </w:tc>
        <w:tc>
          <w:tcPr>
            <w:tcW w:type="dxa" w:w="1440"/>
            <w:shd w:fill="C6EFCE" w:val="clear"/>
          </w:tcPr>
          <w:p>
            <w:r>
              <w:rPr>
                <w:sz w:val="17"/>
              </w:rPr>
              <w:t>15,283</w:t>
            </w:r>
          </w:p>
        </w:tc>
        <w:tc>
          <w:tcPr>
            <w:tcW w:type="dxa" w:w="1440"/>
            <w:shd w:fill="C6EFCE" w:val="clear"/>
          </w:tcPr>
          <w:p>
            <w:r>
              <w:rPr>
                <w:b/>
                <w:sz w:val="17"/>
              </w:rPr>
              <w:t>16,400</w:t>
            </w:r>
          </w:p>
        </w:tc>
        <w:tc>
          <w:tcPr>
            <w:tcW w:type="dxa" w:w="1440"/>
            <w:shd w:fill="C6EFCE" w:val="clear"/>
          </w:tcPr>
          <w:p>
            <w:r>
              <w:rPr>
                <w:sz w:val="17"/>
              </w:rPr>
              <w:t>17,518</w:t>
            </w:r>
          </w:p>
        </w:tc>
        <w:tc>
          <w:tcPr>
            <w:tcW w:type="dxa" w:w="1440"/>
            <w:shd w:fill="C6EFCE" w:val="clear"/>
          </w:tcPr>
          <w:p>
            <w:r>
              <w:rPr>
                <w:b/>
                <w:color w:val="008000"/>
                <w:sz w:val="17"/>
              </w:rPr>
              <w:t>+2.5%</w:t>
            </w:r>
          </w:p>
        </w:tc>
      </w:tr>
      <w:tr>
        <w:tc>
          <w:tcPr>
            <w:tcW w:type="dxa" w:w="1440"/>
            <w:shd w:fill="C6EFCE" w:val="clear"/>
          </w:tcPr>
          <w:p>
            <w:r>
              <w:rPr>
                <w:sz w:val="17"/>
              </w:rPr>
              <w:t>J+9  Moyenne</w:t>
            </w:r>
          </w:p>
        </w:tc>
        <w:tc>
          <w:tcPr>
            <w:tcW w:type="dxa" w:w="1440"/>
            <w:shd w:fill="C6EFCE" w:val="clear"/>
          </w:tcPr>
          <w:p>
            <w:r>
              <w:rPr>
                <w:sz w:val="17"/>
              </w:rPr>
              <w:t>2026-10-28</w:t>
            </w:r>
          </w:p>
        </w:tc>
        <w:tc>
          <w:tcPr>
            <w:tcW w:type="dxa" w:w="1440"/>
            <w:shd w:fill="C6EFCE" w:val="clear"/>
          </w:tcPr>
          <w:p>
            <w:r>
              <w:rPr>
                <w:sz w:val="17"/>
              </w:rPr>
              <w:t>15,235</w:t>
            </w:r>
          </w:p>
        </w:tc>
        <w:tc>
          <w:tcPr>
            <w:tcW w:type="dxa" w:w="1440"/>
            <w:shd w:fill="C6EFCE" w:val="clear"/>
          </w:tcPr>
          <w:p>
            <w:r>
              <w:rPr>
                <w:b/>
                <w:sz w:val="17"/>
              </w:rPr>
              <w:t>16,421</w:t>
            </w:r>
          </w:p>
        </w:tc>
        <w:tc>
          <w:tcPr>
            <w:tcW w:type="dxa" w:w="1440"/>
            <w:shd w:fill="C6EFCE" w:val="clear"/>
          </w:tcPr>
          <w:p>
            <w:r>
              <w:rPr>
                <w:sz w:val="17"/>
              </w:rPr>
              <w:t>17,608</w:t>
            </w:r>
          </w:p>
        </w:tc>
        <w:tc>
          <w:tcPr>
            <w:tcW w:type="dxa" w:w="1440"/>
            <w:shd w:fill="C6EFCE" w:val="clear"/>
          </w:tcPr>
          <w:p>
            <w:r>
              <w:rPr>
                <w:b/>
                <w:color w:val="008000"/>
                <w:sz w:val="17"/>
              </w:rPr>
              <w:t>+2.6%</w:t>
            </w:r>
          </w:p>
        </w:tc>
      </w:tr>
      <w:tr>
        <w:tc>
          <w:tcPr>
            <w:tcW w:type="dxa" w:w="1440"/>
            <w:shd w:fill="C6EFCE" w:val="clear"/>
          </w:tcPr>
          <w:p>
            <w:r>
              <w:rPr>
                <w:sz w:val="17"/>
              </w:rPr>
              <w:t>J+10  Moyenne</w:t>
            </w:r>
          </w:p>
        </w:tc>
        <w:tc>
          <w:tcPr>
            <w:tcW w:type="dxa" w:w="1440"/>
            <w:shd w:fill="C6EFCE" w:val="clear"/>
          </w:tcPr>
          <w:p>
            <w:r>
              <w:rPr>
                <w:sz w:val="17"/>
              </w:rPr>
              <w:t>2026-10-29</w:t>
            </w:r>
          </w:p>
        </w:tc>
        <w:tc>
          <w:tcPr>
            <w:tcW w:type="dxa" w:w="1440"/>
            <w:shd w:fill="C6EFCE" w:val="clear"/>
          </w:tcPr>
          <w:p>
            <w:r>
              <w:rPr>
                <w:sz w:val="17"/>
              </w:rPr>
              <w:t>15,190</w:t>
            </w:r>
          </w:p>
        </w:tc>
        <w:tc>
          <w:tcPr>
            <w:tcW w:type="dxa" w:w="1440"/>
            <w:shd w:fill="C6EFCE" w:val="clear"/>
          </w:tcPr>
          <w:p>
            <w:r>
              <w:rPr>
                <w:b/>
                <w:sz w:val="17"/>
              </w:rPr>
              <w:t>16,442</w:t>
            </w:r>
          </w:p>
        </w:tc>
        <w:tc>
          <w:tcPr>
            <w:tcW w:type="dxa" w:w="1440"/>
            <w:shd w:fill="C6EFCE" w:val="clear"/>
          </w:tcPr>
          <w:p>
            <w:r>
              <w:rPr>
                <w:sz w:val="17"/>
              </w:rPr>
              <w:t>17,695</w:t>
            </w:r>
          </w:p>
        </w:tc>
        <w:tc>
          <w:tcPr>
            <w:tcW w:type="dxa" w:w="1440"/>
            <w:shd w:fill="C6EFCE" w:val="clear"/>
          </w:tcPr>
          <w:p>
            <w:r>
              <w:rPr>
                <w:b/>
                <w:color w:val="008000"/>
                <w:sz w:val="17"/>
              </w:rPr>
              <w:t>+2.8%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82.987 Mds FCFA</w:t>
            </w:r>
          </w:p>
        </w:tc>
        <w:tc>
          <w:tcPr>
            <w:tcW w:type="dxa" w:w="5669"/>
            <w:shd w:fill="FFFFFF" w:val="clear"/>
          </w:tcPr>
          <w:p>
            <w:r>
              <w:rPr>
                <w:color w:val="282828"/>
                <w:sz w:val="15"/>
              </w:rPr>
              <w:t>Représente 4.0%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625.317 Mds FCFA</w:t>
            </w:r>
          </w:p>
        </w:tc>
        <w:tc>
          <w:tcPr>
            <w:tcW w:type="dxa" w:w="5669"/>
            <w:shd w:fill="FFFFFF" w:val="clear"/>
          </w:tcPr>
          <w:p>
            <w:r>
              <w:rPr>
                <w:color w:val="282828"/>
                <w:sz w:val="15"/>
              </w:rPr>
              <w:t>Titres d'État détenus (30.4%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79.503 Mds FCFA</w:t>
            </w:r>
          </w:p>
        </w:tc>
        <w:tc>
          <w:tcPr>
            <w:tcW w:type="dxa" w:w="5669"/>
            <w:shd w:fill="FFFFFF" w:val="clear"/>
          </w:tcPr>
          <w:p>
            <w:r>
              <w:rPr>
                <w:color w:val="282828"/>
                <w:sz w:val="15"/>
              </w:rPr>
              <w:t>Prêts aux autres banques (3.9%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1050.803 Mds FCFA</w:t>
            </w:r>
          </w:p>
        </w:tc>
        <w:tc>
          <w:tcPr>
            <w:tcW w:type="dxa" w:w="5669"/>
            <w:shd w:fill="FFFFFF" w:val="clear"/>
          </w:tcPr>
          <w:p>
            <w:r>
              <w:rPr>
                <w:color w:val="282828"/>
                <w:sz w:val="15"/>
              </w:rPr>
              <w:t>Portefeuille crédits (51.1%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695.00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28.902 Mds FCFA</w:t>
            </w:r>
          </w:p>
        </w:tc>
        <w:tc>
          <w:tcPr>
            <w:tcW w:type="dxa" w:w="5669"/>
            <w:shd w:fill="FFFFFF" w:val="clear"/>
          </w:tcPr>
          <w:p>
            <w:r>
              <w:rPr>
                <w:color w:val="282828"/>
                <w:sz w:val="15"/>
              </w:rPr>
              <w:t>Outil industriel (1.4%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2054.491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27.525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63.776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218.573 Mds FCFA</w:t>
            </w:r>
          </w:p>
        </w:tc>
        <w:tc>
          <w:tcPr>
            <w:tcW w:type="dxa" w:w="5669"/>
            <w:shd w:fill="FFFFFF" w:val="clear"/>
          </w:tcPr>
          <w:p>
            <w:r>
              <w:rPr>
                <w:color w:val="282828"/>
                <w:sz w:val="15"/>
              </w:rPr>
              <w:t>Fonds propres = 10.6%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218.573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141.670 Mds FCFA</w:t>
            </w:r>
          </w:p>
        </w:tc>
        <w:tc>
          <w:tcPr>
            <w:tcW w:type="dxa" w:w="5669"/>
            <w:shd w:fill="FFFFFF" w:val="clear"/>
          </w:tcPr>
          <w:p>
            <w:r>
              <w:rPr>
                <w:color w:val="282828"/>
                <w:sz w:val="15"/>
              </w:rPr>
              <w:t>Refinancement interbancaire (6.9%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1626.223 Mds FCFA</w:t>
            </w:r>
          </w:p>
        </w:tc>
        <w:tc>
          <w:tcPr>
            <w:tcW w:type="dxa" w:w="5669"/>
            <w:shd w:fill="FFFFFF" w:val="clear"/>
          </w:tcPr>
          <w:p>
            <w:r>
              <w:rPr>
                <w:color w:val="282828"/>
                <w:sz w:val="15"/>
              </w:rPr>
              <w:t>Dépôts clients = 79.2%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10.522 Mds FCFA</w:t>
            </w:r>
          </w:p>
        </w:tc>
        <w:tc>
          <w:tcPr>
            <w:tcW w:type="dxa" w:w="5669"/>
            <w:shd w:fill="FFFFFF" w:val="clear"/>
          </w:tcPr>
          <w:p>
            <w:r>
              <w:rPr>
                <w:color w:val="282828"/>
                <w:sz w:val="15"/>
              </w:rPr>
              <w:t>Dette LT/MT = 5%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152.192 Mds FCFA</w:t>
            </w:r>
          </w:p>
        </w:tc>
        <w:tc>
          <w:tcPr>
            <w:tcW w:type="dxa" w:w="5669"/>
            <w:shd w:fill="FFFFFF" w:val="clear"/>
          </w:tcPr>
          <w:p>
            <w:r>
              <w:rPr>
                <w:color w:val="282828"/>
                <w:sz w:val="15"/>
              </w:rPr>
              <w:t>Dette financière totale = 70%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1835.918 Mds FCFA</w:t>
            </w:r>
          </w:p>
        </w:tc>
        <w:tc>
          <w:tcPr>
            <w:tcW w:type="dxa" w:w="5669"/>
            <w:shd w:fill="FFFFFF" w:val="clear"/>
          </w:tcPr>
          <w:p>
            <w:r>
              <w:rPr>
                <w:color w:val="282828"/>
                <w:sz w:val="15"/>
              </w:rPr>
              <w:t>Dettes totales = 89.4%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132.725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132.725 Mds FCFA</w:t>
            </w:r>
          </w:p>
        </w:tc>
        <w:tc>
          <w:tcPr>
            <w:tcW w:type="dxa" w:w="5669"/>
            <w:shd w:fill="FFFFFF" w:val="clear"/>
          </w:tcPr>
          <w:p>
            <w:r>
              <w:rPr>
                <w:color w:val="282828"/>
                <w:sz w:val="15"/>
              </w:rPr>
              <w:t>Revenu bancaire central (≡ CA). Croissance: 8.5%.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111.337 Mds FCFA</w:t>
            </w:r>
          </w:p>
        </w:tc>
        <w:tc>
          <w:tcPr>
            <w:tcW w:type="dxa" w:w="5669"/>
            <w:shd w:fill="FFFFFF" w:val="clear"/>
          </w:tcPr>
          <w:p>
            <w:r>
              <w:rPr>
                <w:color w:val="282828"/>
                <w:sz w:val="15"/>
              </w:rPr>
              <w:t>Revenus d'intérêts sur crédits (84%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-23.290 Mds FCFA</w:t>
            </w:r>
          </w:p>
        </w:tc>
        <w:tc>
          <w:tcPr>
            <w:tcW w:type="dxa" w:w="5669"/>
            <w:shd w:fill="FFFFFF" w:val="clear"/>
          </w:tcPr>
          <w:p>
            <w:r>
              <w:rPr>
                <w:color w:val="282828"/>
                <w:sz w:val="15"/>
              </w:rPr>
              <w:t>Coût des dépôts collectés (-18%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32.366 Mds FCFA</w:t>
            </w:r>
          </w:p>
        </w:tc>
        <w:tc>
          <w:tcPr>
            <w:tcW w:type="dxa" w:w="5669"/>
            <w:shd w:fill="FFFFFF" w:val="clear"/>
          </w:tcPr>
          <w:p>
            <w:r>
              <w:rPr>
                <w:color w:val="282828"/>
                <w:sz w:val="15"/>
              </w:rPr>
              <w:t>Revenus de commissions (24.4%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53.746 Mds FCFA</w:t>
            </w:r>
          </w:p>
        </w:tc>
        <w:tc>
          <w:tcPr>
            <w:tcW w:type="dxa" w:w="5669"/>
            <w:shd w:fill="FFFFFF" w:val="clear"/>
          </w:tcPr>
          <w:p>
            <w:r>
              <w:rPr>
                <w:color w:val="282828"/>
                <w:sz w:val="15"/>
              </w:rPr>
              <w:t>40.5%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3.185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75.794 Mds FCFA</w:t>
            </w:r>
          </w:p>
        </w:tc>
        <w:tc>
          <w:tcPr>
            <w:tcW w:type="dxa" w:w="5669"/>
            <w:shd w:fill="FFFFFF" w:val="clear"/>
          </w:tcPr>
          <w:p>
            <w:r>
              <w:rPr>
                <w:color w:val="282828"/>
                <w:sz w:val="15"/>
              </w:rPr>
              <w:t>RBE = 57.1%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73.995 Mds FCFA</w:t>
            </w:r>
          </w:p>
        </w:tc>
        <w:tc>
          <w:tcPr>
            <w:tcW w:type="dxa" w:w="5669"/>
            <w:shd w:fill="FFFFFF" w:val="clear"/>
          </w:tcPr>
          <w:p>
            <w:r>
              <w:rPr>
                <w:color w:val="282828"/>
                <w:sz w:val="15"/>
              </w:rPr>
              <w:t>Profit d'exploitation = 55.8%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-1.799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63.482 Mds FCFA</w:t>
            </w:r>
          </w:p>
        </w:tc>
        <w:tc>
          <w:tcPr>
            <w:tcW w:type="dxa" w:w="5669"/>
            <w:shd w:fill="FFFFFF" w:val="clear"/>
          </w:tcPr>
          <w:p>
            <w:r>
              <w:rPr>
                <w:color w:val="282828"/>
                <w:sz w:val="15"/>
              </w:rPr>
              <w:t>Marge nette = 47.8%.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57.11%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47.83%</w:t>
            </w:r>
          </w:p>
        </w:tc>
        <w:tc>
          <w:tcPr>
            <w:tcW w:type="dxa" w:w="5669"/>
            <w:shd w:fill="FFFFFF" w:val="clear"/>
          </w:tcPr>
          <w:p>
            <w:r>
              <w:rPr>
                <w:color w:val="282828"/>
                <w:sz w:val="15"/>
              </w:rPr>
              <w:t>Résultat net / revenus = 47.83%.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55.75%</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29.04%</w:t>
            </w:r>
          </w:p>
        </w:tc>
        <w:tc>
          <w:tcPr>
            <w:tcW w:type="dxa" w:w="5669"/>
            <w:shd w:fill="FFFFFF" w:val="clear"/>
          </w:tcPr>
          <w:p>
            <w:r>
              <w:rPr>
                <w:color w:val="282828"/>
                <w:sz w:val="15"/>
              </w:rPr>
              <w:t>Résultat net / capitaux propres = 29.04%.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3.09%</w:t>
            </w:r>
          </w:p>
        </w:tc>
        <w:tc>
          <w:tcPr>
            <w:tcW w:type="dxa" w:w="5669"/>
            <w:shd w:fill="FFFFFF" w:val="clear"/>
          </w:tcPr>
          <w:p>
            <w:r>
              <w:rPr>
                <w:color w:val="282828"/>
                <w:sz w:val="15"/>
              </w:rPr>
              <w:t>Résultat net / total actif = 3.09%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6.46%</w:t>
            </w:r>
          </w:p>
        </w:tc>
        <w:tc>
          <w:tcPr>
            <w:tcW w:type="dxa" w:w="5669"/>
            <w:shd w:fill="FFFFFF" w:val="clear"/>
          </w:tcPr>
          <w:p>
            <w:r>
              <w:rPr>
                <w:color w:val="282828"/>
                <w:sz w:val="15"/>
              </w:rPr>
              <w:t>CA / total actif = 6.46x.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42.89%</w:t>
            </w:r>
          </w:p>
        </w:tc>
        <w:tc>
          <w:tcPr>
            <w:tcW w:type="dxa" w:w="5669"/>
            <w:shd w:fill="FFFFFF" w:val="clear"/>
          </w:tcPr>
          <w:p>
            <w:r>
              <w:rPr>
                <w:color w:val="282828"/>
                <w:sz w:val="15"/>
              </w:rPr>
              <w:t>Charges / PNB = 42.89% (cost-to-income). ✅ Excellent — banque très efficiente.</w:t>
            </w:r>
          </w:p>
        </w:tc>
      </w:tr>
      <w:tr>
        <w:tc>
          <w:tcPr>
            <w:tcW w:type="dxa" w:w="2268"/>
            <w:shd w:fill="EEF2F7" w:val="clear"/>
          </w:tcPr>
          <w:p>
            <w:r>
              <w:rPr>
                <w:b/>
                <w:color w:val="1E1E3C"/>
                <w:sz w:val="16"/>
              </w:rPr>
              <w:t>Coût du risque</w:t>
            </w:r>
          </w:p>
        </w:tc>
        <w:tc>
          <w:tcPr>
            <w:tcW w:type="dxa" w:w="1984"/>
            <w:shd w:fill="FFEB9C" w:val="clear"/>
          </w:tcPr>
          <w:p>
            <w:r>
              <w:rPr>
                <w:b/>
                <w:color w:val="006400"/>
                <w:sz w:val="17"/>
              </w:rPr>
              <w:t>1.36%</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8.51%</w:t>
            </w:r>
          </w:p>
        </w:tc>
        <w:tc>
          <w:tcPr>
            <w:tcW w:type="dxa" w:w="5669"/>
            <w:shd w:fill="FFFFFF" w:val="clear"/>
          </w:tcPr>
          <w:p>
            <w:r>
              <w:rPr>
                <w:color w:val="282828"/>
                <w:sz w:val="15"/>
              </w:rPr>
              <w:t>Croissance PNB vs exercice précédent = 8.51%.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10.64%</w:t>
            </w:r>
          </w:p>
        </w:tc>
        <w:tc>
          <w:tcPr>
            <w:tcW w:type="dxa" w:w="5669"/>
            <w:shd w:fill="FFFFFF" w:val="clear"/>
          </w:tcPr>
          <w:p>
            <w:r>
              <w:rPr>
                <w:color w:val="282828"/>
                <w:sz w:val="15"/>
              </w:rPr>
              <w:t>Fonds propres / total bilan = 10.64%.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89.36%</w:t>
            </w:r>
          </w:p>
        </w:tc>
        <w:tc>
          <w:tcPr>
            <w:tcW w:type="dxa" w:w="5669"/>
            <w:shd w:fill="FFFFFF" w:val="clear"/>
          </w:tcPr>
          <w:p>
            <w:r>
              <w:rPr>
                <w:color w:val="282828"/>
                <w:sz w:val="15"/>
              </w:rPr>
              <w:t>Dettes financières / total bilan = 89.36%.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69.63%</w:t>
            </w:r>
          </w:p>
        </w:tc>
        <w:tc>
          <w:tcPr>
            <w:tcW w:type="dxa" w:w="5669"/>
            <w:shd w:fill="FFFFFF" w:val="clear"/>
          </w:tcPr>
          <w:p>
            <w:r>
              <w:rPr>
                <w:color w:val="282828"/>
                <w:sz w:val="15"/>
              </w:rPr>
              <w:t>Dettes totales / fonds propres = 69.63%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111.91%</w:t>
            </w:r>
          </w:p>
        </w:tc>
        <w:tc>
          <w:tcPr>
            <w:tcW w:type="dxa" w:w="5669"/>
            <w:shd w:fill="FFFFFF" w:val="clear"/>
          </w:tcPr>
          <w:p>
            <w:r>
              <w:rPr>
                <w:color w:val="282828"/>
                <w:sz w:val="15"/>
              </w:rPr>
              <w:t>Total actif / dettes totales = 111.91x. ✅ Solvable.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317.71%</w:t>
            </w:r>
          </w:p>
        </w:tc>
        <w:tc>
          <w:tcPr>
            <w:tcW w:type="dxa" w:w="5669"/>
            <w:shd w:fill="FFFFFF" w:val="clear"/>
          </w:tcPr>
          <w:p>
            <w:r>
              <w:rPr>
                <w:color w:val="282828"/>
                <w:sz w:val="15"/>
              </w:rPr>
              <w:t>Résultat exploit. / charges financières = 317.71x. ✅ Excellente couverture des intérêts.</w:t>
            </w:r>
          </w:p>
        </w:tc>
      </w:tr>
    </w:tbl>
    <w:p/>
    <w:p>
      <w:pPr>
        <w:spacing w:after="120" w:line="276" w:lineRule="auto"/>
      </w:pPr>
      <w:r>
        <w:t># RAPPORT D'ANALYSE FINANCIÈRE — ECOBANK CÔTE D'IVOIRE (ECOC)</w:t>
        <w:br/>
        <w:t>**Bourse Régionale des Valeurs Mobilières (BRVM) — Secteur Bancaire**</w:t>
        <w:br/>
        <w:t>*Date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Ecobank Côte d'Ivoire affiche une capitalisation boursière de **880,81 milliards FCFA**, ce qui en fait l'une des plus importantes capitalisations de la BRVM, reflétant son statut de banque systémique de premier plan dans l'UEMOA. Avec un **BPA de 1 153 FCFA/action**, chaque titre génère un bénéfice substantiel, et le **PER de 13,9x** situe le titre légèrement au-dessus de la moyenne du marché BRVM (8-12x), traduisant une valorisation modérée mais non excessive au regard de la qualité des bénéfices. Le **P/B de 4,03x** indique que le marché valorise la banque à plus de quatre fois sa valeur comptable, soit une prime significative qui reflète la confiance des investisseurs dans la rentabilité structurelle élevée de l'établissement (ROE ~29%). Enfin, l'**EV/EBITDA de 13,6x** confirme cette appréciation exigeante, la valeur d'entreprise intégrant la capacité opérationnelle de la banque à générer des profits récurrents. Globalement, ces ratios dessinent un profil de valeur « qualité » — plus cher que la moyenne du marché, mais justifié par des fondamentaux solides.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cours d'ECOC a enregistré une **variation totale de -1,84%**, clôturant à **16 000 FCFA** après un rebond de **+0,60%** lors de la dernière séance (J-1). Le titre a évolué dans un couloir relativement étroit, entre un plus haut de **17 725 FCFA** et un plus bas de **15 715 FCFA**, soit un range de trading d'environ 12,8% — signe d'une tendance globalement stable avec une légère pression baissière en fin de période. Les statistiques descriptives révèlent une **moyenne de 16 592 FCFA** et une **médiane de 16 620 FCFA**, très proches l'une de l'autre, confirmant une distribution symétrique du cours (skewness de 0,200) sans biais directionnel marqué. L'**écart-type de 446 FCFA** avec un **coefficient de variation de 2,7%** indique une dispersion très faible du cours autour de sa moyenne, caractéristique d'un titre peu agité. Le **kurtosis de -0,333** (mésokurtique) suggère une distribution proche de la normale, sans risque de pics extrêmes prononcés. La **volatilité annualisée de 25,3%** classe ECOC dans la catégorie des titres à volatilité modérée (15-30%), ce qui est cohérent avec son statut de valeur bancaire de qualité sur un marché frontière.</w:t>
      </w:r>
    </w:p>
    <w:p>
      <w:pPr>
        <w:spacing w:after="120" w:line="276" w:lineRule="auto"/>
      </w:pPr>
      <w:r>
        <w:t>---</w:t>
      </w:r>
    </w:p>
    <w:p>
      <w:pPr>
        <w:spacing w:after="120" w:line="276" w:lineRule="auto"/>
      </w:pPr>
      <w:r>
        <w:t>## PARTIE 2 : ANALYSE TECHNIQUE DÉTAILLÉE</w:t>
      </w:r>
    </w:p>
    <w:p>
      <w:pPr>
        <w:spacing w:after="120" w:line="276" w:lineRule="auto"/>
      </w:pPr>
      <w:r>
        <w:t>**Moyennes Mobiles** : La MM20 (16 716,25 FCFA) et la MM50 (16 739,10 FCFA) se situent toutes deux au-dessus du cours actuel (16 000 FCFA), avec un croisement baissier confirmé (MM20 &lt; MM50). Cette configuration signale une pression vendeuse persistante et justifie la décision technique de **Vente** émise par cet indicateur.</w:t>
      </w:r>
    </w:p>
    <w:p>
      <w:pPr>
        <w:spacing w:after="120" w:line="276" w:lineRule="auto"/>
      </w:pPr>
      <w:r>
        <w:t>**Bandes de Bollinger** : Le cours actuel (16 000 FCFA) se situe en dessous de la borne inférieure (16 046,36 FCFA), ce qui constitue un signal de **survente** et justifie la décision d'**Achat** par retour à la moyenne. La largeur des bandes (borne supérieure à 17 386,14 FCFA) reflète une volatilité modérée, cohérente avec le CV de 2,7%.</w:t>
      </w:r>
    </w:p>
    <w:p>
      <w:pPr>
        <w:spacing w:after="120" w:line="276" w:lineRule="auto"/>
      </w:pPr>
      <w:r>
        <w:t>**MACD** : La valeur du MACD (-187,69) est nettement inférieure à son signal (-81,66), confirmant un momentum baissier toujours actif. La divergence négative persistante entre les deux lignes justifie la décision de **Vente**, bien que l'écart commence à se réduire, suggérant un possible essoufflement de la tendance baissière.</w:t>
      </w:r>
    </w:p>
    <w:p>
      <w:pPr>
        <w:spacing w:after="120" w:line="276" w:lineRule="auto"/>
      </w:pPr>
      <w:r>
        <w:t>**RSI** : À **34,04**, le RSI se situe dans la zone neutre basse, proche du seuil de survente (30), sans y être encore. Cette position justifie la décision **Neutre** — le titre n'est ni suracheté ni techniquement survendu, mais la proximité du seuil de 30 appelle à la vigilance pour un éventuel rebond.</w:t>
      </w:r>
    </w:p>
    <w:p>
      <w:pPr>
        <w:spacing w:after="120" w:line="276" w:lineRule="auto"/>
      </w:pPr>
      <w:r>
        <w:t>**Stochastique** : Avec un **%K de 8,68** et un **%D de 2,89**, les deux lignes évoluent en zone de survente extrême (&lt;20), et le %K est au-dessus du %D, signalant un croisement haussier naissant. Cette configuration justifie la décision d'**Achat** par anticipation d'un rebond technique.</w:t>
      </w:r>
    </w:p>
    <w:p>
      <w:pPr>
        <w:spacing w:after="120" w:line="276" w:lineRule="auto"/>
      </w:pPr>
      <w:r>
        <w:t>**Conclusion technique** : Les indicateurs présentent une **divergence notable** : les moyennes mobiles et le MACD restent baissiers, tandis que les Bandes de Bollinger et le Stochastique génèrent des signaux d'achat en zone de survente. Le RSI neutre confirme l'absence de direction claire. Cette configuration suggère un **potentiel de rebond technique à court terme**, mais la prudence reste de mise tant que le cours n'aura pas reconquis la MM20 (16 716 FCFA) pour confirmer un retournement de tendance.</w:t>
      </w:r>
    </w:p>
    <w:p>
      <w:pPr>
        <w:spacing w:after="120" w:line="276" w:lineRule="auto"/>
      </w:pPr>
      <w:r>
        <w:t>---</w:t>
      </w:r>
    </w:p>
    <w:p>
      <w:pPr>
        <w:spacing w:after="120" w:line="276" w:lineRule="auto"/>
      </w:pPr>
      <w:r>
        <w:t>## PARTIE 3 : ANALYSE FONDAMENTALE</w:t>
      </w:r>
    </w:p>
    <w:p>
      <w:pPr>
        <w:spacing w:after="120" w:line="276" w:lineRule="auto"/>
      </w:pPr>
      <w:r>
        <w:t>**Données structurées (exercice 2025)** : Ecobank Côte d'Ivoire affiche un **Produit Net Bancaire (PNB) de 132,725 milliards FCFA** en 2025, en croissance de **+8,51%** par rapport à 2024 (122,3 Mds FCFA selon le rapport annuel 2024), porté par une marge nette d'intérêts de 111,337 Mds FCFA (+14,5% au S1 2026). Le **résultat net s'établit à 63,482 milliards FCFA**, générant un **ROE exceptionnel de 29,04%** (largement supérieur au seuil de 15% considéré comme excellent) et un **ROA de 3,09%**, confirmant la rentabilité structurelle élevée de la banque. Le **coefficient d'exploitation de 42,89%** (bien inférieur au seuil de 60%) témoigne d'une efficacité opérationnelle remarquable, tandis que le **coût du risque de 1,36%** reste modéré, bien qu'en hausse au S1 2026 (5,197 Mds FCFA, ×7,4). La structure financière montre une **autonomie financière de 10,64%** (faible mais normale pour une banque) et un **ratio de solvabilité de 19,3%** (S1 2025), très au-dessus de l'exigence BCEAO de 11,5%. Le **ratio prêts/dépôts de 56,3%** indique une capacité de déploiement du crédit importante, avec des dépôts clientèle de 1 754,7 Mds FCFA (+15,1% au S1 2026).</w:t>
      </w:r>
    </w:p>
    <w:p>
      <w:pPr>
        <w:spacing w:after="120" w:line="276" w:lineRule="auto"/>
      </w:pPr>
      <w:r>
        <w:t>**Estimations basées sur les rapports trimestriels** : Le rapport S1 2026 (publié le 26 août 2026) révèle un **PNB de 64,078 Mds FCFA (+2,0%)** et un **résultat net de 26,408 Mds FCFA (-8,6%)**, pénalisé par le coût du risque. Le rapport T1 2026 (avril 2026) confirme cette tendance avec un PNB de 30,8 Mds FCFA (+3,7%) et un résultat net de 13,0 Mds FCFA (-1,6%). Sur la base de ces données, on estime que **l'exercice 2026 devrait afficher un PNB autour de 135-138 Mds FCFA** (croissance modérée de 2-4%) et un **résultat net de 58-62 Mds FCFA** (léger recul de 2-8% par rapport à 2025), sous l'effet de la normalisation du coût du risque. Le **dividende proposé de 888 FCFA/action** (AG du 28 avril 2026) offre un **rendement de 5,55%** au cours actuel de 16 000 FCFA, avec un taux de distribution de 77% — une politique généreuse mais soutenable.</w:t>
      </w:r>
    </w:p>
    <w:p>
      <w:pPr>
        <w:spacing w:after="120" w:line="276" w:lineRule="auto"/>
      </w:pPr>
      <w:r>
        <w:t>**Recommandation fondamentale** : La banque présente une **solidité financière exceptionnelle** (ROE 29%, coefficient d'exploitation 43%, solvabilité 19,3%) et une **dynamique commerciale robuste** (dépôts +15,1%, PNB +8,5% en 2025). Les risques identifiés — hausse du coût du risque (créances en souffrance +21,5% à 45,3 Mds FCFA), contraction des produits hors intérêts (-25,9%) et incertitudes géopolitiques — sont **conjoncturels et volontairement provisionnés**, non structurels. La recommandation fondamentale est **CONSERVER**, avec un biais positif à moyen terme si le coût du risque se stabilise.</w:t>
      </w:r>
    </w:p>
    <w:p>
      <w:pPr>
        <w:spacing w:after="120" w:line="276" w:lineRule="auto"/>
      </w:pPr>
      <w:r>
        <w:t>---</w:t>
      </w:r>
    </w:p>
    <w:p>
      <w:pPr>
        <w:spacing w:after="120" w:line="276" w:lineRule="auto"/>
      </w:pPr>
      <w:r>
        <w:t>## PARTIE 4 : CONCLUSION D'INVESTISSEMENT</w:t>
      </w:r>
    </w:p>
    <w:p>
      <w:pPr>
        <w:spacing w:after="120" w:line="276" w:lineRule="auto"/>
      </w:pPr>
      <w:r>
        <w:t>La synthèse des quatre parties révèle un **profil d'investissement équilibré avec une légère asymétrie positive**. La **valorisation (Partie 0)** est exigeante (PER 13,9x, P/B 4,03x, EV/EBITDA 13,6x), mais justifiée par un ROE de 29% et une qualité de bénéfices supérieure à la moyenne du marché BRVM. Le **comportement du cours (Partie 1)** est stable (CV 2,7%, kurtosis -0,333, skewness 0,200), sans risque de pics extrêmes, mais la tendance récente est légèrement baissière (-1,84% sur 100 jours). Les **signaux techniques (Partie 2)** sont divergents : baissiers pour les MM et le MACD, haussiers pour les Bollinger et le Stochastique, neutres pour le RSI — configuration typique d'un **potentiel rebond technique** en zone de survente. Les **fondamentaux (Partie 3)** restent solides malgré le recul du résultat net au S1 2026 (-8,6%), avec un dividende attractif (888 FCFA, rendement 5,55%) et une capitalisation de 880,81 Mds FCFA. Les **prédictions IA (J+1 à J+10)** anticipent une **trajectoire haussière modérée** (16 227 FCFA à 16 336 FCFA, soit +1,4% sur 10 jours), confirmant le scénario de rebond technique.</w:t>
      </w:r>
    </w:p>
    <w:p>
      <w:pPr>
        <w:spacing w:after="120" w:line="276" w:lineRule="auto"/>
      </w:pPr>
      <w:r>
        <w:t>**Recommandation finale : CONSERVER** — avec un **biais positif à moyen terme**. La convergence entre la survente technique (Bollinger, Stochastique), la trajectoire haussière des prédictions IA et la solidité fondamentale (ROE 29%, dividende 5,55%) plaide pour un **maintien en portefeuille**, voire un renforcement progressif sur repli vers 15 700-15 800 FCFA. Le niveau de confiance est **Moyen** (divergence technique persistante, visibilité limitée sur le coût du risque), et le niveau de risque global est **Moyen** (volatilité modérée de 25,3%, exposition aux risques pays et sectoriels). L'horizon d'investissement optimal est le **moyen terme (3-12 mois)**, en attendant la confirmation de la stabilisation du coût du risque et la publication des résultats annuels 2026. Un passage à **ACHAT** serait justifié si le cours reconquiert la MM20 (16 716 FCFA) avec un volume soutenu et si le coût du risque se normalise au S2 2026.</w:t>
      </w:r>
    </w:p>
    <w:p>
      <w:pPr>
        <w:spacing w:after="120" w:line="276" w:lineRule="auto"/>
      </w:pPr>
      <w:r>
        <w:t>---</w:t>
      </w:r>
    </w:p>
    <w:p>
      <w:pPr>
        <w:spacing w:after="120" w:line="276" w:lineRule="auto"/>
      </w:pPr>
      <w:r>
        <w:t>*Sources : Données structurées BRVM (exercice 2025), rapports trimestriels ECOC (T1 2026, S1 2026, T3 2025, S1 2025, T1 2025), rapport annuel 2024, avis de convocation AG du 10/04/2026, communiqués ETI (2025-2026). Analyse réalisée le 16 octobre 2026.*</w:t>
      </w:r>
    </w:p>
    <w:p/>
    <w:p/>
    <w:p>
      <w:pPr>
        <w:pStyle w:val="Heading3"/>
      </w:pPr>
      <w:r>
        <w:rPr>
          <w:color w:val="00467F"/>
        </w:rPr>
        <w:t>📎 DOCUMENTS &amp; COMMUNICATIONS OFFICIELS BRVM</w:t>
      </w:r>
    </w:p>
    <w:p>
      <w:r>
        <w:rPr>
          <w:i/>
          <w:color w:val="646464"/>
          <w:sz w:val="18"/>
        </w:rPr>
        <w:t>11 document(s) disponible(s) pour cette société (affichage des 5 plus récents).</w:t>
      </w:r>
    </w:p>
    <w:p>
      <w:pPr>
        <w:spacing w:before="160"/>
      </w:pPr>
      <w:r>
        <w:rPr>
          <w:b/>
          <w:color w:val="0066CC"/>
          <w:sz w:val="20"/>
        </w:rPr>
        <w:t xml:space="preserve">[1] </w:t>
      </w:r>
      <w:r>
        <w:rPr>
          <w:b/>
          <w:sz w:val="20"/>
        </w:rPr>
        <w:t>20260410   avis de convocation   assemblee generale ordinaire   ecobank ci</w:t>
      </w:r>
    </w:p>
    <w:p>
      <w:pPr>
        <w:spacing w:before="20"/>
        <w:ind w:left="400"/>
      </w:pPr>
      <w:r>
        <w:rPr>
          <w:color w:val="505050"/>
          <w:sz w:val="17"/>
        </w:rPr>
        <w:t xml:space="preserve">Date : 10/04/2026  |  Catégorie : convocation AG  |  Impact : </w:t>
      </w:r>
      <w:r>
        <w:rPr>
          <w:b/>
          <w:color w:val="008000"/>
          <w:sz w:val="17"/>
        </w:rPr>
        <w:t>🟢 POSITIF</w:t>
      </w:r>
    </w:p>
    <w:p>
      <w:pPr>
        <w:spacing w:before="40"/>
        <w:ind w:left="400"/>
      </w:pPr>
      <w:r>
        <w:rPr>
          <w:sz w:val="18"/>
        </w:rPr>
        <w:t>Avis de convocation d'Ecobank Côte d'Ivoire pour l'Assemblée Générale Ordinaire du 28 avril 2026. La banque présente un bénéfice net de 63,482 milliards FCFA pour 2025 et propose un dividende de 888 FCFA brut par action. L'ordre du jour comprend l'approbation des comptes,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Bénéfice net 2025 de 63,482 milliards FCFA</w:t>
      </w:r>
    </w:p>
    <w:p>
      <w:pPr>
        <w:pStyle w:val="ListBullet"/>
        <w:spacing w:before="20" w:after="20"/>
        <w:ind w:left="700"/>
      </w:pPr>
      <w:r>
        <w:rPr>
          <w:sz w:val="18"/>
        </w:rPr>
        <w:t>Dividende proposé de 888 FCFA brut par action, soit 781 FCFA net pour les personnes physiques</w:t>
      </w:r>
    </w:p>
    <w:p>
      <w:pPr>
        <w:pStyle w:val="ListBullet"/>
        <w:spacing w:before="20" w:after="20"/>
        <w:ind w:left="700"/>
      </w:pPr>
      <w:r>
        <w:rPr>
          <w:sz w:val="18"/>
        </w:rPr>
        <w:t>Paiement du dividende prévu le 22 mai 2026</w:t>
      </w:r>
    </w:p>
    <w:p>
      <w:pPr>
        <w:pStyle w:val="ListBullet"/>
        <w:spacing w:before="20" w:after="20"/>
        <w:ind w:left="700"/>
      </w:pPr>
      <w:r>
        <w:rPr>
          <w:sz w:val="18"/>
        </w:rPr>
        <w:t>Renouvellement de mandats d'administrateurs et nomination de Monsieur Oumar Sangaré</w:t>
      </w:r>
    </w:p>
    <w:p>
      <w:pPr>
        <w:pStyle w:val="ListBullet"/>
        <w:spacing w:before="20" w:after="20"/>
        <w:ind w:left="700"/>
      </w:pPr>
      <w:r>
        <w:rPr>
          <w:sz w:val="18"/>
        </w:rPr>
        <w:t>Assemblée hybride avec participation possible en présentiel ou par visioconférence</w:t>
      </w:r>
    </w:p>
    <w:p>
      <w:pPr>
        <w:ind w:left="400"/>
      </w:pPr>
      <w:r>
        <w:rPr>
          <w:color w:val="B4B4B4"/>
          <w:sz w:val="14"/>
        </w:rPr>
        <w:t xml:space="preserve">· · · · · · · · · · · · · · · · · · · · · · · · · · · · · · </w:t>
      </w:r>
    </w:p>
    <w:p>
      <w:pPr>
        <w:spacing w:before="160"/>
      </w:pPr>
      <w:r>
        <w:rPr>
          <w:b/>
          <w:color w:val="0066CC"/>
          <w:sz w:val="20"/>
        </w:rPr>
        <w:t xml:space="preserve">[2] </w:t>
      </w:r>
      <w:r>
        <w:rPr>
          <w:b/>
          <w:sz w:val="20"/>
        </w:rPr>
        <w:t>20260722   avis de convocation   assemblee generale extraordinaire   eti tg</w:t>
      </w:r>
    </w:p>
    <w:p>
      <w:pPr>
        <w:spacing w:before="20"/>
        <w:ind w:left="400"/>
      </w:pPr>
      <w:r>
        <w:rPr>
          <w:color w:val="505050"/>
          <w:sz w:val="17"/>
        </w:rPr>
        <w:t xml:space="preserve">Date : 23/07/2026  |  Catégorie : convocation AG  |  Impact : </w:t>
      </w:r>
      <w:r>
        <w:rPr>
          <w:b/>
          <w:color w:val="646464"/>
          <w:sz w:val="17"/>
        </w:rPr>
        <w:t>⚪ NEUTRE</w:t>
      </w:r>
    </w:p>
    <w:p>
      <w:pPr>
        <w:spacing w:before="40"/>
        <w:ind w:left="400"/>
      </w:pPr>
      <w:r>
        <w:rPr>
          <w:sz w:val="18"/>
        </w:rPr>
        <w:t>Ecobank Transnational Incorporated convoque ses actionnaires à une Assemblée Générale Extraordinaire qui se tiendra par visioconférence le 13 août 2026. L'ordre du jour porte sur une modification des statuts de la société. Les actionnaires doivent s'inscrire en ligne et soumettre leurs procurations avant la date limite.</w:t>
      </w:r>
    </w:p>
    <w:p>
      <w:pPr>
        <w:spacing w:before="60"/>
        <w:ind w:left="400"/>
      </w:pPr>
      <w:r>
        <w:rPr>
          <w:b/>
          <w:sz w:val="18"/>
        </w:rPr>
        <w:t>Points clés :</w:t>
      </w:r>
    </w:p>
    <w:p>
      <w:pPr>
        <w:pStyle w:val="ListBullet"/>
        <w:spacing w:before="20" w:after="20"/>
        <w:ind w:left="700"/>
      </w:pPr>
      <w:r>
        <w:rPr>
          <w:sz w:val="18"/>
        </w:rPr>
        <w:t>Convocation à l'Assemblée Générale Extraordinaire d'Ecobank Transnational Incorporated.</w:t>
      </w:r>
    </w:p>
    <w:p>
      <w:pPr>
        <w:pStyle w:val="ListBullet"/>
        <w:spacing w:before="20" w:after="20"/>
        <w:ind w:left="700"/>
      </w:pPr>
      <w:r>
        <w:rPr>
          <w:sz w:val="18"/>
        </w:rPr>
        <w:t>Réunion par visioconférence le jeudi 13 août 2026 à 10h30 GMT.</w:t>
      </w:r>
    </w:p>
    <w:p>
      <w:pPr>
        <w:pStyle w:val="ListBullet"/>
        <w:spacing w:before="20" w:after="20"/>
        <w:ind w:left="700"/>
      </w:pPr>
      <w:r>
        <w:rPr>
          <w:sz w:val="18"/>
        </w:rPr>
        <w:t>Ordre du jour : modification des Statuts.</w:t>
      </w:r>
    </w:p>
    <w:p>
      <w:pPr>
        <w:pStyle w:val="ListBullet"/>
        <w:spacing w:before="20" w:after="20"/>
        <w:ind w:left="700"/>
      </w:pPr>
      <w:r>
        <w:rPr>
          <w:sz w:val="18"/>
        </w:rPr>
        <w:t>Inscription en ligne du 30 juillet au 11 août 2026 sur le site dédié.</w:t>
      </w:r>
    </w:p>
    <w:p>
      <w:pPr>
        <w:pStyle w:val="ListBullet"/>
        <w:spacing w:before="20" w:after="20"/>
        <w:ind w:left="700"/>
      </w:pPr>
      <w:r>
        <w:rPr>
          <w:sz w:val="18"/>
        </w:rPr>
        <w:t>Procurations à envoyer avant le 12 août 2026 par email ou courrier.</w:t>
      </w:r>
    </w:p>
    <w:p>
      <w:pPr>
        <w:ind w:left="400"/>
      </w:pPr>
      <w:r>
        <w:rPr>
          <w:color w:val="B4B4B4"/>
          <w:sz w:val="14"/>
        </w:rPr>
        <w:t xml:space="preserve">· · · · · · · · · · · · · · · · · · · · · · · · · · · · · · </w:t>
      </w:r>
    </w:p>
    <w:p>
      <w:pPr>
        <w:spacing w:before="160"/>
      </w:pPr>
      <w:r>
        <w:rPr>
          <w:b/>
          <w:color w:val="0066CC"/>
          <w:sz w:val="20"/>
        </w:rPr>
        <w:t xml:space="preserve">[3] </w:t>
      </w:r>
      <w:r>
        <w:rPr>
          <w:b/>
          <w:sz w:val="20"/>
        </w:rPr>
        <w:t>20250818   communique de presse   eti tg</w:t>
      </w:r>
    </w:p>
    <w:p>
      <w:pPr>
        <w:spacing w:before="20"/>
        <w:ind w:left="400"/>
      </w:pPr>
      <w:r>
        <w:rPr>
          <w:color w:val="505050"/>
          <w:sz w:val="17"/>
        </w:rPr>
        <w:t xml:space="preserve">Date : 18/08/2025  |  Catégorie : communiqué divers  |  Impact : </w:t>
      </w:r>
      <w:r>
        <w:rPr>
          <w:b/>
          <w:color w:val="008000"/>
          <w:sz w:val="17"/>
        </w:rPr>
        <w:t>🟢 POSITIF</w:t>
      </w:r>
    </w:p>
    <w:p>
      <w:pPr>
        <w:spacing w:before="40"/>
        <w:ind w:left="400"/>
      </w:pPr>
      <w:r>
        <w:rPr>
          <w:sz w:val="18"/>
        </w:rPr>
        <w:t>Bosquet Investments Ltd., véhicule d'investissement d'Alain Nkontchou, acquiert 21,22% du capital d'Ecobank Transnational Incorporated auprès du groupe Nedbank. Cette transaction, soumise à approbation réglementaire, s'inscrit dans la réorientation stratégique de Nedbank vers ses marchés clés d'Afrique australe et orientale. Alain Nkontchou, ancien président du conseil d'ETI, devient ainsi un actionnaire significatif du premier groupe bancaire panafricain privé.</w:t>
      </w:r>
    </w:p>
    <w:p>
      <w:pPr>
        <w:spacing w:before="60"/>
        <w:ind w:left="400"/>
      </w:pPr>
      <w:r>
        <w:rPr>
          <w:b/>
          <w:sz w:val="18"/>
        </w:rPr>
        <w:t>Points clés :</w:t>
      </w:r>
    </w:p>
    <w:p>
      <w:pPr>
        <w:pStyle w:val="ListBullet"/>
        <w:spacing w:before="20" w:after="20"/>
        <w:ind w:left="700"/>
      </w:pPr>
      <w:r>
        <w:rPr>
          <w:sz w:val="18"/>
        </w:rPr>
        <w:t>Acquisition de 21,22% du capital d'ETI par Bosquet Investments Ltd. auprès de Nedbank</w:t>
      </w:r>
    </w:p>
    <w:p>
      <w:pPr>
        <w:pStyle w:val="ListBullet"/>
        <w:spacing w:before="20" w:after="20"/>
        <w:ind w:left="700"/>
      </w:pPr>
      <w:r>
        <w:rPr>
          <w:sz w:val="18"/>
        </w:rPr>
        <w:t>Transaction soumise à l'approbation des autorités réglementaires</w:t>
      </w:r>
    </w:p>
    <w:p>
      <w:pPr>
        <w:pStyle w:val="ListBullet"/>
        <w:spacing w:before="20" w:after="20"/>
        <w:ind w:left="700"/>
      </w:pPr>
      <w:r>
        <w:rPr>
          <w:sz w:val="18"/>
        </w:rPr>
        <w:t>Alain Nkontchou était déjà membre du conseil d'ETI depuis 2014 et président de 2020 à 2024</w:t>
      </w:r>
    </w:p>
    <w:p>
      <w:pPr>
        <w:pStyle w:val="ListBullet"/>
        <w:spacing w:before="20" w:after="20"/>
        <w:ind w:left="700"/>
      </w:pPr>
      <w:r>
        <w:rPr>
          <w:sz w:val="18"/>
        </w:rPr>
        <w:t>Nedbank se repositionne stratégiquement vers ses marchés d'Afrique australe et orientale</w:t>
      </w:r>
    </w:p>
    <w:p>
      <w:pPr>
        <w:pStyle w:val="ListBullet"/>
        <w:spacing w:before="20" w:after="20"/>
        <w:ind w:left="700"/>
      </w:pPr>
      <w:r>
        <w:rPr>
          <w:sz w:val="18"/>
        </w:rPr>
        <w:t>Enko Capital Management et Absa Bank ont agi comme conseillers pour cette transaction</w:t>
      </w:r>
    </w:p>
    <w:p>
      <w:pPr>
        <w:ind w:left="400"/>
      </w:pPr>
      <w:r>
        <w:rPr>
          <w:color w:val="B4B4B4"/>
          <w:sz w:val="14"/>
        </w:rPr>
        <w:t xml:space="preserve">· · · · · · · · · · · · · · · · · · · · · · · · · · · · · · </w:t>
      </w:r>
    </w:p>
    <w:p>
      <w:pPr>
        <w:spacing w:before="160"/>
      </w:pPr>
      <w:r>
        <w:rPr>
          <w:b/>
          <w:color w:val="0066CC"/>
          <w:sz w:val="20"/>
        </w:rPr>
        <w:t xml:space="preserve">[4] </w:t>
      </w:r>
      <w:r>
        <w:rPr>
          <w:b/>
          <w:sz w:val="20"/>
        </w:rPr>
        <w:t>20260817   communique de presse   eti tg</w:t>
      </w:r>
    </w:p>
    <w:p>
      <w:pPr>
        <w:spacing w:before="20"/>
        <w:ind w:left="400"/>
      </w:pPr>
      <w:r>
        <w:rPr>
          <w:color w:val="505050"/>
          <w:sz w:val="17"/>
        </w:rPr>
        <w:t xml:space="preserve">Date : 17/08/2026  |  Catégorie : communiqué divers  |  Impact : </w:t>
      </w:r>
      <w:r>
        <w:rPr>
          <w:b/>
          <w:color w:val="008000"/>
          <w:sz w:val="17"/>
        </w:rPr>
        <w:t>🟢 POSITIF</w:t>
      </w:r>
    </w:p>
    <w:p>
      <w:pPr>
        <w:spacing w:before="40"/>
        <w:ind w:left="400"/>
      </w:pPr>
      <w:r>
        <w:rPr>
          <w:sz w:val="18"/>
        </w:rPr>
        <w:t>Ecobank Transnational Incorporated (ETI) a tenu une Assemblée Générale Extraordinaire le 13 août 2026, au cours de laquelle les actionnaires ont approuvé plusieurs amendements aux statuts. Ces changements concernent le quorum des assemblées générales, la taille du conseil d'administration, la durée des mandats des administrateurs et le quorum des réunions du conseil. Ces mesures visent à renforcer la gouvernance d'entreprise.</w:t>
      </w:r>
    </w:p>
    <w:p>
      <w:pPr>
        <w:spacing w:before="60"/>
        <w:ind w:left="400"/>
      </w:pPr>
      <w:r>
        <w:rPr>
          <w:b/>
          <w:sz w:val="18"/>
        </w:rPr>
        <w:t>Points clés :</w:t>
      </w:r>
    </w:p>
    <w:p>
      <w:pPr>
        <w:pStyle w:val="ListBullet"/>
        <w:spacing w:before="20" w:after="20"/>
        <w:ind w:left="700"/>
      </w:pPr>
      <w:r>
        <w:rPr>
          <w:sz w:val="18"/>
        </w:rPr>
        <w:t>Le quorum pour les assemblées générales passe à 25% du capital social libéré, remplaçant le seuil de présence de 20 actionnaires.</w:t>
      </w:r>
    </w:p>
    <w:p>
      <w:pPr>
        <w:pStyle w:val="ListBullet"/>
        <w:spacing w:before="20" w:after="20"/>
        <w:ind w:left="700"/>
      </w:pPr>
      <w:r>
        <w:rPr>
          <w:sz w:val="18"/>
        </w:rPr>
        <w:t>Le nombre maximal d'administrateurs au Conseil d'administration est réduit de 15 à 12.</w:t>
      </w:r>
    </w:p>
    <w:p>
      <w:pPr>
        <w:pStyle w:val="ListBullet"/>
        <w:spacing w:before="20" w:after="20"/>
        <w:ind w:left="700"/>
      </w:pPr>
      <w:r>
        <w:rPr>
          <w:sz w:val="18"/>
        </w:rPr>
        <w:t>La limite de durée de mandat pour les administrateurs non exécutifs est supprimée, avec maintien de l'âge de départ à la retraite à 70 ans.</w:t>
      </w:r>
    </w:p>
    <w:p>
      <w:pPr>
        <w:pStyle w:val="ListBullet"/>
        <w:spacing w:before="20" w:after="20"/>
        <w:ind w:left="700"/>
      </w:pPr>
      <w:r>
        <w:rPr>
          <w:sz w:val="18"/>
        </w:rPr>
        <w:t>Le quorum du Conseil d'administration passe d'un minimum de trois administrateurs à plus de la moitié des administrateurs en fonction.</w:t>
      </w:r>
    </w:p>
    <w:p>
      <w:pPr>
        <w:pStyle w:val="ListBullet"/>
        <w:spacing w:before="20" w:after="20"/>
        <w:ind w:left="700"/>
      </w:pPr>
      <w:r>
        <w:rPr>
          <w:sz w:val="18"/>
        </w:rPr>
        <w:t>Ces amendements ont été approuvés lors de l'AGE du 13 août 2026 et témoignent de l'engagement d'ETI envers une gouvernance d'entreprise de haut niveau.</w:t>
      </w:r>
    </w:p>
    <w:p>
      <w:pPr>
        <w:ind w:left="400"/>
      </w:pPr>
      <w:r>
        <w:rPr>
          <w:color w:val="B4B4B4"/>
          <w:sz w:val="14"/>
        </w:rPr>
        <w:t xml:space="preserve">· · · · · · · · · · · · · · · · · · · · · · · · · · · · · · </w:t>
      </w:r>
    </w:p>
    <w:p>
      <w:pPr>
        <w:spacing w:before="160"/>
      </w:pPr>
      <w:r>
        <w:rPr>
          <w:b/>
          <w:color w:val="0066CC"/>
          <w:sz w:val="20"/>
        </w:rPr>
        <w:t xml:space="preserve">[5] </w:t>
      </w:r>
      <w:r>
        <w:rPr>
          <w:b/>
          <w:sz w:val="20"/>
        </w:rPr>
        <w:t>20260415   avis de convocation   assemblee generale extraordinaire   eti tg</w:t>
      </w:r>
    </w:p>
    <w:p>
      <w:pPr>
        <w:spacing w:before="20"/>
        <w:ind w:left="400"/>
      </w:pPr>
      <w:r>
        <w:rPr>
          <w:color w:val="505050"/>
          <w:sz w:val="17"/>
        </w:rPr>
        <w:t xml:space="preserve">Date : 16/04/2026  |  Catégorie : convocation AG  |  Impact : </w:t>
      </w:r>
      <w:r>
        <w:rPr>
          <w:b/>
          <w:color w:val="008000"/>
          <w:sz w:val="17"/>
        </w:rPr>
        <w:t>🟢 POSITIF</w:t>
      </w:r>
    </w:p>
    <w:p>
      <w:pPr>
        <w:spacing w:before="40"/>
        <w:ind w:left="400"/>
      </w:pPr>
      <w:r>
        <w:rPr>
          <w:sz w:val="18"/>
        </w:rPr>
        <w:t>Ecobank Transnational Incorporated convoque ses actionnaires à une Assemblée Générale Extraordinaire le 7 mai 2026 par visioconférence. L'ordre du jour porte sur l'émission d'Euro-obligations. Les actionnaires peuvent s'inscrire en ligne à partir du 24 avril 2026 et doivent soumettre leurs procurations avant le 5 mai 2026.</w:t>
      </w:r>
    </w:p>
    <w:p>
      <w:pPr>
        <w:spacing w:before="60"/>
        <w:ind w:left="400"/>
      </w:pPr>
      <w:r>
        <w:rPr>
          <w:b/>
          <w:sz w:val="18"/>
        </w:rPr>
        <w:t>Points clés :</w:t>
      </w:r>
    </w:p>
    <w:p>
      <w:pPr>
        <w:pStyle w:val="ListBullet"/>
        <w:spacing w:before="20" w:after="20"/>
        <w:ind w:left="700"/>
      </w:pPr>
      <w:r>
        <w:rPr>
          <w:sz w:val="18"/>
        </w:rPr>
        <w:t>Assemblée Générale Extraordinaire convoquée le 7 mai 2026 à 10h30 GMT par visioconférence</w:t>
      </w:r>
    </w:p>
    <w:p>
      <w:pPr>
        <w:pStyle w:val="ListBullet"/>
        <w:spacing w:before="20" w:after="20"/>
        <w:ind w:left="700"/>
      </w:pPr>
      <w:r>
        <w:rPr>
          <w:sz w:val="18"/>
        </w:rPr>
        <w:t>Ordre du jour unique : émission d'Euro-obligations</w:t>
      </w:r>
    </w:p>
    <w:p>
      <w:pPr>
        <w:pStyle w:val="ListBullet"/>
        <w:spacing w:before="20" w:after="20"/>
        <w:ind w:left="700"/>
      </w:pPr>
      <w:r>
        <w:rPr>
          <w:sz w:val="18"/>
        </w:rPr>
        <w:t>Inscription en ligne disponible sur https://ecobank.com/agm à partir du 24 avril 2026</w:t>
      </w:r>
    </w:p>
    <w:p>
      <w:pPr>
        <w:pStyle w:val="ListBullet"/>
        <w:spacing w:before="20" w:after="20"/>
        <w:ind w:left="700"/>
      </w:pPr>
      <w:r>
        <w:rPr>
          <w:sz w:val="18"/>
        </w:rPr>
        <w:t>Date limite de soumission des procurations fixée au 5 mai 2026</w:t>
      </w:r>
    </w:p>
    <w:p>
      <w:pPr>
        <w:pStyle w:val="ListBullet"/>
        <w:spacing w:before="20" w:after="20"/>
        <w:ind w:left="700"/>
      </w:pPr>
      <w:r>
        <w:rPr>
          <w:sz w:val="18"/>
        </w:rPr>
        <w:t>Documents disponibles au siège social à Lomé et sur le site internet de la société</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banque affiche une rentabilit\u00e9 toujours \u00e9lev\u00e9e (ROE 26,9 %), un bilan solide et une forte collecte de d\u00e9p\u00f4ts, mais la baisse du r\u00e9sultat net et la mont\u00e9e du co\u00fbt du risque incitent \u00e0 la prudence. Le titre reste un dossier de qualit\u00e9 \u00e0 d\u00e9tenir dans l'attente de la normalisation du co\u00fbt du risque."}</w:t>
      </w:r>
    </w:p>
    <w:p>
      <w:pPr>
        <w:spacing w:before="40"/>
        <w:ind w:left="400"/>
      </w:pPr>
      <w:r>
        <w:rPr>
          <w:sz w:val="18"/>
        </w:rPr>
        <w:t>Au premier semestre 2026, Ecobank Côte d'Ivoire consolide la qualité de ses revenus et renforce sa résilience dans un contexte économique et réglementaire exigeant. Le Produit Net Bancaire progresse de 2,0 % à 64 078 millions de FCFA, porté par une hausse de 14,5 % de la marge nette d'intérêts qui compense la contraction de 25,9 % des produits hors intérêts. Le Résultat Net recule de 8,6 % à 26 408 millions de FCFA, sous l'effet d'un coût du risque multiplié par plus de sept, à 5 197 millions de FCFA, dans le cadre d'une politique volontairement prudente de provisionnement. Le bilan demeure solide et en croissance de 9,3 %, à 2 077 936 millions de FCFA, avec des dépôts clients en hausse de 1</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'2,5 %', 'roe': '26,9 %', 'cout_du_risque': '5 197 millions de FCFA (+642,4 %)', 'depots_clientele': '1 754 701 millions de FCFA (+15,1 %)', 'prets_sur_depots': '56,3 %', 'charges_exploitation': '28 991 millions de FCFA (+2,9 %)', 'marge_nette_interets': '49 661 millions de FCFA (+14,5 %)', 'resultat_avant_impot': '29 890 millions de FCFA (-12,0 %)', 'produit_hors_interets': '14 417 millions de FCFA (-25,9 %)', 'creances_en_souffrance': '45 300 millions de FCFA (+21,5 %), taux de couverture de 90 %', 'credits_nets_clientele': '946 818 millions de FCFA (+2,4 %)', 'coefficient_exploitation': '45,2 %'}</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41,2 %</w:t>
            </w:r>
          </w:p>
        </w:tc>
        <w:tc>
          <w:tcPr>
            <w:tcW w:type="dxa" w:w="2160"/>
          </w:tcPr>
          <w:p>
            <w:pPr>
              <w:ind w:left="100"/>
            </w:pPr>
            <w:r/>
            <w:r>
              <w:rPr>
                <w:b/>
                <w:sz w:val="16"/>
              </w:rPr>
              <w:t>total_actif</w:t>
              <w:br/>
            </w:r>
            <w:r>
              <w:rPr>
                <w:sz w:val="18"/>
              </w:rPr>
              <w:t>2 077 936 millions de FCFA</w:t>
            </w:r>
          </w:p>
        </w:tc>
      </w:tr>
      <w:tr>
        <w:tc>
          <w:tcPr>
            <w:tcW w:type="dxa" w:w="2160"/>
          </w:tcPr>
          <w:p>
            <w:r/>
            <w:r>
              <w:rPr>
                <w:b/>
                <w:sz w:val="16"/>
              </w:rPr>
              <w:t>resultat_net</w:t>
              <w:br/>
            </w:r>
            <w:r>
              <w:rPr>
                <w:sz w:val="18"/>
              </w:rPr>
              <w:t>26 408 millions de FCFA</w:t>
            </w:r>
          </w:p>
        </w:tc>
        <w:tc>
          <w:tcPr>
            <w:tcW w:type="dxa" w:w="2160"/>
          </w:tcPr>
          <w:p>
            <w:r/>
            <w:r>
              <w:rPr>
                <w:b/>
                <w:sz w:val="16"/>
              </w:rPr>
              <w:t>capitaux_propres</w:t>
              <w:br/>
            </w:r>
            <w:r>
              <w:rPr>
                <w:sz w:val="18"/>
              </w:rPr>
              <w:t>196 096 millions de FCFA</w:t>
            </w:r>
          </w:p>
        </w:tc>
        <w:tc>
          <w:tcPr>
            <w:tcW w:type="dxa" w:w="2160"/>
          </w:tcPr>
          <w:p>
            <w:r/>
            <w:r>
              <w:rPr>
                <w:b/>
                <w:sz w:val="16"/>
              </w:rPr>
              <w:t>chiffre_affaires</w:t>
              <w:br/>
            </w:r>
            <w:r>
              <w:rPr>
                <w:sz w:val="18"/>
              </w:rPr>
              <w:t>64 078 millions de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de 64 078 millions de FCFA (+2,0 %), croissance modérée mais de meilleure qualité</w:t>
      </w:r>
    </w:p>
    <w:p>
      <w:pPr>
        <w:pStyle w:val="ListBullet"/>
        <w:spacing w:before="20" w:after="20"/>
        <w:ind w:left="700"/>
      </w:pPr>
      <w:r>
        <w:rPr>
          <w:sz w:val="18"/>
        </w:rPr>
        <w:t>Marge nette d'intérêts en forte hausse de 14,5 % à 49 661 millions de FCFA, compensant la baisse de 25,9 % des produits hors intérêts</w:t>
      </w:r>
    </w:p>
    <w:p>
      <w:pPr>
        <w:pStyle w:val="ListBullet"/>
        <w:spacing w:before="20" w:after="20"/>
        <w:ind w:left="700"/>
      </w:pPr>
      <w:r>
        <w:rPr>
          <w:sz w:val="18"/>
        </w:rPr>
        <w:t>Résultat Net en repli de 8,6 % à 26 408 millions de FCFA, pénalisé par le coût du risque</w:t>
      </w:r>
    </w:p>
    <w:p>
      <w:pPr>
        <w:pStyle w:val="ListBullet"/>
        <w:spacing w:before="20" w:after="20"/>
        <w:ind w:left="700"/>
      </w:pPr>
      <w:r>
        <w:rPr>
          <w:sz w:val="18"/>
        </w:rPr>
        <w:t>Coût du risque multiplié par plus de sept à 5 197 millions de FCFA (+642,4 %) sous l'effet d'une approche prudente de provisionnement</w:t>
      </w:r>
    </w:p>
    <w:p>
      <w:pPr>
        <w:pStyle w:val="ListBullet"/>
        <w:spacing w:before="20" w:after="20"/>
        <w:ind w:left="700"/>
      </w:pPr>
      <w:r>
        <w:rPr>
          <w:sz w:val="18"/>
        </w:rPr>
        <w:t>Total bilan en progression de 9,3 % à 2 077 936 millions de FCFA, avec des dépôts clients en hausse de 15,1 % à 1 754 701 millions de FCFA</w:t>
      </w:r>
    </w:p>
    <w:p>
      <w:pPr>
        <w:pStyle w:val="ListBullet"/>
        <w:spacing w:before="20" w:after="20"/>
        <w:ind w:left="700"/>
      </w:pPr>
      <w:r>
        <w:rPr>
          <w:sz w:val="18"/>
        </w:rPr>
        <w:t>Crédits nets à la clientèle en croissance maîtrisée de 2,4 % à 946 818 millions de FCFA, ratio prêts/dépôts en baisse à 56,3 %</w:t>
      </w:r>
    </w:p>
    <w:p>
      <w:pPr>
        <w:spacing w:before="40"/>
        <w:ind w:left="400"/>
      </w:pPr>
      <w:r>
        <w:rPr>
          <w:b/>
          <w:color w:val="C05000"/>
          <w:sz w:val="18"/>
        </w:rPr>
        <w:t xml:space="preserve">⚠️ Risques : </w:t>
      </w:r>
      <w:r>
        <w:rPr>
          <w:sz w:val="18"/>
        </w:rPr>
        <w:t>["D\u00e9gradation de la qualit\u00e9 du portefeuille de cr\u00e9dits : cr\u00e9ances en souffrance en hausse de 21,5 % \u00e0 45 300 millions de FCFA et co\u00fbt du risque multipli\u00e9 par plus de sept", "Contraction de 25,9 % des produits hors int\u00e9r\u00eats (commissions, portefeuille de n\</w:t>
      </w:r>
    </w:p>
    <w:p>
      <w:pPr>
        <w:spacing w:before="40"/>
        <w:ind w:left="400"/>
      </w:pPr>
      <w:r>
        <w:rPr>
          <w:b/>
          <w:color w:val="0064A0"/>
          <w:sz w:val="18"/>
        </w:rPr>
        <w:t xml:space="preserve">🔮 Perspectives : </w:t>
      </w:r>
      <w:r>
        <w:rPr>
          <w:sz w:val="18"/>
        </w:rPr>
        <w:t>Ecobank Côte d'Ivoire confirme sa résilience et la pertinence de ses choix stratégiques dans un contexte macroéconomique incertain. La Banque poursuit l'exécution de sa feuille de route « Croissance, Transformation et Rentabilité », axée sur l'innovation, la digitalisation, l'amélioration de l'expér</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l\u00e9g\u00e8re baisse du r\u00e9sultat net, la banque maintient une rentabilit\u00e9 solide et am\u00e9liore son efficacit\u00e9 op\u00e9rationnelle dans un contexte macro\u00e9conomique difficile. La prudence dans l'octroi de cr\u00e9dits et la forte collecte de d\u00e9p\u00f4ts t\u00e9moignent d'une gestion rigoureuse."}</w:t>
      </w:r>
    </w:p>
    <w:p>
      <w:pPr>
        <w:spacing w:before="40"/>
        <w:ind w:left="400"/>
      </w:pPr>
      <w:r>
        <w:rPr>
          <w:sz w:val="18"/>
        </w:rPr>
        <w:t>Ecobank Côte d'Ivoire présente des résultats mitigés au premier trimestre 2026 avec un Produit Net Bancaire en croissance de 3,7% à 30,8 milliards FCFA. Malgré une amélioration de l'efficacité opérationnelle avec un coefficient d'exploitation de 45,7%, le résultat net recule de 1,6% à 13,0 milliards FCFA. La banque maintient une collecte de dépôts dynamique (+12%) témoignant de la confiance de sa clientèle. Les encours de crédits diminuent de 2,6% reflétant une politique d'origination sélective dans un contexte économique difficile. La rentabilité reste solide avec un ROE de 23% malgré la hausse du coût du risque.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'2,5%', 'roe': '23,0%', 'cout_du_risque': '-0,7%', 'taux_couverture': '99,1%', 'ratio_credits_depots': '58,3%', 'coefficient_exploitation': '45,7%', 'taux_creances_souffrance': '3,9%'}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42,3%</w:t>
            </w:r>
          </w:p>
        </w:tc>
        <w:tc>
          <w:tcPr>
            <w:tcW w:type="dxa" w:w="2160"/>
          </w:tcPr>
          <w:p>
            <w:pPr>
              <w:ind w:left="100"/>
            </w:pPr>
            <w:r/>
            <w:r>
              <w:rPr>
                <w:b/>
                <w:sz w:val="16"/>
              </w:rPr>
              <w:t>total_actif</w:t>
              <w:br/>
            </w:r>
            <w:r>
              <w:rPr>
                <w:sz w:val="18"/>
              </w:rPr>
              <w:t>2 058,9 milliards FCFA</w:t>
            </w:r>
          </w:p>
        </w:tc>
      </w:tr>
      <w:tr>
        <w:tc>
          <w:tcPr>
            <w:tcW w:type="dxa" w:w="2160"/>
          </w:tcPr>
          <w:p>
            <w:r/>
            <w:r>
              <w:rPr>
                <w:b/>
                <w:sz w:val="16"/>
              </w:rPr>
              <w:t>resultat_net</w:t>
              <w:br/>
            </w:r>
            <w:r>
              <w:rPr>
                <w:sz w:val="18"/>
              </w:rPr>
              <w:t>13,0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30,8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3,7% à 30,8 milliards FCFA porté par la hausse de 12,7% de la marge nette d'intérêts</w:t>
      </w:r>
    </w:p>
    <w:p>
      <w:pPr>
        <w:pStyle w:val="ListBullet"/>
        <w:spacing w:before="20" w:after="20"/>
        <w:ind w:left="700"/>
      </w:pPr>
      <w:r>
        <w:rPr>
          <w:sz w:val="18"/>
        </w:rPr>
        <w:t>Amélioration continue de l'efficacité opérationnelle avec un coefficient d'exploitation à 45,7% (-77 points de base)</w:t>
      </w:r>
    </w:p>
    <w:p>
      <w:pPr>
        <w:pStyle w:val="ListBullet"/>
        <w:spacing w:before="20" w:after="20"/>
        <w:ind w:left="700"/>
      </w:pPr>
      <w:r>
        <w:rPr>
          <w:sz w:val="18"/>
        </w:rPr>
        <w:t>Forte croissance des dépôts clientèle de 12% à 1 709 milliards FCFA témoignant de la confiance des clients</w:t>
      </w:r>
    </w:p>
    <w:p>
      <w:pPr>
        <w:pStyle w:val="ListBullet"/>
        <w:spacing w:before="20" w:after="20"/>
        <w:ind w:left="700"/>
      </w:pPr>
      <w:r>
        <w:rPr>
          <w:sz w:val="18"/>
        </w:rPr>
        <w:t>Politique de crédit sélective avec une baisse des encours nets de 2,6% à 959 milliards FCFA</w:t>
      </w:r>
    </w:p>
    <w:p>
      <w:pPr>
        <w:pStyle w:val="ListBullet"/>
        <w:spacing w:before="20" w:after="20"/>
        <w:ind w:left="700"/>
      </w:pPr>
      <w:r>
        <w:rPr>
          <w:sz w:val="18"/>
        </w:rPr>
        <w:t>Hausse significative du coût du risque à 1,7 milliard FCFA contre 0,5 milliard au T1 2025</w:t>
      </w:r>
    </w:p>
    <w:p>
      <w:pPr>
        <w:pStyle w:val="ListBullet"/>
        <w:spacing w:before="20" w:after="20"/>
        <w:ind w:left="700"/>
      </w:pPr>
      <w:r>
        <w:rPr>
          <w:sz w:val="18"/>
        </w:rPr>
        <w:t>Taux de créances en souffrance en hausse à 3,9% mais taux de couverture élevé à 99,1%</w:t>
      </w:r>
    </w:p>
    <w:p>
      <w:pPr>
        <w:spacing w:before="40"/>
        <w:ind w:left="400"/>
      </w:pPr>
      <w:r>
        <w:rPr>
          <w:b/>
          <w:color w:val="C05000"/>
          <w:sz w:val="18"/>
        </w:rPr>
        <w:t xml:space="preserve">⚠️ Risques : </w:t>
      </w:r>
      <w:r>
        <w:rPr>
          <w:sz w:val="18"/>
        </w:rPr>
        <w:t xml:space="preserve">["Hausse significative du co\u00fbt du risque dans un environnement macro\u00e9conomique complexe et g\u00e9opolitique incertain", "Baisse des produits hors int\u00e9r\u00eats de 17,2% impactant la diversification des revenus", "D\u00e9t\u00e9rioration du taux de cr\u00e9ances en souffrance passant </w:t>
      </w:r>
    </w:p>
    <w:p>
      <w:pPr>
        <w:spacing w:before="40"/>
        <w:ind w:left="400"/>
      </w:pPr>
      <w:r>
        <w:rPr>
          <w:b/>
          <w:color w:val="0064A0"/>
          <w:sz w:val="18"/>
        </w:rPr>
        <w:t xml:space="preserve">🔮 Perspectives : </w:t>
      </w:r>
      <w:r>
        <w:rPr>
          <w:sz w:val="18"/>
        </w:rPr>
        <w:t xml:space="preserve">La banque devrait poursuivre sa politique prudente de gestion des risques dans un contexte économique sous pression. L'amélioration continue de l'efficacité opérationnelle et la forte base de dépôts constituent des atouts pour maintenir une rentabilité satisfaisante. La sélectivité dans l'octroi de </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"Les r\u00e9sultats exceptionnels du S1 2023 avec une croissance \u00e0 deux chiffres de tous les indicateurs cl\u00e9s et l'am\u00e9lioration significative de l'efficacit\u00e9 op\u00e9rationnelle justifient une recommandation d'achat. La banque b\u00e9n\u00e9ficie d'un environnement \u00e9conomique favorable en C\u00f4te d'Ivoire avec une croissance du PIB attendue \u00e0 7,2% en 2023."}</w:t>
      </w:r>
    </w:p>
    <w:p>
      <w:pPr>
        <w:spacing w:before="40"/>
        <w:ind w:left="400"/>
      </w:pPr>
      <w:r>
        <w:rPr>
          <w:sz w:val="18"/>
        </w:rPr>
        <w:t>Ecobank Côte d'Ivoire affiche une performance remarquable au premier semestre 2023 avec un résultat net de 23,9 milliards FCFA, en hausse de 35% par rapport à juin 2022. Le produit net bancaire s'élève à 53,2 milliards FCFA (+16,4%) soutenu par la croissance de la marge nette d'intérêts. La banque maintient une structure financière solide avec un total bilan de 1 821 milliards FCFA et des capitaux propres de 154 milliards FCFA. Le coefficient d'exploitation s'améliore à 42,1% contre 45,5% un an plus tôt, témoignant d'une meilleure efficacité opérationnelle. La qualité du portefeuille de crédit s'améliore avec une réduction significative du coût du risque à -0,6%.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'-0,6%', 'rendement_actifs': '2,6%', 'ratio_solvabilite': '17,2%', 'coefficient_exploitation': '42,1%', 'rendement_capitaux_propres': '31,1%'}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45,0%</w:t>
            </w:r>
          </w:p>
        </w:tc>
        <w:tc>
          <w:tcPr>
            <w:tcW w:type="dxa" w:w="2160"/>
          </w:tcPr>
          <w:p>
            <w:pPr>
              <w:ind w:left="100"/>
            </w:pPr>
            <w:r/>
            <w:r>
              <w:rPr>
                <w:b/>
                <w:sz w:val="16"/>
              </w:rPr>
              <w:t>total_actif</w:t>
              <w:br/>
            </w:r>
            <w:r>
              <w:rPr>
                <w:sz w:val="18"/>
              </w:rPr>
              <w:t>1 821 milliards FCFA</w:t>
            </w:r>
          </w:p>
        </w:tc>
      </w:tr>
      <w:tr>
        <w:tc>
          <w:tcPr>
            <w:tcW w:type="dxa" w:w="2160"/>
          </w:tcPr>
          <w:p>
            <w:r/>
            <w:r>
              <w:rPr>
                <w:b/>
                <w:sz w:val="16"/>
              </w:rPr>
              <w:t>resultat_net</w:t>
              <w:br/>
            </w:r>
            <w:r>
              <w:rPr>
                <w:sz w:val="18"/>
              </w:rPr>
              <w:t>23,9 milliards FCFA (S1 2023)</w:t>
            </w:r>
          </w:p>
        </w:tc>
        <w:tc>
          <w:tcPr>
            <w:tcW w:type="dxa" w:w="2160"/>
          </w:tcPr>
          <w:p>
            <w:r/>
            <w:r>
              <w:rPr>
                <w:b/>
                <w:sz w:val="16"/>
              </w:rPr>
              <w:t>capitaux_propres</w:t>
              <w:br/>
            </w:r>
            <w:r>
              <w:rPr>
                <w:sz w:val="18"/>
              </w:rPr>
              <w:t>154 milliards FCFA</w:t>
            </w:r>
          </w:p>
        </w:tc>
        <w:tc>
          <w:tcPr>
            <w:tcW w:type="dxa" w:w="2160"/>
          </w:tcPr>
          <w:p>
            <w:r/>
            <w:r>
              <w:rPr>
                <w:b/>
                <w:sz w:val="16"/>
              </w:rPr>
              <w:t>chiffre_affaires</w:t>
              <w:br/>
            </w:r>
            <w:r>
              <w:rPr>
                <w:sz w:val="18"/>
              </w:rPr>
              <w:t>53,2 milliards FCFA (PNB S1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de 35% à 23,9 milliards FCFA au S1 2023</w:t>
      </w:r>
    </w:p>
    <w:p>
      <w:pPr>
        <w:pStyle w:val="ListBullet"/>
        <w:spacing w:before="20" w:after="20"/>
        <w:ind w:left="700"/>
      </w:pPr>
      <w:r>
        <w:rPr>
          <w:sz w:val="18"/>
        </w:rPr>
        <w:t>Produit net bancaire en hausse de 16,4% à 53,2 milliards FCFA</w:t>
      </w:r>
    </w:p>
    <w:p>
      <w:pPr>
        <w:pStyle w:val="ListBullet"/>
        <w:spacing w:before="20" w:after="20"/>
        <w:ind w:left="700"/>
      </w:pPr>
      <w:r>
        <w:rPr>
          <w:sz w:val="18"/>
        </w:rPr>
        <w:t>Amélioration du coefficient d'exploitation de 339 points de base à 42,1%</w:t>
      </w:r>
    </w:p>
    <w:p>
      <w:pPr>
        <w:pStyle w:val="ListBullet"/>
        <w:spacing w:before="20" w:after="20"/>
        <w:ind w:left="700"/>
      </w:pPr>
      <w:r>
        <w:rPr>
          <w:sz w:val="18"/>
        </w:rPr>
        <w:t>Réduction drastique du coût du risque qui passe de -1,7% à -0,6%</w:t>
      </w:r>
    </w:p>
    <w:p>
      <w:pPr>
        <w:pStyle w:val="ListBullet"/>
        <w:spacing w:before="20" w:after="20"/>
        <w:ind w:left="700"/>
      </w:pPr>
      <w:r>
        <w:rPr>
          <w:sz w:val="18"/>
        </w:rPr>
        <w:t>Croissance des crédits nets à la clientèle de 28,8% à 941,7 milliards FCFA</w:t>
      </w:r>
    </w:p>
    <w:p>
      <w:pPr>
        <w:pStyle w:val="ListBullet"/>
        <w:spacing w:before="20" w:after="20"/>
        <w:ind w:left="700"/>
      </w:pPr>
      <w:r>
        <w:rPr>
          <w:sz w:val="18"/>
        </w:rPr>
        <w:t>Progression des dépôts clientèle de 2,4% à 1 319 milliards FCFA</w:t>
      </w:r>
    </w:p>
    <w:p>
      <w:pPr>
        <w:spacing w:before="40"/>
        <w:ind w:left="400"/>
      </w:pPr>
      <w:r>
        <w:rPr>
          <w:b/>
          <w:color w:val="C05000"/>
          <w:sz w:val="18"/>
        </w:rPr>
        <w:t xml:space="preserve">⚠️ Risques : </w:t>
      </w:r>
      <w:r>
        <w:rPr>
          <w:sz w:val="18"/>
        </w:rPr>
        <w:t>["Exposition aux tensions inflationnistes et aux effets persistants de la crise russo-ukrainienne", "Risques g\u00e9opolitiques li\u00e9s aux r\u00e9cents d\u00e9veloppements au Niger", "Concentration g\u00e9ographique sur le march\u00e9 ivoirien malgr\u00e9 la diversification r\u00e9gionale"]</w:t>
      </w:r>
    </w:p>
    <w:p>
      <w:pPr>
        <w:spacing w:before="40"/>
        <w:ind w:left="400"/>
      </w:pPr>
      <w:r>
        <w:rPr>
          <w:b/>
          <w:color w:val="0064A0"/>
          <w:sz w:val="18"/>
        </w:rPr>
        <w:t xml:space="preserve">🔮 Perspectives : </w:t>
      </w:r>
      <w:r>
        <w:rPr>
          <w:sz w:val="18"/>
        </w:rPr>
        <w:t xml:space="preserve">Les perspectives restent favorables avec la poursuite de la mise en œuvre du Plan National de Développement 2021-2025 et une croissance économique robuste attendue. La banque devrait continuer à bénéficier de l'accélération de ses actions commerciales et de l'amélioration continue de son efficience </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avec am\u00e9lioration de tous ses indicateurs cl\u00e9s et une qualit\u00e9 de cr\u00e9dit renforc\u00e9e. Le ROE de 29,7% et l'efficacit\u00e9 op\u00e9rationnelle croissante t\u00e9moignent d'une performance exceptionnelle."}</w:t>
      </w:r>
    </w:p>
    <w:p>
      <w:pPr>
        <w:spacing w:before="40"/>
        <w:ind w:left="400"/>
      </w:pPr>
      <w:r>
        <w:rPr>
          <w:sz w:val="18"/>
        </w:rPr>
        <w:t>Ecobank Côte d'Ivoire affiche des résultats solides au troisième trimestre 2025 avec un Produit Net Bancaire en hausse de 11% à 96,4 milliards de FCFA. Le résultat net progresse de 15% pour atteindre 44,4 milliards de FCFA, témoignant d'une création de valeur soutenue. La banque démontre une amélioration notable de sa qualité de crédit avec une contraction du coût du risque de 54%. Le total bilan s'élève à 2 026 milliards de FCFA en hausse de 15,5%, soutenu par une forte collecte de dépôts (+33%). Le coefficient d'exploitation s'améliore à 44,7%, reflétant la poursuite de l'efficacité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'0,1%', 'rendement_actifs': '2,9%', 'taux_degradation': '3,8%', 'coefficient_exploitation': '44,7%', 'rendement_capitaux_propres': '29,7%'}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2 026 milliards FCFA</w:t>
            </w:r>
          </w:p>
        </w:tc>
      </w:tr>
      <w:tr>
        <w:tc>
          <w:tcPr>
            <w:tcW w:type="dxa" w:w="2160"/>
          </w:tcPr>
          <w:p>
            <w:r/>
            <w:r>
              <w:rPr>
                <w:b/>
                <w:sz w:val="16"/>
              </w:rPr>
              <w:t>resultat_net</w:t>
              <w:br/>
            </w:r>
            <w:r>
              <w:rPr>
                <w:sz w:val="18"/>
              </w:rPr>
              <w:t>44,4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96,4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11,3% à 96,4 milliards de FCFA</w:t>
      </w:r>
    </w:p>
    <w:p>
      <w:pPr>
        <w:pStyle w:val="ListBullet"/>
        <w:spacing w:before="20" w:after="20"/>
        <w:ind w:left="700"/>
      </w:pPr>
      <w:r>
        <w:rPr>
          <w:sz w:val="18"/>
        </w:rPr>
        <w:t>Résultat net en progression de 15,4% à 44,4 milliards de FCFA</w:t>
      </w:r>
    </w:p>
    <w:p>
      <w:pPr>
        <w:pStyle w:val="ListBullet"/>
        <w:spacing w:before="20" w:after="20"/>
        <w:ind w:left="700"/>
      </w:pPr>
      <w:r>
        <w:rPr>
          <w:sz w:val="18"/>
        </w:rPr>
        <w:t>Amélioration significative du coût du risque (-54,1%) à 0,7 milliard de FCFA</w:t>
      </w:r>
    </w:p>
    <w:p>
      <w:pPr>
        <w:pStyle w:val="ListBullet"/>
        <w:spacing w:before="20" w:after="20"/>
        <w:ind w:left="700"/>
      </w:pPr>
      <w:r>
        <w:rPr>
          <w:sz w:val="18"/>
        </w:rPr>
        <w:t>Forte progression du total bilan (+15,5%) à 2 026 milliards de FCFA</w:t>
      </w:r>
    </w:p>
    <w:p>
      <w:pPr>
        <w:pStyle w:val="ListBullet"/>
        <w:spacing w:before="20" w:after="20"/>
        <w:ind w:left="700"/>
      </w:pPr>
      <w:r>
        <w:rPr>
          <w:sz w:val="18"/>
        </w:rPr>
        <w:t>Collecte de dépôts exceptionnelle (+33,2%) atteignant 1 649 milliards de FCFA</w:t>
      </w:r>
    </w:p>
    <w:p>
      <w:pPr>
        <w:pStyle w:val="ListBullet"/>
        <w:spacing w:before="20" w:after="20"/>
        <w:ind w:left="700"/>
      </w:pPr>
      <w:r>
        <w:rPr>
          <w:sz w:val="18"/>
        </w:rPr>
        <w:t>Amélioration du coefficient d'exploitation à 44,7% contre 46,3% l'année précédente</w:t>
      </w:r>
    </w:p>
    <w:p>
      <w:pPr>
        <w:spacing w:before="40"/>
        <w:ind w:left="400"/>
      </w:pPr>
      <w:r>
        <w:rPr>
          <w:b/>
          <w:color w:val="C05000"/>
          <w:sz w:val="18"/>
        </w:rPr>
        <w:t xml:space="preserve">⚠️ Risques : </w:t>
      </w:r>
      <w:r>
        <w:rPr>
          <w:sz w:val="18"/>
        </w:rPr>
        <w:t>["Exposition aux risques \u00e9conomiques et politiques du march\u00e9 ivoirien", "Concentration g\u00e9ographique sur la C\u00f4te d'Ivoire", "Risques de cr\u00e9dit malgr\u00e9 l'am\u00e9lioration observ\u00e9e"]</w:t>
      </w:r>
    </w:p>
    <w:p>
      <w:pPr>
        <w:spacing w:before="40"/>
        <w:ind w:left="400"/>
      </w:pPr>
      <w:r>
        <w:rPr>
          <w:b/>
          <w:color w:val="0064A0"/>
          <w:sz w:val="18"/>
        </w:rPr>
        <w:t xml:space="preserve">🔮 Perspectives : </w:t>
      </w:r>
      <w:r>
        <w:rPr>
          <w:sz w:val="18"/>
        </w:rPr>
        <w:t>La dynamique positive devrait se poursuivre avec la stratégie d'amélioration continue de la qualité du portefeuille et l'optimisation du mix de ressources. La forte collecte de dépôts et l'efficacité opérationnelle renforcée positionnent bien la banque pour maintenir sa croissance rentable.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premier semestre avec une croissance du r\u00e9sultat net de 35% et l'am\u00e9lioration de tous les indicateurs de performance t\u00e9moignent d'une dynamique tr\u00e8s positive. La forte progression des cr\u00e9dits (+27%) coupl\u00e9e \u00e0 la baisse du co\u00fbt du risque confirme la solidit\u00e9 du mod\u00e8le."}</w:t>
      </w:r>
    </w:p>
    <w:p>
      <w:pPr>
        <w:spacing w:before="40"/>
        <w:ind w:left="400"/>
      </w:pPr>
      <w:r>
        <w:rPr>
          <w:sz w:val="18"/>
        </w:rPr>
        <w:t>Ecobank Côte d'Ivoire présente des résultats semestriels 2022 très solides avec une croissance généralisée de ses indicateurs clés. Le total bilan progresse de 5,6% à 1 637,8 milliards FCFA, porté par une hausse remarquable des crédits nets (+27,4%) et des dépôts (+11,5%). La rentabilité s'améliore significativement avec un résultat net en progression de 35,1% à 19,9 milliards FCFA grâce à l'augmentation du produit net bancaire (+8%) et à la forte baisse du coût du risque (-41%). Les ratios de performance s'améliorent avec un ROE de 28,7% et un ROA de 2,4%. La banque renforce sa position avec un niveau de couverture des créances en souffrance à 86,8%.</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'1 287,7 milliards FCFA', 'credits_nets_clientele': '734,3 milliards FCFA', 'coefficient_exploitation': '45,5%', 'taux_couverture_creances': '86,8%'}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43,6%</w:t>
            </w:r>
          </w:p>
        </w:tc>
        <w:tc>
          <w:tcPr>
            <w:tcW w:type="dxa" w:w="2160"/>
          </w:tcPr>
          <w:p>
            <w:pPr>
              <w:ind w:left="100"/>
            </w:pPr>
            <w:r/>
            <w:r>
              <w:rPr>
                <w:b/>
                <w:sz w:val="16"/>
              </w:rPr>
              <w:t>total_actif</w:t>
              <w:br/>
            </w:r>
            <w:r>
              <w:rPr>
                <w:sz w:val="18"/>
              </w:rPr>
              <w:t>1 637,8 milliards FCFA</w:t>
            </w:r>
          </w:p>
        </w:tc>
      </w:tr>
      <w:tr>
        <w:tc>
          <w:tcPr>
            <w:tcW w:type="dxa" w:w="2160"/>
          </w:tcPr>
          <w:p>
            <w:r/>
            <w:r>
              <w:rPr>
                <w:b/>
                <w:sz w:val="16"/>
              </w:rPr>
              <w:t>resultat_net</w:t>
              <w:br/>
            </w:r>
            <w:r>
              <w:rPr>
                <w:sz w:val="18"/>
              </w:rPr>
              <w:t>19,9 milliards FCFA</w:t>
            </w:r>
          </w:p>
        </w:tc>
        <w:tc>
          <w:tcPr>
            <w:tcW w:type="dxa" w:w="2160"/>
          </w:tcPr>
          <w:p>
            <w:r/>
            <w:r>
              <w:rPr>
                <w:b/>
                <w:sz w:val="16"/>
              </w:rPr>
              <w:t>capitaux_propres</w:t>
              <w:br/>
            </w:r>
            <w:r>
              <w:rPr>
                <w:sz w:val="18"/>
              </w:rPr>
              <w:t>139,0 milliards FCFA</w:t>
            </w:r>
          </w:p>
        </w:tc>
        <w:tc>
          <w:tcPr>
            <w:tcW w:type="dxa" w:w="2160"/>
          </w:tcPr>
          <w:p>
            <w:r/>
            <w:r>
              <w:rPr>
                <w:b/>
                <w:sz w:val="16"/>
              </w:rPr>
              <w:t>chiffre_affaires</w:t>
              <w:br/>
            </w:r>
            <w:r>
              <w:rPr>
                <w:sz w:val="18"/>
              </w:rPr>
              <w:t>45,7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crédits nets à la clientèle de 27,4% à 734,3 milliards FCFA</w:t>
      </w:r>
    </w:p>
    <w:p>
      <w:pPr>
        <w:pStyle w:val="ListBullet"/>
        <w:spacing w:before="20" w:after="20"/>
        <w:ind w:left="700"/>
      </w:pPr>
      <w:r>
        <w:rPr>
          <w:sz w:val="18"/>
        </w:rPr>
        <w:t>Augmentation soutenue des dépôts de 11,5% à 1 287,7 milliards FCFA grâce à la digitalisation</w:t>
      </w:r>
    </w:p>
    <w:p>
      <w:pPr>
        <w:pStyle w:val="ListBullet"/>
        <w:spacing w:before="20" w:after="20"/>
        <w:ind w:left="700"/>
      </w:pPr>
      <w:r>
        <w:rPr>
          <w:sz w:val="18"/>
        </w:rPr>
        <w:t>Progression remarquable du résultat net de 35,1% à 19,9 milliards FCFA</w:t>
      </w:r>
    </w:p>
    <w:p>
      <w:pPr>
        <w:pStyle w:val="ListBullet"/>
        <w:spacing w:before="20" w:after="20"/>
        <w:ind w:left="700"/>
      </w:pPr>
      <w:r>
        <w:rPr>
          <w:sz w:val="18"/>
        </w:rPr>
        <w:t>Amélioration du produit net bancaire de 8% à 45,7 milliards FCFA</w:t>
      </w:r>
    </w:p>
    <w:p>
      <w:pPr>
        <w:pStyle w:val="ListBullet"/>
        <w:spacing w:before="20" w:after="20"/>
        <w:ind w:left="700"/>
      </w:pPr>
      <w:r>
        <w:rPr>
          <w:sz w:val="18"/>
        </w:rPr>
        <w:t>Forte baisse du coût du risque de 41% témoignant d'une meilleure gestion des créances</w:t>
      </w:r>
    </w:p>
    <w:p>
      <w:pPr>
        <w:pStyle w:val="ListBullet"/>
        <w:spacing w:before="20" w:after="20"/>
        <w:ind w:left="700"/>
      </w:pPr>
      <w:r>
        <w:rPr>
          <w:sz w:val="18"/>
        </w:rPr>
        <w:t>Renforcement du niveau de couverture des créances en souffrance à 86,8%</w:t>
      </w:r>
    </w:p>
    <w:p>
      <w:pPr>
        <w:spacing w:before="40"/>
        <w:ind w:left="400"/>
      </w:pPr>
      <w:r>
        <w:rPr>
          <w:b/>
          <w:color w:val="C05000"/>
          <w:sz w:val="18"/>
        </w:rPr>
        <w:t xml:space="preserve">⚠️ Risques : </w:t>
      </w:r>
      <w:r>
        <w:rPr>
          <w:sz w:val="18"/>
        </w:rPr>
        <w:t>["Concentration g\u00e9ographique sur le march\u00e9 ivoirien expos\u00e9 aux risques pays", "Croissance rapide des cr\u00e9dits (+27%) n\u00e9cessitant une surveillance accrue de la qualit\u00e9 du portefeuille", "Contexte post-COVID avec retour progressif \u00e0 la normale pouvant impacter les cha</w:t>
      </w:r>
    </w:p>
    <w:p>
      <w:pPr>
        <w:spacing w:before="40"/>
        <w:ind w:left="400"/>
      </w:pPr>
      <w:r>
        <w:rPr>
          <w:b/>
          <w:color w:val="0064A0"/>
          <w:sz w:val="18"/>
        </w:rPr>
        <w:t xml:space="preserve">🔮 Perspectives : </w:t>
      </w:r>
      <w:r>
        <w:rPr>
          <w:sz w:val="18"/>
        </w:rPr>
        <w:t>Les perspectives restent favorables avec la poursuite de la stratégie de digitalisation pour la collecte des dépôts et la croissance soutenue de l'activité de crédit. L'amélioration continue de la gestion des risques et le renforcement des fonds propres devraient permettre de maintenir cette dynamiq</w:t>
      </w:r>
    </w:p>
    <w:p/>
    <w:p>
      <w:r>
        <w:t>════════════════════════════════════════════════════════════════════════════════</w:t>
      </w:r>
    </w:p>
    <w:p>
      <w:r>
        <w:br w:type="page"/>
      </w:r>
    </w:p>
    <w:p>
      <w:pPr>
        <w:pStyle w:val="Heading2"/>
        <w:spacing w:before="360"/>
      </w:pPr>
      <w:r>
        <w:rPr>
          <w:color w:val="0066CC"/>
        </w:rPr>
        <w:t>17. ETIT - ETIT - Ecobank Transnational Incorporated Togo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ETIT</w:t>
            </w:r>
          </w:p>
          <w:p>
            <w:r>
              <w:rPr>
                <w:b/>
                <w:color w:val="323250"/>
                <w:sz w:val="16"/>
              </w:rPr>
              <w:t xml:space="preserve">Société : </w:t>
            </w:r>
            <w:r>
              <w:rPr>
                <w:color w:val="000000"/>
                <w:sz w:val="16"/>
              </w:rPr>
              <w:t>ETIT - Ecobank Transnational Incorporate...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1175.47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1,695,110 titres</w:t>
            </w:r>
          </w:p>
        </w:tc>
        <w:tc>
          <w:tcPr>
            <w:tcW w:type="dxa" w:w="2268"/>
            <w:shd w:fill="FFF2CC" w:val="clear"/>
          </w:tcPr>
          <w:p>
            <w:r>
              <w:rPr>
                <w:b/>
                <w:color w:val="503200"/>
                <w:sz w:val="16"/>
              </w:rPr>
              <w:t xml:space="preserve">Cours actuel : </w:t>
            </w:r>
            <w:r>
              <w:rPr>
                <w:color w:val="000000"/>
                <w:sz w:val="17"/>
              </w:rPr>
              <w:t>65 FCFA</w:t>
            </w:r>
          </w:p>
          <w:p>
            <w:r>
              <w:rPr>
                <w:b/>
                <w:color w:val="503200"/>
                <w:sz w:val="16"/>
              </w:rPr>
              <w:t xml:space="preserve">Var. 100 jours : </w:t>
            </w:r>
            <w:r>
              <w:rPr>
                <w:b/>
                <w:color w:val="007800"/>
                <w:sz w:val="17"/>
              </w:rPr>
              <w:t>+116.67%</w:t>
            </w:r>
          </w:p>
          <w:p>
            <w:r>
              <w:rPr>
                <w:b/>
                <w:color w:val="503200"/>
                <w:sz w:val="16"/>
              </w:rPr>
              <w:t xml:space="preserve">Plus haut 100j : </w:t>
            </w:r>
            <w:r>
              <w:rPr>
                <w:color w:val="000000"/>
                <w:sz w:val="17"/>
              </w:rPr>
              <w:t>78 FCFA</w:t>
            </w:r>
          </w:p>
          <w:p>
            <w:r>
              <w:rPr>
                <w:b/>
                <w:color w:val="503200"/>
                <w:sz w:val="16"/>
              </w:rPr>
              <w:t xml:space="preserve">Plus bas 100j : </w:t>
            </w:r>
            <w:r>
              <w:rPr>
                <w:color w:val="000000"/>
                <w:sz w:val="17"/>
              </w:rPr>
              <w:t>29 FCFA</w:t>
            </w:r>
          </w:p>
          <w:p>
            <w:r>
              <w:rPr>
                <w:b/>
                <w:color w:val="503200"/>
                <w:sz w:val="16"/>
              </w:rPr>
              <w:t xml:space="preserve">Volatilité ann. : </w:t>
            </w:r>
            <w:r>
              <w:rPr>
                <w:color w:val="000000"/>
                <w:sz w:val="17"/>
              </w:rPr>
              <w:t>61.7%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33.8/100 → Moyen</w:t>
      </w:r>
    </w:p>
    <w:p>
      <w:pPr>
        <w:spacing w:before="40" w:after="80"/>
      </w:pPr>
      <w:r>
        <w:rPr>
          <w:rFonts w:ascii="Courier New" w:hAnsi="Courier New"/>
          <w:color w:val="825A00"/>
          <w:sz w:val="18"/>
        </w:rPr>
        <w:t>██████░░░░░░░░░░░░░░  33.8/100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26.99% (Élevée) — μ=58 FCFA, σ=16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β=2.0832 (Très agressif) — Cov=0.000156, Var(idx)=0.000075, ρ=0.458, n=96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C6EFCE" w:val="clear"/>
          </w:tcPr>
          <w:p>
            <w:r>
              <w:rPr>
                <w:b/>
                <w:sz w:val="15"/>
              </w:rPr>
              <w:t>1,695,110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σ_j=3.89%/j (Modérée) — Vol. annualisée≈61.7%</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569353"/>
            <wp:docPr id="19" name="Picture 1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669280" cy="2569353"/>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2026-10-16</w:t>
            </w:r>
          </w:p>
        </w:tc>
        <w:tc>
          <w:tcPr>
            <w:tcW w:type="dxa" w:w="1440"/>
            <w:shd w:fill="FAFAFA" w:val="clear"/>
          </w:tcPr>
          <w:p>
            <w:r>
              <w:rPr>
                <w:sz w:val="17"/>
              </w:rPr>
              <w:t>63</w:t>
            </w:r>
          </w:p>
        </w:tc>
        <w:tc>
          <w:tcPr>
            <w:tcW w:type="dxa" w:w="1440"/>
            <w:shd w:fill="FAFAFA" w:val="clear"/>
          </w:tcPr>
          <w:p>
            <w:r>
              <w:rPr>
                <w:b/>
                <w:sz w:val="17"/>
              </w:rPr>
              <w:t>65</w:t>
            </w:r>
          </w:p>
        </w:tc>
        <w:tc>
          <w:tcPr>
            <w:tcW w:type="dxa" w:w="1440"/>
            <w:shd w:fill="FAFAFA" w:val="clear"/>
          </w:tcPr>
          <w:p>
            <w:r>
              <w:rPr>
                <w:sz w:val="17"/>
              </w:rPr>
              <w:t>68</w:t>
            </w:r>
          </w:p>
        </w:tc>
        <w:tc>
          <w:tcPr>
            <w:tcW w:type="dxa" w:w="1440"/>
            <w:shd w:fill="FAFAFA" w:val="clear"/>
          </w:tcPr>
          <w:p>
            <w:r>
              <w:rPr>
                <w:b/>
                <w:color w:val="008000"/>
                <w:sz w:val="17"/>
              </w:rPr>
              <w:t>+0.3%</w:t>
            </w:r>
          </w:p>
        </w:tc>
      </w:tr>
      <w:tr>
        <w:tc>
          <w:tcPr>
            <w:tcW w:type="dxa" w:w="1440"/>
            <w:shd w:fill="FAFAFA" w:val="clear"/>
          </w:tcPr>
          <w:p>
            <w:r>
              <w:rPr>
                <w:sz w:val="17"/>
              </w:rPr>
              <w:t>J+2  ⭐</w:t>
            </w:r>
          </w:p>
        </w:tc>
        <w:tc>
          <w:tcPr>
            <w:tcW w:type="dxa" w:w="1440"/>
            <w:shd w:fill="FAFAFA" w:val="clear"/>
          </w:tcPr>
          <w:p>
            <w:r>
              <w:rPr>
                <w:sz w:val="17"/>
              </w:rPr>
              <w:t>2026-10-19</w:t>
            </w:r>
          </w:p>
        </w:tc>
        <w:tc>
          <w:tcPr>
            <w:tcW w:type="dxa" w:w="1440"/>
            <w:shd w:fill="FAFAFA" w:val="clear"/>
          </w:tcPr>
          <w:p>
            <w:r>
              <w:rPr>
                <w:sz w:val="17"/>
              </w:rPr>
              <w:t>62</w:t>
            </w:r>
          </w:p>
        </w:tc>
        <w:tc>
          <w:tcPr>
            <w:tcW w:type="dxa" w:w="1440"/>
            <w:shd w:fill="FAFAFA" w:val="clear"/>
          </w:tcPr>
          <w:p>
            <w:r>
              <w:rPr>
                <w:b/>
                <w:sz w:val="17"/>
              </w:rPr>
              <w:t>65</w:t>
            </w:r>
          </w:p>
        </w:tc>
        <w:tc>
          <w:tcPr>
            <w:tcW w:type="dxa" w:w="1440"/>
            <w:shd w:fill="FAFAFA" w:val="clear"/>
          </w:tcPr>
          <w:p>
            <w:r>
              <w:rPr>
                <w:sz w:val="17"/>
              </w:rPr>
              <w:t>69</w:t>
            </w:r>
          </w:p>
        </w:tc>
        <w:tc>
          <w:tcPr>
            <w:tcW w:type="dxa" w:w="1440"/>
            <w:shd w:fill="FAFAFA" w:val="clear"/>
          </w:tcPr>
          <w:p>
            <w:r>
              <w:rPr>
                <w:b/>
                <w:color w:val="008000"/>
                <w:sz w:val="17"/>
              </w:rPr>
              <w:t>+0.3%</w:t>
            </w:r>
          </w:p>
        </w:tc>
      </w:tr>
      <w:tr>
        <w:tc>
          <w:tcPr>
            <w:tcW w:type="dxa" w:w="1440"/>
            <w:shd w:fill="FAFAFA" w:val="clear"/>
          </w:tcPr>
          <w:p>
            <w:r>
              <w:rPr>
                <w:sz w:val="17"/>
              </w:rPr>
              <w:t>J+3  ⭐</w:t>
            </w:r>
          </w:p>
        </w:tc>
        <w:tc>
          <w:tcPr>
            <w:tcW w:type="dxa" w:w="1440"/>
            <w:shd w:fill="FAFAFA" w:val="clear"/>
          </w:tcPr>
          <w:p>
            <w:r>
              <w:rPr>
                <w:sz w:val="17"/>
              </w:rPr>
              <w:t>2026-10-20</w:t>
            </w:r>
          </w:p>
        </w:tc>
        <w:tc>
          <w:tcPr>
            <w:tcW w:type="dxa" w:w="1440"/>
            <w:shd w:fill="FAFAFA" w:val="clear"/>
          </w:tcPr>
          <w:p>
            <w:r>
              <w:rPr>
                <w:sz w:val="17"/>
              </w:rPr>
              <w:t>61</w:t>
            </w:r>
          </w:p>
        </w:tc>
        <w:tc>
          <w:tcPr>
            <w:tcW w:type="dxa" w:w="1440"/>
            <w:shd w:fill="FAFAFA" w:val="clear"/>
          </w:tcPr>
          <w:p>
            <w:r>
              <w:rPr>
                <w:b/>
                <w:sz w:val="17"/>
              </w:rPr>
              <w:t>65</w:t>
            </w:r>
          </w:p>
        </w:tc>
        <w:tc>
          <w:tcPr>
            <w:tcW w:type="dxa" w:w="1440"/>
            <w:shd w:fill="FAFAFA" w:val="clear"/>
          </w:tcPr>
          <w:p>
            <w:r>
              <w:rPr>
                <w:sz w:val="17"/>
              </w:rPr>
              <w:t>70</w:t>
            </w:r>
          </w:p>
        </w:tc>
        <w:tc>
          <w:tcPr>
            <w:tcW w:type="dxa" w:w="1440"/>
            <w:shd w:fill="FAFAFA" w:val="clear"/>
          </w:tcPr>
          <w:p>
            <w:r>
              <w:rPr>
                <w:b/>
                <w:color w:val="008000"/>
                <w:sz w:val="17"/>
              </w:rPr>
              <w:t>+0.3%</w:t>
            </w:r>
          </w:p>
        </w:tc>
      </w:tr>
      <w:tr>
        <w:tc>
          <w:tcPr>
            <w:tcW w:type="dxa" w:w="1440"/>
            <w:shd w:fill="FAFAFA" w:val="clear"/>
          </w:tcPr>
          <w:p>
            <w:r>
              <w:rPr>
                <w:sz w:val="17"/>
              </w:rPr>
              <w:t>J+4  ⭐</w:t>
            </w:r>
          </w:p>
        </w:tc>
        <w:tc>
          <w:tcPr>
            <w:tcW w:type="dxa" w:w="1440"/>
            <w:shd w:fill="FAFAFA" w:val="clear"/>
          </w:tcPr>
          <w:p>
            <w:r>
              <w:rPr>
                <w:sz w:val="17"/>
              </w:rPr>
              <w:t>2026-10-21</w:t>
            </w:r>
          </w:p>
        </w:tc>
        <w:tc>
          <w:tcPr>
            <w:tcW w:type="dxa" w:w="1440"/>
            <w:shd w:fill="FAFAFA" w:val="clear"/>
          </w:tcPr>
          <w:p>
            <w:r>
              <w:rPr>
                <w:sz w:val="17"/>
              </w:rPr>
              <w:t>60</w:t>
            </w:r>
          </w:p>
        </w:tc>
        <w:tc>
          <w:tcPr>
            <w:tcW w:type="dxa" w:w="1440"/>
            <w:shd w:fill="FAFAFA" w:val="clear"/>
          </w:tcPr>
          <w:p>
            <w:r>
              <w:rPr>
                <w:b/>
                <w:sz w:val="17"/>
              </w:rPr>
              <w:t>65</w:t>
            </w:r>
          </w:p>
        </w:tc>
        <w:tc>
          <w:tcPr>
            <w:tcW w:type="dxa" w:w="1440"/>
            <w:shd w:fill="FAFAFA" w:val="clear"/>
          </w:tcPr>
          <w:p>
            <w:r>
              <w:rPr>
                <w:sz w:val="17"/>
              </w:rPr>
              <w:t>70</w:t>
            </w:r>
          </w:p>
        </w:tc>
        <w:tc>
          <w:tcPr>
            <w:tcW w:type="dxa" w:w="1440"/>
            <w:shd w:fill="FAFAFA" w:val="clear"/>
          </w:tcPr>
          <w:p>
            <w:r>
              <w:rPr>
                <w:b/>
                <w:color w:val="008000"/>
                <w:sz w:val="17"/>
              </w:rPr>
              <w:t>+0.4%</w:t>
            </w:r>
          </w:p>
        </w:tc>
      </w:tr>
      <w:tr>
        <w:tc>
          <w:tcPr>
            <w:tcW w:type="dxa" w:w="1440"/>
            <w:shd w:fill="FAFAFA" w:val="clear"/>
          </w:tcPr>
          <w:p>
            <w:r>
              <w:rPr>
                <w:sz w:val="17"/>
              </w:rPr>
              <w:t>J+5  ⭐</w:t>
            </w:r>
          </w:p>
        </w:tc>
        <w:tc>
          <w:tcPr>
            <w:tcW w:type="dxa" w:w="1440"/>
            <w:shd w:fill="FAFAFA" w:val="clear"/>
          </w:tcPr>
          <w:p>
            <w:r>
              <w:rPr>
                <w:sz w:val="17"/>
              </w:rPr>
              <w:t>2026-10-22</w:t>
            </w:r>
          </w:p>
        </w:tc>
        <w:tc>
          <w:tcPr>
            <w:tcW w:type="dxa" w:w="1440"/>
            <w:shd w:fill="FAFAFA" w:val="clear"/>
          </w:tcPr>
          <w:p>
            <w:r>
              <w:rPr>
                <w:sz w:val="17"/>
              </w:rPr>
              <w:t>60</w:t>
            </w:r>
          </w:p>
        </w:tc>
        <w:tc>
          <w:tcPr>
            <w:tcW w:type="dxa" w:w="1440"/>
            <w:shd w:fill="FAFAFA" w:val="clear"/>
          </w:tcPr>
          <w:p>
            <w:r>
              <w:rPr>
                <w:b/>
                <w:sz w:val="17"/>
              </w:rPr>
              <w:t>65</w:t>
            </w:r>
          </w:p>
        </w:tc>
        <w:tc>
          <w:tcPr>
            <w:tcW w:type="dxa" w:w="1440"/>
            <w:shd w:fill="FAFAFA" w:val="clear"/>
          </w:tcPr>
          <w:p>
            <w:r>
              <w:rPr>
                <w:sz w:val="17"/>
              </w:rPr>
              <w:t>71</w:t>
            </w:r>
          </w:p>
        </w:tc>
        <w:tc>
          <w:tcPr>
            <w:tcW w:type="dxa" w:w="1440"/>
            <w:shd w:fill="FAFAFA" w:val="clear"/>
          </w:tcPr>
          <w:p>
            <w:r>
              <w:rPr>
                <w:b/>
                <w:color w:val="008000"/>
                <w:sz w:val="17"/>
              </w:rPr>
              <w:t>+0.4%</w:t>
            </w:r>
          </w:p>
        </w:tc>
      </w:tr>
      <w:tr>
        <w:tc>
          <w:tcPr>
            <w:tcW w:type="dxa" w:w="1440"/>
            <w:shd w:fill="FAFAFA" w:val="clear"/>
          </w:tcPr>
          <w:p>
            <w:r>
              <w:rPr>
                <w:sz w:val="17"/>
              </w:rPr>
              <w:t>J+6  ⭐</w:t>
            </w:r>
          </w:p>
        </w:tc>
        <w:tc>
          <w:tcPr>
            <w:tcW w:type="dxa" w:w="1440"/>
            <w:shd w:fill="FAFAFA" w:val="clear"/>
          </w:tcPr>
          <w:p>
            <w:r>
              <w:rPr>
                <w:sz w:val="17"/>
              </w:rPr>
              <w:t>2026-10-23</w:t>
            </w:r>
          </w:p>
        </w:tc>
        <w:tc>
          <w:tcPr>
            <w:tcW w:type="dxa" w:w="1440"/>
            <w:shd w:fill="FAFAFA" w:val="clear"/>
          </w:tcPr>
          <w:p>
            <w:r>
              <w:rPr>
                <w:sz w:val="17"/>
              </w:rPr>
              <w:t>59</w:t>
            </w:r>
          </w:p>
        </w:tc>
        <w:tc>
          <w:tcPr>
            <w:tcW w:type="dxa" w:w="1440"/>
            <w:shd w:fill="FAFAFA" w:val="clear"/>
          </w:tcPr>
          <w:p>
            <w:r>
              <w:rPr>
                <w:b/>
                <w:sz w:val="17"/>
              </w:rPr>
              <w:t>65</w:t>
            </w:r>
          </w:p>
        </w:tc>
        <w:tc>
          <w:tcPr>
            <w:tcW w:type="dxa" w:w="1440"/>
            <w:shd w:fill="FAFAFA" w:val="clear"/>
          </w:tcPr>
          <w:p>
            <w:r>
              <w:rPr>
                <w:sz w:val="17"/>
              </w:rPr>
              <w:t>71</w:t>
            </w:r>
          </w:p>
        </w:tc>
        <w:tc>
          <w:tcPr>
            <w:tcW w:type="dxa" w:w="1440"/>
            <w:shd w:fill="FAFAFA" w:val="clear"/>
          </w:tcPr>
          <w:p>
            <w:r>
              <w:rPr>
                <w:b/>
                <w:color w:val="008000"/>
                <w:sz w:val="17"/>
              </w:rPr>
              <w:t>+0.4%</w:t>
            </w:r>
          </w:p>
        </w:tc>
      </w:tr>
      <w:tr>
        <w:tc>
          <w:tcPr>
            <w:tcW w:type="dxa" w:w="1440"/>
            <w:shd w:fill="FAFAFA" w:val="clear"/>
          </w:tcPr>
          <w:p>
            <w:r>
              <w:rPr>
                <w:sz w:val="17"/>
              </w:rPr>
              <w:t>J+7  ⭐</w:t>
            </w:r>
          </w:p>
        </w:tc>
        <w:tc>
          <w:tcPr>
            <w:tcW w:type="dxa" w:w="1440"/>
            <w:shd w:fill="FAFAFA" w:val="clear"/>
          </w:tcPr>
          <w:p>
            <w:r>
              <w:rPr>
                <w:sz w:val="17"/>
              </w:rPr>
              <w:t>2026-10-26</w:t>
            </w:r>
          </w:p>
        </w:tc>
        <w:tc>
          <w:tcPr>
            <w:tcW w:type="dxa" w:w="1440"/>
            <w:shd w:fill="FAFAFA" w:val="clear"/>
          </w:tcPr>
          <w:p>
            <w:r>
              <w:rPr>
                <w:sz w:val="17"/>
              </w:rPr>
              <w:t>59</w:t>
            </w:r>
          </w:p>
        </w:tc>
        <w:tc>
          <w:tcPr>
            <w:tcW w:type="dxa" w:w="1440"/>
            <w:shd w:fill="FAFAFA" w:val="clear"/>
          </w:tcPr>
          <w:p>
            <w:r>
              <w:rPr>
                <w:b/>
                <w:sz w:val="17"/>
              </w:rPr>
              <w:t>65</w:t>
            </w:r>
          </w:p>
        </w:tc>
        <w:tc>
          <w:tcPr>
            <w:tcW w:type="dxa" w:w="1440"/>
            <w:shd w:fill="FAFAFA" w:val="clear"/>
          </w:tcPr>
          <w:p>
            <w:r>
              <w:rPr>
                <w:sz w:val="17"/>
              </w:rPr>
              <w:t>72</w:t>
            </w:r>
          </w:p>
        </w:tc>
        <w:tc>
          <w:tcPr>
            <w:tcW w:type="dxa" w:w="1440"/>
            <w:shd w:fill="FAFAFA" w:val="clear"/>
          </w:tcPr>
          <w:p>
            <w:r>
              <w:rPr>
                <w:b/>
                <w:color w:val="008000"/>
                <w:sz w:val="17"/>
              </w:rPr>
              <w:t>+0.3%</w:t>
            </w:r>
          </w:p>
        </w:tc>
      </w:tr>
      <w:tr>
        <w:tc>
          <w:tcPr>
            <w:tcW w:type="dxa" w:w="1440"/>
            <w:shd w:fill="FAFAFA" w:val="clear"/>
          </w:tcPr>
          <w:p>
            <w:r>
              <w:rPr>
                <w:sz w:val="17"/>
              </w:rPr>
              <w:t>J+8  ⭐</w:t>
            </w:r>
          </w:p>
        </w:tc>
        <w:tc>
          <w:tcPr>
            <w:tcW w:type="dxa" w:w="1440"/>
            <w:shd w:fill="FAFAFA" w:val="clear"/>
          </w:tcPr>
          <w:p>
            <w:r>
              <w:rPr>
                <w:sz w:val="17"/>
              </w:rPr>
              <w:t>2026-10-27</w:t>
            </w:r>
          </w:p>
        </w:tc>
        <w:tc>
          <w:tcPr>
            <w:tcW w:type="dxa" w:w="1440"/>
            <w:shd w:fill="FAFAFA" w:val="clear"/>
          </w:tcPr>
          <w:p>
            <w:r>
              <w:rPr>
                <w:sz w:val="17"/>
              </w:rPr>
              <w:t>58</w:t>
            </w:r>
          </w:p>
        </w:tc>
        <w:tc>
          <w:tcPr>
            <w:tcW w:type="dxa" w:w="1440"/>
            <w:shd w:fill="FAFAFA" w:val="clear"/>
          </w:tcPr>
          <w:p>
            <w:r>
              <w:rPr>
                <w:b/>
                <w:sz w:val="17"/>
              </w:rPr>
              <w:t>65</w:t>
            </w:r>
          </w:p>
        </w:tc>
        <w:tc>
          <w:tcPr>
            <w:tcW w:type="dxa" w:w="1440"/>
            <w:shd w:fill="FAFAFA" w:val="clear"/>
          </w:tcPr>
          <w:p>
            <w:r>
              <w:rPr>
                <w:sz w:val="17"/>
              </w:rPr>
              <w:t>72</w:t>
            </w:r>
          </w:p>
        </w:tc>
        <w:tc>
          <w:tcPr>
            <w:tcW w:type="dxa" w:w="1440"/>
            <w:shd w:fill="FAFAFA" w:val="clear"/>
          </w:tcPr>
          <w:p>
            <w:r>
              <w:rPr>
                <w:b/>
                <w:color w:val="008000"/>
                <w:sz w:val="17"/>
              </w:rPr>
              <w:t>+0.3%</w:t>
            </w:r>
          </w:p>
        </w:tc>
      </w:tr>
      <w:tr>
        <w:tc>
          <w:tcPr>
            <w:tcW w:type="dxa" w:w="1440"/>
            <w:shd w:fill="FAFAFA" w:val="clear"/>
          </w:tcPr>
          <w:p>
            <w:r>
              <w:rPr>
                <w:sz w:val="17"/>
              </w:rPr>
              <w:t>J+9  ⭐</w:t>
            </w:r>
          </w:p>
        </w:tc>
        <w:tc>
          <w:tcPr>
            <w:tcW w:type="dxa" w:w="1440"/>
            <w:shd w:fill="FAFAFA" w:val="clear"/>
          </w:tcPr>
          <w:p>
            <w:r>
              <w:rPr>
                <w:sz w:val="17"/>
              </w:rPr>
              <w:t>2026-10-28</w:t>
            </w:r>
          </w:p>
        </w:tc>
        <w:tc>
          <w:tcPr>
            <w:tcW w:type="dxa" w:w="1440"/>
            <w:shd w:fill="FAFAFA" w:val="clear"/>
          </w:tcPr>
          <w:p>
            <w:r>
              <w:rPr>
                <w:sz w:val="17"/>
              </w:rPr>
              <w:t>58</w:t>
            </w:r>
          </w:p>
        </w:tc>
        <w:tc>
          <w:tcPr>
            <w:tcW w:type="dxa" w:w="1440"/>
            <w:shd w:fill="FAFAFA" w:val="clear"/>
          </w:tcPr>
          <w:p>
            <w:r>
              <w:rPr>
                <w:b/>
                <w:sz w:val="17"/>
              </w:rPr>
              <w:t>65</w:t>
            </w:r>
          </w:p>
        </w:tc>
        <w:tc>
          <w:tcPr>
            <w:tcW w:type="dxa" w:w="1440"/>
            <w:shd w:fill="FAFAFA" w:val="clear"/>
          </w:tcPr>
          <w:p>
            <w:r>
              <w:rPr>
                <w:sz w:val="17"/>
              </w:rPr>
              <w:t>73</w:t>
            </w:r>
          </w:p>
        </w:tc>
        <w:tc>
          <w:tcPr>
            <w:tcW w:type="dxa" w:w="1440"/>
            <w:shd w:fill="FAFAFA" w:val="clear"/>
          </w:tcPr>
          <w:p>
            <w:r>
              <w:rPr>
                <w:b/>
                <w:color w:val="008000"/>
                <w:sz w:val="17"/>
              </w:rPr>
              <w:t>+0.3%</w:t>
            </w:r>
          </w:p>
        </w:tc>
      </w:tr>
      <w:tr>
        <w:tc>
          <w:tcPr>
            <w:tcW w:type="dxa" w:w="1440"/>
            <w:shd w:fill="FAFAFA" w:val="clear"/>
          </w:tcPr>
          <w:p>
            <w:r>
              <w:rPr>
                <w:sz w:val="17"/>
              </w:rPr>
              <w:t>J+10  ⭐</w:t>
            </w:r>
          </w:p>
        </w:tc>
        <w:tc>
          <w:tcPr>
            <w:tcW w:type="dxa" w:w="1440"/>
            <w:shd w:fill="FAFAFA" w:val="clear"/>
          </w:tcPr>
          <w:p>
            <w:r>
              <w:rPr>
                <w:sz w:val="17"/>
              </w:rPr>
              <w:t>2026-10-29</w:t>
            </w:r>
          </w:p>
        </w:tc>
        <w:tc>
          <w:tcPr>
            <w:tcW w:type="dxa" w:w="1440"/>
            <w:shd w:fill="FAFAFA" w:val="clear"/>
          </w:tcPr>
          <w:p>
            <w:r>
              <w:rPr>
                <w:sz w:val="17"/>
              </w:rPr>
              <w:t>57</w:t>
            </w:r>
          </w:p>
        </w:tc>
        <w:tc>
          <w:tcPr>
            <w:tcW w:type="dxa" w:w="1440"/>
            <w:shd w:fill="FAFAFA" w:val="clear"/>
          </w:tcPr>
          <w:p>
            <w:r>
              <w:rPr>
                <w:b/>
                <w:sz w:val="17"/>
              </w:rPr>
              <w:t>65</w:t>
            </w:r>
          </w:p>
        </w:tc>
        <w:tc>
          <w:tcPr>
            <w:tcW w:type="dxa" w:w="1440"/>
            <w:shd w:fill="FAFAFA" w:val="clear"/>
          </w:tcPr>
          <w:p>
            <w:r>
              <w:rPr>
                <w:sz w:val="17"/>
              </w:rPr>
              <w:t>73</w:t>
            </w:r>
          </w:p>
        </w:tc>
        <w:tc>
          <w:tcPr>
            <w:tcW w:type="dxa" w:w="1440"/>
            <w:shd w:fill="FAFAFA" w:val="clear"/>
          </w:tcPr>
          <w:p>
            <w:r>
              <w:rPr>
                <w:b/>
                <w:color w:val="008000"/>
                <w:sz w:val="17"/>
              </w:rPr>
              <w:t>+0.3%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3280.341 Mds FCFA</w:t>
            </w:r>
          </w:p>
        </w:tc>
        <w:tc>
          <w:tcPr>
            <w:tcW w:type="dxa" w:w="5669"/>
            <w:shd w:fill="FFFFFF" w:val="clear"/>
          </w:tcPr>
          <w:p>
            <w:r>
              <w:rPr>
                <w:color w:val="282828"/>
                <w:sz w:val="15"/>
              </w:rPr>
              <w:t>Représente 17.0%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1271.816 Mds FCFA</w:t>
            </w:r>
          </w:p>
        </w:tc>
        <w:tc>
          <w:tcPr>
            <w:tcW w:type="dxa" w:w="5669"/>
            <w:shd w:fill="FFFFFF" w:val="clear"/>
          </w:tcPr>
          <w:p>
            <w:r>
              <w:rPr>
                <w:color w:val="282828"/>
                <w:sz w:val="15"/>
              </w:rPr>
              <w:t>Titres d'État détenus (6.6%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1611.202 Mds FCFA</w:t>
            </w:r>
          </w:p>
        </w:tc>
        <w:tc>
          <w:tcPr>
            <w:tcW w:type="dxa" w:w="5669"/>
            <w:shd w:fill="FFFFFF" w:val="clear"/>
          </w:tcPr>
          <w:p>
            <w:r>
              <w:rPr>
                <w:color w:val="282828"/>
                <w:sz w:val="15"/>
              </w:rPr>
              <w:t>Prêts aux autres banques (8.4%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6570.385 Mds FCFA</w:t>
            </w:r>
          </w:p>
        </w:tc>
        <w:tc>
          <w:tcPr>
            <w:tcW w:type="dxa" w:w="5669"/>
            <w:shd w:fill="FFFFFF" w:val="clear"/>
          </w:tcPr>
          <w:p>
            <w:r>
              <w:rPr>
                <w:color w:val="282828"/>
                <w:sz w:val="15"/>
              </w:rPr>
              <w:t>Portefeuille crédits (34.1%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22.254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373.043 Mds FCFA</w:t>
            </w:r>
          </w:p>
        </w:tc>
        <w:tc>
          <w:tcPr>
            <w:tcW w:type="dxa" w:w="5669"/>
            <w:shd w:fill="FFFFFF" w:val="clear"/>
          </w:tcPr>
          <w:p>
            <w:r>
              <w:rPr>
                <w:color w:val="282828"/>
                <w:sz w:val="15"/>
              </w:rPr>
              <w:t>Outil industriel (1.9%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19243.865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1334.755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FFEB9C" w:val="clear"/>
          </w:tcPr>
          <w:p>
            <w:r>
              <w:rPr>
                <w:b/>
                <w:color w:val="B40000"/>
                <w:sz w:val="17"/>
              </w:rPr>
              <w:t>-257.103 Mds FCFA</w:t>
            </w:r>
          </w:p>
        </w:tc>
        <w:tc>
          <w:tcPr>
            <w:tcW w:type="dxa" w:w="5669"/>
            <w:shd w:fill="FFFFFF" w:val="clear"/>
          </w:tcPr>
          <w:p>
            <w:r>
              <w:rPr>
                <w:color w:val="282828"/>
                <w:sz w:val="15"/>
              </w:rPr>
              <w:t>⚠️ Réserves nulles ou négatives — capacité de résistance limitée.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1597.846 Mds FCFA</w:t>
            </w:r>
          </w:p>
        </w:tc>
        <w:tc>
          <w:tcPr>
            <w:tcW w:type="dxa" w:w="5669"/>
            <w:shd w:fill="FFFFFF" w:val="clear"/>
          </w:tcPr>
          <w:p>
            <w:r>
              <w:rPr>
                <w:color w:val="282828"/>
                <w:sz w:val="15"/>
              </w:rPr>
              <w:t>Fonds propres = 8.3%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2600.855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1458.592 Mds FCFA</w:t>
            </w:r>
          </w:p>
        </w:tc>
        <w:tc>
          <w:tcPr>
            <w:tcW w:type="dxa" w:w="5669"/>
            <w:shd w:fill="FFFFFF" w:val="clear"/>
          </w:tcPr>
          <w:p>
            <w:r>
              <w:rPr>
                <w:color w:val="282828"/>
                <w:sz w:val="15"/>
              </w:rPr>
              <w:t>Refinancement interbancaire (7.6%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14120.139 Mds FCFA</w:t>
            </w:r>
          </w:p>
        </w:tc>
        <w:tc>
          <w:tcPr>
            <w:tcW w:type="dxa" w:w="5669"/>
            <w:shd w:fill="FFFFFF" w:val="clear"/>
          </w:tcPr>
          <w:p>
            <w:r>
              <w:rPr>
                <w:color w:val="282828"/>
                <w:sz w:val="15"/>
              </w:rPr>
              <w:t>Dépôts clients = 73.4%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1003.009 Mds FCFA</w:t>
            </w:r>
          </w:p>
        </w:tc>
        <w:tc>
          <w:tcPr>
            <w:tcW w:type="dxa" w:w="5669"/>
            <w:shd w:fill="FFFFFF" w:val="clear"/>
          </w:tcPr>
          <w:p>
            <w:r>
              <w:rPr>
                <w:color w:val="282828"/>
                <w:sz w:val="15"/>
              </w:rPr>
              <w:t>Dette LT/MT = 63% des fonds propres. ✅ Endettement LT maîtrisé.</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2461.601 Mds FCFA</w:t>
            </w:r>
          </w:p>
        </w:tc>
        <w:tc>
          <w:tcPr>
            <w:tcW w:type="dxa" w:w="5669"/>
            <w:shd w:fill="FFFFFF" w:val="clear"/>
          </w:tcPr>
          <w:p>
            <w:r>
              <w:rPr>
                <w:color w:val="282828"/>
                <w:sz w:val="15"/>
              </w:rPr>
              <w:t>Dette financière totale = 154%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17646.019 Mds FCFA</w:t>
            </w:r>
          </w:p>
        </w:tc>
        <w:tc>
          <w:tcPr>
            <w:tcW w:type="dxa" w:w="5669"/>
            <w:shd w:fill="FFFFFF" w:val="clear"/>
          </w:tcPr>
          <w:p>
            <w:r>
              <w:rPr>
                <w:color w:val="282828"/>
                <w:sz w:val="15"/>
              </w:rPr>
              <w:t>Dettes totales = 91.7%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1424.261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1424.261 Mds FCFA</w:t>
            </w:r>
          </w:p>
        </w:tc>
        <w:tc>
          <w:tcPr>
            <w:tcW w:type="dxa" w:w="5669"/>
            <w:shd w:fill="FFFFFF" w:val="clear"/>
          </w:tcPr>
          <w:p>
            <w:r>
              <w:rPr>
                <w:color w:val="282828"/>
                <w:sz w:val="15"/>
              </w:rPr>
              <w:t>Revenu bancaire central (≡ CA). Croissance: 12.5%.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1219.618 Mds FCFA</w:t>
            </w:r>
          </w:p>
        </w:tc>
        <w:tc>
          <w:tcPr>
            <w:tcW w:type="dxa" w:w="5669"/>
            <w:shd w:fill="FFFFFF" w:val="clear"/>
          </w:tcPr>
          <w:p>
            <w:r>
              <w:rPr>
                <w:color w:val="282828"/>
                <w:sz w:val="15"/>
              </w:rPr>
              <w:t>Revenus d'intérêts sur crédits (86%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-398.927 Mds FCFA</w:t>
            </w:r>
          </w:p>
        </w:tc>
        <w:tc>
          <w:tcPr>
            <w:tcW w:type="dxa" w:w="5669"/>
            <w:shd w:fill="FFFFFF" w:val="clear"/>
          </w:tcPr>
          <w:p>
            <w:r>
              <w:rPr>
                <w:color w:val="282828"/>
                <w:sz w:val="15"/>
              </w:rPr>
              <w:t>Coût des dépôts collectés (-28%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393.171 Mds FCFA</w:t>
            </w:r>
          </w:p>
        </w:tc>
        <w:tc>
          <w:tcPr>
            <w:tcW w:type="dxa" w:w="5669"/>
            <w:shd w:fill="FFFFFF" w:val="clear"/>
          </w:tcPr>
          <w:p>
            <w:r>
              <w:rPr>
                <w:color w:val="282828"/>
                <w:sz w:val="15"/>
              </w:rPr>
              <w:t>Revenus de commissions (27.6%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006400"/>
                <w:sz w:val="17"/>
              </w:rPr>
              <w:t>342.712 Mds FCFA</w:t>
            </w:r>
          </w:p>
        </w:tc>
        <w:tc>
          <w:tcPr>
            <w:tcW w:type="dxa" w:w="5669"/>
            <w:shd w:fill="FFFFFF" w:val="clear"/>
          </w:tcPr>
          <w:p>
            <w:r>
              <w:rPr>
                <w:color w:val="282828"/>
                <w:sz w:val="15"/>
              </w:rPr>
              <w:t>24.1%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46.765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298.949 Mds FCFA</w:t>
            </w:r>
          </w:p>
        </w:tc>
        <w:tc>
          <w:tcPr>
            <w:tcW w:type="dxa" w:w="5669"/>
            <w:shd w:fill="FFFFFF" w:val="clear"/>
          </w:tcPr>
          <w:p>
            <w:r>
              <w:rPr>
                <w:color w:val="282828"/>
                <w:sz w:val="15"/>
              </w:rPr>
              <w:t>Masse salariale = 21.0% des revenus. ✅ Productivité par employé satisfaisante.</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735.835 Mds FCFA</w:t>
            </w:r>
          </w:p>
        </w:tc>
        <w:tc>
          <w:tcPr>
            <w:tcW w:type="dxa" w:w="5669"/>
            <w:shd w:fill="FFFFFF" w:val="clear"/>
          </w:tcPr>
          <w:p>
            <w:r>
              <w:rPr>
                <w:color w:val="282828"/>
                <w:sz w:val="15"/>
              </w:rPr>
              <w:t>RBE = 51.7%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465.618 Mds FCFA</w:t>
            </w:r>
          </w:p>
        </w:tc>
        <w:tc>
          <w:tcPr>
            <w:tcW w:type="dxa" w:w="5669"/>
            <w:shd w:fill="FFFFFF" w:val="clear"/>
          </w:tcPr>
          <w:p>
            <w:r>
              <w:rPr>
                <w:color w:val="282828"/>
                <w:sz w:val="15"/>
              </w:rPr>
              <w:t>Profit d'exploitation = 32.7%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-270.217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345.523 Mds FCFA</w:t>
            </w:r>
          </w:p>
        </w:tc>
        <w:tc>
          <w:tcPr>
            <w:tcW w:type="dxa" w:w="5669"/>
            <w:shd w:fill="FFFFFF" w:val="clear"/>
          </w:tcPr>
          <w:p>
            <w:r>
              <w:rPr>
                <w:color w:val="282828"/>
                <w:sz w:val="15"/>
              </w:rPr>
              <w:t>Marge nette = 24.3%.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654.473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-311.226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-275.366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343.247 Mds FCFA</w:t>
            </w:r>
          </w:p>
        </w:tc>
        <w:tc>
          <w:tcPr>
            <w:tcW w:type="dxa" w:w="5669"/>
            <w:shd w:fill="FFFFFF" w:val="clear"/>
          </w:tcPr>
          <w:p>
            <w:r>
              <w:rPr>
                <w:color w:val="282828"/>
                <w:sz w:val="15"/>
              </w:rPr>
              <w:t>FCF = flux opé. - capex. ✅ FCF positif — la société dégage du cash après ses investissements.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51.66%</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24.26%</w:t>
            </w:r>
          </w:p>
        </w:tc>
        <w:tc>
          <w:tcPr>
            <w:tcW w:type="dxa" w:w="5669"/>
            <w:shd w:fill="FFFFFF" w:val="clear"/>
          </w:tcPr>
          <w:p>
            <w:r>
              <w:rPr>
                <w:color w:val="282828"/>
                <w:sz w:val="15"/>
              </w:rPr>
              <w:t>Résultat net / revenus = 24.26%.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32.69%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21.62%</w:t>
            </w:r>
          </w:p>
        </w:tc>
        <w:tc>
          <w:tcPr>
            <w:tcW w:type="dxa" w:w="5669"/>
            <w:shd w:fill="FFFFFF" w:val="clear"/>
          </w:tcPr>
          <w:p>
            <w:r>
              <w:rPr>
                <w:color w:val="282828"/>
                <w:sz w:val="15"/>
              </w:rPr>
              <w:t>Résultat net / capitaux propres = 21.62%.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1.80%</w:t>
            </w:r>
          </w:p>
        </w:tc>
        <w:tc>
          <w:tcPr>
            <w:tcW w:type="dxa" w:w="5669"/>
            <w:shd w:fill="FFFFFF" w:val="clear"/>
          </w:tcPr>
          <w:p>
            <w:r>
              <w:rPr>
                <w:color w:val="282828"/>
                <w:sz w:val="15"/>
              </w:rPr>
              <w:t>Résultat net / total actif = 1.80%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7.40%</w:t>
            </w:r>
          </w:p>
        </w:tc>
        <w:tc>
          <w:tcPr>
            <w:tcW w:type="dxa" w:w="5669"/>
            <w:shd w:fill="FFFFFF" w:val="clear"/>
          </w:tcPr>
          <w:p>
            <w:r>
              <w:rPr>
                <w:color w:val="282828"/>
                <w:sz w:val="15"/>
              </w:rPr>
              <w:t>CA / total actif = 7.40x.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27.35%</w:t>
            </w:r>
          </w:p>
        </w:tc>
        <w:tc>
          <w:tcPr>
            <w:tcW w:type="dxa" w:w="5669"/>
            <w:shd w:fill="FFFFFF" w:val="clear"/>
          </w:tcPr>
          <w:p>
            <w:r>
              <w:rPr>
                <w:color w:val="282828"/>
                <w:sz w:val="15"/>
              </w:rPr>
              <w:t>Charges / PNB = 27.35%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18.97%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12.45%</w:t>
            </w:r>
          </w:p>
        </w:tc>
        <w:tc>
          <w:tcPr>
            <w:tcW w:type="dxa" w:w="5669"/>
            <w:shd w:fill="FFFFFF" w:val="clear"/>
          </w:tcPr>
          <w:p>
            <w:r>
              <w:rPr>
                <w:color w:val="282828"/>
                <w:sz w:val="15"/>
              </w:rPr>
              <w:t>Croissance PNB vs exercice précédent = 12.45%.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8.30%</w:t>
            </w:r>
          </w:p>
        </w:tc>
        <w:tc>
          <w:tcPr>
            <w:tcW w:type="dxa" w:w="5669"/>
            <w:shd w:fill="FFFFFF" w:val="clear"/>
          </w:tcPr>
          <w:p>
            <w:r>
              <w:rPr>
                <w:color w:val="282828"/>
                <w:sz w:val="15"/>
              </w:rPr>
              <w:t>Fonds propres / total bilan = 8.30%.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91.70%</w:t>
            </w:r>
          </w:p>
        </w:tc>
        <w:tc>
          <w:tcPr>
            <w:tcW w:type="dxa" w:w="5669"/>
            <w:shd w:fill="FFFFFF" w:val="clear"/>
          </w:tcPr>
          <w:p>
            <w:r>
              <w:rPr>
                <w:color w:val="282828"/>
                <w:sz w:val="15"/>
              </w:rPr>
              <w:t>Dettes financières / total bilan = 91.70%.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154.06%</w:t>
            </w:r>
          </w:p>
        </w:tc>
        <w:tc>
          <w:tcPr>
            <w:tcW w:type="dxa" w:w="5669"/>
            <w:shd w:fill="FFFFFF" w:val="clear"/>
          </w:tcPr>
          <w:p>
            <w:r>
              <w:rPr>
                <w:color w:val="282828"/>
                <w:sz w:val="15"/>
              </w:rPr>
              <w:t>Dettes totales / fonds propres = 154.06%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109.05%</w:t>
            </w:r>
          </w:p>
        </w:tc>
        <w:tc>
          <w:tcPr>
            <w:tcW w:type="dxa" w:w="5669"/>
            <w:shd w:fill="FFFFFF" w:val="clear"/>
          </w:tcPr>
          <w:p>
            <w:r>
              <w:rPr>
                <w:color w:val="282828"/>
                <w:sz w:val="15"/>
              </w:rPr>
              <w:t>Total actif / dettes totales = 109.05x. ✅ Solvable.</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116.72%</w:t>
            </w:r>
          </w:p>
        </w:tc>
        <w:tc>
          <w:tcPr>
            <w:tcW w:type="dxa" w:w="5669"/>
            <w:shd w:fill="FFFFFF" w:val="clear"/>
          </w:tcPr>
          <w:p>
            <w:r>
              <w:rPr>
                <w:color w:val="282828"/>
                <w:sz w:val="15"/>
              </w:rPr>
              <w:t>Résultat exploit. / charges financières = 116.72x. ⚠️ Couverture limite — sensible aux hausses de taux.</w:t>
            </w:r>
          </w:p>
        </w:tc>
      </w:tr>
    </w:tbl>
    <w:p/>
    <w:p>
      <w:pPr>
        <w:spacing w:after="120" w:line="276" w:lineRule="auto"/>
      </w:pPr>
      <w:r>
        <w:t>**RAPPORT D'ANALYSE FINANCIÈRE — ETIT (Ecobank Transnational Incorporated)**</w:t>
        <w:br/>
        <w:t>**Marché : BRVM | Secteur : Banque | Date d'analyse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1 175,47 milliards FCFA, ETIT se positionne parmi les valeurs les plus importantes de la cote BRVM, ce qui témoigne de son statut de banque panafricaine de référence. Le BPA s'établit à 19 FCFA par action, un niveau qui, rapporté au cours actuel de 65 FCFA, génère un PER de seulement 3,4x — très en dessous de la moyenne du marché BRVM (8-12x), ce qui suggère une sous-évaluation manifeste ou une forte décote liée aux risques perçus. Le ratio P/B de 0,74x indique que le marché valorise le titre à 26% en dessous de sa valeur comptable, une situation rare qui peut constituer une opportunité pour un investisseur value. Enfin, l'EV/EBITDA de 4,9x, inférieur au seuil de 5x, confirme que la valeur d'entreprise reste très raisonnable au regard de la capacité opérationnelle de la banque, renforçant le diagnostic de sous-évaluation globale du titre.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ETIT a enregistré une progression spectaculaire de +116,67%, passant d'un plus bas de 29 FCFA à un plus haut de 78 FCFA, avant de revenir à 65 FCFA, soit une correction de -1,52% lors de la dernière séance. Ce range de trading particulièrement large (49 FCFA d'amplitude) traduit une tendance haussière de fond, mais avec une phase de consolidation récente. Les statistiques descriptives révèlent une moyenne de 58 FCFA contre une médiane de 66 FCFA : cet écart significatif confirme une distribution asymétrique, avec davantage de séances passées au-dessus de la moyenne (cohérent avec le skewness négatif de -0,846), signe que le titre a évolué majoritairement dans la partie haute de sa fourchette. L'écart-type de 16 FCFA et le coefficient de variation de 27,1% indiquent une dispersion élevée du cours, tandis que le kurtosis de -1,030 (distribution platykurtique) suggère une faible concentration des rendements et un risque de pics moins prononcé qu'une distribution normale. La volatilité annualisée de 61,7% classe ce titre dans la catégorie des valeurs à volatilité élevée (&gt;30%), ce qui implique un risque de marché important mais aussi un potentiel de gain accru pour les investisseurs avertis.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(67,35 FCFA) et la MM50 (67,54 FCFA) se situent toutes deux au-dessus du cours actuel (65 FCFA), avec une MM20 légèrement inférieure à la MM50, ce qui configure une pression baissière de court terme. La décision technique qui en résulte est **Vente**, le cours évoluant sous ses moyennes mobiles de référence.</w:t>
      </w:r>
    </w:p>
    <w:p>
      <w:pPr>
        <w:spacing w:after="120" w:line="276" w:lineRule="auto"/>
      </w:pPr>
      <w:r>
        <w:t>**Bandes de Bollinger** : Le cours (65 FCFA) se situe dans la partie basse de la bande, entre la borne inférieure (63,607 FCFA) et la borne supérieure (71,093 FCFA), sans franchissement de seuil. La décision est **Neutre**, la volatilité restant contenue dans les bandes, ce qui suggère une absence de signal directionnel fort.</w:t>
      </w:r>
    </w:p>
    <w:p>
      <w:pPr>
        <w:spacing w:after="120" w:line="276" w:lineRule="auto"/>
      </w:pPr>
      <w:r>
        <w:t>**MACD** : La valeur du MACD (-0,641) est inférieure à son signal (-0,397), confirmant un momentum baissier. La décision est **Vente**, le croisement étant défavorable et l'histogramme négatif indiquant une pression vendeuse persistante.</w:t>
      </w:r>
    </w:p>
    <w:p>
      <w:pPr>
        <w:spacing w:after="120" w:line="276" w:lineRule="auto"/>
      </w:pPr>
      <w:r>
        <w:t>**RSI** : À 36,364, le RSI se situe dans la zone neutre basse (30-70), sans atteindre le seuil de survente (30). La décision est **Neutre**, le titre n'étant ni suracheté ni survendu, mais proche d'une zone de rebond potentiel.</w:t>
      </w:r>
    </w:p>
    <w:p>
      <w:pPr>
        <w:spacing w:after="120" w:line="276" w:lineRule="auto"/>
      </w:pPr>
      <w:r>
        <w:t>**Stochastique** : Le %K (0,0) est nettement inférieur au %D (21,667), avec un %K au plus bas, ce qui génère une décision **Achat** par anticipation d'un retournement haussier. Ce signal contraste avec les autres indicateurs et suggère une possible divergence.</w:t>
      </w:r>
    </w:p>
    <w:p>
      <w:pPr>
        <w:spacing w:after="120" w:line="276" w:lineRule="auto"/>
      </w:pPr>
      <w:r>
        <w:t>**Conclusion technique** : Les indicateurs techniques sont majoritairement baissiers à court terme (MM, MACD), avec un RSI neutre et un stochastique en zone de survente extrême. Cette configuration mixte indique une phase de consolidation baissière, mais le stochastique à 0 laisse entrevoir un potentiel rebond technique à très court terme. La convergence des signaux reste faible, invitant à la prudence.</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les états financiers consolidés d'ETIT affichent un Produit Net Bancaire (PNB) de 1 424,261 milliards FCFA, un résultat net de 345,523 milliards FCFA, un ROE de 21,62% (excellent, &gt;15%) et un ROA de 1,80%. Le coefficient d'exploitation de 27,35% est remarquablement bas (&lt;60%), témoignant d'une efficacité opérationnelle exceptionnelle, tandis que le coût du risque rapporté aux charges financières s'élève à 18,97%, un niveau modéré mais à surveiller. La structure financière montre une autonomie financière de 8,30% (faible) et un ratio d'endettement de 154,06%, typique du modèle bancaire où les dépôts clientèle (14 120,139 milliards FCFA) financent les créances clientèle (6 570,385 milliards FCFA), avec un ratio de transformation sain. Les rapports semestriels 2026 (S1 2026, publiés le 30 juillet 2026) révèlent un PNB de 721,318 milliards FCFA (+15% sur un an), un résultat net de 166,682 milliards FCFA (+6%) et un BPA de 0,80 $EU (4,53 FCFA), avec un coefficient d'exploitation amélioré à 48,4%. Toutefois, le coût du risque bondit de +40% au S1 2026, signal d'alerte sur la qualité du portefeuille, tandis que le ratio de prêts non performants reste à 7,6%. Sur la base de ces tendances, on estime que l'exercice 2026 devrait enregistrer une croissance du PNB d'environ 12-15%, mais une progression du résultat net limitée à 5-8% en raison de la hausse des provisions. La recommandation fondamentale est **Conserver**, la solidité du bilan et la sous-évaluation étant contrebalancées par la montée des risques de crédit.</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(Partie 0) est incontestablement attractive avec un PER de 3,4x, un P/B de 0,74x et un EV/EBITDA de 4,9x, tous inférieurs aux moyennes du marché, ce qui plaide pour une sous-évaluation. Le comportement du cours (Partie 1) montre une tendance haussière de long terme (+116,67%) mais une correction récente, avec une volatilité élevée (61,7%) et une distribution asymétrique (skewness négatif) qui suggère que le titre a tendance à surperformer, mais avec des risques de pics. Les signaux techniques (Partie 2) sont majoritairement baissiers à court terme (MM, MACD), mais le stochastique en zone de survente extrême (0,0) indique un potentiel rebond immédiat. Les fondamentaux (Partie 3) sont solides (ROE 21,62%, coefficient d'exploitation 27,35%), mais le coût du risque en hausse (+40% au S1 2026) tempère l'optimisme. Les prédictions IA (J+1 à J+10) tablent sur une stabilisation à 65 FCFA, ce qui confirme l'absence de tendance directionnelle claire à court terme. Sur la base de cette synthèse, la recommandation finale est **CONSERVER**, avec un niveau de confiance **Moyen** et un risque global **Moyen**. L'horizon d'investissement optimal est le **moyen terme (3-12 mois)**, en attendant la confirmation de la maîtrise du coût du risque et la concrétisation de la sous-évaluation. Un passage à **ACHAT** serait justifié si le titre franchit la résistance des 67 FCFA (MM20/MM50) avec un volume soutenu et si les prochains rapports trimestriels confirment la stabilisation des provisions.</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"acheter", "justification": "Le groupe affiche une croissance solide de son produit net bancaire (+15%) et une am\u00e9lioration de son efficacit\u00e9 op\u00e9rationnelle et de la qualit\u00e9 de ses actifs, avec un BPA en hausse. La confiance de la direction et les investissements technologiques soutiennent les perspectives, justifiant une position d'achat en attendant la poursuite de la cr\u00e9ation de valeur."}</w:t>
      </w:r>
    </w:p>
    <w:p>
      <w:pPr>
        <w:spacing w:before="40"/>
        <w:ind w:left="400"/>
      </w:pPr>
      <w:r>
        <w:rPr>
          <w:sz w:val="18"/>
        </w:rPr>
        <w:t xml:space="preserve">L'examen limité de Grant Thornton conclut à la sincérité des états financiers intermédiaires consolidés du groupe Ecobank Transnational Incorporated (ETI) au 30 juin 2026, conformément aux normes IFRS. Le produit net bancaire progresse de 15% à 1,28 milliard de dollars EU (721,3 milliards FCFA), grâce aux activités CIB et CCB. Le résultat net consolidé s'établit à 296,1 millions de dollars EU, en hausse de 6%, et le bénéfice par action à 0,80 dollar EU (+2%). Le coefficient d'exploitation s'améliore à 48,4% et le ratio de prêts non performants recule à 7,6%, malgré une hausse de 40% du coût du risque. Le total bilan s'élève à 35,64 milliards de dollars EU au 30 juin 2026, et la direction se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{'bpa': '0,80 $EU (4,53 FCFA)', 'variation_pnb': '+15%', 'depots_clientele': '26 991 677 milliers $EU (15 539 213 millions FCFA)', 'resultat_avant_impot': '422 988 milliers $EU (238 118 millions FCFA)', 'coefficient_exploitation': '48,4%', 'resultat_net_part_du_groupe': '197 957 milliers $EU (111 438 millions FCFA)', 'produit_net_bancaire_s1_2025': '1 116 569 milliers $EU (671 278 millions FCFA)', 'ratio_prêts_non_performants': '7,6%'}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23,1%</w:t>
            </w:r>
          </w:p>
        </w:tc>
        <w:tc>
          <w:tcPr>
            <w:tcW w:type="dxa" w:w="2160"/>
          </w:tcPr>
          <w:p>
            <w:pPr>
              <w:ind w:left="100"/>
            </w:pPr>
            <w:r/>
            <w:r>
              <w:rPr>
                <w:b/>
                <w:sz w:val="16"/>
              </w:rPr>
              <w:t>total_actif</w:t>
              <w:br/>
            </w:r>
            <w:r>
              <w:rPr>
                <w:sz w:val="18"/>
              </w:rPr>
              <w:t>35 642 304 milliers $EU (20 519 415 millions FCFA)</w:t>
            </w:r>
          </w:p>
        </w:tc>
      </w:tr>
      <w:tr>
        <w:tc>
          <w:tcPr>
            <w:tcW w:type="dxa" w:w="2160"/>
          </w:tcPr>
          <w:p>
            <w:r/>
            <w:r>
              <w:rPr>
                <w:b/>
                <w:sz w:val="16"/>
              </w:rPr>
              <w:t>resultat_net</w:t>
              <w:br/>
            </w:r>
            <w:r>
              <w:rPr>
                <w:sz w:val="18"/>
              </w:rPr>
              <w:t>296 091 milliers $EU (166 682 millions FCFA)</w:t>
            </w:r>
          </w:p>
        </w:tc>
        <w:tc>
          <w:tcPr>
            <w:tcW w:type="dxa" w:w="2160"/>
          </w:tcPr>
          <w:p>
            <w:r/>
            <w:r>
              <w:rPr>
                <w:b/>
                <w:sz w:val="16"/>
              </w:rPr>
              <w:t>capitaux_propres</w:t>
              <w:br/>
            </w:r>
            <w:r>
              <w:rPr>
                <w:sz w:val="18"/>
              </w:rPr>
              <w:t>2 740 646 milliers $EU (1 577 802 millions FCFA)</w:t>
            </w:r>
          </w:p>
        </w:tc>
        <w:tc>
          <w:tcPr>
            <w:tcW w:type="dxa" w:w="2160"/>
          </w:tcPr>
          <w:p>
            <w:r/>
            <w:r>
              <w:rPr>
                <w:b/>
                <w:sz w:val="16"/>
              </w:rPr>
              <w:t>chiffre_affaires</w:t>
              <w:br/>
            </w:r>
            <w:r>
              <w:rPr>
                <w:sz w:val="18"/>
              </w:rPr>
              <w:t>1 281 330 milliers $EU (721 318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15% à 1 281,3 millions $EU (721 318 millions FCFA) sur le S1 2026.</w:t>
      </w:r>
    </w:p>
    <w:p>
      <w:pPr>
        <w:pStyle w:val="ListBullet"/>
        <w:spacing w:before="20" w:after="20"/>
        <w:ind w:left="700"/>
      </w:pPr>
      <w:r>
        <w:rPr>
          <w:sz w:val="18"/>
        </w:rPr>
        <w:t>Résultat avant impôt en progression de 6% à 422,9 millions $EU; résultat net consolidé +6% à 296,1 millions $EU.</w:t>
      </w:r>
    </w:p>
    <w:p>
      <w:pPr>
        <w:pStyle w:val="ListBullet"/>
        <w:spacing w:before="20" w:after="20"/>
        <w:ind w:left="700"/>
      </w:pPr>
      <w:r>
        <w:rPr>
          <w:sz w:val="18"/>
        </w:rPr>
        <w:t>Bénéfice par action de 0,80 $EU (+2%) et valeur comptable tangible par action en hausse de 24%.</w:t>
      </w:r>
    </w:p>
    <w:p>
      <w:pPr>
        <w:pStyle w:val="ListBullet"/>
        <w:spacing w:before="20" w:after="20"/>
        <w:ind w:left="700"/>
      </w:pPr>
      <w:r>
        <w:rPr>
          <w:sz w:val="18"/>
        </w:rPr>
        <w:t>Coefficient d'exploitation amélioré à 48,4%, reflétant une discipline opérationnelle renforcée.</w:t>
      </w:r>
    </w:p>
    <w:p>
      <w:pPr>
        <w:pStyle w:val="ListBullet"/>
        <w:spacing w:before="20" w:after="20"/>
        <w:ind w:left="700"/>
      </w:pPr>
      <w:r>
        <w:rPr>
          <w:sz w:val="18"/>
        </w:rPr>
        <w:t>Coût du risque en hausse de 40% à 238,0 millions $EU, avec un ratio de prêts non performants en baisse à 7,6%.</w:t>
      </w:r>
    </w:p>
    <w:p>
      <w:pPr>
        <w:pStyle w:val="ListBullet"/>
        <w:spacing w:before="20" w:after="20"/>
        <w:ind w:left="700"/>
      </w:pPr>
      <w:r>
        <w:rPr>
          <w:sz w:val="18"/>
        </w:rPr>
        <w:t>Dépôts de la clientèle en augmentation de 7% à 26 991,7 millions $EU, soutenus par les dépôts à faible coût (CASA).</w:t>
      </w:r>
    </w:p>
    <w:p>
      <w:pPr>
        <w:spacing w:before="40"/>
        <w:ind w:left="400"/>
      </w:pPr>
      <w:r>
        <w:rPr>
          <w:b/>
          <w:color w:val="C05000"/>
          <w:sz w:val="18"/>
        </w:rPr>
        <w:t xml:space="preserve">⚠️ Risques : </w:t>
      </w:r>
      <w:r>
        <w:rPr>
          <w:sz w:val="18"/>
        </w:rPr>
        <w:t>["Hausse significative du co\u00fbt du risque (+40% en glissement annuel), li\u00e9e aux provisions sur actifs financiers.", "Tensions g\u00e9opolitiques et hausse des prix de l'\u00e9nergie dans plusieurs march\u00e9s africains, pouvant peser sur l'activit\u00e9 et la qualit\u00e9 des actifs.", "Ni</w:t>
      </w:r>
    </w:p>
    <w:p>
      <w:pPr>
        <w:spacing w:before="40"/>
        <w:ind w:left="400"/>
      </w:pPr>
      <w:r>
        <w:rPr>
          <w:b/>
          <w:color w:val="0064A0"/>
          <w:sz w:val="18"/>
        </w:rPr>
        <w:t xml:space="preserve">🔮 Perspectives : </w:t>
      </w:r>
      <w:r>
        <w:rPr>
          <w:sz w:val="18"/>
        </w:rPr>
        <w:t xml:space="preserve">Pour l'exercice 2026, le groupe Ecobank est confiant, porté par la croissance des dépôts à faible coût, la dynamique des activités CIB et CCB et l'amélioration du coefficient d'exploitation. La modernisation technologique (cloud, API, mobile, IA) et le partenariat avec Google devraient renforcer la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semestriels sont solides avec une croissance du PNB de 15% et une am\u00e9lioration de l'efficacit\u00e9 op\u00e9rationnelle. La baisse des pr\u00eats non performants et la confiance affich\u00e9e pour 2026 justifient une opinion positive sur le titre."}</w:t>
      </w:r>
    </w:p>
    <w:p>
      <w:pPr>
        <w:spacing w:before="40"/>
        <w:ind w:left="400"/>
      </w:pPr>
      <w:r>
        <w:rPr>
          <w:sz w:val="18"/>
        </w:rPr>
        <w:t>Ecobank Group (maison mère) publie des résultats semestriels 2026 en hausse. Le produit net bancaire progresse de 15% à 1,28 milliard USD, porté par les activités de banque de grande clientèle et de détail. Le résultat net s'établit à 296 millions USD, en croissance de 6% malgré un coût du risque en forte hausse. La solidité du bilan se confirme avec un total actif de 35,6 milliards USD et des capitaux propres de 2,74 milliards USD. Le groupe se dit confiant pour la fin d'exercice 2026 grâce à sa stratégie GTR et ses investissements technologiques.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{'resultat_net_fcfa': '166 682 millions FCFA', 'resultat_par_action': '0,80 $EU', 'coefficient_exploitation': '48,4%', 'resultat_net_part_groupe': '197 957 milliers $EU', 'produit_net_bancaire_fcfa': '721 318 millions FCFA', 'ratio_prêts_non_performants': '7,6%'}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23.1%</w:t>
            </w:r>
          </w:p>
        </w:tc>
        <w:tc>
          <w:tcPr>
            <w:tcW w:type="dxa" w:w="2160"/>
          </w:tcPr>
          <w:p>
            <w:pPr>
              <w:ind w:left="100"/>
            </w:pPr>
            <w:r/>
            <w:r>
              <w:rPr>
                <w:b/>
                <w:sz w:val="16"/>
              </w:rPr>
              <w:t>total_actif</w:t>
              <w:br/>
            </w:r>
            <w:r>
              <w:rPr>
                <w:sz w:val="18"/>
              </w:rPr>
              <w:t>35 642 304 milliers $EU</w:t>
            </w:r>
          </w:p>
        </w:tc>
      </w:tr>
      <w:tr>
        <w:tc>
          <w:tcPr>
            <w:tcW w:type="dxa" w:w="2160"/>
          </w:tcPr>
          <w:p>
            <w:r/>
            <w:r>
              <w:rPr>
                <w:b/>
                <w:sz w:val="16"/>
              </w:rPr>
              <w:t>resultat_net</w:t>
              <w:br/>
            </w:r>
            <w:r>
              <w:rPr>
                <w:sz w:val="18"/>
              </w:rPr>
              <w:t>296 091 milliers $EU</w:t>
            </w:r>
          </w:p>
        </w:tc>
        <w:tc>
          <w:tcPr>
            <w:tcW w:type="dxa" w:w="2160"/>
          </w:tcPr>
          <w:p>
            <w:r/>
            <w:r>
              <w:rPr>
                <w:b/>
                <w:sz w:val="16"/>
              </w:rPr>
              <w:t>capitaux_propres</w:t>
              <w:br/>
            </w:r>
            <w:r>
              <w:rPr>
                <w:sz w:val="18"/>
              </w:rPr>
              <w:t>2 740 646 milliers $EU</w:t>
            </w:r>
          </w:p>
        </w:tc>
        <w:tc>
          <w:tcPr>
            <w:tcW w:type="dxa" w:w="2160"/>
          </w:tcPr>
          <w:p>
            <w:r/>
            <w:r>
              <w:rPr>
                <w:b/>
                <w:sz w:val="16"/>
              </w:rPr>
              <w:t>chiffre_affaires</w:t>
              <w:br/>
            </w:r>
            <w:r>
              <w:rPr>
                <w:sz w:val="18"/>
              </w:rPr>
              <w:t>1 281 330 milliers $EU</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15% à 1 281 330 milliers $EU au S1 2026.</w:t>
      </w:r>
    </w:p>
    <w:p>
      <w:pPr>
        <w:pStyle w:val="ListBullet"/>
        <w:spacing w:before="20" w:after="20"/>
        <w:ind w:left="700"/>
      </w:pPr>
      <w:r>
        <w:rPr>
          <w:sz w:val="18"/>
        </w:rPr>
        <w:t>Résultat net consolidé en hausse de 6% à 296 091 milliers $EU.</w:t>
      </w:r>
    </w:p>
    <w:p>
      <w:pPr>
        <w:pStyle w:val="ListBullet"/>
        <w:spacing w:before="20" w:after="20"/>
        <w:ind w:left="700"/>
      </w:pPr>
      <w:r>
        <w:rPr>
          <w:sz w:val="18"/>
        </w:rPr>
        <w:t>Coefficient d'exploitation amélioré à 48,4%.</w:t>
      </w:r>
    </w:p>
    <w:p>
      <w:pPr>
        <w:pStyle w:val="ListBullet"/>
        <w:spacing w:before="20" w:after="20"/>
        <w:ind w:left="700"/>
      </w:pPr>
      <w:r>
        <w:rPr>
          <w:sz w:val="18"/>
        </w:rPr>
        <w:t>Ratio de prêts non performants en baisse à 7,6%.</w:t>
      </w:r>
    </w:p>
    <w:p>
      <w:pPr>
        <w:pStyle w:val="ListBullet"/>
        <w:spacing w:before="20" w:after="20"/>
        <w:ind w:left="700"/>
      </w:pPr>
      <w:r>
        <w:rPr>
          <w:sz w:val="18"/>
        </w:rPr>
        <w:t>Dépôts de la clientèle en hausse de 7% à 26 991 677 milliers $EU.</w:t>
      </w:r>
    </w:p>
    <w:p>
      <w:pPr>
        <w:pStyle w:val="ListBullet"/>
        <w:spacing w:before="20" w:after="20"/>
        <w:ind w:left="700"/>
      </w:pPr>
      <w:r>
        <w:rPr>
          <w:sz w:val="18"/>
        </w:rPr>
        <w:t>Bénéfice par action de 0,80 $EU, en hausse de 2%.</w:t>
      </w:r>
    </w:p>
    <w:p>
      <w:pPr>
        <w:spacing w:before="40"/>
        <w:ind w:left="400"/>
      </w:pPr>
      <w:r>
        <w:rPr>
          <w:b/>
          <w:color w:val="C05000"/>
          <w:sz w:val="18"/>
        </w:rPr>
        <w:t xml:space="preserve">⚠️ Risques : </w:t>
      </w:r>
      <w:r>
        <w:rPr>
          <w:sz w:val="18"/>
        </w:rPr>
        <w:t>["Tensions g\u00e9opolitiques et hausse des prix de l'\u00e9nergie sur plusieurs march\u00e9s.", "Hausse significative du co\u00fbt du risque (+40% par rapport au S1 2025).", "Augmentation des charges d'exploitation et pression sur la marge."]</w:t>
      </w:r>
    </w:p>
    <w:p>
      <w:pPr>
        <w:spacing w:before="40"/>
        <w:ind w:left="400"/>
      </w:pPr>
      <w:r>
        <w:rPr>
          <w:b/>
          <w:color w:val="0064A0"/>
          <w:sz w:val="18"/>
        </w:rPr>
        <w:t xml:space="preserve">🔮 Perspectives : </w:t>
      </w:r>
      <w:r>
        <w:rPr>
          <w:sz w:val="18"/>
        </w:rPr>
        <w:t>Ecobank prévoit de poursuivre sa dynamique positive pour l'exercice 2026, portée par sa stratégie GTR et ses investissements dans la technologie. Le groupe vise à continuer d'améliorer son efficacité opérationnelle et sa rentabilité, tout en maintenant une gestion prudente du risque. L'environnement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une croissance solide des revenus et une am\u00e9lioration de l'efficacit\u00e9 op\u00e9rationnelle, la forte hausse du co\u00fbt du risque de 73% constitue un signal d'alerte qui n\u00e9cessite une surveillance attentive. La strat\u00e9gie de transformation digitale porte ses fruits mais la prudence est recommand\u00e9e."}</w:t>
      </w:r>
    </w:p>
    <w:p>
      <w:pPr>
        <w:spacing w:before="40"/>
        <w:ind w:left="400"/>
      </w:pPr>
      <w:r>
        <w:rPr>
          <w:sz w:val="18"/>
        </w:rPr>
        <w:t>Ecobank présente des résultats solides pour le premier trimestre 2026 avec un produit net bancaire en hausse de 23% à 636,2 millions $EU. Le résultat net consolidé progresse de 16% à 142,5 millions $EU, reflétant une croissance significative des dépôts (+5 milliards $EU) et une amélioration de la marge d'intérêt nette de 32%. Le coefficient d'exploitation s'améliore à 49,0% contre 51,6% l'année précédente, témoignant des gains d'efficacité. Cependant, le coût du risque augmente fortement de 73% à 129,4 millions $EU, représentant un défi à surveiller. La banque maintient sa stratégie de transformation numérique avec une progression de 54% des transactions digitales.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'129,4 millions $EU', 'marge_interet_nette': '389,965 millions $EU', 'resultat_par_action': '0,38 cents $EU', 'coefficient_exploitation': '49,0%'}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22,4%</w:t>
            </w:r>
          </w:p>
        </w:tc>
        <w:tc>
          <w:tcPr>
            <w:tcW w:type="dxa" w:w="2160"/>
          </w:tcPr>
          <w:p>
            <w:pPr>
              <w:ind w:left="100"/>
            </w:pPr>
            <w:r/>
            <w:r>
              <w:rPr>
                <w:b/>
                <w:sz w:val="16"/>
              </w:rPr>
              <w:t>total_actif</w:t>
              <w:br/>
            </w:r>
            <w:r>
              <w:rPr>
                <w:sz w:val="18"/>
              </w:rPr>
              <w:t>35,157 milliards $EU</w:t>
            </w:r>
          </w:p>
        </w:tc>
      </w:tr>
      <w:tr>
        <w:tc>
          <w:tcPr>
            <w:tcW w:type="dxa" w:w="2160"/>
          </w:tcPr>
          <w:p>
            <w:r/>
            <w:r>
              <w:rPr>
                <w:b/>
                <w:sz w:val="16"/>
              </w:rPr>
              <w:t>resultat_net</w:t>
              <w:br/>
            </w:r>
            <w:r>
              <w:rPr>
                <w:sz w:val="18"/>
              </w:rPr>
              <w:t>142,5 millions $EU</w:t>
            </w:r>
          </w:p>
        </w:tc>
        <w:tc>
          <w:tcPr>
            <w:tcW w:type="dxa" w:w="2160"/>
          </w:tcPr>
          <w:p>
            <w:r/>
            <w:r>
              <w:rPr>
                <w:b/>
                <w:sz w:val="16"/>
              </w:rPr>
              <w:t>capitaux_propres</w:t>
              <w:br/>
            </w:r>
            <w:r>
              <w:rPr>
                <w:sz w:val="18"/>
              </w:rPr>
              <w:t>2,859 milliards $EU</w:t>
            </w:r>
          </w:p>
        </w:tc>
        <w:tc>
          <w:tcPr>
            <w:tcW w:type="dxa" w:w="2160"/>
          </w:tcPr>
          <w:p>
            <w:r/>
            <w:r>
              <w:rPr>
                <w:b/>
                <w:sz w:val="16"/>
              </w:rPr>
              <w:t>chiffre_affaires</w:t>
              <w:br/>
            </w:r>
            <w:r>
              <w:rPr>
                <w:sz w:val="18"/>
              </w:rPr>
              <w:t>636,2 millions $EU</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forte croissance de 23% à 636,2 millions $EU</w:t>
      </w:r>
    </w:p>
    <w:p>
      <w:pPr>
        <w:pStyle w:val="ListBullet"/>
        <w:spacing w:before="20" w:after="20"/>
        <w:ind w:left="700"/>
      </w:pPr>
      <w:r>
        <w:rPr>
          <w:sz w:val="18"/>
        </w:rPr>
        <w:t>Marge nette des intérêts en hausse de 32% à 389,965 millions $EU</w:t>
      </w:r>
    </w:p>
    <w:p>
      <w:pPr>
        <w:pStyle w:val="ListBullet"/>
        <w:spacing w:before="20" w:after="20"/>
        <w:ind w:left="700"/>
      </w:pPr>
      <w:r>
        <w:rPr>
          <w:sz w:val="18"/>
        </w:rPr>
        <w:t>Croissance significative des dépôts de la clientèle de 5 milliards $EU</w:t>
      </w:r>
    </w:p>
    <w:p>
      <w:pPr>
        <w:pStyle w:val="ListBullet"/>
        <w:spacing w:before="20" w:after="20"/>
        <w:ind w:left="700"/>
      </w:pPr>
      <w:r>
        <w:rPr>
          <w:sz w:val="18"/>
        </w:rPr>
        <w:t>Amélioration du coefficient d'exploitation à 49,0% vs 51,6% en 2025</w:t>
      </w:r>
    </w:p>
    <w:p>
      <w:pPr>
        <w:pStyle w:val="ListBullet"/>
        <w:spacing w:before="20" w:after="20"/>
        <w:ind w:left="700"/>
      </w:pPr>
      <w:r>
        <w:rPr>
          <w:sz w:val="18"/>
        </w:rPr>
        <w:t>Forte augmentation du coût du risque de 73% à 129,4 millions $EU</w:t>
      </w:r>
    </w:p>
    <w:p>
      <w:pPr>
        <w:pStyle w:val="ListBullet"/>
        <w:spacing w:before="20" w:after="20"/>
        <w:ind w:left="700"/>
      </w:pPr>
      <w:r>
        <w:rPr>
          <w:sz w:val="18"/>
        </w:rPr>
        <w:t>Progression de 54% des transactions numériques à 25,7 milliards $</w:t>
      </w:r>
    </w:p>
    <w:p>
      <w:pPr>
        <w:spacing w:before="40"/>
        <w:ind w:left="400"/>
      </w:pPr>
      <w:r>
        <w:rPr>
          <w:b/>
          <w:color w:val="C05000"/>
          <w:sz w:val="18"/>
        </w:rPr>
        <w:t xml:space="preserve">⚠️ Risques : </w:t>
      </w:r>
      <w:r>
        <w:rPr>
          <w:sz w:val="18"/>
        </w:rPr>
        <w:t>["Augmentation significative du co\u00fbt du risque (+73%) qui pourrait impacter la rentabilit\u00e9 future", "Environnement op\u00e9rationnel difficile mentionn\u00e9 par la direction dans plusieurs pays africains", "D\u00e9pendance aux fluctuations des devises (exposition FCFA/USD) dans un context</w:t>
      </w:r>
    </w:p>
    <w:p>
      <w:pPr>
        <w:spacing w:before="40"/>
        <w:ind w:left="400"/>
      </w:pPr>
      <w:r>
        <w:rPr>
          <w:b/>
          <w:color w:val="0064A0"/>
          <w:sz w:val="18"/>
        </w:rPr>
        <w:t xml:space="preserve">🔮 Perspectives : </w:t>
      </w:r>
      <w:r>
        <w:rPr>
          <w:sz w:val="18"/>
        </w:rPr>
        <w:t>Ecobank poursuit sa stratégie 'Croissance, Transformation et Rendements' avec des investissements continus dans la digitalisation et l'expansion de sa base clientèle. La banque reste confiante dans ses capacités à maintenir sa dynamique commerciale malgré les défis macroéconomiques. L'accent sera mi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am\u00e9lioration et une gestion des risques renforc\u00e9e. La trajectoire d'am\u00e9lioration op\u00e9rationnelle et le renforcement des fonds propres positionnent favorablement la banque."}</w:t>
      </w:r>
    </w:p>
    <w:p>
      <w:pPr>
        <w:spacing w:before="40"/>
        <w:ind w:left="400"/>
      </w:pPr>
      <w:r>
        <w:rPr>
          <w:sz w:val="18"/>
        </w:rPr>
        <w:t xml:space="preserve">Ecobank Transnational Inc. affiche une performance exceptionnelle au troisième trimestre 2021 avec un résultat net de 256,2 millions USD, soit une hausse spectaculaire de 847% par rapport à 2020. Le produit net bancaire progresse modestement de 4% à 1,27 milliard USD tandis que le résultat d'exploitation bondit de 35% à 382,1 millions USD. La banque améliore significativement ses ratios opérationnels avec un coefficient d'exploitation de 58,3% et réduit son taux de créances douteuses de 9,9% à 6,9%. Le renforcement des fonds propres se poursuit avec un investissement AT1 de 75 millions USD et une émission Tier 2 de 350 millions USD. Le total du bilan s'établit à 26,4 milliards USD en hausse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{'roe_tangible': '17,9%', 'resultat_par_action': '0,738 USD', 'taux_creances_douteuses': '6,9%', 'coefficient_exploitation': '58,3%'}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20,3%</w:t>
            </w:r>
          </w:p>
        </w:tc>
        <w:tc>
          <w:tcPr>
            <w:tcW w:type="dxa" w:w="2160"/>
          </w:tcPr>
          <w:p>
            <w:pPr>
              <w:ind w:left="100"/>
            </w:pPr>
            <w:r/>
            <w:r>
              <w:rPr>
                <w:b/>
                <w:sz w:val="16"/>
              </w:rPr>
              <w:t>total_actif</w:t>
              <w:br/>
            </w:r>
            <w:r>
              <w:rPr>
                <w:sz w:val="18"/>
              </w:rPr>
              <w:t>26 416,8 millions USD</w:t>
            </w:r>
          </w:p>
        </w:tc>
      </w:tr>
      <w:tr>
        <w:tc>
          <w:tcPr>
            <w:tcW w:type="dxa" w:w="2160"/>
          </w:tcPr>
          <w:p>
            <w:r/>
            <w:r>
              <w:rPr>
                <w:b/>
                <w:sz w:val="16"/>
              </w:rPr>
              <w:t>resultat_net</w:t>
              <w:br/>
            </w:r>
            <w:r>
              <w:rPr>
                <w:sz w:val="18"/>
              </w:rPr>
              <w:t>256,2 millions USD</w:t>
            </w:r>
          </w:p>
        </w:tc>
        <w:tc>
          <w:tcPr>
            <w:tcW w:type="dxa" w:w="2160"/>
          </w:tcPr>
          <w:p>
            <w:r/>
            <w:r>
              <w:rPr>
                <w:b/>
                <w:sz w:val="16"/>
              </w:rPr>
              <w:t>capitaux_propres</w:t>
              <w:br/>
            </w:r>
            <w:r>
              <w:rPr>
                <w:sz w:val="18"/>
              </w:rPr>
              <w:t>2 121,6 millions USD</w:t>
            </w:r>
          </w:p>
        </w:tc>
        <w:tc>
          <w:tcPr>
            <w:tcW w:type="dxa" w:w="2160"/>
          </w:tcPr>
          <w:p>
            <w:r/>
            <w:r>
              <w:rPr>
                <w:b/>
                <w:sz w:val="16"/>
              </w:rPr>
              <w:t>chiffre_affaires</w:t>
              <w:br/>
            </w:r>
            <w:r>
              <w:rPr>
                <w:sz w:val="18"/>
              </w:rPr>
              <w:t>1 265,3 millions USD</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exceptionnel de 256,2 millions USD (+847% vs 2020)</w:t>
      </w:r>
    </w:p>
    <w:p>
      <w:pPr>
        <w:pStyle w:val="ListBullet"/>
        <w:spacing w:before="20" w:after="20"/>
        <w:ind w:left="700"/>
      </w:pPr>
      <w:r>
        <w:rPr>
          <w:sz w:val="18"/>
        </w:rPr>
        <w:t>Produit net bancaire stable à 1,27 milliard USD (+4%)</w:t>
      </w:r>
    </w:p>
    <w:p>
      <w:pPr>
        <w:pStyle w:val="ListBullet"/>
        <w:spacing w:before="20" w:after="20"/>
        <w:ind w:left="700"/>
      </w:pPr>
      <w:r>
        <w:rPr>
          <w:sz w:val="18"/>
        </w:rPr>
        <w:t>Amélioration du coefficient d'exploitation à 58,3%</w:t>
      </w:r>
    </w:p>
    <w:p>
      <w:pPr>
        <w:pStyle w:val="ListBullet"/>
        <w:spacing w:before="20" w:after="20"/>
        <w:ind w:left="700"/>
      </w:pPr>
      <w:r>
        <w:rPr>
          <w:sz w:val="18"/>
        </w:rPr>
        <w:t>Réduction significative du taux de créances douteuses de 9,9% à 6,9%</w:t>
      </w:r>
    </w:p>
    <w:p>
      <w:pPr>
        <w:pStyle w:val="ListBullet"/>
        <w:spacing w:before="20" w:after="20"/>
        <w:ind w:left="700"/>
      </w:pPr>
      <w:r>
        <w:rPr>
          <w:sz w:val="18"/>
        </w:rPr>
        <w:t>Taux de couverture des provisions à 91,2% des créances douteuses</w:t>
      </w:r>
    </w:p>
    <w:p>
      <w:pPr>
        <w:pStyle w:val="ListBullet"/>
        <w:spacing w:before="20" w:after="20"/>
        <w:ind w:left="700"/>
      </w:pPr>
      <w:r>
        <w:rPr>
          <w:sz w:val="18"/>
        </w:rPr>
        <w:t>Rendement des capitaux propres tangibles à 17,9%</w:t>
      </w:r>
    </w:p>
    <w:p>
      <w:pPr>
        <w:spacing w:before="40"/>
        <w:ind w:left="400"/>
      </w:pPr>
      <w:r>
        <w:rPr>
          <w:b/>
          <w:color w:val="C05000"/>
          <w:sz w:val="18"/>
        </w:rPr>
        <w:t xml:space="preserve">⚠️ Risques : </w:t>
      </w:r>
      <w:r>
        <w:rPr>
          <w:sz w:val="18"/>
        </w:rPr>
        <w:t>["Exposition aux \u00e9conomies africaines volatiles et risques pays", "Concentration g\u00e9ographique sur des march\u00e9s \u00e9mergents fragiles", "Impact potentiel de l'inflation sur les co\u00fbts op\u00e9rationnels"]</w:t>
      </w:r>
    </w:p>
    <w:p>
      <w:pPr>
        <w:spacing w:before="40"/>
        <w:ind w:left="400"/>
      </w:pPr>
      <w:r>
        <w:rPr>
          <w:b/>
          <w:color w:val="0064A0"/>
          <w:sz w:val="18"/>
        </w:rPr>
        <w:t xml:space="preserve">🔮 Perspectives : </w:t>
      </w:r>
      <w:r>
        <w:rPr>
          <w:sz w:val="18"/>
        </w:rPr>
        <w:t xml:space="preserve">La banque est bien positionnée pour poursuivre sa trajectoire positive avec des investissements continus dans le digital et une amélioration structurelle de l'efficacité opérationnelle. La solidification du bilan et l'accélération de l'adoption des canaux numériques devraient soutenir la croissance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am\u00e9lioration de la rentabilit\u00e9 avec un r\u00e9sultat net multipli\u00e9 par 4 et l'absence de d\u00e9pr\u00e9ciation de goodwill d\u00e9montrent un redressement r\u00e9ussi. La croissance soutenue des d\u00e9p\u00f4ts client\u00e8le et la solidit\u00e9 du bilan offrent des perspectives attractives pour cette banque panafricaine de r\u00e9f\u00e9rence."}</w:t>
      </w:r>
    </w:p>
    <w:p>
      <w:pPr>
        <w:spacing w:before="40"/>
        <w:ind w:left="400"/>
      </w:pPr>
      <w:r>
        <w:rPr>
          <w:sz w:val="18"/>
        </w:rPr>
        <w:t>Ecobank Transnational Incorporated présente des résultats financiers solides pour 2021 avec une croissance significative de la rentabilité. Le produit net bancaire progresse de 4% à 1,7 milliard $EU tandis que le résultat net consolidé bondit spectaculairement de 296% à 349,5 millions $EU. Le total du bilan augmente de 5% à 27,3 milliards $EU, démontrant la solidité de la structure financière. Les capitaux propres se renforcent de 5% à 2,1 milliards $EU, témoignant d'une base de capital solide. La banque panafricaine confirme sa position de leader avec une présence dans 39 pays et 13 167 employés.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{'credits_clientele': '9,6 milliards $EU', 'deposits_clientele': '19,5 milliards $EU', 'resultat_par_action': '1,041 cents $EU', 'ratio_credits_deposits': '49,1%'}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20,1%</w:t>
            </w:r>
          </w:p>
        </w:tc>
        <w:tc>
          <w:tcPr>
            <w:tcW w:type="dxa" w:w="2160"/>
          </w:tcPr>
          <w:p>
            <w:pPr>
              <w:ind w:left="100"/>
            </w:pPr>
            <w:r/>
            <w:r>
              <w:rPr>
                <w:b/>
                <w:sz w:val="16"/>
              </w:rPr>
              <w:t>total_actif</w:t>
              <w:br/>
            </w:r>
            <w:r>
              <w:rPr>
                <w:sz w:val="18"/>
              </w:rPr>
              <w:t>27,3 milliards $EU</w:t>
            </w:r>
          </w:p>
        </w:tc>
      </w:tr>
      <w:tr>
        <w:tc>
          <w:tcPr>
            <w:tcW w:type="dxa" w:w="2160"/>
          </w:tcPr>
          <w:p>
            <w:r/>
            <w:r>
              <w:rPr>
                <w:b/>
                <w:sz w:val="16"/>
              </w:rPr>
              <w:t>resultat_net</w:t>
              <w:br/>
            </w:r>
            <w:r>
              <w:rPr>
                <w:sz w:val="18"/>
              </w:rPr>
              <w:t>349,5 millions $EU</w:t>
            </w:r>
          </w:p>
        </w:tc>
        <w:tc>
          <w:tcPr>
            <w:tcW w:type="dxa" w:w="2160"/>
          </w:tcPr>
          <w:p>
            <w:r/>
            <w:r>
              <w:rPr>
                <w:b/>
                <w:sz w:val="16"/>
              </w:rPr>
              <w:t>capitaux_propres</w:t>
              <w:br/>
            </w:r>
            <w:r>
              <w:rPr>
                <w:sz w:val="18"/>
              </w:rPr>
              <w:t>2,1 milliards $EU</w:t>
            </w:r>
          </w:p>
        </w:tc>
        <w:tc>
          <w:tcPr>
            <w:tcW w:type="dxa" w:w="2160"/>
          </w:tcPr>
          <w:p>
            <w:r/>
            <w:r>
              <w:rPr>
                <w:b/>
                <w:sz w:val="16"/>
              </w:rPr>
              <w:t>chiffre_affaires</w:t>
              <w:br/>
            </w:r>
            <w:r>
              <w:rPr>
                <w:sz w:val="18"/>
              </w:rPr>
              <w:t>1,741 milliard $EU</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consolidé de 296% à 349,5 millions $EU</w:t>
      </w:r>
    </w:p>
    <w:p>
      <w:pPr>
        <w:pStyle w:val="ListBullet"/>
        <w:spacing w:before="20" w:after="20"/>
        <w:ind w:left="700"/>
      </w:pPr>
      <w:r>
        <w:rPr>
          <w:sz w:val="18"/>
        </w:rPr>
        <w:t>Progression du produit net bancaire de 4% à 1,7 milliard $EU malgré un contexte économique difficile</w:t>
      </w:r>
    </w:p>
    <w:p>
      <w:pPr>
        <w:pStyle w:val="ListBullet"/>
        <w:spacing w:before="20" w:after="20"/>
        <w:ind w:left="700"/>
      </w:pPr>
      <w:r>
        <w:rPr>
          <w:sz w:val="18"/>
        </w:rPr>
        <w:t>Augmentation des dépôts clientèle de 7% à 19,5 milliards $EU, reflétant la confiance des clients</w:t>
      </w:r>
    </w:p>
    <w:p>
      <w:pPr>
        <w:pStyle w:val="ListBullet"/>
        <w:spacing w:before="20" w:after="20"/>
        <w:ind w:left="700"/>
      </w:pPr>
      <w:r>
        <w:rPr>
          <w:sz w:val="18"/>
        </w:rPr>
        <w:t>Croissance des crédits à la clientèle de 3,8% à 9,6 milliards $EU</w:t>
      </w:r>
    </w:p>
    <w:p>
      <w:pPr>
        <w:pStyle w:val="ListBullet"/>
        <w:spacing w:before="20" w:after="20"/>
        <w:ind w:left="700"/>
      </w:pPr>
      <w:r>
        <w:rPr>
          <w:sz w:val="18"/>
        </w:rPr>
        <w:t>Renforcement du total du bilan de 5% à 27,3 milliards $EU</w:t>
      </w:r>
    </w:p>
    <w:p>
      <w:pPr>
        <w:pStyle w:val="ListBullet"/>
        <w:spacing w:before="20" w:after="20"/>
        <w:ind w:left="700"/>
      </w:pPr>
      <w:r>
        <w:rPr>
          <w:sz w:val="18"/>
        </w:rPr>
        <w:t>Amélioration significative du résultat par action qui passe de 0,010 à 1,041 cents $EU</w:t>
      </w:r>
    </w:p>
    <w:p>
      <w:pPr>
        <w:spacing w:before="40"/>
        <w:ind w:left="400"/>
      </w:pPr>
      <w:r>
        <w:rPr>
          <w:b/>
          <w:color w:val="C05000"/>
          <w:sz w:val="18"/>
        </w:rPr>
        <w:t xml:space="preserve">⚠️ Risques : </w:t>
      </w:r>
      <w:r>
        <w:rPr>
          <w:sz w:val="18"/>
        </w:rPr>
        <w:t>["Exposition aux risques politiques et \u00e9conomiques dans 39 pays africains", "Volatilit\u00e9 des taux de change impactant les r\u00e9sultats consolid\u00e9s", "Risque de cr\u00e9dit \u00e9lev\u00e9 avec des provisions sur actifs financiers de 201,9 millions $EU"]</w:t>
      </w:r>
    </w:p>
    <w:p>
      <w:pPr>
        <w:spacing w:before="40"/>
        <w:ind w:left="400"/>
      </w:pPr>
      <w:r>
        <w:rPr>
          <w:b/>
          <w:color w:val="0064A0"/>
          <w:sz w:val="18"/>
        </w:rPr>
        <w:t xml:space="preserve">🔮 Perspectives : </w:t>
      </w:r>
      <w:r>
        <w:rPr>
          <w:sz w:val="18"/>
        </w:rPr>
        <w:t>Les perspectives pour 2022 semblent favorables compte tenu de la dynamique de croissance retrouvée et de la solidité financière démontrée. La banque devrait bénéficier de la reprise économique progressive en Afrique et de sa position de leader sur le marché bancaire panafricain. La poursuite de la c</w:t>
      </w:r>
    </w:p>
    <w:p/>
    <w:p>
      <w:r>
        <w:t>════════════════════════════════════════════════════════════════════════════════</w:t>
      </w:r>
    </w:p>
    <w:p>
      <w:r>
        <w:br w:type="page"/>
      </w:r>
    </w:p>
    <w:p>
      <w:pPr>
        <w:pStyle w:val="Heading2"/>
        <w:spacing w:before="360"/>
      </w:pPr>
      <w:r>
        <w:rPr>
          <w:color w:val="0066CC"/>
        </w:rPr>
        <w:t>18. FTSC - FTSC - FILTISAC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FTSC</w:t>
            </w:r>
          </w:p>
          <w:p>
            <w:r>
              <w:rPr>
                <w:b/>
                <w:color w:val="323250"/>
                <w:sz w:val="16"/>
              </w:rPr>
              <w:t xml:space="preserve">Société : </w:t>
            </w:r>
            <w:r>
              <w:rPr>
                <w:color w:val="000000"/>
                <w:sz w:val="16"/>
              </w:rPr>
              <w:t>FTSC - FILTISAC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25.39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4,152 titres</w:t>
            </w:r>
          </w:p>
        </w:tc>
        <w:tc>
          <w:tcPr>
            <w:tcW w:type="dxa" w:w="2268"/>
            <w:shd w:fill="FFF2CC" w:val="clear"/>
          </w:tcPr>
          <w:p>
            <w:r>
              <w:rPr>
                <w:b/>
                <w:color w:val="503200"/>
                <w:sz w:val="16"/>
              </w:rPr>
              <w:t xml:space="preserve">Cours actuel : </w:t>
            </w:r>
            <w:r>
              <w:rPr>
                <w:color w:val="000000"/>
                <w:sz w:val="17"/>
              </w:rPr>
              <w:t>1,800 FCFA</w:t>
            </w:r>
          </w:p>
          <w:p>
            <w:r>
              <w:rPr>
                <w:b/>
                <w:color w:val="503200"/>
                <w:sz w:val="16"/>
              </w:rPr>
              <w:t xml:space="preserve">Var. 100 jours : </w:t>
            </w:r>
            <w:r>
              <w:rPr>
                <w:b/>
                <w:color w:val="B40000"/>
                <w:sz w:val="17"/>
              </w:rPr>
              <w:t>-21.05%</w:t>
            </w:r>
          </w:p>
          <w:p>
            <w:r>
              <w:rPr>
                <w:b/>
                <w:color w:val="503200"/>
                <w:sz w:val="16"/>
              </w:rPr>
              <w:t xml:space="preserve">Plus haut 100j : </w:t>
            </w:r>
            <w:r>
              <w:rPr>
                <w:color w:val="000000"/>
                <w:sz w:val="17"/>
              </w:rPr>
              <w:t>2,430 FCFA</w:t>
            </w:r>
          </w:p>
          <w:p>
            <w:r>
              <w:rPr>
                <w:b/>
                <w:color w:val="503200"/>
                <w:sz w:val="16"/>
              </w:rPr>
              <w:t xml:space="preserve">Plus bas 100j : </w:t>
            </w:r>
            <w:r>
              <w:rPr>
                <w:color w:val="000000"/>
                <w:sz w:val="17"/>
              </w:rPr>
              <w:t>1,800 FCFA</w:t>
            </w:r>
          </w:p>
          <w:p>
            <w:r>
              <w:rPr>
                <w:b/>
                <w:color w:val="503200"/>
                <w:sz w:val="16"/>
              </w:rPr>
              <w:t xml:space="preserve">Volatilité ann. : </w:t>
            </w:r>
            <w:r>
              <w:rPr>
                <w:color w:val="000000"/>
                <w:sz w:val="17"/>
              </w:rPr>
              <w:t>36.0%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6.53% (Moyenne) — μ=2,077 FCFA, σ=136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β=0.5260 (Défensif) — Cov=0.000039, Var(idx)=0.000075, ρ=0.199,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4,152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σ_j=2.27%/j (Stable) — Vol. annualisée≈36.0%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20" name="Picture 20"/>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2026-10-16</w:t>
            </w:r>
          </w:p>
        </w:tc>
        <w:tc>
          <w:tcPr>
            <w:tcW w:type="dxa" w:w="1440"/>
            <w:shd w:fill="FAFAFA" w:val="clear"/>
          </w:tcPr>
          <w:p>
            <w:r>
              <w:rPr>
                <w:sz w:val="17"/>
              </w:rPr>
              <w:t>1,715</w:t>
            </w:r>
          </w:p>
        </w:tc>
        <w:tc>
          <w:tcPr>
            <w:tcW w:type="dxa" w:w="1440"/>
            <w:shd w:fill="FAFAFA" w:val="clear"/>
          </w:tcPr>
          <w:p>
            <w:r>
              <w:rPr>
                <w:b/>
                <w:sz w:val="17"/>
              </w:rPr>
              <w:t>1,792</w:t>
            </w:r>
          </w:p>
        </w:tc>
        <w:tc>
          <w:tcPr>
            <w:tcW w:type="dxa" w:w="1440"/>
            <w:shd w:fill="FAFAFA" w:val="clear"/>
          </w:tcPr>
          <w:p>
            <w:r>
              <w:rPr>
                <w:sz w:val="17"/>
              </w:rPr>
              <w:t>1,868</w:t>
            </w:r>
          </w:p>
        </w:tc>
        <w:tc>
          <w:tcPr>
            <w:tcW w:type="dxa" w:w="1440"/>
            <w:shd w:fill="FAFAFA" w:val="clear"/>
          </w:tcPr>
          <w:p>
            <w:r>
              <w:rPr>
                <w:b/>
                <w:color w:val="C00000"/>
                <w:sz w:val="17"/>
              </w:rPr>
              <w:t>-0.5%</w:t>
            </w:r>
          </w:p>
        </w:tc>
      </w:tr>
      <w:tr>
        <w:tc>
          <w:tcPr>
            <w:tcW w:type="dxa" w:w="1440"/>
            <w:shd w:fill="FAFAFA" w:val="clear"/>
          </w:tcPr>
          <w:p>
            <w:r>
              <w:rPr>
                <w:sz w:val="17"/>
              </w:rPr>
              <w:t>J+2  Moyenne</w:t>
            </w:r>
          </w:p>
        </w:tc>
        <w:tc>
          <w:tcPr>
            <w:tcW w:type="dxa" w:w="1440"/>
            <w:shd w:fill="FAFAFA" w:val="clear"/>
          </w:tcPr>
          <w:p>
            <w:r>
              <w:rPr>
                <w:sz w:val="17"/>
              </w:rPr>
              <w:t>2026-10-19</w:t>
            </w:r>
          </w:p>
        </w:tc>
        <w:tc>
          <w:tcPr>
            <w:tcW w:type="dxa" w:w="1440"/>
            <w:shd w:fill="FAFAFA" w:val="clear"/>
          </w:tcPr>
          <w:p>
            <w:r>
              <w:rPr>
                <w:sz w:val="17"/>
              </w:rPr>
              <w:t>1,672</w:t>
            </w:r>
          </w:p>
        </w:tc>
        <w:tc>
          <w:tcPr>
            <w:tcW w:type="dxa" w:w="1440"/>
            <w:shd w:fill="FAFAFA" w:val="clear"/>
          </w:tcPr>
          <w:p>
            <w:r>
              <w:rPr>
                <w:b/>
                <w:sz w:val="17"/>
              </w:rPr>
              <w:t>1,780</w:t>
            </w:r>
          </w:p>
        </w:tc>
        <w:tc>
          <w:tcPr>
            <w:tcW w:type="dxa" w:w="1440"/>
            <w:shd w:fill="FAFAFA" w:val="clear"/>
          </w:tcPr>
          <w:p>
            <w:r>
              <w:rPr>
                <w:sz w:val="17"/>
              </w:rPr>
              <w:t>1,887</w:t>
            </w:r>
          </w:p>
        </w:tc>
        <w:tc>
          <w:tcPr>
            <w:tcW w:type="dxa" w:w="1440"/>
            <w:shd w:fill="FAFAFA" w:val="clear"/>
          </w:tcPr>
          <w:p>
            <w:r>
              <w:rPr>
                <w:b/>
                <w:color w:val="C00000"/>
                <w:sz w:val="17"/>
              </w:rPr>
              <w:t>-1.1%</w:t>
            </w:r>
          </w:p>
        </w:tc>
      </w:tr>
      <w:tr>
        <w:tc>
          <w:tcPr>
            <w:tcW w:type="dxa" w:w="1440"/>
            <w:shd w:fill="FAFAFA" w:val="clear"/>
          </w:tcPr>
          <w:p>
            <w:r>
              <w:rPr>
                <w:sz w:val="17"/>
              </w:rPr>
              <w:t>J+3  Moyenne</w:t>
            </w:r>
          </w:p>
        </w:tc>
        <w:tc>
          <w:tcPr>
            <w:tcW w:type="dxa" w:w="1440"/>
            <w:shd w:fill="FAFAFA" w:val="clear"/>
          </w:tcPr>
          <w:p>
            <w:r>
              <w:rPr>
                <w:sz w:val="17"/>
              </w:rPr>
              <w:t>2026-10-20</w:t>
            </w:r>
          </w:p>
        </w:tc>
        <w:tc>
          <w:tcPr>
            <w:tcW w:type="dxa" w:w="1440"/>
            <w:shd w:fill="FAFAFA" w:val="clear"/>
          </w:tcPr>
          <w:p>
            <w:r>
              <w:rPr>
                <w:sz w:val="17"/>
              </w:rPr>
              <w:t>1,638</w:t>
            </w:r>
          </w:p>
        </w:tc>
        <w:tc>
          <w:tcPr>
            <w:tcW w:type="dxa" w:w="1440"/>
            <w:shd w:fill="FAFAFA" w:val="clear"/>
          </w:tcPr>
          <w:p>
            <w:r>
              <w:rPr>
                <w:b/>
                <w:sz w:val="17"/>
              </w:rPr>
              <w:t>1,769</w:t>
            </w:r>
          </w:p>
        </w:tc>
        <w:tc>
          <w:tcPr>
            <w:tcW w:type="dxa" w:w="1440"/>
            <w:shd w:fill="FAFAFA" w:val="clear"/>
          </w:tcPr>
          <w:p>
            <w:r>
              <w:rPr>
                <w:sz w:val="17"/>
              </w:rPr>
              <w:t>1,900</w:t>
            </w:r>
          </w:p>
        </w:tc>
        <w:tc>
          <w:tcPr>
            <w:tcW w:type="dxa" w:w="1440"/>
            <w:shd w:fill="FAFAFA" w:val="clear"/>
          </w:tcPr>
          <w:p>
            <w:r>
              <w:rPr>
                <w:b/>
                <w:color w:val="C00000"/>
                <w:sz w:val="17"/>
              </w:rPr>
              <w:t>-1.7%</w:t>
            </w:r>
          </w:p>
        </w:tc>
      </w:tr>
      <w:tr>
        <w:tc>
          <w:tcPr>
            <w:tcW w:type="dxa" w:w="1440"/>
            <w:shd w:fill="FFDCE0" w:val="clear"/>
          </w:tcPr>
          <w:p>
            <w:r>
              <w:rPr>
                <w:sz w:val="17"/>
              </w:rPr>
              <w:t>J+4  ⭐</w:t>
            </w:r>
          </w:p>
        </w:tc>
        <w:tc>
          <w:tcPr>
            <w:tcW w:type="dxa" w:w="1440"/>
            <w:shd w:fill="FFDCE0" w:val="clear"/>
          </w:tcPr>
          <w:p>
            <w:r>
              <w:rPr>
                <w:sz w:val="17"/>
              </w:rPr>
              <w:t>2026-10-21</w:t>
            </w:r>
          </w:p>
        </w:tc>
        <w:tc>
          <w:tcPr>
            <w:tcW w:type="dxa" w:w="1440"/>
            <w:shd w:fill="FFDCE0" w:val="clear"/>
          </w:tcPr>
          <w:p>
            <w:r>
              <w:rPr>
                <w:sz w:val="17"/>
              </w:rPr>
              <w:t>1,607</w:t>
            </w:r>
          </w:p>
        </w:tc>
        <w:tc>
          <w:tcPr>
            <w:tcW w:type="dxa" w:w="1440"/>
            <w:shd w:fill="FFDCE0" w:val="clear"/>
          </w:tcPr>
          <w:p>
            <w:r>
              <w:rPr>
                <w:b/>
                <w:sz w:val="17"/>
              </w:rPr>
              <w:t>1,758</w:t>
            </w:r>
          </w:p>
        </w:tc>
        <w:tc>
          <w:tcPr>
            <w:tcW w:type="dxa" w:w="1440"/>
            <w:shd w:fill="FFDCE0" w:val="clear"/>
          </w:tcPr>
          <w:p>
            <w:r>
              <w:rPr>
                <w:sz w:val="17"/>
              </w:rPr>
              <w:t>1,909</w:t>
            </w:r>
          </w:p>
        </w:tc>
        <w:tc>
          <w:tcPr>
            <w:tcW w:type="dxa" w:w="1440"/>
            <w:shd w:fill="FFDCE0" w:val="clear"/>
          </w:tcPr>
          <w:p>
            <w:r>
              <w:rPr>
                <w:b/>
                <w:color w:val="C00000"/>
                <w:sz w:val="17"/>
              </w:rPr>
              <w:t>-2.3%</w:t>
            </w:r>
          </w:p>
        </w:tc>
      </w:tr>
      <w:tr>
        <w:tc>
          <w:tcPr>
            <w:tcW w:type="dxa" w:w="1440"/>
            <w:shd w:fill="FFDCE0" w:val="clear"/>
          </w:tcPr>
          <w:p>
            <w:r>
              <w:rPr>
                <w:sz w:val="17"/>
              </w:rPr>
              <w:t>J+5  ⭐</w:t>
            </w:r>
          </w:p>
        </w:tc>
        <w:tc>
          <w:tcPr>
            <w:tcW w:type="dxa" w:w="1440"/>
            <w:shd w:fill="FFDCE0" w:val="clear"/>
          </w:tcPr>
          <w:p>
            <w:r>
              <w:rPr>
                <w:sz w:val="17"/>
              </w:rPr>
              <w:t>2026-10-22</w:t>
            </w:r>
          </w:p>
        </w:tc>
        <w:tc>
          <w:tcPr>
            <w:tcW w:type="dxa" w:w="1440"/>
            <w:shd w:fill="FFDCE0" w:val="clear"/>
          </w:tcPr>
          <w:p>
            <w:r>
              <w:rPr>
                <w:sz w:val="17"/>
              </w:rPr>
              <w:t>1,580</w:t>
            </w:r>
          </w:p>
        </w:tc>
        <w:tc>
          <w:tcPr>
            <w:tcW w:type="dxa" w:w="1440"/>
            <w:shd w:fill="FFDCE0" w:val="clear"/>
          </w:tcPr>
          <w:p>
            <w:r>
              <w:rPr>
                <w:b/>
                <w:sz w:val="17"/>
              </w:rPr>
              <w:t>1,747</w:t>
            </w:r>
          </w:p>
        </w:tc>
        <w:tc>
          <w:tcPr>
            <w:tcW w:type="dxa" w:w="1440"/>
            <w:shd w:fill="FFDCE0" w:val="clear"/>
          </w:tcPr>
          <w:p>
            <w:r>
              <w:rPr>
                <w:sz w:val="17"/>
              </w:rPr>
              <w:t>1,915</w:t>
            </w:r>
          </w:p>
        </w:tc>
        <w:tc>
          <w:tcPr>
            <w:tcW w:type="dxa" w:w="1440"/>
            <w:shd w:fill="FFDCE0" w:val="clear"/>
          </w:tcPr>
          <w:p>
            <w:r>
              <w:rPr>
                <w:b/>
                <w:color w:val="C00000"/>
                <w:sz w:val="17"/>
              </w:rPr>
              <w:t>-2.9%</w:t>
            </w:r>
          </w:p>
        </w:tc>
      </w:tr>
      <w:tr>
        <w:tc>
          <w:tcPr>
            <w:tcW w:type="dxa" w:w="1440"/>
            <w:shd w:fill="FFDCE0" w:val="clear"/>
          </w:tcPr>
          <w:p>
            <w:r>
              <w:rPr>
                <w:sz w:val="17"/>
              </w:rPr>
              <w:t>J+6  ⭐</w:t>
            </w:r>
          </w:p>
        </w:tc>
        <w:tc>
          <w:tcPr>
            <w:tcW w:type="dxa" w:w="1440"/>
            <w:shd w:fill="FFDCE0" w:val="clear"/>
          </w:tcPr>
          <w:p>
            <w:r>
              <w:rPr>
                <w:sz w:val="17"/>
              </w:rPr>
              <w:t>2026-10-23</w:t>
            </w:r>
          </w:p>
        </w:tc>
        <w:tc>
          <w:tcPr>
            <w:tcW w:type="dxa" w:w="1440"/>
            <w:shd w:fill="FFDCE0" w:val="clear"/>
          </w:tcPr>
          <w:p>
            <w:r>
              <w:rPr>
                <w:sz w:val="17"/>
              </w:rPr>
              <w:t>1,554</w:t>
            </w:r>
          </w:p>
        </w:tc>
        <w:tc>
          <w:tcPr>
            <w:tcW w:type="dxa" w:w="1440"/>
            <w:shd w:fill="FFDCE0" w:val="clear"/>
          </w:tcPr>
          <w:p>
            <w:r>
              <w:rPr>
                <w:b/>
                <w:sz w:val="17"/>
              </w:rPr>
              <w:t>1,736</w:t>
            </w:r>
          </w:p>
        </w:tc>
        <w:tc>
          <w:tcPr>
            <w:tcW w:type="dxa" w:w="1440"/>
            <w:shd w:fill="FFDCE0" w:val="clear"/>
          </w:tcPr>
          <w:p>
            <w:r>
              <w:rPr>
                <w:sz w:val="17"/>
              </w:rPr>
              <w:t>1,919</w:t>
            </w:r>
          </w:p>
        </w:tc>
        <w:tc>
          <w:tcPr>
            <w:tcW w:type="dxa" w:w="1440"/>
            <w:shd w:fill="FFDCE0" w:val="clear"/>
          </w:tcPr>
          <w:p>
            <w:r>
              <w:rPr>
                <w:b/>
                <w:color w:val="C00000"/>
                <w:sz w:val="17"/>
              </w:rPr>
              <w:t>-3.5%</w:t>
            </w:r>
          </w:p>
        </w:tc>
      </w:tr>
      <w:tr>
        <w:tc>
          <w:tcPr>
            <w:tcW w:type="dxa" w:w="1440"/>
            <w:shd w:fill="FFDCE0" w:val="clear"/>
          </w:tcPr>
          <w:p>
            <w:r>
              <w:rPr>
                <w:sz w:val="17"/>
              </w:rPr>
              <w:t>J+7  ⭐</w:t>
            </w:r>
          </w:p>
        </w:tc>
        <w:tc>
          <w:tcPr>
            <w:tcW w:type="dxa" w:w="1440"/>
            <w:shd w:fill="FFDCE0" w:val="clear"/>
          </w:tcPr>
          <w:p>
            <w:r>
              <w:rPr>
                <w:sz w:val="17"/>
              </w:rPr>
              <w:t>2026-10-26</w:t>
            </w:r>
          </w:p>
        </w:tc>
        <w:tc>
          <w:tcPr>
            <w:tcW w:type="dxa" w:w="1440"/>
            <w:shd w:fill="FFDCE0" w:val="clear"/>
          </w:tcPr>
          <w:p>
            <w:r>
              <w:rPr>
                <w:sz w:val="17"/>
              </w:rPr>
              <w:t>1,530</w:t>
            </w:r>
          </w:p>
        </w:tc>
        <w:tc>
          <w:tcPr>
            <w:tcW w:type="dxa" w:w="1440"/>
            <w:shd w:fill="FFDCE0" w:val="clear"/>
          </w:tcPr>
          <w:p>
            <w:r>
              <w:rPr>
                <w:b/>
                <w:sz w:val="17"/>
              </w:rPr>
              <w:t>1,726</w:t>
            </w:r>
          </w:p>
        </w:tc>
        <w:tc>
          <w:tcPr>
            <w:tcW w:type="dxa" w:w="1440"/>
            <w:shd w:fill="FFDCE0" w:val="clear"/>
          </w:tcPr>
          <w:p>
            <w:r>
              <w:rPr>
                <w:sz w:val="17"/>
              </w:rPr>
              <w:t>1,921</w:t>
            </w:r>
          </w:p>
        </w:tc>
        <w:tc>
          <w:tcPr>
            <w:tcW w:type="dxa" w:w="1440"/>
            <w:shd w:fill="FFDCE0" w:val="clear"/>
          </w:tcPr>
          <w:p>
            <w:r>
              <w:rPr>
                <w:b/>
                <w:color w:val="C00000"/>
                <w:sz w:val="17"/>
              </w:rPr>
              <w:t>-4.1%</w:t>
            </w:r>
          </w:p>
        </w:tc>
      </w:tr>
      <w:tr>
        <w:tc>
          <w:tcPr>
            <w:tcW w:type="dxa" w:w="1440"/>
            <w:shd w:fill="FFDCE0" w:val="clear"/>
          </w:tcPr>
          <w:p>
            <w:r>
              <w:rPr>
                <w:sz w:val="17"/>
              </w:rPr>
              <w:t>J+8  ⭐</w:t>
            </w:r>
          </w:p>
        </w:tc>
        <w:tc>
          <w:tcPr>
            <w:tcW w:type="dxa" w:w="1440"/>
            <w:shd w:fill="FFDCE0" w:val="clear"/>
          </w:tcPr>
          <w:p>
            <w:r>
              <w:rPr>
                <w:sz w:val="17"/>
              </w:rPr>
              <w:t>2026-10-27</w:t>
            </w:r>
          </w:p>
        </w:tc>
        <w:tc>
          <w:tcPr>
            <w:tcW w:type="dxa" w:w="1440"/>
            <w:shd w:fill="FFDCE0" w:val="clear"/>
          </w:tcPr>
          <w:p>
            <w:r>
              <w:rPr>
                <w:sz w:val="17"/>
              </w:rPr>
              <w:t>1,507</w:t>
            </w:r>
          </w:p>
        </w:tc>
        <w:tc>
          <w:tcPr>
            <w:tcW w:type="dxa" w:w="1440"/>
            <w:shd w:fill="FFDCE0" w:val="clear"/>
          </w:tcPr>
          <w:p>
            <w:r>
              <w:rPr>
                <w:b/>
                <w:sz w:val="17"/>
              </w:rPr>
              <w:t>1,715</w:t>
            </w:r>
          </w:p>
        </w:tc>
        <w:tc>
          <w:tcPr>
            <w:tcW w:type="dxa" w:w="1440"/>
            <w:shd w:fill="FFDCE0" w:val="clear"/>
          </w:tcPr>
          <w:p>
            <w:r>
              <w:rPr>
                <w:sz w:val="17"/>
              </w:rPr>
              <w:t>1,923</w:t>
            </w:r>
          </w:p>
        </w:tc>
        <w:tc>
          <w:tcPr>
            <w:tcW w:type="dxa" w:w="1440"/>
            <w:shd w:fill="FFDCE0" w:val="clear"/>
          </w:tcPr>
          <w:p>
            <w:r>
              <w:rPr>
                <w:b/>
                <w:color w:val="C00000"/>
                <w:sz w:val="17"/>
              </w:rPr>
              <w:t>-4.7%</w:t>
            </w:r>
          </w:p>
        </w:tc>
      </w:tr>
      <w:tr>
        <w:tc>
          <w:tcPr>
            <w:tcW w:type="dxa" w:w="1440"/>
            <w:shd w:fill="FFDCE0" w:val="clear"/>
          </w:tcPr>
          <w:p>
            <w:r>
              <w:rPr>
                <w:sz w:val="17"/>
              </w:rPr>
              <w:t>J+9  ⭐</w:t>
            </w:r>
          </w:p>
        </w:tc>
        <w:tc>
          <w:tcPr>
            <w:tcW w:type="dxa" w:w="1440"/>
            <w:shd w:fill="FFDCE0" w:val="clear"/>
          </w:tcPr>
          <w:p>
            <w:r>
              <w:rPr>
                <w:sz w:val="17"/>
              </w:rPr>
              <w:t>2026-10-28</w:t>
            </w:r>
          </w:p>
        </w:tc>
        <w:tc>
          <w:tcPr>
            <w:tcW w:type="dxa" w:w="1440"/>
            <w:shd w:fill="FFDCE0" w:val="clear"/>
          </w:tcPr>
          <w:p>
            <w:r>
              <w:rPr>
                <w:sz w:val="17"/>
              </w:rPr>
              <w:t>1,485</w:t>
            </w:r>
          </w:p>
        </w:tc>
        <w:tc>
          <w:tcPr>
            <w:tcW w:type="dxa" w:w="1440"/>
            <w:shd w:fill="FFDCE0" w:val="clear"/>
          </w:tcPr>
          <w:p>
            <w:r>
              <w:rPr>
                <w:b/>
                <w:sz w:val="17"/>
              </w:rPr>
              <w:t>1,704</w:t>
            </w:r>
          </w:p>
        </w:tc>
        <w:tc>
          <w:tcPr>
            <w:tcW w:type="dxa" w:w="1440"/>
            <w:shd w:fill="FFDCE0" w:val="clear"/>
          </w:tcPr>
          <w:p>
            <w:r>
              <w:rPr>
                <w:sz w:val="17"/>
              </w:rPr>
              <w:t>1,923</w:t>
            </w:r>
          </w:p>
        </w:tc>
        <w:tc>
          <w:tcPr>
            <w:tcW w:type="dxa" w:w="1440"/>
            <w:shd w:fill="FFDCE0" w:val="clear"/>
          </w:tcPr>
          <w:p>
            <w:r>
              <w:rPr>
                <w:b/>
                <w:color w:val="C00000"/>
                <w:sz w:val="17"/>
              </w:rPr>
              <w:t>-5.3%</w:t>
            </w:r>
          </w:p>
        </w:tc>
      </w:tr>
      <w:tr>
        <w:tc>
          <w:tcPr>
            <w:tcW w:type="dxa" w:w="1440"/>
            <w:shd w:fill="FFDCE0" w:val="clear"/>
          </w:tcPr>
          <w:p>
            <w:r>
              <w:rPr>
                <w:sz w:val="17"/>
              </w:rPr>
              <w:t>J+10  ⭐</w:t>
            </w:r>
          </w:p>
        </w:tc>
        <w:tc>
          <w:tcPr>
            <w:tcW w:type="dxa" w:w="1440"/>
            <w:shd w:fill="FFDCE0" w:val="clear"/>
          </w:tcPr>
          <w:p>
            <w:r>
              <w:rPr>
                <w:sz w:val="17"/>
              </w:rPr>
              <w:t>2026-10-29</w:t>
            </w:r>
          </w:p>
        </w:tc>
        <w:tc>
          <w:tcPr>
            <w:tcW w:type="dxa" w:w="1440"/>
            <w:shd w:fill="FFDCE0" w:val="clear"/>
          </w:tcPr>
          <w:p>
            <w:r>
              <w:rPr>
                <w:sz w:val="17"/>
              </w:rPr>
              <w:t>1,464</w:t>
            </w:r>
          </w:p>
        </w:tc>
        <w:tc>
          <w:tcPr>
            <w:tcW w:type="dxa" w:w="1440"/>
            <w:shd w:fill="FFDCE0" w:val="clear"/>
          </w:tcPr>
          <w:p>
            <w:r>
              <w:rPr>
                <w:b/>
                <w:sz w:val="17"/>
              </w:rPr>
              <w:t>1,693</w:t>
            </w:r>
          </w:p>
        </w:tc>
        <w:tc>
          <w:tcPr>
            <w:tcW w:type="dxa" w:w="1440"/>
            <w:shd w:fill="FFDCE0" w:val="clear"/>
          </w:tcPr>
          <w:p>
            <w:r>
              <w:rPr>
                <w:sz w:val="17"/>
              </w:rPr>
              <w:t>1,923</w:t>
            </w:r>
          </w:p>
        </w:tc>
        <w:tc>
          <w:tcPr>
            <w:tcW w:type="dxa" w:w="1440"/>
            <w:shd w:fill="FFDCE0" w:val="clear"/>
          </w:tcPr>
          <w:p>
            <w:r>
              <w:rPr>
                <w:b/>
                <w:color w:val="C00000"/>
                <w:sz w:val="17"/>
              </w:rPr>
              <w:t>-5.9%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18.801 Mds FCFA</w:t>
            </w:r>
          </w:p>
        </w:tc>
        <w:tc>
          <w:tcPr>
            <w:tcW w:type="dxa" w:w="5669"/>
            <w:shd w:fill="FFFFFF" w:val="clear"/>
          </w:tcPr>
          <w:p>
            <w:r>
              <w:rPr>
                <w:color w:val="282828"/>
                <w:sz w:val="15"/>
              </w:rPr>
              <w:t>Créances clients = 58.6% du CA. ❌ Niveau critique — risque trésorerie élevé.</w:t>
            </w:r>
          </w:p>
        </w:tc>
      </w:tr>
      <w:tr>
        <w:tc>
          <w:tcPr>
            <w:tcW w:type="dxa" w:w="2268"/>
            <w:shd w:fill="EEF2F7" w:val="clear"/>
          </w:tcPr>
          <w:p>
            <w:r>
              <w:rPr>
                <w:b/>
                <w:color w:val="1E1E3C"/>
                <w:sz w:val="16"/>
              </w:rPr>
              <w:t>Stocks</w:t>
            </w:r>
          </w:p>
        </w:tc>
        <w:tc>
          <w:tcPr>
            <w:tcW w:type="dxa" w:w="1984"/>
            <w:shd w:fill="FFEB9C" w:val="clear"/>
          </w:tcPr>
          <w:p>
            <w:r>
              <w:rPr>
                <w:b/>
                <w:color w:val="006400"/>
                <w:sz w:val="17"/>
              </w:rPr>
              <w:t>12.387 Mds FCFA</w:t>
            </w:r>
          </w:p>
        </w:tc>
        <w:tc>
          <w:tcPr>
            <w:tcW w:type="dxa" w:w="5669"/>
            <w:shd w:fill="FFFFFF" w:val="clear"/>
          </w:tcPr>
          <w:p>
            <w:r>
              <w:rPr>
                <w:color w:val="282828"/>
                <w:sz w:val="15"/>
              </w:rPr>
              <w:t>Rotation stocks = 2.6x/an.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31.188 Mds FCFA</w:t>
            </w:r>
          </w:p>
        </w:tc>
        <w:tc>
          <w:tcPr>
            <w:tcW w:type="dxa" w:w="5669"/>
            <w:shd w:fill="FFFFFF" w:val="clear"/>
          </w:tcPr>
          <w:p>
            <w:r>
              <w:rPr>
                <w:color w:val="282828"/>
                <w:sz w:val="15"/>
              </w:rPr>
              <w:t>Ratio actif circ./passif circ. = 1.59x.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1.595 Mds FCFA</w:t>
            </w:r>
          </w:p>
        </w:tc>
        <w:tc>
          <w:tcPr>
            <w:tcW w:type="dxa" w:w="5669"/>
            <w:shd w:fill="FFFFFF" w:val="clear"/>
          </w:tcPr>
          <w:p>
            <w:r>
              <w:rPr>
                <w:color w:val="282828"/>
                <w:sz w:val="15"/>
              </w:rPr>
              <w:t>Brevets, logiciels, fonds commercial (4.1%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4.640 Mds FCFA</w:t>
            </w:r>
          </w:p>
        </w:tc>
        <w:tc>
          <w:tcPr>
            <w:tcW w:type="dxa" w:w="5669"/>
            <w:shd w:fill="FFFFFF" w:val="clear"/>
          </w:tcPr>
          <w:p>
            <w:r>
              <w:rPr>
                <w:color w:val="282828"/>
                <w:sz w:val="15"/>
              </w:rPr>
              <w:t>Outil industriel (11.9%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7.950 Mds FCFA</w:t>
            </w:r>
          </w:p>
        </w:tc>
        <w:tc>
          <w:tcPr>
            <w:tcW w:type="dxa" w:w="5669"/>
            <w:shd w:fill="FFFFFF" w:val="clear"/>
          </w:tcPr>
          <w:p>
            <w:r>
              <w:rPr>
                <w:color w:val="282828"/>
                <w:sz w:val="15"/>
              </w:rPr>
              <w:t>Actif immobilisé = 20.3%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10.63 M FCFA</w:t>
            </w:r>
          </w:p>
        </w:tc>
        <w:tc>
          <w:tcPr>
            <w:tcW w:type="dxa" w:w="5669"/>
            <w:shd w:fill="FFFFFF" w:val="clear"/>
          </w:tcPr>
          <w:p>
            <w:r>
              <w:rPr>
                <w:color w:val="282828"/>
                <w:sz w:val="15"/>
              </w:rPr>
              <w:t>Liquidités disponibles (0.0%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39.149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8.815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6.422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15.703 Mds FCFA</w:t>
            </w:r>
          </w:p>
        </w:tc>
        <w:tc>
          <w:tcPr>
            <w:tcW w:type="dxa" w:w="5669"/>
            <w:shd w:fill="FFFFFF" w:val="clear"/>
          </w:tcPr>
          <w:p>
            <w:r>
              <w:rPr>
                <w:color w:val="282828"/>
                <w:sz w:val="15"/>
              </w:rPr>
              <w:t>Fonds propres = 40.1%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19.490 Mds FCFA</w:t>
            </w:r>
          </w:p>
        </w:tc>
        <w:tc>
          <w:tcPr>
            <w:tcW w:type="dxa" w:w="5669"/>
            <w:shd w:fill="FFFFFF" w:val="clear"/>
          </w:tcPr>
          <w:p>
            <w:r>
              <w:rPr>
                <w:color w:val="282828"/>
                <w:sz w:val="15"/>
              </w:rPr>
              <w:t>Capitaux permanents / Actif immobilisé = 2.45x.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8.120 Mds FCFA</w:t>
            </w:r>
          </w:p>
        </w:tc>
        <w:tc>
          <w:tcPr>
            <w:tcW w:type="dxa" w:w="5669"/>
            <w:shd w:fill="FFFFFF" w:val="clear"/>
          </w:tcPr>
          <w:p>
            <w:r>
              <w:rPr>
                <w:color w:val="282828"/>
                <w:sz w:val="15"/>
              </w:rPr>
              <w:t>Délai fournisseurs implicite ≈ 92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3.787 Mds FCFA</w:t>
            </w:r>
          </w:p>
        </w:tc>
        <w:tc>
          <w:tcPr>
            <w:tcW w:type="dxa" w:w="5669"/>
            <w:shd w:fill="FFFFFF" w:val="clear"/>
          </w:tcPr>
          <w:p>
            <w:r>
              <w:rPr>
                <w:color w:val="282828"/>
                <w:sz w:val="15"/>
              </w:rPr>
              <w:t>Dette LT/MT = 24%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15.326 Mds FCFA</w:t>
            </w:r>
          </w:p>
        </w:tc>
        <w:tc>
          <w:tcPr>
            <w:tcW w:type="dxa" w:w="5669"/>
            <w:shd w:fill="FFFFFF" w:val="clear"/>
          </w:tcPr>
          <w:p>
            <w:r>
              <w:rPr>
                <w:color w:val="282828"/>
                <w:sz w:val="15"/>
              </w:rPr>
              <w:t>Dette financière totale = 98%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23.446 Mds FCFA</w:t>
            </w:r>
          </w:p>
        </w:tc>
        <w:tc>
          <w:tcPr>
            <w:tcW w:type="dxa" w:w="5669"/>
            <w:shd w:fill="FFFFFF" w:val="clear"/>
          </w:tcPr>
          <w:p>
            <w:r>
              <w:rPr>
                <w:color w:val="282828"/>
                <w:sz w:val="15"/>
              </w:rPr>
              <w:t>Dettes totales = 59.9%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32.109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32.109 Mds FCFA</w:t>
            </w:r>
          </w:p>
        </w:tc>
        <w:tc>
          <w:tcPr>
            <w:tcW w:type="dxa" w:w="5669"/>
            <w:shd w:fill="FFFFFF" w:val="clear"/>
          </w:tcPr>
          <w:p>
            <w:r>
              <w:rPr>
                <w:color w:val="282828"/>
                <w:sz w:val="15"/>
              </w:rPr>
              <w:t>Chiffre d'affaires. Croissance: 4.6%.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-27.840 Mds FCFA</w:t>
            </w:r>
          </w:p>
        </w:tc>
        <w:tc>
          <w:tcPr>
            <w:tcW w:type="dxa" w:w="5669"/>
            <w:shd w:fill="FFFFFF" w:val="clear"/>
          </w:tcPr>
          <w:p>
            <w:r>
              <w:rPr>
                <w:color w:val="282828"/>
                <w:sz w:val="15"/>
              </w:rPr>
              <w:t>-86.7%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-2.587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-5.039 Mds FCFA</w:t>
            </w:r>
          </w:p>
        </w:tc>
        <w:tc>
          <w:tcPr>
            <w:tcW w:type="dxa" w:w="5669"/>
            <w:shd w:fill="FFFFFF" w:val="clear"/>
          </w:tcPr>
          <w:p>
            <w:r>
              <w:rPr>
                <w:color w:val="282828"/>
                <w:sz w:val="15"/>
              </w:rPr>
              <w:t>Masse salariale = -15.7%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6.540 Mds FCFA</w:t>
            </w:r>
          </w:p>
        </w:tc>
        <w:tc>
          <w:tcPr>
            <w:tcW w:type="dxa" w:w="5669"/>
            <w:shd w:fill="FFFFFF" w:val="clear"/>
          </w:tcPr>
          <w:p>
            <w:r>
              <w:rPr>
                <w:color w:val="282828"/>
                <w:sz w:val="15"/>
              </w:rPr>
              <w:t>VA = 20.4% du CA. ℹ️ VA standard pour le secteur.</w:t>
            </w:r>
          </w:p>
        </w:tc>
      </w:tr>
      <w:tr>
        <w:tc>
          <w:tcPr>
            <w:tcW w:type="dxa" w:w="2268"/>
            <w:shd w:fill="EEF2F7" w:val="clear"/>
          </w:tcPr>
          <w:p>
            <w:r>
              <w:rPr>
                <w:b/>
                <w:color w:val="1E1E3C"/>
                <w:sz w:val="16"/>
              </w:rPr>
              <w:t>EBE</w:t>
            </w:r>
          </w:p>
        </w:tc>
        <w:tc>
          <w:tcPr>
            <w:tcW w:type="dxa" w:w="1984"/>
            <w:shd w:fill="FFEB9C" w:val="clear"/>
          </w:tcPr>
          <w:p>
            <w:r>
              <w:rPr>
                <w:b/>
                <w:color w:val="006400"/>
                <w:sz w:val="17"/>
              </w:rPr>
              <w:t>1.501 Mds FCFA</w:t>
            </w:r>
          </w:p>
        </w:tc>
        <w:tc>
          <w:tcPr>
            <w:tcW w:type="dxa" w:w="5669"/>
            <w:shd w:fill="FFFFFF" w:val="clear"/>
          </w:tcPr>
          <w:p>
            <w:r>
              <w:rPr>
                <w:color w:val="282828"/>
                <w:sz w:val="15"/>
              </w:rPr>
              <w:t>EBE = 4.7%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275.04 M FCFA</w:t>
            </w:r>
          </w:p>
        </w:tc>
        <w:tc>
          <w:tcPr>
            <w:tcW w:type="dxa" w:w="5669"/>
            <w:shd w:fill="FFFFFF" w:val="clear"/>
          </w:tcPr>
          <w:p>
            <w:r>
              <w:rPr>
                <w:color w:val="282828"/>
                <w:sz w:val="15"/>
              </w:rPr>
              <w:t>Profit d'exploitation = 0.9%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-1.226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465.98 M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1.334 Mds FCFA</w:t>
            </w:r>
          </w:p>
        </w:tc>
        <w:tc>
          <w:tcPr>
            <w:tcW w:type="dxa" w:w="5669"/>
            <w:shd w:fill="FFFFFF" w:val="clear"/>
          </w:tcPr>
          <w:p>
            <w:r>
              <w:rPr>
                <w:color w:val="282828"/>
                <w:sz w:val="15"/>
              </w:rPr>
              <w:t>CAF = 1.33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-1.826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-756.42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-27.766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577.83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C7CE" w:val="clear"/>
          </w:tcPr>
          <w:p>
            <w:r>
              <w:rPr>
                <w:b/>
                <w:color w:val="006400"/>
                <w:sz w:val="17"/>
              </w:rPr>
              <w:t>11.529 Mds FCFA</w:t>
            </w:r>
          </w:p>
        </w:tc>
        <w:tc>
          <w:tcPr>
            <w:tcW w:type="dxa" w:w="5669"/>
            <w:shd w:fill="FFFFFF" w:val="clear"/>
          </w:tcPr>
          <w:p>
            <w:r>
              <w:rPr>
                <w:color w:val="282828"/>
                <w:sz w:val="15"/>
              </w:rPr>
              <w:t>BFR = 35.9%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11.540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-11.528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20.37%</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1.45%</w:t>
            </w:r>
          </w:p>
        </w:tc>
        <w:tc>
          <w:tcPr>
            <w:tcW w:type="dxa" w:w="5669"/>
            <w:shd w:fill="FFFFFF" w:val="clear"/>
          </w:tcPr>
          <w:p>
            <w:r>
              <w:rPr>
                <w:color w:val="282828"/>
                <w:sz w:val="15"/>
              </w:rPr>
              <w:t>Résultat net / revenus = 1.45%.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0.86%</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2.97%</w:t>
            </w:r>
          </w:p>
        </w:tc>
        <w:tc>
          <w:tcPr>
            <w:tcW w:type="dxa" w:w="5669"/>
            <w:shd w:fill="FFFFFF" w:val="clear"/>
          </w:tcPr>
          <w:p>
            <w:r>
              <w:rPr>
                <w:color w:val="282828"/>
                <w:sz w:val="15"/>
              </w:rPr>
              <w:t>Résultat net / capitaux propres = 2.97%.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1.19%</w:t>
            </w:r>
          </w:p>
        </w:tc>
        <w:tc>
          <w:tcPr>
            <w:tcW w:type="dxa" w:w="5669"/>
            <w:shd w:fill="FFFFFF" w:val="clear"/>
          </w:tcPr>
          <w:p>
            <w:r>
              <w:rPr>
                <w:color w:val="282828"/>
                <w:sz w:val="15"/>
              </w:rPr>
              <w:t>Résultat net / total actif = 1.19%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82.02%</w:t>
            </w:r>
          </w:p>
        </w:tc>
        <w:tc>
          <w:tcPr>
            <w:tcW w:type="dxa" w:w="5669"/>
            <w:shd w:fill="FFFFFF" w:val="clear"/>
          </w:tcPr>
          <w:p>
            <w:r>
              <w:rPr>
                <w:color w:val="282828"/>
                <w:sz w:val="15"/>
              </w:rPr>
              <w:t>CA / total actif = 82.02x. ✅ Bonne efficience des actifs.</w:t>
            </w:r>
          </w:p>
        </w:tc>
      </w:tr>
      <w:tr>
        <w:tc>
          <w:tcPr>
            <w:tcW w:type="dxa" w:w="2268"/>
            <w:shd w:fill="EEF2F7" w:val="clear"/>
          </w:tcPr>
          <w:p>
            <w:r>
              <w:rPr>
                <w:b/>
                <w:color w:val="1E1E3C"/>
                <w:sz w:val="16"/>
              </w:rPr>
              <w:t>Coût du risque</w:t>
            </w:r>
          </w:p>
        </w:tc>
        <w:tc>
          <w:tcPr>
            <w:tcW w:type="dxa" w:w="1984"/>
            <w:shd w:fill="FFEB9C" w:val="clear"/>
          </w:tcPr>
          <w:p>
            <w:r>
              <w:rPr>
                <w:b/>
                <w:color w:val="006400"/>
                <w:sz w:val="17"/>
              </w:rPr>
              <w:t>2.11%</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4.61%</w:t>
            </w:r>
          </w:p>
        </w:tc>
        <w:tc>
          <w:tcPr>
            <w:tcW w:type="dxa" w:w="5669"/>
            <w:shd w:fill="FFFFFF" w:val="clear"/>
          </w:tcPr>
          <w:p>
            <w:r>
              <w:rPr>
                <w:color w:val="282828"/>
                <w:sz w:val="15"/>
              </w:rPr>
              <w:t>Croissance CA vs exercice précédent = 4.61%.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40.11%</w:t>
            </w:r>
          </w:p>
        </w:tc>
        <w:tc>
          <w:tcPr>
            <w:tcW w:type="dxa" w:w="5669"/>
            <w:shd w:fill="FFFFFF" w:val="clear"/>
          </w:tcPr>
          <w:p>
            <w:r>
              <w:rPr>
                <w:color w:val="282828"/>
                <w:sz w:val="15"/>
              </w:rPr>
              <w:t>Fonds propres / total bilan = 40.11%.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59.89%</w:t>
            </w:r>
          </w:p>
        </w:tc>
        <w:tc>
          <w:tcPr>
            <w:tcW w:type="dxa" w:w="5669"/>
            <w:shd w:fill="FFFFFF" w:val="clear"/>
          </w:tcPr>
          <w:p>
            <w:r>
              <w:rPr>
                <w:color w:val="282828"/>
                <w:sz w:val="15"/>
              </w:rPr>
              <w:t>Dettes financières / total bilan = 59.89%.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97.60%</w:t>
            </w:r>
          </w:p>
        </w:tc>
        <w:tc>
          <w:tcPr>
            <w:tcW w:type="dxa" w:w="5669"/>
            <w:shd w:fill="FFFFFF" w:val="clear"/>
          </w:tcPr>
          <w:p>
            <w:r>
              <w:rPr>
                <w:color w:val="282828"/>
                <w:sz w:val="15"/>
              </w:rPr>
              <w:t>Dettes totales / fonds propres = 97.60%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166.98%</w:t>
            </w:r>
          </w:p>
        </w:tc>
        <w:tc>
          <w:tcPr>
            <w:tcW w:type="dxa" w:w="5669"/>
            <w:shd w:fill="FFFFFF" w:val="clear"/>
          </w:tcPr>
          <w:p>
            <w:r>
              <w:rPr>
                <w:color w:val="282828"/>
                <w:sz w:val="15"/>
              </w:rPr>
              <w:t>Total actif / dettes totales = 166.98x.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158.64%</w:t>
            </w:r>
          </w:p>
        </w:tc>
        <w:tc>
          <w:tcPr>
            <w:tcW w:type="dxa" w:w="5669"/>
            <w:shd w:fill="FFFFFF" w:val="clear"/>
          </w:tcPr>
          <w:p>
            <w:r>
              <w:rPr>
                <w:color w:val="282828"/>
                <w:sz w:val="15"/>
              </w:rPr>
              <w:t>Actif circulant / passif circulant = 158.64x.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0.05%</w:t>
            </w:r>
          </w:p>
        </w:tc>
        <w:tc>
          <w:tcPr>
            <w:tcW w:type="dxa" w:w="5669"/>
            <w:shd w:fill="FFFFFF" w:val="clear"/>
          </w:tcPr>
          <w:p>
            <w:r>
              <w:rPr>
                <w:color w:val="282828"/>
                <w:sz w:val="15"/>
              </w:rPr>
              <w:t>Trésorerie / passif circulant = 0.05x. ❌ Cash quasi inexistant face aux dettes CT.</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95.63%</w:t>
            </w:r>
          </w:p>
        </w:tc>
        <w:tc>
          <w:tcPr>
            <w:tcW w:type="dxa" w:w="5669"/>
            <w:shd w:fill="FFFFFF" w:val="clear"/>
          </w:tcPr>
          <w:p>
            <w:r>
              <w:rPr>
                <w:color w:val="282828"/>
                <w:sz w:val="15"/>
              </w:rPr>
              <w:t>(Actif circ. - stocks) / passif circ. = 95.63x. ⚠️ Liquidité réduite limite.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245.15%</w:t>
            </w:r>
          </w:p>
        </w:tc>
        <w:tc>
          <w:tcPr>
            <w:tcW w:type="dxa" w:w="5669"/>
            <w:shd w:fill="FFFFFF" w:val="clear"/>
          </w:tcPr>
          <w:p>
            <w:r>
              <w:rPr>
                <w:color w:val="282828"/>
                <w:sz w:val="15"/>
              </w:rPr>
              <w:t>Capitaux permanents / actif immobilisé = 245.15x.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11.5 ans</w:t>
            </w:r>
          </w:p>
        </w:tc>
        <w:tc>
          <w:tcPr>
            <w:tcW w:type="dxa" w:w="5669"/>
            <w:shd w:fill="FFFFFF" w:val="clear"/>
          </w:tcPr>
          <w:p>
            <w:r>
              <w:rPr>
                <w:color w:val="282828"/>
                <w:sz w:val="15"/>
              </w:rPr>
              <w:t>Dettes financières / CAF = 11.5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40.58%</w:t>
            </w:r>
          </w:p>
        </w:tc>
        <w:tc>
          <w:tcPr>
            <w:tcW w:type="dxa" w:w="5669"/>
            <w:shd w:fill="FFFFFF" w:val="clear"/>
          </w:tcPr>
          <w:p>
            <w:r>
              <w:rPr>
                <w:color w:val="282828"/>
                <w:sz w:val="15"/>
              </w:rPr>
              <w:t>Résultat exploit. / charges financières = 40.58x. ❌ L'exploitation ne couvre pas les charges financières.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176.39%</w:t>
            </w:r>
          </w:p>
        </w:tc>
        <w:tc>
          <w:tcPr>
            <w:tcW w:type="dxa" w:w="5669"/>
            <w:shd w:fill="FFFFFF" w:val="clear"/>
          </w:tcPr>
          <w:p>
            <w:r>
              <w:rPr>
                <w:color w:val="282828"/>
                <w:sz w:val="15"/>
              </w:rPr>
              <w:t>CAF / investissements = 176.39x.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213.7 j</w:t>
            </w:r>
          </w:p>
        </w:tc>
        <w:tc>
          <w:tcPr>
            <w:tcW w:type="dxa" w:w="5669"/>
            <w:shd w:fill="FFFFFF" w:val="clear"/>
          </w:tcPr>
          <w:p>
            <w:r>
              <w:rPr>
                <w:color w:val="282828"/>
                <w:sz w:val="15"/>
              </w:rPr>
              <w:t>Les clients paient en moyenne en 214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140.7 j</w:t>
            </w:r>
          </w:p>
        </w:tc>
        <w:tc>
          <w:tcPr>
            <w:tcW w:type="dxa" w:w="5669"/>
            <w:shd w:fill="FFFFFF" w:val="clear"/>
          </w:tcPr>
          <w:p>
            <w:r>
              <w:rPr>
                <w:color w:val="282828"/>
                <w:sz w:val="15"/>
              </w:rPr>
              <w:t>Paiement des fournisseurs en 141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214.7 j</w:t>
            </w:r>
          </w:p>
        </w:tc>
        <w:tc>
          <w:tcPr>
            <w:tcW w:type="dxa" w:w="5669"/>
            <w:shd w:fill="FFFFFF" w:val="clear"/>
          </w:tcPr>
          <w:p>
            <w:r>
              <w:rPr>
                <w:color w:val="282828"/>
                <w:sz w:val="15"/>
              </w:rPr>
              <w:t>Stock écoulé en 215 jours. ❌ Stock quasi-bloqué — risque d'obsolescence ou de surstock.</w:t>
            </w:r>
          </w:p>
        </w:tc>
      </w:tr>
    </w:tbl>
    <w:p/>
    <w:p>
      <w:pPr>
        <w:spacing w:after="120" w:line="276" w:lineRule="auto"/>
      </w:pPr>
      <w:r>
        <w:t># RAPPORT D'ANALYSE FINANCIÈRE — FTSC (FILTISAC CI)</w:t>
        <w:br/>
        <w:t>**Bourse Régionale des Valeurs Mobilières (BRVM) — Octobre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FTSC s'établit à 25,39 milliards FCFA, un niveau modeste à l'échelle de la BRVM qui la place parmi les valeurs de petite capitalisation, avec une liquidité limitée (volume moyen de 4 152 titres/jour). Le BPA de 33 FCFA/action signifie que chaque titre génère théoriquement 33 FCFA de bénéfice net, un niveau faible qui, rapporté au cours de 1 800 FCFA, aboutit à un PER de 54,5x — très largement supérieur à la moyenne BRVM (~8-12x), traduisant une valorisation extrêmement exigeante au regard des bénéfices actuels. Le P/B de 1,62x indique que le marché valorise l'action à une prime modérée de 62% par rapport à sa valeur comptable, ce qui reste raisonnable dans l'absolu mais doit être nuancé par la forte dégradation récente des capitaux propres (15,7 Mds FCFA contre 43,4 Mds en 2024). Enfin, l'EV/EBITDA de 34,8x (très supérieur au seuil de 15x) signale que la valeur d'entreprise intègre une prime considérable par rapport à la capacité opérationnelle réelle de génération de cash, ce qui rend la valorisation globalement tendue et vulnérable à toute déception opérationnelle.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FTSC a enregistré une variation totale de **-21,05%**, avec une dernière séance en repli de **-2,70%**, confirmant une dynamique baissière persistante. Le cours actuel de 1 800 FCFA correspond exactement au plus bas de la période, tandis que le plus haut a atteint 2 430 FCFA, soit un range de trading de 630 FCFA (35% d'amplitude) qui témoigne d'une érosion progressive et continue du cours sans rebond significatif. La tendance générale est donc clairement **baissière**, le titre clôturant sur son plancher, ce qui traduit une pression vendeuse soutenue et l'absence de support acheteur identifiable. Les statistiques descriptives révèlent une moyenne de 2 077 FCFA légèrement supérieure à la médiane de 2 065 FCFA, avec un mode à 1 990 FCFA, suggérant une distribution faiblement asymétrique à droite (skewness de 0,482, qualifiée de symétrique dans les données fournies) où les pics haussiers tirent marginalement la moyenne vers le haut. L'écart-type de 136 FCFA et le coefficient de variation de 6,6% indiquent une dispersion modérée du cours autour de sa moyenne, tandis que le kurtosis de -0,230 (mésokurtique) signale une distribution proche de la normale, sans risque majeur de pics extrêmes imprévisibles. La volatilité annualisée de **36,0%** positionne le titre dans la catégorie **élevée** (&gt;30%), ce qui implique un risque de prix significatif pour l'investisseur et justifie une prime de risque accrue dans l'évaluation.</w:t>
      </w:r>
    </w:p>
    <w:p>
      <w:pPr>
        <w:spacing w:after="120" w:line="276" w:lineRule="auto"/>
      </w:pPr>
      <w:r>
        <w:t>---</w:t>
      </w:r>
    </w:p>
    <w:p>
      <w:pPr>
        <w:spacing w:after="120" w:line="276" w:lineRule="auto"/>
      </w:pPr>
      <w:r>
        <w:t>## PARTIE 2 : ANALYSE TECHNIQUE DÉTAILLÉE</w:t>
      </w:r>
    </w:p>
    <w:p>
      <w:pPr>
        <w:spacing w:after="120" w:line="276" w:lineRule="auto"/>
      </w:pPr>
      <w:r>
        <w:t>**Moyennes Mobiles** : La MM20 (1 950 FCFA) et la MM50 (2 056,7 FCFA) se situent toutes deux au-dessus du cours actuel (1 800 FCFA), avec la MM20 en dessous de la MM50 — configuration baissière classique (croisement mort confirmé). Le cours évoluant sous ses deux moyennes, la pression vendeuse domine et la décision technique est logiquement **Vente**.</w:t>
      </w:r>
    </w:p>
    <w:p>
      <w:pPr>
        <w:spacing w:after="120" w:line="276" w:lineRule="auto"/>
      </w:pPr>
      <w:r>
        <w:t>**Bandes de Bollinger** : Le cours (1 800 FCFA) se situe juste au-dessus de la borne inférieure (1 778,66 FCFA) et très en dessous de la borne supérieure (2 121,34 FCFA), ce qui le place en zone de survente relative mais sans franchissement du seuil extrême. L'écart entre les bornes (342,7 FCFA) reflète une volatilité modérée, et la décision est **Neutre** car le titre n'est pas encore en situation de rebond technique avéré.</w:t>
      </w:r>
    </w:p>
    <w:p>
      <w:pPr>
        <w:spacing w:after="120" w:line="276" w:lineRule="auto"/>
      </w:pPr>
      <w:r>
        <w:t>**MACD** : Le MACD (-63,41) est inférieur à son signal (-50,484), avec un histogramme négatif qui confirme un momentum baissier toujours actif. La divergence négative MACD-Signal indique que la dynamique de baisse n'est pas encore épuisée, justifiant la décision **Vente**.</w:t>
      </w:r>
    </w:p>
    <w:p>
      <w:pPr>
        <w:spacing w:after="120" w:line="276" w:lineRule="auto"/>
      </w:pPr>
      <w:r>
        <w:t>**RSI** : À 30,0 exactement, le RSI se situe à la frontière de la zone de survente (seuil &lt;30), ce qui suggère que le titre approche d'un niveau où un rebond technique pourrait se produire. La décision est **Neutre** car le RSI n'est ni en survente franche ni en zone neutre confortable, traduisant une situation d'équilibre fragile.</w:t>
      </w:r>
    </w:p>
    <w:p>
      <w:pPr>
        <w:spacing w:after="120" w:line="276" w:lineRule="auto"/>
      </w:pPr>
      <w:r>
        <w:t>**Stochastique** : Le %K (0,0) est au plancher absolu et le %D (1,111) est également très bas, avec un croisement en zone extrême de survente. Cette configuration est typiquement annonciatrice d'un rebond à court terme, ce qui justifie la décision **Achat** — seul indicateur haussier du tableau technique.</w:t>
      </w:r>
    </w:p>
    <w:p>
      <w:pPr>
        <w:spacing w:after="120" w:line="276" w:lineRule="auto"/>
      </w:pPr>
      <w:r>
        <w:t>**Conclusion technique** : La majorité des indicateurs (MM, MACD) sont baissiers, tandis que le RSI et les Bandes de Bollinger sont neutres et le Stochastique est le seul à émettre un signal d'achat en zone de survente extrême. Cette divergence suggère que le titre est en fin de mouvement baissier mais qu'aucun retournement confirmé n'est encore visible ; la prudence reste de mise tant que le cours n'aura pas repris la MM20 (1 950 FCFA) avec un MACD repassant au-dessus de son signal.</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FTSC a réalisé un chiffre d'affaires de **32,109 Mds FCFA** (contre 30,695 Mds en 2024, soit +4,6%), mais son résultat net s'est effondré à **465,98 M FCFA** contre 18 595 M FCFA en 2024 (-97,5%), principalement en raison de l'absence des produits exceptionnels et financiers non récurrents de 2024 (résultat HAO de 381,6 M FCFA contre 18 863 M FCFA). Le ROE chute à **2,97%** (très en dessous du seuil de 15% d'excellence) et le ROA à **1,19%**, tandis que la marge nette s'établit à **1,45%** (contre 60,6% en 2024, niveau artificiel). En tant qu'entreprise industrielle, les délais d'exploitation sont préoccupants : délai clients de **213,72 jours** (risque de trésorerie élevé), durée de stockage de **214,65 jours** (immobilisation de capital importante) et délai fournisseurs de 140,71 jours. Le BFR s'élève à 11,529 Mds FCFA et la trésorerie nette est **négative de 11,528 Mds FCFA**, conséquence directe du versement de dividendes massifs en 2024 (18,6 Mds FCFA) qui a réduit les capitaux propres de 43,4 à 15,7 Mds FCFA. L'autonomie financière reste correcte à **40,11%** et la solvabilité générale à 166,98%, mais le ratio d'endettement de 97,6% et la capacité de remboursement de 11,49 années (dettes financières/CAF) constituent des points de vigilance.</w:t>
      </w:r>
    </w:p>
    <w:p>
      <w:pPr>
        <w:spacing w:after="120" w:line="276" w:lineRule="auto"/>
      </w:pPr>
      <w:r>
        <w:t>**Estimations basées sur les rapports trimestriels** : Le rapport du **T1 2026 (publié en 2026)** indique un chiffre d'affaires de **8 901 M FCFA**, en hausse spectaculaire de **+55%** sur un an, porté par la forte demande d'emballages cacao, avec un résultat d'exploitation redevenu positif à **+75 M FCFA** (contre -78 M FCFA au T1 2025) grâce à la maîtrise des charges. Toutefois, le résultat net reste déficitaire à **-154 M FCFA** (en amélioration de 14%), et le rapport du **T3 2025 (30/09/2025)** signalait déjà un résultat courant avant impôts de -216 M FCFA. Sur la base de ce T1 2026, on peut estimer que l'exercice 2026 devrait bénéficier d'une dynamique commerciale nettement plus favorable (croissance à deux chiffres), mais la rentabilité nette demeure fragile et dépendante de la campagne cacaoyère 2025/2026 ainsi que de la résolution des tensions sur les coûts (interdiction d'exportation de jute par le Bangladesh, fret maritime). Le communiqué du **08/07/2026** rassure sur la continuité des activités (solution alternative d'importation de fil de jute mise en place, impact limité à moins de 10% des effectifs), ce qui atténue le risque de rupture opérationnelle.</w:t>
      </w:r>
    </w:p>
    <w:p>
      <w:pPr>
        <w:spacing w:after="120" w:line="276" w:lineRule="auto"/>
      </w:pPr>
      <w:r>
        <w:t>**Recommandation fondamentale** : La société présente un profil de **retournement progressif mais non confirmé** — la croissance du CA et l'amélioration du résultat d'exploitation sont encourageantes, mais la persistance des pertes nettes, la trésorerie négative et l'absence de dividende (taux de distribution de 0% en 2025) incitent à la prudence. Le rapport annuel 2025 recommande d'ailleurs **Vendre**, tandis que le rapport T1 2026 recommande **Conserver**, reflétant cette incertitude.</w:t>
      </w:r>
    </w:p>
    <w:p>
      <w:pPr>
        <w:spacing w:after="120" w:line="276" w:lineRule="auto"/>
      </w:pPr>
      <w:r>
        <w:t>---</w:t>
      </w:r>
    </w:p>
    <w:p>
      <w:pPr>
        <w:spacing w:after="120" w:line="276" w:lineRule="auto"/>
      </w:pPr>
      <w:r>
        <w:t>## PARTIE 4 : CONCLUSION D'INVESTISSEMENT</w:t>
      </w:r>
    </w:p>
    <w:p>
      <w:pPr>
        <w:spacing w:after="120" w:line="276" w:lineRule="auto"/>
      </w:pPr>
      <w:r>
        <w:t>La synthèse des quatre parties révèle une **divergence préoccupante** entre les signaux. Sur le plan de la **valorisation (Partie 0)**, le PER de 54,5x et l'EV/EBITDA de 34,8x indiquent une nette **surévaluation** par rapport aux bénéfices et à la capacité opérationnelle, bien que le P/B de 1,62x reste modéré. Le **comportement du cours (Partie 1)** est clairement baissier (-21,05% sur 100 jours, cours au plus bas), avec une volatilité élevée (36%) et une distribution sans pics extrêmes (kurtosis -0,230) mais légèrement asymétrique à droite (skewness 0,482), ce qui n'offre pas de signal de retournement. Les **signaux techniques (Partie 2)** sont majoritairement baissiers (MM, MACD) avec quelques signaux neutres (RSI, Bollinger) et un seul signal d'achat (Stochastique en survente extrême), suggérant une possible fin de mouvement baissier mais sans confirmation. Les **fondamentaux (Partie 3)** montrent une entreprise en convalescence : CA en croissance (+4,6% en 2025, +55% au T1 2026), résultat d'exploitation redevenu positif, mais résultat net toujours déficitaire et trésorerie négative. Les **prédictions IA (J+1 à J+10)** anticipent une poursuite de la baisse jusqu'à 1 747 FCFA (soit -2,9% supplémentaires), ce qui **contredit** le signal d'achat du Stochastique et **confirme** la tendance baissière globale.</w:t>
      </w:r>
    </w:p>
    <w:p>
      <w:pPr>
        <w:spacing w:after="120" w:line="276" w:lineRule="auto"/>
      </w:pPr>
      <w:r>
        <w:t>**Recommandation finale : CONSERVER (avec biais baissier)**</w:t>
      </w:r>
    </w:p>
    <w:p>
      <w:pPr>
        <w:spacing w:after="120" w:line="276" w:lineRule="auto"/>
      </w:pPr>
      <w:r>
        <w:t>La convergence des signaux baissiers (valorisation tendue, technique majoritairement négative, prédictions IA à la baisse) est partiellement compensée par l'amélioration opérationnelle en cours (T1 2026) et le potentiel de rebond technique à court terme (Stochastique en survente). Cependant, l'absence de rentabilité nette et la trésorerie négative empêchent toute recommandation d'achat. **Niveau de confiance : Moyen** (les données fondamentales sont solides mais les perspectives restent incertaines). **Niveau de risque global : Élevé** (volatilité 36%, trésorerie négative, dépendance à la campagne cacao). **Horizon d'investissement optimal : Moyen terme (3-12 mois)**, en surveillant impérativement le retour à une rentabilité nette positive sur deux trimestres consécutifs et la reconstitution de la trésorerie avant tout passage à l'achat.</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20260707   communique   filtisac ci</w:t>
      </w:r>
    </w:p>
    <w:p>
      <w:pPr>
        <w:spacing w:before="20"/>
        <w:ind w:left="400"/>
      </w:pPr>
      <w:r>
        <w:rPr>
          <w:color w:val="505050"/>
          <w:sz w:val="17"/>
        </w:rPr>
        <w:t xml:space="preserve">Date : 08/07/2026  |  Catégorie : communiqué divers  |  Impact : </w:t>
      </w:r>
      <w:r>
        <w:rPr>
          <w:b/>
          <w:color w:val="646464"/>
          <w:sz w:val="17"/>
        </w:rPr>
        <w:t>⚪ NEUTRE</w:t>
      </w:r>
    </w:p>
    <w:p>
      <w:pPr>
        <w:spacing w:before="40"/>
        <w:ind w:left="400"/>
      </w:pPr>
      <w:r>
        <w:rPr>
          <w:sz w:val="18"/>
        </w:rPr>
        <w:t>FILTISAC CI rassure ses partenaires sur la continuité de ses activités de production. L'arrêt de la filature est dû à une interdiction d'exportation de fibre de jute par le Bangladesh, mais une solution alternative d'importation de fil a été mise en place. Les autres activités se poursuivent normalement et la pérennité de l'entreprise n'est pas remise en cause.</w:t>
      </w:r>
    </w:p>
    <w:p>
      <w:pPr>
        <w:spacing w:before="60"/>
        <w:ind w:left="400"/>
      </w:pPr>
      <w:r>
        <w:rPr>
          <w:b/>
          <w:sz w:val="18"/>
        </w:rPr>
        <w:t>Points clés :</w:t>
      </w:r>
    </w:p>
    <w:p>
      <w:pPr>
        <w:pStyle w:val="ListBullet"/>
        <w:spacing w:before="20" w:after="20"/>
        <w:ind w:left="700"/>
      </w:pPr>
      <w:r>
        <w:rPr>
          <w:sz w:val="18"/>
        </w:rPr>
        <w:t>FILTISAC clarifie que ses activités de production n'ont pas cessé.</w:t>
      </w:r>
    </w:p>
    <w:p>
      <w:pPr>
        <w:pStyle w:val="ListBullet"/>
        <w:spacing w:before="20" w:after="20"/>
        <w:ind w:left="700"/>
      </w:pPr>
      <w:r>
        <w:rPr>
          <w:sz w:val="18"/>
        </w:rPr>
        <w:t>L'arrêt de l'atelier de filature est dû à l'interdiction d'exportation de fibre de jute par le Bangladesh.</w:t>
      </w:r>
    </w:p>
    <w:p>
      <w:pPr>
        <w:pStyle w:val="ListBullet"/>
        <w:spacing w:before="20" w:after="20"/>
        <w:ind w:left="700"/>
      </w:pPr>
      <w:r>
        <w:rPr>
          <w:sz w:val="18"/>
        </w:rPr>
        <w:t>La société a mis en place une solution alternative : importer directement du fil de jute.</w:t>
      </w:r>
    </w:p>
    <w:p>
      <w:pPr>
        <w:pStyle w:val="ListBullet"/>
        <w:spacing w:before="20" w:after="20"/>
        <w:ind w:left="700"/>
      </w:pPr>
      <w:r>
        <w:rPr>
          <w:sz w:val="18"/>
        </w:rPr>
        <w:t>Les activités de tissage, confection, impression et livraison de sacs jute se poursuivent normalement.</w:t>
      </w:r>
    </w:p>
    <w:p>
      <w:pPr>
        <w:pStyle w:val="ListBullet"/>
        <w:spacing w:before="20" w:after="20"/>
        <w:ind w:left="700"/>
      </w:pPr>
      <w:r>
        <w:rPr>
          <w:sz w:val="18"/>
        </w:rPr>
        <w:t>La situation ne concerne que moins de 10% des effectifs et ne remet pas en cause la pérennité de l'entreprise.</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forte croissance du chiffre d'affaires et l'am\u00e9lioration du r\u00e9sultat d'exploitation sont encourageantes, mais le r\u00e9sultat net reste n\u00e9gatif et les risques sur les co\u00fbts persistent. Il est prudent de conserver la valeur en attendant de voir l'\u00e9volution de la rentabilit\u00e9."}</w:t>
      </w:r>
    </w:p>
    <w:p>
      <w:pPr>
        <w:spacing w:before="40"/>
        <w:ind w:left="400"/>
      </w:pPr>
      <w:r>
        <w:rPr>
          <w:sz w:val="18"/>
        </w:rPr>
        <w:t xml:space="preserve">Au premier trimestre 2026, Filtisac CI a réalisé un chiffre d'affaires de 8 901 millions FCFA, en hausse de 55% par rapport à l'année précédente, porté par la forte demande d'emballages pour le cacao. Le résultat d'exploitation s'est établi à 75 millions FCFA, contre -78 millions au premier trimestre 2025, soit une amélioration de 153 millions FCFA grâce à la maîtrise des charges opérationnelles. Toutefois, le résultat net reste déficitaire à -154 millions FCFA, bien qu'en amélioration de 14% par rapport à -179 millions FCFA au premier trimestre 2025. La société fait face à des difficultés d'approvisionnement en matières premières et à une hausse des coûts due à l'interdiction d'exportation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'8 814 837 500 FCFA', 'resultat_exploitation': '75 millions FCFA', 'resultat_activites_ordinaires': '-119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8 901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de 55% à 8 901 millions FCFA au 1er trimestre 2026.</w:t>
      </w:r>
    </w:p>
    <w:p>
      <w:pPr>
        <w:pStyle w:val="ListBullet"/>
        <w:spacing w:before="20" w:after="20"/>
        <w:ind w:left="700"/>
      </w:pPr>
      <w:r>
        <w:rPr>
          <w:sz w:val="18"/>
        </w:rPr>
        <w:t>Forte demande d'emballages pour le cacao, principal moteur de la croissance.</w:t>
      </w:r>
    </w:p>
    <w:p>
      <w:pPr>
        <w:pStyle w:val="ListBullet"/>
        <w:spacing w:before="20" w:after="20"/>
        <w:ind w:left="700"/>
      </w:pPr>
      <w:r>
        <w:rPr>
          <w:sz w:val="18"/>
        </w:rPr>
        <w:t>Résultat d'exploitation positif de 75 millions FCFA, contre -78 millions un an plus tôt.</w:t>
      </w:r>
    </w:p>
    <w:p>
      <w:pPr>
        <w:pStyle w:val="ListBullet"/>
        <w:spacing w:before="20" w:after="20"/>
        <w:ind w:left="700"/>
      </w:pPr>
      <w:r>
        <w:rPr>
          <w:sz w:val="18"/>
        </w:rPr>
        <w:t>Résultat net toujours négatif à -154 millions FCFA, mais en amélioration de 14%.</w:t>
      </w:r>
    </w:p>
    <w:p>
      <w:pPr>
        <w:pStyle w:val="ListBullet"/>
        <w:spacing w:before="20" w:after="20"/>
        <w:ind w:left="700"/>
      </w:pPr>
      <w:r>
        <w:rPr>
          <w:sz w:val="18"/>
        </w:rPr>
        <w:t>Rareté de la matière première et interdiction d'exportation impactent les coûts des intrants.</w:t>
      </w:r>
    </w:p>
    <w:p>
      <w:pPr>
        <w:pStyle w:val="ListBullet"/>
        <w:spacing w:before="20" w:after="20"/>
        <w:ind w:left="700"/>
      </w:pPr>
      <w:r>
        <w:rPr>
          <w:sz w:val="18"/>
        </w:rPr>
        <w:t>Crise au Moyen-Orient entraîne une hausse du fret maritime.</w:t>
      </w:r>
    </w:p>
    <w:p>
      <w:pPr>
        <w:spacing w:before="40"/>
        <w:ind w:left="400"/>
      </w:pPr>
      <w:r>
        <w:rPr>
          <w:b/>
          <w:color w:val="C05000"/>
          <w:sz w:val="18"/>
        </w:rPr>
        <w:t xml:space="preserve">⚠️ Risques : </w:t>
      </w:r>
      <w:r>
        <w:rPr>
          <w:sz w:val="18"/>
        </w:rPr>
        <w:t>["Raret\u00e9 et interdiction d'exportation de la mati\u00e8re premi\u00e8re", "Crise au Moyen-Orient entra\u00eenant une hausse du fret maritime", "D\u00e9pendance \u00e0 la demande d'emballages pour le cacao"]</w:t>
      </w:r>
    </w:p>
    <w:p>
      <w:pPr>
        <w:spacing w:before="40"/>
        <w:ind w:left="400"/>
      </w:pPr>
      <w:r>
        <w:rPr>
          <w:b/>
          <w:color w:val="0064A0"/>
          <w:sz w:val="18"/>
        </w:rPr>
        <w:t xml:space="preserve">🔮 Perspectives : </w:t>
      </w:r>
      <w:r>
        <w:rPr>
          <w:sz w:val="18"/>
        </w:rPr>
        <w:t>L'exercice 2026 bénéficie d'une dynamique favorable portée par la demande de cacao, mais Filtisac devra continuer à mitiger les conséquences des crises politiques et sécuritaires mondiales sur sa chaîne de valeur. Si la société parvient à stabiliser ses coûts d'approvisionnement et à maintenir sa cr</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chute du r\u00e9sultat net et la d\u00e9gradation de la tr\u00e9sorerie indiquent des risques financiers \u00e9lev\u00e9s. La soci\u00e9t\u00e9 ne distribue plus de dividende et ses capitaux propres se sont fortement r\u00e9duits."}</w:t>
      </w:r>
    </w:p>
    <w:p>
      <w:pPr>
        <w:spacing w:before="40"/>
        <w:ind w:left="400"/>
      </w:pPr>
      <w:r>
        <w:rPr>
          <w:sz w:val="18"/>
        </w:rPr>
        <w:t>FILTISAC CI enregistre une hausse de 5% de son chiffre d'affaires en 2025, atteignant 32,1 milliards FCFA. Cependant, le résultat net chute de manière spectaculaire à 466 millions FCFA contre 18,6 milliards en 2024, principalement en raison de l'absence de produits exceptionnels. La trésorerie nette devient fortement négative, passant de +18,8 milliards à -11,5 milliards, suite au versement de dividendes massifs. Les capitaux propres se réduisent considérablement, passant de 43,4 à 15,7 milliards FCFA. La situation financière est préoccupante avec un risque de liquidité élevé.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'-11 517 359 Kfcfa', 'dettes_financieres': '3 786 625 Kfcfa', 'resultat_exceptionnel_haO': '381 643 Kfcfa'}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1.45%</w:t>
            </w:r>
          </w:p>
        </w:tc>
        <w:tc>
          <w:tcPr>
            <w:tcW w:type="dxa" w:w="2160"/>
          </w:tcPr>
          <w:p>
            <w:pPr>
              <w:ind w:left="100"/>
            </w:pPr>
            <w:r/>
            <w:r>
              <w:rPr>
                <w:b/>
                <w:sz w:val="16"/>
              </w:rPr>
              <w:t>total_actif</w:t>
              <w:br/>
            </w:r>
            <w:r>
              <w:rPr>
                <w:sz w:val="18"/>
              </w:rPr>
              <w:t>39 148 981 Kfcfa</w:t>
            </w:r>
          </w:p>
        </w:tc>
      </w:tr>
      <w:tr>
        <w:tc>
          <w:tcPr>
            <w:tcW w:type="dxa" w:w="2160"/>
          </w:tcPr>
          <w:p>
            <w:r/>
            <w:r>
              <w:rPr>
                <w:b/>
                <w:sz w:val="16"/>
              </w:rPr>
              <w:t>resultat_net</w:t>
              <w:br/>
            </w:r>
            <w:r>
              <w:rPr>
                <w:sz w:val="18"/>
              </w:rPr>
              <w:t>465 981 Kfcfa</w:t>
            </w:r>
          </w:p>
        </w:tc>
        <w:tc>
          <w:tcPr>
            <w:tcW w:type="dxa" w:w="2160"/>
          </w:tcPr>
          <w:p>
            <w:r/>
            <w:r>
              <w:rPr>
                <w:b/>
                <w:sz w:val="16"/>
              </w:rPr>
              <w:t>capitaux_propres</w:t>
              <w:br/>
            </w:r>
            <w:r>
              <w:rPr>
                <w:sz w:val="18"/>
              </w:rPr>
              <w:t>15 703 201 Kfcfa</w:t>
            </w:r>
          </w:p>
        </w:tc>
        <w:tc>
          <w:tcPr>
            <w:tcW w:type="dxa" w:w="2160"/>
          </w:tcPr>
          <w:p>
            <w:r/>
            <w:r>
              <w:rPr>
                <w:b/>
                <w:sz w:val="16"/>
              </w:rPr>
              <w:t>chiffre_affaires</w:t>
              <w:br/>
            </w:r>
            <w:r>
              <w:rPr>
                <w:sz w:val="18"/>
              </w:rPr>
              <w:t>32 108 628 Kfcfa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progresse de 5% à 32,1 Mds FCFA.</w:t>
      </w:r>
    </w:p>
    <w:p>
      <w:pPr>
        <w:pStyle w:val="ListBullet"/>
        <w:spacing w:before="20" w:after="20"/>
        <w:ind w:left="700"/>
      </w:pPr>
      <w:r>
        <w:rPr>
          <w:sz w:val="18"/>
        </w:rPr>
        <w:t>Le résultat net s'effondre à 465,9 M FCFA contre 18,6 Mds FCFA en 2024.</w:t>
      </w:r>
    </w:p>
    <w:p>
      <w:pPr>
        <w:pStyle w:val="ListBullet"/>
        <w:spacing w:before="20" w:after="20"/>
        <w:ind w:left="700"/>
      </w:pPr>
      <w:r>
        <w:rPr>
          <w:sz w:val="18"/>
        </w:rPr>
        <w:t>La marge nette chute à 1,45%.</w:t>
      </w:r>
    </w:p>
    <w:p>
      <w:pPr>
        <w:pStyle w:val="ListBullet"/>
        <w:spacing w:before="20" w:after="20"/>
        <w:ind w:left="700"/>
      </w:pPr>
      <w:r>
        <w:rPr>
          <w:sz w:val="18"/>
        </w:rPr>
        <w:t>La trésorerie nette est négative de 11,5 Mds FCFA.</w:t>
      </w:r>
    </w:p>
    <w:p>
      <w:pPr>
        <w:pStyle w:val="ListBullet"/>
        <w:spacing w:before="20" w:after="20"/>
        <w:ind w:left="700"/>
      </w:pPr>
      <w:r>
        <w:rPr>
          <w:sz w:val="18"/>
        </w:rPr>
        <w:t>Les capitaux propres diminuent de 27,7 Mds FCFA en raison des dividendes versés.</w:t>
      </w:r>
    </w:p>
    <w:p>
      <w:pPr>
        <w:pStyle w:val="ListBullet"/>
        <w:spacing w:before="20" w:after="20"/>
        <w:ind w:left="700"/>
      </w:pPr>
      <w:r>
        <w:rPr>
          <w:sz w:val="18"/>
        </w:rPr>
        <w:t>Aucun dividende proposé pour l'exercice 2025.</w:t>
      </w:r>
    </w:p>
    <w:p>
      <w:pPr>
        <w:spacing w:before="40"/>
        <w:ind w:left="400"/>
      </w:pPr>
      <w:r>
        <w:rPr>
          <w:b/>
          <w:color w:val="C05000"/>
          <w:sz w:val="18"/>
        </w:rPr>
        <w:t xml:space="preserve">⚠️ Risques : </w:t>
      </w:r>
      <w:r>
        <w:rPr>
          <w:sz w:val="18"/>
        </w:rPr>
        <w:t>["Risque de liquidit\u00e9 avec une tr\u00e9sorerie nette fortement n\u00e9gative", "Risque de poursuite de la baisse de la rentabilit\u00e9 op\u00e9rationnelle", "Risque de d\u00e9pr\u00e9ciation des actifs (stocks et cr\u00e9ances)"]</w:t>
      </w:r>
    </w:p>
    <w:p>
      <w:pPr>
        <w:spacing w:before="40"/>
        <w:ind w:left="400"/>
      </w:pPr>
      <w:r>
        <w:rPr>
          <w:b/>
          <w:color w:val="0064A0"/>
          <w:sz w:val="18"/>
        </w:rPr>
        <w:t xml:space="preserve">🔮 Perspectives : </w:t>
      </w:r>
      <w:r>
        <w:rPr>
          <w:sz w:val="18"/>
        </w:rPr>
        <w:t>Les perspectives pour 2026 sont incertaines. La société devra améliorer sa gestion du besoin en fonds de roulement et restaurer sa trésorerie. Une attention particulière doit être portée à la réduction des charges et à la génération de flux de trésorerie positifs.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CA, la forte d\u00e9gradation de la rentabilit\u00e9 et les incertitudes sur la cha\u00eene d'approvisionnement justifient une position prudente. L'anticipation d'une demande soutenue offre n\u00e9anmoins des perspectives de redressement."}</w:t>
      </w:r>
    </w:p>
    <w:p>
      <w:pPr>
        <w:spacing w:before="40"/>
        <w:ind w:left="400"/>
      </w:pPr>
      <w:r>
        <w:rPr>
          <w:sz w:val="18"/>
        </w:rPr>
        <w:t>FILTISAC CI affiche un chiffre d'affaires en croissance de 4% au T1 2021 à 9,921 milliards FCFA malgré le contexte Covid-19. Cependant, la hausse des coûts des matières premières et du fret maritime impacte lourdement la rentabilité. Le résultat d'exploitation chute de 32% et le résultat courant avant impôt recule de 41% à 204 millions FCFA. La société fait face à des défis d'approvisionnement et d'instabilité de la chaîne logistique. Les perspectives restent incertaines notamment pour le dernier trimestre en raison des changements de politiques sanitaires.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'8,814 milliards FCFA', 'resultat_exploitation': '322 millions FCFA', 'resultat_courant_avant_impot': '204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9,921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 au T1 2021 (9,921 milliards FCFA vs 9,531 milliards FCFA)</w:t>
      </w:r>
    </w:p>
    <w:p>
      <w:pPr>
        <w:pStyle w:val="ListBullet"/>
        <w:spacing w:before="20" w:after="20"/>
        <w:ind w:left="700"/>
      </w:pPr>
      <w:r>
        <w:rPr>
          <w:sz w:val="18"/>
        </w:rPr>
        <w:t>Forte détérioration du résultat d'exploitation (-32%) passant de 475M à 322M FCFA</w:t>
      </w:r>
    </w:p>
    <w:p>
      <w:pPr>
        <w:pStyle w:val="ListBullet"/>
        <w:spacing w:before="20" w:after="20"/>
        <w:ind w:left="700"/>
      </w:pPr>
      <w:r>
        <w:rPr>
          <w:sz w:val="18"/>
        </w:rPr>
        <w:t>Résultat courant avant impôt en baisse de 41% à 204 millions FCFA</w:t>
      </w:r>
    </w:p>
    <w:p>
      <w:pPr>
        <w:pStyle w:val="ListBullet"/>
        <w:spacing w:before="20" w:after="20"/>
        <w:ind w:left="700"/>
      </w:pPr>
      <w:r>
        <w:rPr>
          <w:sz w:val="18"/>
        </w:rPr>
        <w:t>Impact négatif de la hausse des prix des matières premières et du fret maritime</w:t>
      </w:r>
    </w:p>
    <w:p>
      <w:pPr>
        <w:pStyle w:val="ListBullet"/>
        <w:spacing w:before="20" w:after="20"/>
        <w:ind w:left="700"/>
      </w:pPr>
      <w:r>
        <w:rPr>
          <w:sz w:val="18"/>
        </w:rPr>
        <w:t>Difficultés d'approvisionnement affectant les niveaux et coûts de production</w:t>
      </w:r>
    </w:p>
    <w:p>
      <w:pPr>
        <w:pStyle w:val="ListBullet"/>
        <w:spacing w:before="20" w:after="20"/>
        <w:ind w:left="700"/>
      </w:pPr>
      <w:r>
        <w:rPr>
          <w:sz w:val="18"/>
        </w:rPr>
        <w:t>Anticipation d'une demande soutenue pour les mois à venir</w:t>
      </w:r>
    </w:p>
    <w:p>
      <w:pPr>
        <w:spacing w:before="40"/>
        <w:ind w:left="400"/>
      </w:pPr>
      <w:r>
        <w:rPr>
          <w:b/>
          <w:color w:val="C05000"/>
          <w:sz w:val="18"/>
        </w:rPr>
        <w:t xml:space="preserve">⚠️ Risques : </w:t>
      </w:r>
      <w:r>
        <w:rPr>
          <w:sz w:val="18"/>
        </w:rPr>
        <w:t>["Persistance de la hausse des co\u00fbts des mati\u00e8res premi\u00e8res et du fret maritime", "Instabilit\u00e9 continue de la cha\u00eene d'approvisionnement li\u00e9e aux politiques sanitaires", "Difficult\u00e9s d'approvisionnement r\u00e9gulier impactant la production"]</w:t>
      </w:r>
    </w:p>
    <w:p>
      <w:pPr>
        <w:spacing w:before="40"/>
        <w:ind w:left="400"/>
      </w:pPr>
      <w:r>
        <w:rPr>
          <w:b/>
          <w:color w:val="0064A0"/>
          <w:sz w:val="18"/>
        </w:rPr>
        <w:t xml:space="preserve">🔮 Perspectives : </w:t>
      </w:r>
      <w:r>
        <w:rPr>
          <w:sz w:val="18"/>
        </w:rPr>
        <w:t>FILTISAC anticipe une demande soutenue dans les mois à venir et a pris des mesures pour sécuriser son approvisionnement. Cependant, l'instabilité de la chaîne logistique due aux changements de politiques sanitaires en Europe et Asie crée des incertitudes importantes sur les performances du dernier 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sociaux d\u00e9ficitaires, la forte croissance consolid\u00e9e (+19% de CA) et le retour \u00e0 la rentabilit\u00e9 t\u00e9moignent d'une dynamique positive. Les perspectives favorables li\u00e9es \u00e0 la campagne cacaoy\u00e8re justifient une position d'attente."}</w:t>
      </w:r>
    </w:p>
    <w:p>
      <w:pPr>
        <w:spacing w:before="40"/>
        <w:ind w:left="400"/>
      </w:pPr>
      <w:r>
        <w:rPr>
          <w:sz w:val="18"/>
        </w:rPr>
        <w:t>FILTISAC CI présente des résultats mitigés au 1er semestre 2021 avec un chiffre d'affaires en hausse de 7% à 18,2 milliards FCFA mais un résultat net déficitaire de -136 millions FCFA contre un bénéfice de 744 millions l'année précédente. La société souffre de l'impact persistant de la Covid-19 qui a entraîné une flambée des prix des matières premières et un renchérissement du fret maritime. Au niveau consolidé, les performances sont meilleures avec un CA en hausse de 19% à 104,9 milliards FCFA et un retour à la rentabilité. La campagne cacaoyère s'annonce satisfaisante ce qui laisse entrevoir des perspectives favorables malgré les tensions sur les approvisionnements. Les comptes ont fait 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'53 MFCFA (social)', 'resultat_exploitation': '-79 MFCFA (social)', 'resultat_courant_consolide': '4 593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-0,75% (social) / 1,70% (consolidé part groupe)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-136 MFCFA (social) / 1 784 MFCFA (part groupe consolidé)</w:t>
            </w:r>
          </w:p>
        </w:tc>
        <w:tc>
          <w:tcPr>
            <w:tcW w:type="dxa" w:w="2160"/>
          </w:tcPr>
          <w:p>
            <w:r/>
            <w:r>
              <w:rPr>
                <w:b/>
                <w:sz w:val="16"/>
              </w:rPr>
              <w:t>capitaux_propres</w:t>
              <w:br/>
            </w:r>
            <w:r>
              <w:rPr>
                <w:sz w:val="18"/>
              </w:rPr>
              <w:t>None</w:t>
            </w:r>
          </w:p>
        </w:tc>
        <w:tc>
          <w:tcPr>
            <w:tcW w:type="dxa" w:w="2160"/>
          </w:tcPr>
          <w:p>
            <w:r/>
            <w:r>
              <w:rPr>
                <w:b/>
                <w:sz w:val="16"/>
              </w:rPr>
              <w:t>chiffre_affaires</w:t>
              <w:br/>
            </w:r>
            <w:r>
              <w:rPr>
                <w:sz w:val="18"/>
              </w:rPr>
              <w:t>18 227 MFCFA (social) / 104 862 MFCFA (consolidé)</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social en hausse de 7% à 18,2 milliards FCFA au S1 2021</w:t>
      </w:r>
    </w:p>
    <w:p>
      <w:pPr>
        <w:pStyle w:val="ListBullet"/>
        <w:spacing w:before="20" w:after="20"/>
        <w:ind w:left="700"/>
      </w:pPr>
      <w:r>
        <w:rPr>
          <w:sz w:val="18"/>
        </w:rPr>
        <w:t>Résultat net social déficitaire de -136 millions FCFA contre +744 millions au S1 2020</w:t>
      </w:r>
    </w:p>
    <w:p>
      <w:pPr>
        <w:pStyle w:val="ListBullet"/>
        <w:spacing w:before="20" w:after="20"/>
        <w:ind w:left="700"/>
      </w:pPr>
      <w:r>
        <w:rPr>
          <w:sz w:val="18"/>
        </w:rPr>
        <w:t>Impact négatif persistant de la Covid-19 sur les coûts d'approvisionnement</w:t>
      </w:r>
    </w:p>
    <w:p>
      <w:pPr>
        <w:pStyle w:val="ListBullet"/>
        <w:spacing w:before="20" w:after="20"/>
        <w:ind w:left="700"/>
      </w:pPr>
      <w:r>
        <w:rPr>
          <w:sz w:val="18"/>
        </w:rPr>
        <w:t>Flambée des prix des matières premières et renchérissement du fret maritime</w:t>
      </w:r>
    </w:p>
    <w:p>
      <w:pPr>
        <w:pStyle w:val="ListBullet"/>
        <w:spacing w:before="20" w:after="20"/>
        <w:ind w:left="700"/>
      </w:pPr>
      <w:r>
        <w:rPr>
          <w:sz w:val="18"/>
        </w:rPr>
        <w:t>Chiffre d'affaires consolidé en forte hausse de 19% à 104,9 milliards FCFA</w:t>
      </w:r>
    </w:p>
    <w:p>
      <w:pPr>
        <w:pStyle w:val="ListBullet"/>
        <w:spacing w:before="20" w:after="20"/>
        <w:ind w:left="700"/>
      </w:pPr>
      <w:r>
        <w:rPr>
          <w:sz w:val="18"/>
        </w:rPr>
        <w:t>Retour à la rentabilité au niveau consolidé avec un résultat courant de 4,6 milliards FCFA</w:t>
      </w:r>
    </w:p>
    <w:p>
      <w:pPr>
        <w:spacing w:before="40"/>
        <w:ind w:left="400"/>
      </w:pPr>
      <w:r>
        <w:rPr>
          <w:b/>
          <w:color w:val="C05000"/>
          <w:sz w:val="18"/>
        </w:rPr>
        <w:t xml:space="preserve">⚠️ Risques : </w:t>
      </w:r>
      <w:r>
        <w:rPr>
          <w:sz w:val="18"/>
        </w:rPr>
        <w:t>["Volatilit\u00e9 continue des prix des mati\u00e8res premi\u00e8res", "Persistance des surco\u00fbts logistiques et du fret maritime", "D\u00e9pendance aux cycles agricoles (cacao, coton)"]</w:t>
      </w:r>
    </w:p>
    <w:p>
      <w:pPr>
        <w:spacing w:before="40"/>
        <w:ind w:left="400"/>
      </w:pPr>
      <w:r>
        <w:rPr>
          <w:b/>
          <w:color w:val="0064A0"/>
          <w:sz w:val="18"/>
        </w:rPr>
        <w:t xml:space="preserve">🔮 Perspectives : </w:t>
      </w:r>
      <w:r>
        <w:rPr>
          <w:sz w:val="18"/>
        </w:rPr>
        <w:t>La campagne cacaoyère s'annonce satisfaisante avec des volumes de fèves favorables, laissant envisager une fin d'année positive pour les ventes de sacs jute. Cependant, les tensions persistent sur les approvisionnements avec des coûts élevés des matières premières et du transport maritime. L'activit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n\u00e9gatifs au T3 2021, la soci\u00e9t\u00e9 montre une am\u00e9lioration op\u00e9rationnelle et des perspectives favorables avec la campagne cacaoy\u00e8re. La croissance du chiffre d'affaires et les \u00e9l\u00e9ments exceptionnels sugg\u00e8rent une situation temporaire."}</w:t>
      </w:r>
    </w:p>
    <w:p>
      <w:pPr>
        <w:spacing w:before="40"/>
        <w:ind w:left="400"/>
      </w:pPr>
      <w:r>
        <w:rPr>
          <w:sz w:val="18"/>
        </w:rPr>
        <w:t>FILTISAC CI affiche un chiffre d'affaires en croissance de 5% à 25 280 millions FCFA au 3ème trimestre 2021. Malgré cette progression commerciale, la société enregistre des résultats négatifs avec un résultat d'exploitation déficitaire de -53 millions FCFA et un résultat courant avant impôts de -450 millions FCFA. La rentabilité est impactée par la flambée des coûts des matières premières et du fret maritime liée à la pandémie COVID-19. Le résultat financier s'effondre de 1 346 millions FCFA en 2020 à -126 millions FCFA en 2021, principalement en raison de la baisse des revenus des filiales. Les provisions exceptionnelles liées à la sortie des filiales du Burkina Faso pèsent également sur le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'8 814 837 500 FCFA', 'resultat_financier': '-126 millions FCFA', 'resultat_exploitation': '-53 millions FCFA', 'resultat_courant_avant_impots': '-450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25 280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5% à 25 280 millions FCFA</w:t>
      </w:r>
    </w:p>
    <w:p>
      <w:pPr>
        <w:pStyle w:val="ListBullet"/>
        <w:spacing w:before="20" w:after="20"/>
        <w:ind w:left="700"/>
      </w:pPr>
      <w:r>
        <w:rPr>
          <w:sz w:val="18"/>
        </w:rPr>
        <w:t>Amélioration du résultat d'exploitation de -179 à -53 millions FCFA</w:t>
      </w:r>
    </w:p>
    <w:p>
      <w:pPr>
        <w:pStyle w:val="ListBullet"/>
        <w:spacing w:before="20" w:after="20"/>
        <w:ind w:left="700"/>
      </w:pPr>
      <w:r>
        <w:rPr>
          <w:sz w:val="18"/>
        </w:rPr>
        <w:t>Effondrement du résultat financier de +1 346 à -126 millions FCFA (-109%)</w:t>
      </w:r>
    </w:p>
    <w:p>
      <w:pPr>
        <w:pStyle w:val="ListBullet"/>
        <w:spacing w:before="20" w:after="20"/>
        <w:ind w:left="700"/>
      </w:pPr>
      <w:r>
        <w:rPr>
          <w:sz w:val="18"/>
        </w:rPr>
        <w:t>Impact négatif de la flambée des prix des matières premières et du fret maritime</w:t>
      </w:r>
    </w:p>
    <w:p>
      <w:pPr>
        <w:pStyle w:val="ListBullet"/>
        <w:spacing w:before="20" w:after="20"/>
        <w:ind w:left="700"/>
      </w:pPr>
      <w:r>
        <w:rPr>
          <w:sz w:val="18"/>
        </w:rPr>
        <w:t>Provisions exceptionnelles liées à la sortie des filiales du Burkina Faso</w:t>
      </w:r>
    </w:p>
    <w:p>
      <w:pPr>
        <w:pStyle w:val="ListBullet"/>
        <w:spacing w:before="20" w:after="20"/>
        <w:ind w:left="700"/>
      </w:pPr>
      <w:r>
        <w:rPr>
          <w:sz w:val="18"/>
        </w:rPr>
        <w:t>Baisse significative des revenus financiers provenant des filiales</w:t>
      </w:r>
    </w:p>
    <w:p>
      <w:pPr>
        <w:spacing w:before="40"/>
        <w:ind w:left="400"/>
      </w:pPr>
      <w:r>
        <w:rPr>
          <w:b/>
          <w:color w:val="C05000"/>
          <w:sz w:val="18"/>
        </w:rPr>
        <w:t xml:space="preserve">⚠️ Risques : </w:t>
      </w:r>
      <w:r>
        <w:rPr>
          <w:sz w:val="18"/>
        </w:rPr>
        <w:t>["Persistance de la hausse des co\u00fbts des mati\u00e8res premi\u00e8res et du fret maritime", "Tensions continues sur les approvisionnements", "D\u00e9pendance aux revenus des filiales et risque de nouvelles restructurations"]</w:t>
      </w:r>
    </w:p>
    <w:p>
      <w:pPr>
        <w:spacing w:before="40"/>
        <w:ind w:left="400"/>
      </w:pPr>
      <w:r>
        <w:rPr>
          <w:b/>
          <w:color w:val="0064A0"/>
          <w:sz w:val="18"/>
        </w:rPr>
        <w:t xml:space="preserve">🔮 Perspectives : </w:t>
      </w:r>
      <w:r>
        <w:rPr>
          <w:sz w:val="18"/>
        </w:rPr>
        <w:t>Les perspectives pour la fin d'année s'annoncent favorables selon la direction, soutenues par un démarrage satisfaisant de la campagne cacaoyère. Toutefois, les tensions persistantes sur les approvisionnements constituent un défi à surveiller. La normalisation progressive des coûts post-pandémie dev</w:t>
      </w:r>
    </w:p>
    <w:p/>
    <w:p>
      <w:r>
        <w:t>════════════════════════════════════════════════════════════════════════════════</w:t>
      </w:r>
    </w:p>
    <w:p>
      <w:r>
        <w:br w:type="page"/>
      </w:r>
    </w:p>
    <w:p>
      <w:pPr>
        <w:pStyle w:val="Heading2"/>
        <w:spacing w:before="360"/>
      </w:pPr>
      <w:r>
        <w:rPr>
          <w:color w:val="0066CC"/>
        </w:rPr>
        <w:t>19. LNBB - LNBB - LOTERIE NATIONALE DU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LNBB</w:t>
            </w:r>
          </w:p>
          <w:p>
            <w:r>
              <w:rPr>
                <w:b/>
                <w:color w:val="323250"/>
                <w:sz w:val="16"/>
              </w:rPr>
              <w:t xml:space="preserve">Société : </w:t>
            </w:r>
            <w:r>
              <w:rPr>
                <w:color w:val="000000"/>
                <w:sz w:val="16"/>
              </w:rPr>
              <w:t>LNBB - LOTERIE NATIONALE DU BENIN</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81.60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4,733 titres</w:t>
            </w:r>
          </w:p>
        </w:tc>
        <w:tc>
          <w:tcPr>
            <w:tcW w:type="dxa" w:w="2268"/>
            <w:shd w:fill="FFF2CC" w:val="clear"/>
          </w:tcPr>
          <w:p>
            <w:r>
              <w:rPr>
                <w:b/>
                <w:color w:val="503200"/>
                <w:sz w:val="16"/>
              </w:rPr>
              <w:t xml:space="preserve">Cours actuel : </w:t>
            </w:r>
            <w:r>
              <w:rPr>
                <w:color w:val="000000"/>
                <w:sz w:val="17"/>
              </w:rPr>
              <w:t>4,080 FCFA</w:t>
            </w:r>
          </w:p>
          <w:p>
            <w:r>
              <w:rPr>
                <w:b/>
                <w:color w:val="503200"/>
                <w:sz w:val="16"/>
              </w:rPr>
              <w:t xml:space="preserve">Var. 100 jours : </w:t>
            </w:r>
            <w:r>
              <w:rPr>
                <w:b/>
                <w:color w:val="007800"/>
                <w:sz w:val="17"/>
              </w:rPr>
              <w:t>+5.70%</w:t>
            </w:r>
          </w:p>
          <w:p>
            <w:r>
              <w:rPr>
                <w:b/>
                <w:color w:val="503200"/>
                <w:sz w:val="16"/>
              </w:rPr>
              <w:t xml:space="preserve">Plus haut 100j : </w:t>
            </w:r>
            <w:r>
              <w:rPr>
                <w:color w:val="000000"/>
                <w:sz w:val="17"/>
              </w:rPr>
              <w:t>4,560 FCFA</w:t>
            </w:r>
          </w:p>
          <w:p>
            <w:r>
              <w:rPr>
                <w:b/>
                <w:color w:val="503200"/>
                <w:sz w:val="16"/>
              </w:rPr>
              <w:t xml:space="preserve">Plus bas 100j : </w:t>
            </w:r>
            <w:r>
              <w:rPr>
                <w:color w:val="000000"/>
                <w:sz w:val="17"/>
              </w:rPr>
              <w:t>3,700 FCFA</w:t>
            </w:r>
          </w:p>
          <w:p>
            <w:r>
              <w:rPr>
                <w:b/>
                <w:color w:val="503200"/>
                <w:sz w:val="16"/>
              </w:rPr>
              <w:t xml:space="preserve">Volatilité ann. : </w:t>
            </w:r>
            <w:r>
              <w:rPr>
                <w:color w:val="000000"/>
                <w:sz w:val="17"/>
              </w:rPr>
              <w:t>41.4%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4.66% (Faible) — μ=4,078 FCFA, σ=190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β=0.6771 (Défensif) — Cov=0.000051, Var(idx)=0.000075, ρ=0.224,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4,733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σ_j=2.61%/j (Stable) — Vol. annualisée≈41.4%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35585"/>
            <wp:docPr id="21" name="Picture 21"/>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2026-10-16</w:t>
            </w:r>
          </w:p>
        </w:tc>
        <w:tc>
          <w:tcPr>
            <w:tcW w:type="dxa" w:w="1440"/>
            <w:shd w:fill="FFDCE0" w:val="clear"/>
          </w:tcPr>
          <w:p>
            <w:r>
              <w:rPr>
                <w:sz w:val="17"/>
              </w:rPr>
              <w:t>3,808</w:t>
            </w:r>
          </w:p>
        </w:tc>
        <w:tc>
          <w:tcPr>
            <w:tcW w:type="dxa" w:w="1440"/>
            <w:shd w:fill="FFDCE0" w:val="clear"/>
          </w:tcPr>
          <w:p>
            <w:r>
              <w:rPr>
                <w:b/>
                <w:sz w:val="17"/>
              </w:rPr>
              <w:t>3,982</w:t>
            </w:r>
          </w:p>
        </w:tc>
        <w:tc>
          <w:tcPr>
            <w:tcW w:type="dxa" w:w="1440"/>
            <w:shd w:fill="FFDCE0" w:val="clear"/>
          </w:tcPr>
          <w:p>
            <w:r>
              <w:rPr>
                <w:sz w:val="17"/>
              </w:rPr>
              <w:t>4,156</w:t>
            </w:r>
          </w:p>
        </w:tc>
        <w:tc>
          <w:tcPr>
            <w:tcW w:type="dxa" w:w="1440"/>
            <w:shd w:fill="FFDCE0" w:val="clear"/>
          </w:tcPr>
          <w:p>
            <w:r>
              <w:rPr>
                <w:b/>
                <w:color w:val="C00000"/>
                <w:sz w:val="17"/>
              </w:rPr>
              <w:t>-2.4%</w:t>
            </w:r>
          </w:p>
        </w:tc>
      </w:tr>
      <w:tr>
        <w:tc>
          <w:tcPr>
            <w:tcW w:type="dxa" w:w="1440"/>
            <w:shd w:fill="FFDCE0" w:val="clear"/>
          </w:tcPr>
          <w:p>
            <w:r>
              <w:rPr>
                <w:sz w:val="17"/>
              </w:rPr>
              <w:t>J+2  Moyenne</w:t>
            </w:r>
          </w:p>
        </w:tc>
        <w:tc>
          <w:tcPr>
            <w:tcW w:type="dxa" w:w="1440"/>
            <w:shd w:fill="FFDCE0" w:val="clear"/>
          </w:tcPr>
          <w:p>
            <w:r>
              <w:rPr>
                <w:sz w:val="17"/>
              </w:rPr>
              <w:t>2026-10-19</w:t>
            </w:r>
          </w:p>
        </w:tc>
        <w:tc>
          <w:tcPr>
            <w:tcW w:type="dxa" w:w="1440"/>
            <w:shd w:fill="FFDCE0" w:val="clear"/>
          </w:tcPr>
          <w:p>
            <w:r>
              <w:rPr>
                <w:sz w:val="17"/>
              </w:rPr>
              <w:t>3,748</w:t>
            </w:r>
          </w:p>
        </w:tc>
        <w:tc>
          <w:tcPr>
            <w:tcW w:type="dxa" w:w="1440"/>
            <w:shd w:fill="FFDCE0" w:val="clear"/>
          </w:tcPr>
          <w:p>
            <w:r>
              <w:rPr>
                <w:b/>
                <w:sz w:val="17"/>
              </w:rPr>
              <w:t>3,994</w:t>
            </w:r>
          </w:p>
        </w:tc>
        <w:tc>
          <w:tcPr>
            <w:tcW w:type="dxa" w:w="1440"/>
            <w:shd w:fill="FFDCE0" w:val="clear"/>
          </w:tcPr>
          <w:p>
            <w:r>
              <w:rPr>
                <w:sz w:val="17"/>
              </w:rPr>
              <w:t>4,240</w:t>
            </w:r>
          </w:p>
        </w:tc>
        <w:tc>
          <w:tcPr>
            <w:tcW w:type="dxa" w:w="1440"/>
            <w:shd w:fill="FFDCE0" w:val="clear"/>
          </w:tcPr>
          <w:p>
            <w:r>
              <w:rPr>
                <w:b/>
                <w:color w:val="C00000"/>
                <w:sz w:val="17"/>
              </w:rPr>
              <w:t>-2.1%</w:t>
            </w:r>
          </w:p>
        </w:tc>
      </w:tr>
      <w:tr>
        <w:tc>
          <w:tcPr>
            <w:tcW w:type="dxa" w:w="1440"/>
            <w:shd w:fill="FAFAFA" w:val="clear"/>
          </w:tcPr>
          <w:p>
            <w:r>
              <w:rPr>
                <w:sz w:val="17"/>
              </w:rPr>
              <w:t>J+3  Moyenne</w:t>
            </w:r>
          </w:p>
        </w:tc>
        <w:tc>
          <w:tcPr>
            <w:tcW w:type="dxa" w:w="1440"/>
            <w:shd w:fill="FAFAFA" w:val="clear"/>
          </w:tcPr>
          <w:p>
            <w:r>
              <w:rPr>
                <w:sz w:val="17"/>
              </w:rPr>
              <w:t>2026-10-20</w:t>
            </w:r>
          </w:p>
        </w:tc>
        <w:tc>
          <w:tcPr>
            <w:tcW w:type="dxa" w:w="1440"/>
            <w:shd w:fill="FAFAFA" w:val="clear"/>
          </w:tcPr>
          <w:p>
            <w:r>
              <w:rPr>
                <w:sz w:val="17"/>
              </w:rPr>
              <w:t>3,698</w:t>
            </w:r>
          </w:p>
        </w:tc>
        <w:tc>
          <w:tcPr>
            <w:tcW w:type="dxa" w:w="1440"/>
            <w:shd w:fill="FAFAFA" w:val="clear"/>
          </w:tcPr>
          <w:p>
            <w:r>
              <w:rPr>
                <w:b/>
                <w:sz w:val="17"/>
              </w:rPr>
              <w:t>4,000</w:t>
            </w:r>
          </w:p>
        </w:tc>
        <w:tc>
          <w:tcPr>
            <w:tcW w:type="dxa" w:w="1440"/>
            <w:shd w:fill="FAFAFA" w:val="clear"/>
          </w:tcPr>
          <w:p>
            <w:r>
              <w:rPr>
                <w:sz w:val="17"/>
              </w:rPr>
              <w:t>4,302</w:t>
            </w:r>
          </w:p>
        </w:tc>
        <w:tc>
          <w:tcPr>
            <w:tcW w:type="dxa" w:w="1440"/>
            <w:shd w:fill="FAFAFA" w:val="clear"/>
          </w:tcPr>
          <w:p>
            <w:r>
              <w:rPr>
                <w:b/>
                <w:color w:val="C00000"/>
                <w:sz w:val="17"/>
              </w:rPr>
              <w:t>-2.0%</w:t>
            </w:r>
          </w:p>
        </w:tc>
      </w:tr>
      <w:tr>
        <w:tc>
          <w:tcPr>
            <w:tcW w:type="dxa" w:w="1440"/>
            <w:shd w:fill="FAFAFA" w:val="clear"/>
          </w:tcPr>
          <w:p>
            <w:r>
              <w:rPr>
                <w:sz w:val="17"/>
              </w:rPr>
              <w:t>J+4  ⭐</w:t>
            </w:r>
          </w:p>
        </w:tc>
        <w:tc>
          <w:tcPr>
            <w:tcW w:type="dxa" w:w="1440"/>
            <w:shd w:fill="FAFAFA" w:val="clear"/>
          </w:tcPr>
          <w:p>
            <w:r>
              <w:rPr>
                <w:sz w:val="17"/>
              </w:rPr>
              <w:t>2026-10-21</w:t>
            </w:r>
          </w:p>
        </w:tc>
        <w:tc>
          <w:tcPr>
            <w:tcW w:type="dxa" w:w="1440"/>
            <w:shd w:fill="FAFAFA" w:val="clear"/>
          </w:tcPr>
          <w:p>
            <w:r>
              <w:rPr>
                <w:sz w:val="17"/>
              </w:rPr>
              <w:t>3,656</w:t>
            </w:r>
          </w:p>
        </w:tc>
        <w:tc>
          <w:tcPr>
            <w:tcW w:type="dxa" w:w="1440"/>
            <w:shd w:fill="FAFAFA" w:val="clear"/>
          </w:tcPr>
          <w:p>
            <w:r>
              <w:rPr>
                <w:b/>
                <w:sz w:val="17"/>
              </w:rPr>
              <w:t>4,005</w:t>
            </w:r>
          </w:p>
        </w:tc>
        <w:tc>
          <w:tcPr>
            <w:tcW w:type="dxa" w:w="1440"/>
            <w:shd w:fill="FAFAFA" w:val="clear"/>
          </w:tcPr>
          <w:p>
            <w:r>
              <w:rPr>
                <w:sz w:val="17"/>
              </w:rPr>
              <w:t>4,354</w:t>
            </w:r>
          </w:p>
        </w:tc>
        <w:tc>
          <w:tcPr>
            <w:tcW w:type="dxa" w:w="1440"/>
            <w:shd w:fill="FAFAFA" w:val="clear"/>
          </w:tcPr>
          <w:p>
            <w:r>
              <w:rPr>
                <w:b/>
                <w:color w:val="C00000"/>
                <w:sz w:val="17"/>
              </w:rPr>
              <w:t>-1.8%</w:t>
            </w:r>
          </w:p>
        </w:tc>
      </w:tr>
      <w:tr>
        <w:tc>
          <w:tcPr>
            <w:tcW w:type="dxa" w:w="1440"/>
            <w:shd w:fill="FAFAFA" w:val="clear"/>
          </w:tcPr>
          <w:p>
            <w:r>
              <w:rPr>
                <w:sz w:val="17"/>
              </w:rPr>
              <w:t>J+5  ⭐</w:t>
            </w:r>
          </w:p>
        </w:tc>
        <w:tc>
          <w:tcPr>
            <w:tcW w:type="dxa" w:w="1440"/>
            <w:shd w:fill="FAFAFA" w:val="clear"/>
          </w:tcPr>
          <w:p>
            <w:r>
              <w:rPr>
                <w:sz w:val="17"/>
              </w:rPr>
              <w:t>2026-10-22</w:t>
            </w:r>
          </w:p>
        </w:tc>
        <w:tc>
          <w:tcPr>
            <w:tcW w:type="dxa" w:w="1440"/>
            <w:shd w:fill="FAFAFA" w:val="clear"/>
          </w:tcPr>
          <w:p>
            <w:r>
              <w:rPr>
                <w:sz w:val="17"/>
              </w:rPr>
              <w:t>3,618</w:t>
            </w:r>
          </w:p>
        </w:tc>
        <w:tc>
          <w:tcPr>
            <w:tcW w:type="dxa" w:w="1440"/>
            <w:shd w:fill="FAFAFA" w:val="clear"/>
          </w:tcPr>
          <w:p>
            <w:r>
              <w:rPr>
                <w:b/>
                <w:sz w:val="17"/>
              </w:rPr>
              <w:t>4,009</w:t>
            </w:r>
          </w:p>
        </w:tc>
        <w:tc>
          <w:tcPr>
            <w:tcW w:type="dxa" w:w="1440"/>
            <w:shd w:fill="FAFAFA" w:val="clear"/>
          </w:tcPr>
          <w:p>
            <w:r>
              <w:rPr>
                <w:sz w:val="17"/>
              </w:rPr>
              <w:t>4,399</w:t>
            </w:r>
          </w:p>
        </w:tc>
        <w:tc>
          <w:tcPr>
            <w:tcW w:type="dxa" w:w="1440"/>
            <w:shd w:fill="FAFAFA" w:val="clear"/>
          </w:tcPr>
          <w:p>
            <w:r>
              <w:rPr>
                <w:b/>
                <w:color w:val="C00000"/>
                <w:sz w:val="17"/>
              </w:rPr>
              <w:t>-1.7%</w:t>
            </w:r>
          </w:p>
        </w:tc>
      </w:tr>
      <w:tr>
        <w:tc>
          <w:tcPr>
            <w:tcW w:type="dxa" w:w="1440"/>
            <w:shd w:fill="FAFAFA" w:val="clear"/>
          </w:tcPr>
          <w:p>
            <w:r>
              <w:rPr>
                <w:sz w:val="17"/>
              </w:rPr>
              <w:t>J+6  ⭐</w:t>
            </w:r>
          </w:p>
        </w:tc>
        <w:tc>
          <w:tcPr>
            <w:tcW w:type="dxa" w:w="1440"/>
            <w:shd w:fill="FAFAFA" w:val="clear"/>
          </w:tcPr>
          <w:p>
            <w:r>
              <w:rPr>
                <w:sz w:val="17"/>
              </w:rPr>
              <w:t>2026-10-23</w:t>
            </w:r>
          </w:p>
        </w:tc>
        <w:tc>
          <w:tcPr>
            <w:tcW w:type="dxa" w:w="1440"/>
            <w:shd w:fill="FAFAFA" w:val="clear"/>
          </w:tcPr>
          <w:p>
            <w:r>
              <w:rPr>
                <w:sz w:val="17"/>
              </w:rPr>
              <w:t>3,586</w:t>
            </w:r>
          </w:p>
        </w:tc>
        <w:tc>
          <w:tcPr>
            <w:tcW w:type="dxa" w:w="1440"/>
            <w:shd w:fill="FAFAFA" w:val="clear"/>
          </w:tcPr>
          <w:p>
            <w:r>
              <w:rPr>
                <w:b/>
                <w:sz w:val="17"/>
              </w:rPr>
              <w:t>4,014</w:t>
            </w:r>
          </w:p>
        </w:tc>
        <w:tc>
          <w:tcPr>
            <w:tcW w:type="dxa" w:w="1440"/>
            <w:shd w:fill="FAFAFA" w:val="clear"/>
          </w:tcPr>
          <w:p>
            <w:r>
              <w:rPr>
                <w:sz w:val="17"/>
              </w:rPr>
              <w:t>4,443</w:t>
            </w:r>
          </w:p>
        </w:tc>
        <w:tc>
          <w:tcPr>
            <w:tcW w:type="dxa" w:w="1440"/>
            <w:shd w:fill="FAFAFA" w:val="clear"/>
          </w:tcPr>
          <w:p>
            <w:r>
              <w:rPr>
                <w:b/>
                <w:color w:val="C00000"/>
                <w:sz w:val="17"/>
              </w:rPr>
              <w:t>-1.6%</w:t>
            </w:r>
          </w:p>
        </w:tc>
      </w:tr>
      <w:tr>
        <w:tc>
          <w:tcPr>
            <w:tcW w:type="dxa" w:w="1440"/>
            <w:shd w:fill="FAFAFA" w:val="clear"/>
          </w:tcPr>
          <w:p>
            <w:r>
              <w:rPr>
                <w:sz w:val="17"/>
              </w:rPr>
              <w:t>J+7  ⭐</w:t>
            </w:r>
          </w:p>
        </w:tc>
        <w:tc>
          <w:tcPr>
            <w:tcW w:type="dxa" w:w="1440"/>
            <w:shd w:fill="FAFAFA" w:val="clear"/>
          </w:tcPr>
          <w:p>
            <w:r>
              <w:rPr>
                <w:sz w:val="17"/>
              </w:rPr>
              <w:t>2026-10-26</w:t>
            </w:r>
          </w:p>
        </w:tc>
        <w:tc>
          <w:tcPr>
            <w:tcW w:type="dxa" w:w="1440"/>
            <w:shd w:fill="FAFAFA" w:val="clear"/>
          </w:tcPr>
          <w:p>
            <w:r>
              <w:rPr>
                <w:sz w:val="17"/>
              </w:rPr>
              <w:t>3,555</w:t>
            </w:r>
          </w:p>
        </w:tc>
        <w:tc>
          <w:tcPr>
            <w:tcW w:type="dxa" w:w="1440"/>
            <w:shd w:fill="FAFAFA" w:val="clear"/>
          </w:tcPr>
          <w:p>
            <w:r>
              <w:rPr>
                <w:b/>
                <w:sz w:val="17"/>
              </w:rPr>
              <w:t>4,019</w:t>
            </w:r>
          </w:p>
        </w:tc>
        <w:tc>
          <w:tcPr>
            <w:tcW w:type="dxa" w:w="1440"/>
            <w:shd w:fill="FAFAFA" w:val="clear"/>
          </w:tcPr>
          <w:p>
            <w:r>
              <w:rPr>
                <w:sz w:val="17"/>
              </w:rPr>
              <w:t>4,482</w:t>
            </w:r>
          </w:p>
        </w:tc>
        <w:tc>
          <w:tcPr>
            <w:tcW w:type="dxa" w:w="1440"/>
            <w:shd w:fill="FAFAFA" w:val="clear"/>
          </w:tcPr>
          <w:p>
            <w:r>
              <w:rPr>
                <w:b/>
                <w:color w:val="C00000"/>
                <w:sz w:val="17"/>
              </w:rPr>
              <w:t>-1.5%</w:t>
            </w:r>
          </w:p>
        </w:tc>
      </w:tr>
      <w:tr>
        <w:tc>
          <w:tcPr>
            <w:tcW w:type="dxa" w:w="1440"/>
            <w:shd w:fill="FAFAFA" w:val="clear"/>
          </w:tcPr>
          <w:p>
            <w:r>
              <w:rPr>
                <w:sz w:val="17"/>
              </w:rPr>
              <w:t>J+8  ⭐</w:t>
            </w:r>
          </w:p>
        </w:tc>
        <w:tc>
          <w:tcPr>
            <w:tcW w:type="dxa" w:w="1440"/>
            <w:shd w:fill="FAFAFA" w:val="clear"/>
          </w:tcPr>
          <w:p>
            <w:r>
              <w:rPr>
                <w:sz w:val="17"/>
              </w:rPr>
              <w:t>2026-10-27</w:t>
            </w:r>
          </w:p>
        </w:tc>
        <w:tc>
          <w:tcPr>
            <w:tcW w:type="dxa" w:w="1440"/>
            <w:shd w:fill="FAFAFA" w:val="clear"/>
          </w:tcPr>
          <w:p>
            <w:r>
              <w:rPr>
                <w:sz w:val="17"/>
              </w:rPr>
              <w:t>3,528</w:t>
            </w:r>
          </w:p>
        </w:tc>
        <w:tc>
          <w:tcPr>
            <w:tcW w:type="dxa" w:w="1440"/>
            <w:shd w:fill="FAFAFA" w:val="clear"/>
          </w:tcPr>
          <w:p>
            <w:r>
              <w:rPr>
                <w:b/>
                <w:sz w:val="17"/>
              </w:rPr>
              <w:t>4,024</w:t>
            </w:r>
          </w:p>
        </w:tc>
        <w:tc>
          <w:tcPr>
            <w:tcW w:type="dxa" w:w="1440"/>
            <w:shd w:fill="FAFAFA" w:val="clear"/>
          </w:tcPr>
          <w:p>
            <w:r>
              <w:rPr>
                <w:sz w:val="17"/>
              </w:rPr>
              <w:t>4,520</w:t>
            </w:r>
          </w:p>
        </w:tc>
        <w:tc>
          <w:tcPr>
            <w:tcW w:type="dxa" w:w="1440"/>
            <w:shd w:fill="FAFAFA" w:val="clear"/>
          </w:tcPr>
          <w:p>
            <w:r>
              <w:rPr>
                <w:b/>
                <w:color w:val="C00000"/>
                <w:sz w:val="17"/>
              </w:rPr>
              <w:t>-1.4%</w:t>
            </w:r>
          </w:p>
        </w:tc>
      </w:tr>
      <w:tr>
        <w:tc>
          <w:tcPr>
            <w:tcW w:type="dxa" w:w="1440"/>
            <w:shd w:fill="FAFAFA" w:val="clear"/>
          </w:tcPr>
          <w:p>
            <w:r>
              <w:rPr>
                <w:sz w:val="17"/>
              </w:rPr>
              <w:t>J+9  ⭐</w:t>
            </w:r>
          </w:p>
        </w:tc>
        <w:tc>
          <w:tcPr>
            <w:tcW w:type="dxa" w:w="1440"/>
            <w:shd w:fill="FAFAFA" w:val="clear"/>
          </w:tcPr>
          <w:p>
            <w:r>
              <w:rPr>
                <w:sz w:val="17"/>
              </w:rPr>
              <w:t>2026-10-28</w:t>
            </w:r>
          </w:p>
        </w:tc>
        <w:tc>
          <w:tcPr>
            <w:tcW w:type="dxa" w:w="1440"/>
            <w:shd w:fill="FAFAFA" w:val="clear"/>
          </w:tcPr>
          <w:p>
            <w:r>
              <w:rPr>
                <w:sz w:val="17"/>
              </w:rPr>
              <w:t>3,506</w:t>
            </w:r>
          </w:p>
        </w:tc>
        <w:tc>
          <w:tcPr>
            <w:tcW w:type="dxa" w:w="1440"/>
            <w:shd w:fill="FAFAFA" w:val="clear"/>
          </w:tcPr>
          <w:p>
            <w:r>
              <w:rPr>
                <w:b/>
                <w:sz w:val="17"/>
              </w:rPr>
              <w:t>4,033</w:t>
            </w:r>
          </w:p>
        </w:tc>
        <w:tc>
          <w:tcPr>
            <w:tcW w:type="dxa" w:w="1440"/>
            <w:shd w:fill="FAFAFA" w:val="clear"/>
          </w:tcPr>
          <w:p>
            <w:r>
              <w:rPr>
                <w:sz w:val="17"/>
              </w:rPr>
              <w:t>4,560</w:t>
            </w:r>
          </w:p>
        </w:tc>
        <w:tc>
          <w:tcPr>
            <w:tcW w:type="dxa" w:w="1440"/>
            <w:shd w:fill="FAFAFA" w:val="clear"/>
          </w:tcPr>
          <w:p>
            <w:r>
              <w:rPr>
                <w:b/>
                <w:color w:val="C00000"/>
                <w:sz w:val="17"/>
              </w:rPr>
              <w:t>-1.1%</w:t>
            </w:r>
          </w:p>
        </w:tc>
      </w:tr>
      <w:tr>
        <w:tc>
          <w:tcPr>
            <w:tcW w:type="dxa" w:w="1440"/>
            <w:shd w:fill="FAFAFA" w:val="clear"/>
          </w:tcPr>
          <w:p>
            <w:r>
              <w:rPr>
                <w:sz w:val="17"/>
              </w:rPr>
              <w:t>J+10  ⭐</w:t>
            </w:r>
          </w:p>
        </w:tc>
        <w:tc>
          <w:tcPr>
            <w:tcW w:type="dxa" w:w="1440"/>
            <w:shd w:fill="FAFAFA" w:val="clear"/>
          </w:tcPr>
          <w:p>
            <w:r>
              <w:rPr>
                <w:sz w:val="17"/>
              </w:rPr>
              <w:t>2026-10-29</w:t>
            </w:r>
          </w:p>
        </w:tc>
        <w:tc>
          <w:tcPr>
            <w:tcW w:type="dxa" w:w="1440"/>
            <w:shd w:fill="FAFAFA" w:val="clear"/>
          </w:tcPr>
          <w:p>
            <w:r>
              <w:rPr>
                <w:sz w:val="17"/>
              </w:rPr>
              <w:t>3,482</w:t>
            </w:r>
          </w:p>
        </w:tc>
        <w:tc>
          <w:tcPr>
            <w:tcW w:type="dxa" w:w="1440"/>
            <w:shd w:fill="FAFAFA" w:val="clear"/>
          </w:tcPr>
          <w:p>
            <w:r>
              <w:rPr>
                <w:b/>
                <w:sz w:val="17"/>
              </w:rPr>
              <w:t>4,039</w:t>
            </w:r>
          </w:p>
        </w:tc>
        <w:tc>
          <w:tcPr>
            <w:tcW w:type="dxa" w:w="1440"/>
            <w:shd w:fill="FAFAFA" w:val="clear"/>
          </w:tcPr>
          <w:p>
            <w:r>
              <w:rPr>
                <w:sz w:val="17"/>
              </w:rPr>
              <w:t>4,596</w:t>
            </w:r>
          </w:p>
        </w:tc>
        <w:tc>
          <w:tcPr>
            <w:tcW w:type="dxa" w:w="1440"/>
            <w:shd w:fill="FAFAFA" w:val="clear"/>
          </w:tcPr>
          <w:p>
            <w:r>
              <w:rPr>
                <w:b/>
                <w:color w:val="C00000"/>
                <w:sz w:val="17"/>
              </w:rPr>
              <w:t>-1.0%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1.319 Mds FCFA</w:t>
            </w:r>
          </w:p>
        </w:tc>
        <w:tc>
          <w:tcPr>
            <w:tcW w:type="dxa" w:w="5669"/>
            <w:shd w:fill="FFFFFF" w:val="clear"/>
          </w:tcPr>
          <w:p>
            <w:r>
              <w:rPr>
                <w:color w:val="282828"/>
                <w:sz w:val="15"/>
              </w:rPr>
              <w:t>Créances clients = 1.3%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427.19 M FCFA</w:t>
            </w:r>
          </w:p>
        </w:tc>
        <w:tc>
          <w:tcPr>
            <w:tcW w:type="dxa" w:w="5669"/>
            <w:shd w:fill="FFFFFF" w:val="clear"/>
          </w:tcPr>
          <w:p>
            <w:r>
              <w:rPr>
                <w:color w:val="282828"/>
                <w:sz w:val="15"/>
              </w:rPr>
              <w:t>Rotation stocks = 230.8x/an.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9.879 Mds FCFA</w:t>
            </w:r>
          </w:p>
        </w:tc>
        <w:tc>
          <w:tcPr>
            <w:tcW w:type="dxa" w:w="5669"/>
            <w:shd w:fill="FFFFFF" w:val="clear"/>
          </w:tcPr>
          <w:p>
            <w:r>
              <w:rPr>
                <w:color w:val="282828"/>
                <w:sz w:val="15"/>
              </w:rPr>
              <w:t>Ratio actif circ./passif circ. = 1.02x.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45.99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9.429 Mds FCFA</w:t>
            </w:r>
          </w:p>
        </w:tc>
        <w:tc>
          <w:tcPr>
            <w:tcW w:type="dxa" w:w="5669"/>
            <w:shd w:fill="FFFFFF" w:val="clear"/>
          </w:tcPr>
          <w:p>
            <w:r>
              <w:rPr>
                <w:color w:val="282828"/>
                <w:sz w:val="15"/>
              </w:rPr>
              <w:t>Outil industriel (28.9%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14.751 Mds FCFA</w:t>
            </w:r>
          </w:p>
        </w:tc>
        <w:tc>
          <w:tcPr>
            <w:tcW w:type="dxa" w:w="5669"/>
            <w:shd w:fill="FFFFFF" w:val="clear"/>
          </w:tcPr>
          <w:p>
            <w:r>
              <w:rPr>
                <w:color w:val="282828"/>
                <w:sz w:val="15"/>
              </w:rPr>
              <w:t>Actif immobilisé = 45.2%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7.979 Mds FCFA</w:t>
            </w:r>
          </w:p>
        </w:tc>
        <w:tc>
          <w:tcPr>
            <w:tcW w:type="dxa" w:w="5669"/>
            <w:shd w:fill="FFFFFF" w:val="clear"/>
          </w:tcPr>
          <w:p>
            <w:r>
              <w:rPr>
                <w:color w:val="282828"/>
                <w:sz w:val="15"/>
              </w:rPr>
              <w:t>Liquidités disponibles (24.5%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32.609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3.016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21.954 Mds FCFA</w:t>
            </w:r>
          </w:p>
        </w:tc>
        <w:tc>
          <w:tcPr>
            <w:tcW w:type="dxa" w:w="5669"/>
            <w:shd w:fill="FFFFFF" w:val="clear"/>
          </w:tcPr>
          <w:p>
            <w:r>
              <w:rPr>
                <w:color w:val="282828"/>
                <w:sz w:val="15"/>
              </w:rPr>
              <w:t>Fonds propres = 67.3%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22.948 Mds FCFA</w:t>
            </w:r>
          </w:p>
        </w:tc>
        <w:tc>
          <w:tcPr>
            <w:tcW w:type="dxa" w:w="5669"/>
            <w:shd w:fill="FFFFFF" w:val="clear"/>
          </w:tcPr>
          <w:p>
            <w:r>
              <w:rPr>
                <w:color w:val="282828"/>
                <w:sz w:val="15"/>
              </w:rPr>
              <w:t>Capitaux permanents / Actif immobilisé = 1.56x.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5.589 Mds FCFA</w:t>
            </w:r>
          </w:p>
        </w:tc>
        <w:tc>
          <w:tcPr>
            <w:tcW w:type="dxa" w:w="5669"/>
            <w:shd w:fill="FFFFFF" w:val="clear"/>
          </w:tcPr>
          <w:p>
            <w:r>
              <w:rPr>
                <w:color w:val="282828"/>
                <w:sz w:val="15"/>
              </w:rPr>
              <w:t>Délai fournisseurs implicite ≈ 21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563.24 M FCFA</w:t>
            </w:r>
          </w:p>
        </w:tc>
        <w:tc>
          <w:tcPr>
            <w:tcW w:type="dxa" w:w="5669"/>
            <w:shd w:fill="FFFFFF" w:val="clear"/>
          </w:tcPr>
          <w:p>
            <w:r>
              <w:rPr>
                <w:color w:val="282828"/>
                <w:sz w:val="15"/>
              </w:rPr>
              <w:t>Dette LT/MT = 3%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563.24 M FCFA</w:t>
            </w:r>
          </w:p>
        </w:tc>
        <w:tc>
          <w:tcPr>
            <w:tcW w:type="dxa" w:w="5669"/>
            <w:shd w:fill="FFFFFF" w:val="clear"/>
          </w:tcPr>
          <w:p>
            <w:r>
              <w:rPr>
                <w:color w:val="282828"/>
                <w:sz w:val="15"/>
              </w:rPr>
              <w:t>Dette financière totale = 3%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10.655 Mds FCFA</w:t>
            </w:r>
          </w:p>
        </w:tc>
        <w:tc>
          <w:tcPr>
            <w:tcW w:type="dxa" w:w="5669"/>
            <w:shd w:fill="FFFFFF" w:val="clear"/>
          </w:tcPr>
          <w:p>
            <w:r>
              <w:rPr>
                <w:color w:val="282828"/>
                <w:sz w:val="15"/>
              </w:rPr>
              <w:t>Dettes totales = 32.7%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98.598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98.598 Mds FCFA</w:t>
            </w:r>
          </w:p>
        </w:tc>
        <w:tc>
          <w:tcPr>
            <w:tcW w:type="dxa" w:w="5669"/>
            <w:shd w:fill="FFFFFF" w:val="clear"/>
          </w:tcPr>
          <w:p>
            <w:r>
              <w:rPr>
                <w:color w:val="282828"/>
                <w:sz w:val="15"/>
              </w:rPr>
              <w:t>Chiffre d'affaires. Croissance: -3.8%.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787.83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3.384 Mds FCFA</w:t>
            </w:r>
          </w:p>
        </w:tc>
        <w:tc>
          <w:tcPr>
            <w:tcW w:type="dxa" w:w="5669"/>
            <w:shd w:fill="FFFFFF" w:val="clear"/>
          </w:tcPr>
          <w:p>
            <w:r>
              <w:rPr>
                <w:color w:val="282828"/>
                <w:sz w:val="15"/>
              </w:rPr>
              <w:t>Masse salariale = 3.4%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10.548 Mds FCFA</w:t>
            </w:r>
          </w:p>
        </w:tc>
        <w:tc>
          <w:tcPr>
            <w:tcW w:type="dxa" w:w="5669"/>
            <w:shd w:fill="FFFFFF" w:val="clear"/>
          </w:tcPr>
          <w:p>
            <w:r>
              <w:rPr>
                <w:color w:val="282828"/>
                <w:sz w:val="15"/>
              </w:rPr>
              <w:t>VA = 10.7%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7.164 Mds FCFA</w:t>
            </w:r>
          </w:p>
        </w:tc>
        <w:tc>
          <w:tcPr>
            <w:tcW w:type="dxa" w:w="5669"/>
            <w:shd w:fill="FFFFFF" w:val="clear"/>
          </w:tcPr>
          <w:p>
            <w:r>
              <w:rPr>
                <w:color w:val="282828"/>
                <w:sz w:val="15"/>
              </w:rPr>
              <w:t>EBE = 7.3%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6.376 Mds FCFA</w:t>
            </w:r>
          </w:p>
        </w:tc>
        <w:tc>
          <w:tcPr>
            <w:tcW w:type="dxa" w:w="5669"/>
            <w:shd w:fill="FFFFFF" w:val="clear"/>
          </w:tcPr>
          <w:p>
            <w:r>
              <w:rPr>
                <w:color w:val="282828"/>
                <w:sz w:val="15"/>
              </w:rPr>
              <w:t>Profit d'exploitation = 6.5%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4.622 Mds FCFA</w:t>
            </w:r>
          </w:p>
        </w:tc>
        <w:tc>
          <w:tcPr>
            <w:tcW w:type="dxa" w:w="5669"/>
            <w:shd w:fill="FFFFFF" w:val="clear"/>
          </w:tcPr>
          <w:p>
            <w:r>
              <w:rPr>
                <w:color w:val="282828"/>
                <w:sz w:val="15"/>
              </w:rPr>
              <w:t>Marge nette = 4.7%.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BFR</w:t>
            </w:r>
          </w:p>
        </w:tc>
        <w:tc>
          <w:tcPr>
            <w:tcW w:type="dxa" w:w="1984"/>
            <w:shd w:fill="C6EFCE" w:val="clear"/>
          </w:tcPr>
          <w:p>
            <w:r>
              <w:rPr>
                <w:b/>
                <w:color w:val="006400"/>
                <w:sz w:val="17"/>
              </w:rPr>
              <w:t>217.45 M FCFA</w:t>
            </w:r>
          </w:p>
        </w:tc>
        <w:tc>
          <w:tcPr>
            <w:tcW w:type="dxa" w:w="5669"/>
            <w:shd w:fill="FFFFFF" w:val="clear"/>
          </w:tcPr>
          <w:p>
            <w:r>
              <w:rPr>
                <w:color w:val="282828"/>
                <w:sz w:val="15"/>
              </w:rPr>
              <w:t>BFR = 0.2%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8.196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7.979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10.70%</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4.69%</w:t>
            </w:r>
          </w:p>
        </w:tc>
        <w:tc>
          <w:tcPr>
            <w:tcW w:type="dxa" w:w="5669"/>
            <w:shd w:fill="FFFFFF" w:val="clear"/>
          </w:tcPr>
          <w:p>
            <w:r>
              <w:rPr>
                <w:color w:val="282828"/>
                <w:sz w:val="15"/>
              </w:rPr>
              <w:t>Résultat net / revenus = 4.69%.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6.47%</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21.05%</w:t>
            </w:r>
          </w:p>
        </w:tc>
        <w:tc>
          <w:tcPr>
            <w:tcW w:type="dxa" w:w="5669"/>
            <w:shd w:fill="FFFFFF" w:val="clear"/>
          </w:tcPr>
          <w:p>
            <w:r>
              <w:rPr>
                <w:color w:val="282828"/>
                <w:sz w:val="15"/>
              </w:rPr>
              <w:t>Résultat net / capitaux propres = 21.05%.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14.17%</w:t>
            </w:r>
          </w:p>
        </w:tc>
        <w:tc>
          <w:tcPr>
            <w:tcW w:type="dxa" w:w="5669"/>
            <w:shd w:fill="FFFFFF" w:val="clear"/>
          </w:tcPr>
          <w:p>
            <w:r>
              <w:rPr>
                <w:color w:val="282828"/>
                <w:sz w:val="15"/>
              </w:rPr>
              <w:t>Résultat net / total actif = 14.17%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302.37%</w:t>
            </w:r>
          </w:p>
        </w:tc>
        <w:tc>
          <w:tcPr>
            <w:tcW w:type="dxa" w:w="5669"/>
            <w:shd w:fill="FFFFFF" w:val="clear"/>
          </w:tcPr>
          <w:p>
            <w:r>
              <w:rPr>
                <w:color w:val="282828"/>
                <w:sz w:val="15"/>
              </w:rPr>
              <w:t>CA / total actif = 302.37x.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0.07%</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EB9C" w:val="clear"/>
          </w:tcPr>
          <w:p>
            <w:r>
              <w:rPr>
                <w:b/>
                <w:color w:val="B40000"/>
                <w:sz w:val="17"/>
              </w:rPr>
              <w:t>-3.85%</w:t>
            </w:r>
          </w:p>
        </w:tc>
        <w:tc>
          <w:tcPr>
            <w:tcW w:type="dxa" w:w="5669"/>
            <w:shd w:fill="FFFFFF" w:val="clear"/>
          </w:tcPr>
          <w:p>
            <w:r>
              <w:rPr>
                <w:color w:val="282828"/>
                <w:sz w:val="15"/>
              </w:rPr>
              <w:t>Croissance CA vs exercice précédent = -3.85%.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67.32%</w:t>
            </w:r>
          </w:p>
        </w:tc>
        <w:tc>
          <w:tcPr>
            <w:tcW w:type="dxa" w:w="5669"/>
            <w:shd w:fill="FFFFFF" w:val="clear"/>
          </w:tcPr>
          <w:p>
            <w:r>
              <w:rPr>
                <w:color w:val="282828"/>
                <w:sz w:val="15"/>
              </w:rPr>
              <w:t>Fonds propres / total bilan = 67.32%.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32.68%</w:t>
            </w:r>
          </w:p>
        </w:tc>
        <w:tc>
          <w:tcPr>
            <w:tcW w:type="dxa" w:w="5669"/>
            <w:shd w:fill="FFFFFF" w:val="clear"/>
          </w:tcPr>
          <w:p>
            <w:r>
              <w:rPr>
                <w:color w:val="282828"/>
                <w:sz w:val="15"/>
              </w:rPr>
              <w:t>Dettes financières / total bilan = 32.68%.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2.57%</w:t>
            </w:r>
          </w:p>
        </w:tc>
        <w:tc>
          <w:tcPr>
            <w:tcW w:type="dxa" w:w="5669"/>
            <w:shd w:fill="FFFFFF" w:val="clear"/>
          </w:tcPr>
          <w:p>
            <w:r>
              <w:rPr>
                <w:color w:val="282828"/>
                <w:sz w:val="15"/>
              </w:rPr>
              <w:t>Dettes totales / fonds propres = 2.57%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306.04%</w:t>
            </w:r>
          </w:p>
        </w:tc>
        <w:tc>
          <w:tcPr>
            <w:tcW w:type="dxa" w:w="5669"/>
            <w:shd w:fill="FFFFFF" w:val="clear"/>
          </w:tcPr>
          <w:p>
            <w:r>
              <w:rPr>
                <w:color w:val="282828"/>
                <w:sz w:val="15"/>
              </w:rPr>
              <w:t>Total actif / dettes totales = 306.04x.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184.84%</w:t>
            </w:r>
          </w:p>
        </w:tc>
        <w:tc>
          <w:tcPr>
            <w:tcW w:type="dxa" w:w="5669"/>
            <w:shd w:fill="FFFFFF" w:val="clear"/>
          </w:tcPr>
          <w:p>
            <w:r>
              <w:rPr>
                <w:color w:val="282828"/>
                <w:sz w:val="15"/>
              </w:rPr>
              <w:t>Actif circulant / passif circulant = 184.84x.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82.59%</w:t>
            </w:r>
          </w:p>
        </w:tc>
        <w:tc>
          <w:tcPr>
            <w:tcW w:type="dxa" w:w="5669"/>
            <w:shd w:fill="FFFFFF" w:val="clear"/>
          </w:tcPr>
          <w:p>
            <w:r>
              <w:rPr>
                <w:color w:val="282828"/>
                <w:sz w:val="15"/>
              </w:rPr>
              <w:t>Trésorerie / passif circulant = 82.59x.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180.41%</w:t>
            </w:r>
          </w:p>
        </w:tc>
        <w:tc>
          <w:tcPr>
            <w:tcW w:type="dxa" w:w="5669"/>
            <w:shd w:fill="FFFFFF" w:val="clear"/>
          </w:tcPr>
          <w:p>
            <w:r>
              <w:rPr>
                <w:color w:val="282828"/>
                <w:sz w:val="15"/>
              </w:rPr>
              <w:t>(Actif circ. - stocks) / passif circ. = 180.41x.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155.56%</w:t>
            </w:r>
          </w:p>
        </w:tc>
        <w:tc>
          <w:tcPr>
            <w:tcW w:type="dxa" w:w="5669"/>
            <w:shd w:fill="FFFFFF" w:val="clear"/>
          </w:tcPr>
          <w:p>
            <w:r>
              <w:rPr>
                <w:color w:val="282828"/>
                <w:sz w:val="15"/>
              </w:rPr>
              <w:t>Capitaux permanents / actif immobilisé = 155.56x. ✅ Les actifs LT sont intégralement financés par des ressources stables.</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9153.29%</w:t>
            </w:r>
          </w:p>
        </w:tc>
        <w:tc>
          <w:tcPr>
            <w:tcW w:type="dxa" w:w="5669"/>
            <w:shd w:fill="FFFFFF" w:val="clear"/>
          </w:tcPr>
          <w:p>
            <w:r>
              <w:rPr>
                <w:color w:val="282828"/>
                <w:sz w:val="15"/>
              </w:rPr>
              <w:t>Résultat exploit. / charges financières = 9153.29x. ✅ Excellente couverture des intérêts.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4.8 j</w:t>
            </w:r>
          </w:p>
        </w:tc>
        <w:tc>
          <w:tcPr>
            <w:tcW w:type="dxa" w:w="5669"/>
            <w:shd w:fill="FFFFFF" w:val="clear"/>
          </w:tcPr>
          <w:p>
            <w:r>
              <w:rPr>
                <w:color w:val="282828"/>
                <w:sz w:val="15"/>
              </w:rPr>
              <w:t>Les clients paient en moyenne en 5 jours. ✅ Recouvrement rapide — trésorerie favorisée.</w:t>
            </w:r>
          </w:p>
        </w:tc>
      </w:tr>
      <w:tr>
        <w:tc>
          <w:tcPr>
            <w:tcW w:type="dxa" w:w="2268"/>
            <w:shd w:fill="EEF2F7" w:val="clear"/>
          </w:tcPr>
          <w:p>
            <w:r>
              <w:rPr>
                <w:b/>
                <w:color w:val="1E1E3C"/>
                <w:sz w:val="16"/>
              </w:rPr>
              <w:t>Délai fournisseurs (jours)</w:t>
            </w:r>
          </w:p>
        </w:tc>
        <w:tc>
          <w:tcPr>
            <w:tcW w:type="dxa" w:w="1984"/>
            <w:shd w:fill="FFEB9C" w:val="clear"/>
          </w:tcPr>
          <w:p>
            <w:r>
              <w:rPr>
                <w:b/>
                <w:color w:val="006400"/>
                <w:sz w:val="17"/>
              </w:rPr>
              <w:t>20.4 j</w:t>
            </w:r>
          </w:p>
        </w:tc>
        <w:tc>
          <w:tcPr>
            <w:tcW w:type="dxa" w:w="5669"/>
            <w:shd w:fill="FFFFFF" w:val="clear"/>
          </w:tcPr>
          <w:p>
            <w:r>
              <w:rPr>
                <w:color w:val="282828"/>
                <w:sz w:val="15"/>
              </w:rPr>
              <w:t>Paiement des fournisseurs en 20 jours. ⚠️ Paiement rapide — pouvoir de négociation limité.</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1.6 j</w:t>
            </w:r>
          </w:p>
        </w:tc>
        <w:tc>
          <w:tcPr>
            <w:tcW w:type="dxa" w:w="5669"/>
            <w:shd w:fill="FFFFFF" w:val="clear"/>
          </w:tcPr>
          <w:p>
            <w:r>
              <w:rPr>
                <w:color w:val="282828"/>
                <w:sz w:val="15"/>
              </w:rPr>
              <w:t>Stock écoulé en 2 jours. ✅ Rotation rapide — faible immobilisation de capital.</w:t>
            </w:r>
          </w:p>
        </w:tc>
      </w:tr>
    </w:tbl>
    <w:p/>
    <w:p>
      <w:pPr>
        <w:spacing w:after="120" w:line="276" w:lineRule="auto"/>
      </w:pPr>
      <w:r>
        <w:t>**RAPPORT D'ANALYSE FINANCIÈRE — LNBB (Loterie Nationale du Bénin SA)**</w:t>
        <w:br/>
        <w:t>**Bourse Régionale des Valeurs Mobilières (BRVM) — Secteur : Entreprise non bancaire (Jeux &amp; Loterie)**</w:t>
        <w:br/>
        <w:t>**Date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81,60 Mds FCFA, LNBB se positionne comme une valeur de taille intermédiaire sur la BRVM, cohérente avec son statut de monopole national de la loterie au Bénin. Le BPA de 231 FCFA/action signifie que chaque titre génère près de 231 FCFA de bénéfice net, ce qui, rapporté au cours actuel de 4 080 FCFA, donne un PER de 17,7x — nettement supérieur à la moyenne du marché BRVM (8-12x), traduisant une prime de qualité et de stabilité accordée par le marché. Le P/B de 3,72x indique que le marché valorise la société à près de 4 fois sa valeur comptable, une prime de croissance justifiée par un ROE élevé (21,05%) et une structure financière très saine. Enfin, l'EV/EBITDA de 10,4x se situe dans la fourchette haute (10-15x), signalant que la valeur d'entreprise intègre déjà une bonne partie de la capacité bénéficiaire opérationnelle ; le titre n'est donc pas « bon marché » sur ce critère, mais la qualité des cash-flows et la générosité du dividende (173 FCFA brut, soit un rendement de ~4,2%) compensent cette cherté relative.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cours de LNBB a progressé de +5,70%, avec une dernière séance en hausse de +0,74%, clôturant à 4 080 FCFA. Le titre a évolué dans un range de 860 FCFA, entre un plus bas de 3 700 FCFA et un plus haut de 4 560 FCFA, ce qui témoigne d'une tendance globalement haussière mais avec des phases de correction notables. La moyenne (4 078 FCFA) est quasi identique à la médiane (4 050 FCFA) et au mode (4 000 FCFA), signe d'une distribution très équilibrée et d'un cours qui « colle » à sa tendance centrale — le skewness de 0,442 confirme cette symétrie légèrement étirée vers le haut. L'écart-type de 191 FCFA avec un coefficient de variation de seulement 4,7% indique une dispersion faible du cours autour de sa moyenne, ce qui est rassurant pour la stabilité. Le kurtosis de -0,754 (mésokurtique) suggère une distribution proche de la normale, donc un risque de pics extrêmes limité. En revanche, la volatilité annualisée de 41,4% classe le titre dans la catégorie « élevée » (&gt;30%), ce qui contraste avec la faible dispersion quotidienne et s'explique probablement par des mouvements erratiques sur certaines séances (volumes moyens de 4 733 titres/jour, relativement faibles).</w:t>
      </w:r>
    </w:p>
    <w:p>
      <w:pPr>
        <w:spacing w:after="120" w:line="276" w:lineRule="auto"/>
      </w:pPr>
      <w:r>
        <w:t>---</w:t>
      </w:r>
    </w:p>
    <w:p>
      <w:pPr>
        <w:spacing w:after="120" w:line="276" w:lineRule="auto"/>
      </w:pPr>
      <w:r>
        <w:t>## PARTIE 2 : ANALYSE TECHNIQUE DÉTAILLÉE</w:t>
      </w:r>
    </w:p>
    <w:p>
      <w:pPr>
        <w:spacing w:after="120" w:line="276" w:lineRule="auto"/>
      </w:pPr>
      <w:r>
        <w:t>**Moyennes Mobiles** : La MM20 (3 945,5 FCFA) est inférieure à la MM50 (4 032,5 FCFA), et le cours actuel (4 080 FCFA) se situe au-dessus des deux, ce qui crée une configuration ambiguë : à court terme, le cours surperforme ses moyennes, mais la MM20 sous la MM50 signale une pression baissière de fond. La décision « Vente » reflète cette divergence, le marché attendant une confirmation de retournement.</w:t>
      </w:r>
    </w:p>
    <w:p>
      <w:pPr>
        <w:spacing w:after="120" w:line="276" w:lineRule="auto"/>
      </w:pPr>
      <w:r>
        <w:t>**Bandes de Bollinger** : Le cours (4 080 FCFA) évolue dans la partie haute de la bande (borne supérieure à 4 130,26 FCFA, borne inférieure à 3 760,74 FCFA), sans la franchir. La largeur de la bande (369,5 FCFA) indique une volatilité modérée. La décision « Neutre » est cohérente : le titre n'est ni en surachat extrême ni en survente, et la proximité de la borne supérieure appelle à la prudence.</w:t>
      </w:r>
    </w:p>
    <w:p>
      <w:pPr>
        <w:spacing w:after="120" w:line="276" w:lineRule="auto"/>
      </w:pPr>
      <w:r>
        <w:t>**MACD** : La valeur du MACD (-10,44) est supérieure à son signal (-33,07), et l'histogramme est positif, ce qui constitue un signal d'achat classique (croisement haussier). Le momentum s'améliore, mais les deux lignes restent en territoire négatif, ce qui tempère la portée du signal — il s'agit davantage d'un rebond que d'un retournement confirmé.</w:t>
      </w:r>
    </w:p>
    <w:p>
      <w:pPr>
        <w:spacing w:after="120" w:line="276" w:lineRule="auto"/>
      </w:pPr>
      <w:r>
        <w:t>**RSI** : À 60,0, le RSI se situe en zone neutre (30-70), sans surachat ni survente. La décision « Neutre » est justifiée : le titre dispose encore d'un potentiel de hausse avant d'atteindre la zone de surachat (&gt;70), mais la dynamique n'est pas assez forte pour un signal d'achat agressif.</w:t>
      </w:r>
    </w:p>
    <w:p>
      <w:pPr>
        <w:spacing w:after="120" w:line="276" w:lineRule="auto"/>
      </w:pPr>
      <w:r>
        <w:t>**Stochastique** : Le %K (100,0) est au maximum et dépasse le %D (90,48), ce qui place le titre en zone de surachat extrême. La décision « Vente » est cohérente : un %K à 100 est un signal classique de correction imminente, surtout si le croisement %K/%D se produit à la baisse.</w:t>
      </w:r>
    </w:p>
    <w:p>
      <w:pPr>
        <w:spacing w:after="120" w:line="276" w:lineRule="auto"/>
      </w:pPr>
      <w:r>
        <w:t>**Conclusion technique** : Les indicateurs sont divergents — le MACD donne un signal d'achat, tandis que les MM et le Stochastique recommandent la vente, et le RSI/Bollinger restent neutres. Cette configuration suggère un titre en phase de consolidation, avec un potentiel de correction à court terme (Stochastique en surachat) mais un momentum de fond qui s'améliore (MACD). La prudence est de mise : un repli vers la MM20 (3 945 FCFA) ou la borne inférieure de Bollinger (3 760 FCFA) constituerait une opportunité d'achat pour les investisseurs de long terme.</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LNBB a réalisé un chiffre d'affaires de 98,598 Mds FCFA, en baisse de -3,85% par rapport à 2024, sous l'effet d'une concurrence illégale accrue. Le résultat net s'établit à 4,622 Mds FCFA, avec une marge nette de 4,69% et un ROE de 21,05% — un niveau excellent (&gt;15%) qui témoigne d'une remarquable efficacité dans l'utilisation des fonds propres (21,954 Mds FCFA). Le ROA de 14,17% et la rotation des actifs de 302,37% confirment une forte intensité capitalistique. La structure financière est très saine : autonomie financière de 67,32%, ratio d'endettement de seulement 2,57%, et une trésorerie nette de 7,979 Mds FCFA. Le BFR est quasi nul (217,45 M FCFA), avec des délais clients très courts (4,82 jours) et des délais fournisseurs de 20,41 jours — un signe de bonne gestion du besoin en fonds de roulement. La couverture des intérêts est exceptionnelle (9 153%), et la liquidité générale (184,84%) est confortable.</w:t>
      </w:r>
    </w:p>
    <w:p>
      <w:pPr>
        <w:spacing w:after="120" w:line="276" w:lineRule="auto"/>
      </w:pPr>
      <w:r>
        <w:t>**Estimations basées sur les rapports trimestriels** : Le rapport du T1 2026 (publié le 07/05/2026) indique un CA de 25,521 Mds FCFA (+6%), mais un résultat net en chute de -46% à 848 M FCFA, en raison d'un mix produit défavorable (taux de retour aux joueurs de 95% sur le pari sportif). Le rapport du S1 2026 (publié le 01/08/2026) nuance cette tendance : le CA progresse de +4% à 49,937 Mds FCFA, et le résultat net bondit de +60% grâce à la maîtrise des charges et aux revenus de partenariats, malgré une baisse de -9% du Produit Brut des Jeux. On estime donc que l'exercice 2026 devrait afficher un CA annuel autour de 100-102 Mds FCFA (si la dynamique du S1 se poursuit) et un résultat net en nette amélioration par rapport à 2025, potentiellement entre 5,5 et 6,5 Mds FCFA, porté par le déploiement de 1 500 nouveaux terminaux et le lancement de nouveaux produits au S2 2026.</w:t>
      </w:r>
    </w:p>
    <w:p>
      <w:pPr>
        <w:spacing w:after="120" w:line="276" w:lineRule="auto"/>
      </w:pPr>
      <w:r>
        <w:t>**Recommandation fondamentale** : La solidité financière est incontestable (ROE élevé, endettement quasi nul, trésorerie abondante), et la politique de dividende est très généreuse (173 FCFA brut, soit ~80% du résultat net). Les risques principaux restent la pression sur la marge brute (baisse du PBJ) et la concurrence illégale, mais la stratégie de digitalisation (+18% sur les jeux en ligne en 2025) et les partenariats B2B constituent des relais de croissance crédibles. Le titre est fondamentalement solide, avec un profil de « valeur de rendement » plus que de « croissance ».</w:t>
      </w:r>
    </w:p>
    <w:p>
      <w:pPr>
        <w:spacing w:after="120" w:line="276" w:lineRule="auto"/>
      </w:pPr>
      <w:r>
        <w:t>---</w:t>
      </w:r>
    </w:p>
    <w:p>
      <w:pPr>
        <w:spacing w:after="120" w:line="276" w:lineRule="auto"/>
      </w:pPr>
      <w:r>
        <w:t>## PARTIE 4 : CONCLUSION D'INVESTISSEMENT</w:t>
      </w:r>
    </w:p>
    <w:p>
      <w:pPr>
        <w:spacing w:after="120" w:line="276" w:lineRule="auto"/>
      </w:pPr>
      <w:r>
        <w:t>La valorisation (Partie 0) est exigeante : PER de 17,7x et P/B de 3,72x, bien au-dessus des moyennes du marché BRVM, ce qui intègre déjà une prime de qualité et de stabilité. Le comportement du cours (Partie 1) est rassurant sur la stabilité (CV de 4,7%, kurtosis mésokurtique), mais la volatilité annualisée de 41,4% et la tendance haussière modérée (+5,70%) suggèrent un potentiel de court terme limité. Les signaux techniques (Partie 2) sont divergents : le MACD est haussier, mais le Stochastique est en surachat extrême et les MM recommandent la vente — une correction à court terme est probable avant une reprise. Les fondamentaux (Partie 3) sont solides : ROE de 21,05%, trésorerie nette de 7,979 Mds FCFA, et des perspectives d'amélioration en 2026 (S1 2026 : résultat net +60%). Les prédictions IA (J+1 à J+10) tablent sur une légère baisse vers 3 982 FCFA (16/10) avant une remontée progressive à 4 009 FCFA (22/10), ce qui confirme la thèse d'une consolidation à court terme suivie d'un rebond. **Recommandation finale : CONSERVER**, avec un niveau de confiance **Moyen** et un risque global **Moyen**. La convergence entre fondamentaux solides et technique mitigée plaide pour une position d'attente : les investisseurs déjà en portefeuille peuvent conserver le titre pour son dividende attractif (~4,2% de rendement) et son potentiel de redressement en 2026, tandis que les nouveaux entrants devraient attendre un repli vers 3 900-3 950 FCFA pour se positionner. **Horizon d'investissement optimal : moyen terme (3-12 mois)**, le temps que les effets du plan de transformation (1 500 terminaux, nouveaux produits) se matérialisent dans les résultats.</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20260612   avis de convocation   assemblee generale ordinaire   lnb bn</w:t>
      </w:r>
    </w:p>
    <w:p>
      <w:pPr>
        <w:spacing w:before="20"/>
        <w:ind w:left="400"/>
      </w:pPr>
      <w:r>
        <w:rPr>
          <w:color w:val="505050"/>
          <w:sz w:val="17"/>
        </w:rPr>
        <w:t xml:space="preserve">Date : 13/06/2026  |  Catégorie : convocation AG  |  Impact : </w:t>
      </w:r>
      <w:r>
        <w:rPr>
          <w:b/>
          <w:color w:val="008000"/>
          <w:sz w:val="17"/>
        </w:rPr>
        <w:t>🟢 POSITIF</w:t>
      </w:r>
    </w:p>
    <w:p>
      <w:pPr>
        <w:spacing w:before="40"/>
        <w:ind w:left="400"/>
      </w:pPr>
      <w:r>
        <w:rPr>
          <w:sz w:val="18"/>
        </w:rPr>
        <w:t>Ce document est un avis de convocation à l'Assemblée Générale Ordinaire de la société LNB. L'AGO doit approuver les comptes de l'exercice 2025 et le projet d'affectation du résultat prévoyant un dividende brut de 173 FCFA par action. Le dividende net par action serait de 164 FCFA, payable à compter du 2 août 2026.</w:t>
      </w:r>
    </w:p>
    <w:p>
      <w:pPr>
        <w:spacing w:before="60"/>
        <w:ind w:left="400"/>
      </w:pPr>
      <w:r>
        <w:rPr>
          <w:b/>
          <w:sz w:val="18"/>
        </w:rPr>
        <w:t>Points clés :</w:t>
      </w:r>
    </w:p>
    <w:p>
      <w:pPr>
        <w:pStyle w:val="ListBullet"/>
        <w:spacing w:before="20" w:after="20"/>
        <w:ind w:left="700"/>
      </w:pPr>
      <w:r>
        <w:rPr>
          <w:sz w:val="18"/>
        </w:rPr>
        <w:t>Approbation du rapport de gestion du Conseil d'Administration pour l'exercice clos le 31 décembre 2025.</w:t>
      </w:r>
    </w:p>
    <w:p>
      <w:pPr>
        <w:pStyle w:val="ListBullet"/>
        <w:spacing w:before="20" w:after="20"/>
        <w:ind w:left="700"/>
      </w:pPr>
      <w:r>
        <w:rPr>
          <w:sz w:val="18"/>
        </w:rPr>
        <w:t>Approbation des comptes et du bilan de l'exercice 2025.</w:t>
      </w:r>
    </w:p>
    <w:p>
      <w:pPr>
        <w:pStyle w:val="ListBullet"/>
        <w:spacing w:before="20" w:after="20"/>
        <w:ind w:left="700"/>
      </w:pPr>
      <w:r>
        <w:rPr>
          <w:sz w:val="18"/>
        </w:rPr>
        <w:t>Affectation du résultat net de FCFA 4 622 243 779 avec un dividende brut proposé de 173 FCFA par action.</w:t>
      </w:r>
    </w:p>
    <w:p>
      <w:pPr>
        <w:pStyle w:val="ListBullet"/>
        <w:spacing w:before="20" w:after="20"/>
        <w:ind w:left="700"/>
      </w:pPr>
      <w:r>
        <w:rPr>
          <w:sz w:val="18"/>
        </w:rPr>
        <w:t>Dividende net de 164 FCFA par action après IRCM, mise en paiement à partir du 2 août 2026.</w:t>
      </w:r>
    </w:p>
    <w:p>
      <w:pPr>
        <w:pStyle w:val="ListBullet"/>
        <w:spacing w:before="20" w:after="20"/>
        <w:ind w:left="700"/>
      </w:pPr>
      <w:r>
        <w:rPr>
          <w:sz w:val="18"/>
        </w:rPr>
        <w:t>Quitus aux administrateurs et décharge aux commissaires aux comptes, et pouvoirs pour formalités.</w:t>
      </w:r>
    </w:p>
    <w:p/>
    <w:p>
      <w:pPr>
        <w:pStyle w:val="Heading3"/>
      </w:pPr>
      <w:r>
        <w:rPr>
          <w:color w:val="005A32"/>
        </w:rPr>
        <w:t>📋 RAPPORTS &amp; COMMUNIQUÉS OFFICIELS</w:t>
      </w:r>
    </w:p>
    <w:p>
      <w:r>
        <w:rPr>
          <w:i/>
          <w:color w:val="646464"/>
          <w:sz w:val="18"/>
        </w:rPr>
        <w:t>7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progression du r\u00e9sultat net (+60%) et les perspectives de croissance soutenues justifient une position positive. La strat\u00e9gie de transformation et les partenariats devraient continuer \u00e0 am\u00e9liorer la rentabilit\u00e9."}</w:t>
      </w:r>
    </w:p>
    <w:p>
      <w:pPr>
        <w:spacing w:before="40"/>
        <w:ind w:left="400"/>
      </w:pPr>
      <w:r>
        <w:rPr>
          <w:sz w:val="18"/>
        </w:rPr>
        <w:t>Le premier semestre 2026 a été marqué par une croissance du chiffre d'affaires de 4% à 49,937 milliards FCFA, portée principalement par le pari sportif et le lancement de nouveaux produits. Malgré une hausse de 7% des gains versés aux joueurs, le produit brut des jeux a reculé de 9%. La société a toutefois amélioré significativement sa rentabilité, avec un résultat net en hausse de 60% grâce à la maîtrise des charges et aux partenariats. Le plan de transformation engagé en début d'année commence à porter ses fruits. Pour le second semestre, la direction anticipe une accélération de la croissance et une création de valeur renforcée pour les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'2.000.000.000 FCFA', 'evolution_resultat_net': '+60%', 'evolution_gains_joueurs': '+7%', 'evolution_produit_brut_des_jeux': '-9%', 'evolution_resultat_exploitation': '+40%'}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49,937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49,937 milliards FCFA au S1 2026, en hausse de 4% par rapport au S1 2025.</w:t>
      </w:r>
    </w:p>
    <w:p>
      <w:pPr>
        <w:pStyle w:val="ListBullet"/>
        <w:spacing w:before="20" w:after="20"/>
        <w:ind w:left="700"/>
      </w:pPr>
      <w:r>
        <w:rPr>
          <w:sz w:val="18"/>
        </w:rPr>
        <w:t>Le résultat net progresse de 60% grâce à la maîtrise des charges et aux revenus de partenariats.</w:t>
      </w:r>
    </w:p>
    <w:p>
      <w:pPr>
        <w:pStyle w:val="ListBullet"/>
        <w:spacing w:before="20" w:after="20"/>
        <w:ind w:left="700"/>
      </w:pPr>
      <w:r>
        <w:rPr>
          <w:sz w:val="18"/>
        </w:rPr>
        <w:t>Le produit brut des jeux diminue de 9% en raison d'une hausse de 7% des gains payés aux joueurs.</w:t>
      </w:r>
    </w:p>
    <w:p>
      <w:pPr>
        <w:pStyle w:val="ListBullet"/>
        <w:spacing w:before="20" w:after="20"/>
        <w:ind w:left="700"/>
      </w:pPr>
      <w:r>
        <w:rPr>
          <w:sz w:val="18"/>
        </w:rPr>
        <w:t>Lancement d'une nouvelle variante du loto 5/90 le 13 avril 2026 et dynamique soutenue du pari sportif.</w:t>
      </w:r>
    </w:p>
    <w:p>
      <w:pPr>
        <w:pStyle w:val="ListBullet"/>
        <w:spacing w:before="20" w:after="20"/>
        <w:ind w:left="700"/>
      </w:pPr>
      <w:r>
        <w:rPr>
          <w:sz w:val="18"/>
        </w:rPr>
        <w:t>Plan d'expansion ambitieux : déploiement de 1500 nouveaux terminaux, augmentation des tirages et réouverture de 4 postes pilotes.</w:t>
      </w:r>
    </w:p>
    <w:p>
      <w:pPr>
        <w:pStyle w:val="ListBullet"/>
        <w:spacing w:before="20" w:after="20"/>
        <w:ind w:left="700"/>
      </w:pPr>
      <w:r>
        <w:rPr>
          <w:sz w:val="18"/>
        </w:rPr>
        <w:t>La direction anticipe une accélération de la croissance et une consolidation de la performance au S2 2026.</w:t>
      </w:r>
    </w:p>
    <w:p>
      <w:pPr>
        <w:spacing w:before="40"/>
        <w:ind w:left="400"/>
      </w:pPr>
      <w:r>
        <w:rPr>
          <w:b/>
          <w:color w:val="C05000"/>
          <w:sz w:val="18"/>
        </w:rPr>
        <w:t xml:space="preserve">⚠️ Risques : </w:t>
      </w:r>
      <w:r>
        <w:rPr>
          <w:sz w:val="18"/>
        </w:rPr>
        <w:t>["Baisse du produit brut des jeux de 9% en raison de la hausse des gains vers\u00e9s aux joueurs, ce qui pourrait comprimer les marges.", "D\u00e9pendance accrue au pari sportif et aux partenariats avec d'autres op\u00e9rateurs, exposant la soci\u00e9t\u00e9 \u00e0 des al\u00e9as r\u00e9glementaires</w:t>
      </w:r>
    </w:p>
    <w:p>
      <w:pPr>
        <w:spacing w:before="40"/>
        <w:ind w:left="400"/>
      </w:pPr>
      <w:r>
        <w:rPr>
          <w:b/>
          <w:color w:val="0064A0"/>
          <w:sz w:val="18"/>
        </w:rPr>
        <w:t xml:space="preserve">🔮 Perspectives : </w:t>
      </w:r>
      <w:r>
        <w:rPr>
          <w:sz w:val="18"/>
        </w:rPr>
        <w:t>Au second semestre 2026, la LNB prévoit d'accélérer sa croissance grâce au déploiement de 1500 nouveaux terminaux, à l'augmentation des tirages et à de nouveaux produits. Ces mesures devraient se poursuivre en 2027, permettant une consolidation de la performance et une amélioration continue de la 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d\u00e9gradation temporaire des r\u00e9sultats, la soci\u00e9t\u00e9 b\u00e9n\u00e9ficie d'une dynamique de croissance forte sur le digital. Les perspectives d'am\u00e9lioration via de nouveaux produits \u00e0 forte marge justifient une position d'attente."}</w:t>
      </w:r>
    </w:p>
    <w:p>
      <w:pPr>
        <w:spacing w:before="40"/>
        <w:ind w:left="400"/>
      </w:pPr>
      <w:r>
        <w:rPr>
          <w:sz w:val="18"/>
        </w:rPr>
        <w:t>La Loterie Nationale du Bénin (LNB) affiche une croissance de chiffre d'affaires de 6% au T1 2026, tirée principalement par le pari sportif en ligne (+28%). Cependant, le résultat net chute drastiquement de 46% à 848 millions FCFA contre 1,574 milliards en 2025. Cette dégradation s'explique par le mix produit défavorable, le pari sportif ayant un taux de retour aux joueurs de 95% contre des marges plus élevées sur la loterie traditionnelle. Les charges d'exploitation ont bondi de 42%, accentuant la pression sur la rentabilité. L'entreprise traverse une phase de transition avec une réallocation de la demande vers les activités à faible marge.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'86 millions FCFA', 'gains_payes_joueurs': '20,657 milliards FCFA', 'charges_exploitation': '3,773 milliards FCFA', 'taux_retour_joueurs_pari_sportif': '95%'}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25,521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6% à 25,521 milliards FCFA mais résultat net en chute de 46%</w:t>
      </w:r>
    </w:p>
    <w:p>
      <w:pPr>
        <w:pStyle w:val="ListBullet"/>
        <w:spacing w:before="20" w:after="20"/>
        <w:ind w:left="700"/>
      </w:pPr>
      <w:r>
        <w:rPr>
          <w:sz w:val="18"/>
        </w:rPr>
        <w:t>Forte croissance du pari sportif en ligne (+28%) avec un CA de 2,7 milliards FCFA supplémentaires</w:t>
      </w:r>
    </w:p>
    <w:p>
      <w:pPr>
        <w:pStyle w:val="ListBullet"/>
        <w:spacing w:before="20" w:after="20"/>
        <w:ind w:left="700"/>
      </w:pPr>
      <w:r>
        <w:rPr>
          <w:sz w:val="18"/>
        </w:rPr>
        <w:t>Taux de retour aux joueurs très élevé de 95% sur le pari sportif limitant la rentabilité</w:t>
      </w:r>
    </w:p>
    <w:p>
      <w:pPr>
        <w:pStyle w:val="ListBullet"/>
        <w:spacing w:before="20" w:after="20"/>
        <w:ind w:left="700"/>
      </w:pPr>
      <w:r>
        <w:rPr>
          <w:sz w:val="18"/>
        </w:rPr>
        <w:t>Déclin de la loterie traditionnelle (loto 5/90) avec un CA en baisse de 15%</w:t>
      </w:r>
    </w:p>
    <w:p>
      <w:pPr>
        <w:pStyle w:val="ListBullet"/>
        <w:spacing w:before="20" w:after="20"/>
        <w:ind w:left="700"/>
      </w:pPr>
      <w:r>
        <w:rPr>
          <w:sz w:val="18"/>
        </w:rPr>
        <w:t>Explosion des charges d'exploitation (+42%) due à des effets de décalage comptable</w:t>
      </w:r>
    </w:p>
    <w:p>
      <w:pPr>
        <w:pStyle w:val="ListBullet"/>
        <w:spacing w:before="20" w:after="20"/>
        <w:ind w:left="700"/>
      </w:pPr>
      <w:r>
        <w:rPr>
          <w:sz w:val="18"/>
        </w:rPr>
        <w:t>Le pari sportif représente désormais 48% du CA contre 39% l'année précédente</w:t>
      </w:r>
    </w:p>
    <w:p>
      <w:pPr>
        <w:spacing w:before="40"/>
        <w:ind w:left="400"/>
      </w:pPr>
      <w:r>
        <w:rPr>
          <w:b/>
          <w:color w:val="C05000"/>
          <w:sz w:val="18"/>
        </w:rPr>
        <w:t xml:space="preserve">⚠️ Risques : </w:t>
      </w:r>
      <w:r>
        <w:rPr>
          <w:sz w:val="18"/>
        </w:rPr>
        <w:t>["Poursuite de la migration vers les activit\u00e9s \u00e0 faible marge (pari sportif) au d\u00e9triment de la rentabilit\u00e9", "D\u00e9pendance croissante au pari sportif avec un taux de retour aux joueurs structurellement \u00e9lev\u00e9 de 95%", "Pression continue sur les charges d'exploitation</w:t>
      </w:r>
    </w:p>
    <w:p>
      <w:pPr>
        <w:spacing w:before="40"/>
        <w:ind w:left="400"/>
      </w:pPr>
      <w:r>
        <w:rPr>
          <w:b/>
          <w:color w:val="0064A0"/>
          <w:sz w:val="18"/>
        </w:rPr>
        <w:t xml:space="preserve">🔮 Perspectives : </w:t>
      </w:r>
      <w:r>
        <w:rPr>
          <w:sz w:val="18"/>
        </w:rPr>
        <w:t>La direction anticipe des perspectives favorables pour le T2 2026 avec l'introduction de nouveaux produits de loterie visant à rééquilibrer le mix produit. Les efforts de maîtrise des charges devraient contribuer à améliorer l'efficacité opérationnelle et soutenir le redressement du résultat net.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 performance en 2025, la soci\u00e9t\u00e9 maintient une structure financi\u00e8re tr\u00e8s solide et d\u00e9veloppe activement ses activit\u00e9s digitales. Les perspectives d'am\u00e9lioration en 2026 avec les nouvelles strat\u00e9gies commerciales justifient le maintien de la position."}</w:t>
      </w:r>
    </w:p>
    <w:p>
      <w:pPr>
        <w:spacing w:before="40"/>
        <w:ind w:left="400"/>
      </w:pPr>
      <w:r>
        <w:rPr>
          <w:sz w:val="18"/>
        </w:rPr>
        <w:t>La Loterie Nationale du Bénin (LNB) affiche un chiffre d'affaires de 98,6 milliards F CFA en 2025, en baisse de 4% par rapport à 2024. Le résultat net s'établit à 4,6 milliards F CFA, en recul de 36% principalement dû à l'intensification de la concurrence déloyale d'opérateurs illégaux. Malgré cette performance mitigée, la société maintient une structure financière solide avec 22 milliards F CFA de capitaux propres et un ratio d'autonomie financière de 2,06. La valeur ajoutée progresse de 22% à 10,55 milliards F CFA, témoignant d'un effort de maîtrise des charges. Le conseil d'administration propose de distribuer 80% du résultat net sous forme de dividendes.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'7,16 milliards F CFA', 'evolution_ca': '-4%', 'valeur_ajoutee': '10,55 milliards F CFA', 'evolution_resultat_net': '-36%', 'capacite_autofinancement': '5,34 milliards F CFA'}</w:t>
            </w:r>
          </w:p>
        </w:tc>
        <w:tc>
          <w:tcPr>
            <w:tcW w:type="dxa" w:w="2160"/>
          </w:tcPr>
          <w:p>
            <w:pPr>
              <w:ind w:left="100"/>
            </w:pPr>
            <w:r/>
            <w:r>
              <w:rPr>
                <w:b/>
                <w:sz w:val="16"/>
              </w:rPr>
              <w:t>dividende</w:t>
              <w:br/>
            </w:r>
            <w:r>
              <w:rPr>
                <w:sz w:val="18"/>
              </w:rPr>
              <w:t>173 F CFA brut par action</w:t>
            </w:r>
          </w:p>
        </w:tc>
        <w:tc>
          <w:tcPr>
            <w:tcW w:type="dxa" w:w="2160"/>
          </w:tcPr>
          <w:p>
            <w:pPr>
              <w:ind w:left="100"/>
            </w:pPr>
            <w:r/>
            <w:r>
              <w:rPr>
                <w:b/>
                <w:sz w:val="16"/>
              </w:rPr>
              <w:t>marge_nette</w:t>
              <w:br/>
            </w:r>
            <w:r>
              <w:rPr>
                <w:sz w:val="18"/>
              </w:rPr>
              <w:t>4,7%</w:t>
            </w:r>
          </w:p>
        </w:tc>
        <w:tc>
          <w:tcPr>
            <w:tcW w:type="dxa" w:w="2160"/>
          </w:tcPr>
          <w:p>
            <w:pPr>
              <w:ind w:left="100"/>
            </w:pPr>
            <w:r/>
            <w:r>
              <w:rPr>
                <w:b/>
                <w:sz w:val="16"/>
              </w:rPr>
              <w:t>total_actif</w:t>
              <w:br/>
            </w:r>
            <w:r>
              <w:rPr>
                <w:sz w:val="18"/>
              </w:rPr>
              <w:t>32,6 milliards F CFA</w:t>
            </w:r>
          </w:p>
        </w:tc>
      </w:tr>
      <w:tr>
        <w:tc>
          <w:tcPr>
            <w:tcW w:type="dxa" w:w="2160"/>
          </w:tcPr>
          <w:p>
            <w:r/>
            <w:r>
              <w:rPr>
                <w:b/>
                <w:sz w:val="16"/>
              </w:rPr>
              <w:t>resultat_net</w:t>
              <w:br/>
            </w:r>
            <w:r>
              <w:rPr>
                <w:sz w:val="18"/>
              </w:rPr>
              <w:t>4,6 milliards F CFA</w:t>
            </w:r>
          </w:p>
        </w:tc>
        <w:tc>
          <w:tcPr>
            <w:tcW w:type="dxa" w:w="2160"/>
          </w:tcPr>
          <w:p>
            <w:r/>
            <w:r>
              <w:rPr>
                <w:b/>
                <w:sz w:val="16"/>
              </w:rPr>
              <w:t>capitaux_propres</w:t>
              <w:br/>
            </w:r>
            <w:r>
              <w:rPr>
                <w:sz w:val="18"/>
              </w:rPr>
              <w:t>22,0 milliards F CFA</w:t>
            </w:r>
          </w:p>
        </w:tc>
        <w:tc>
          <w:tcPr>
            <w:tcW w:type="dxa" w:w="2160"/>
          </w:tcPr>
          <w:p>
            <w:r/>
            <w:r>
              <w:rPr>
                <w:b/>
                <w:sz w:val="16"/>
              </w:rPr>
              <w:t>chiffre_affaires</w:t>
              <w:br/>
            </w:r>
            <w:r>
              <w:rPr>
                <w:sz w:val="18"/>
              </w:rPr>
              <w:t>98,6 milliards F 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4% à 98,6 milliards F CFA due à la concurrence déloyale</w:t>
      </w:r>
    </w:p>
    <w:p>
      <w:pPr>
        <w:pStyle w:val="ListBullet"/>
        <w:spacing w:before="20" w:after="20"/>
        <w:ind w:left="700"/>
      </w:pPr>
      <w:r>
        <w:rPr>
          <w:sz w:val="18"/>
        </w:rPr>
        <w:t>Recul du résultat net de 36% à 4,6 milliards F CFA</w:t>
      </w:r>
    </w:p>
    <w:p>
      <w:pPr>
        <w:pStyle w:val="ListBullet"/>
        <w:spacing w:before="20" w:after="20"/>
        <w:ind w:left="700"/>
      </w:pPr>
      <w:r>
        <w:rPr>
          <w:sz w:val="18"/>
        </w:rPr>
        <w:t>Croissance remarquable des jeux en ligne de 18% (67,5 milliards F CFA)</w:t>
      </w:r>
    </w:p>
    <w:p>
      <w:pPr>
        <w:pStyle w:val="ListBullet"/>
        <w:spacing w:before="20" w:after="20"/>
        <w:ind w:left="700"/>
      </w:pPr>
      <w:r>
        <w:rPr>
          <w:sz w:val="18"/>
        </w:rPr>
        <w:t>Amélioration de la valeur ajoutée de 22% grâce à la maîtrise des charges</w:t>
      </w:r>
    </w:p>
    <w:p>
      <w:pPr>
        <w:pStyle w:val="ListBullet"/>
        <w:spacing w:before="20" w:after="20"/>
        <w:ind w:left="700"/>
      </w:pPr>
      <w:r>
        <w:rPr>
          <w:sz w:val="18"/>
        </w:rPr>
        <w:t>Structure financière solide avec un ratio d'autonomie de 2,06</w:t>
      </w:r>
    </w:p>
    <w:p>
      <w:pPr>
        <w:pStyle w:val="ListBullet"/>
        <w:spacing w:before="20" w:after="20"/>
        <w:ind w:left="700"/>
      </w:pPr>
      <w:r>
        <w:rPr>
          <w:sz w:val="18"/>
        </w:rPr>
        <w:t>Lancement de la plateforme BETMOMO et nouveaux produits digitaux</w:t>
      </w:r>
    </w:p>
    <w:p>
      <w:pPr>
        <w:spacing w:before="40"/>
        <w:ind w:left="400"/>
      </w:pPr>
      <w:r>
        <w:rPr>
          <w:b/>
          <w:color w:val="C05000"/>
          <w:sz w:val="18"/>
        </w:rPr>
        <w:t xml:space="preserve">⚠️ Risques : </w:t>
      </w:r>
      <w:r>
        <w:rPr>
          <w:sz w:val="18"/>
        </w:rPr>
        <w:t xml:space="preserve">["Intensification de la concurrence d\u00e9loyale des op\u00e9rateurs ill\u00e9gaux proposant des gains plus attractifs", "Prolif\u00e9ration des machines \u00e0 sous ill\u00e9gales sur le territoire national", "Pression r\u00e9glementaire limitant les taux de retour aux joueurs compar\u00e9 \u00e0 </w:t>
      </w:r>
    </w:p>
    <w:p>
      <w:pPr>
        <w:spacing w:before="40"/>
        <w:ind w:left="400"/>
      </w:pPr>
      <w:r>
        <w:rPr>
          <w:b/>
          <w:color w:val="0064A0"/>
          <w:sz w:val="18"/>
        </w:rPr>
        <w:t xml:space="preserve">🔮 Perspectives : </w:t>
      </w:r>
      <w:r>
        <w:rPr>
          <w:sz w:val="18"/>
        </w:rPr>
        <w:t>La LNB prévoit une embellie en 2026 grâce au déploiement de nouvelles stratégies commerciales incluant le prépaiement des ventes, la montée en puissance du digital et le lancement de nouveaux produits. L'interfaçage avec les opérateurs de mobile money et l'expansion géographique dans le nord du Béni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 soci\u00e9t\u00e9 maintient une rentabilit\u00e9 solide et une bonne ma\u00eetrise des co\u00fbts. La direction annonce des actions strat\u00e9giques pour am\u00e9liorer les performances futures."}</w:t>
      </w:r>
    </w:p>
    <w:p>
      <w:pPr>
        <w:spacing w:before="40"/>
        <w:ind w:left="400"/>
      </w:pPr>
      <w:r>
        <w:rPr>
          <w:sz w:val="18"/>
        </w:rPr>
        <w:t>La LNB (Loterie Nationale du Bénin) affiche des résultats contrastés pour le premier trimestre 2025 avec un résultat net en hausse de 5% à 1,573 milliards FCFA malgré un chiffre d'affaires en baisse de 6%. Cette performance s'explique par une baisse des paris liée à la période de carême, compensée par une maîtrise des charges. Les produits de paris représentent 71% du chiffre d'affaires contre 29% pour la loterie. Le paiement de dividendes de 15 milliards FCFA à l'État béninois en 2024 a réduit la trésorerie et impacté les produits financiers. La direction prévoit de déployer des actions stratégiques pour améliorer les performances sur les prochains trimestres.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 'resultat_financier': '76 millions FCFA', 'resultat_exploitation': '2,172 milliards FCFA', 'variation_resultat_net': '+5%'}</w:t>
            </w:r>
          </w:p>
        </w:tc>
        <w:tc>
          <w:tcPr>
            <w:tcW w:type="dxa" w:w="2160"/>
          </w:tcPr>
          <w:p>
            <w:pPr>
              <w:ind w:left="100"/>
            </w:pPr>
            <w:r/>
            <w:r>
              <w:rPr>
                <w:b/>
                <w:sz w:val="16"/>
              </w:rPr>
              <w:t>dividende</w:t>
              <w:br/>
            </w:r>
            <w:r>
              <w:rPr>
                <w:sz w:val="18"/>
              </w:rPr>
              <w:t>15 milliards FCFA versés en 2024</w:t>
            </w:r>
          </w:p>
        </w:tc>
        <w:tc>
          <w:tcPr>
            <w:tcW w:type="dxa" w:w="2160"/>
          </w:tcPr>
          <w:p>
            <w:pPr>
              <w:ind w:left="100"/>
            </w:pPr>
            <w:r/>
            <w:r>
              <w:rPr>
                <w:b/>
                <w:sz w:val="16"/>
              </w:rPr>
              <w:t>marge_nette</w:t>
              <w:br/>
            </w:r>
            <w:r>
              <w:rPr>
                <w:sz w:val="18"/>
              </w:rPr>
              <w:t>6,5%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1,573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24,189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6% à 24,189 milliards FCFA au T1 2025</w:t>
      </w:r>
    </w:p>
    <w:p>
      <w:pPr>
        <w:pStyle w:val="ListBullet"/>
        <w:spacing w:before="20" w:after="20"/>
        <w:ind w:left="700"/>
      </w:pPr>
      <w:r>
        <w:rPr>
          <w:sz w:val="18"/>
        </w:rPr>
        <w:t>Résultat net en croissance de 5% à 1,573 milliards FCFA</w:t>
      </w:r>
    </w:p>
    <w:p>
      <w:pPr>
        <w:pStyle w:val="ListBullet"/>
        <w:spacing w:before="20" w:after="20"/>
        <w:ind w:left="700"/>
      </w:pPr>
      <w:r>
        <w:rPr>
          <w:sz w:val="18"/>
        </w:rPr>
        <w:t>Baisse des paris liée à la période de carême impactant l'activité</w:t>
      </w:r>
    </w:p>
    <w:p>
      <w:pPr>
        <w:pStyle w:val="ListBullet"/>
        <w:spacing w:before="20" w:after="20"/>
        <w:ind w:left="700"/>
      </w:pPr>
      <w:r>
        <w:rPr>
          <w:sz w:val="18"/>
        </w:rPr>
        <w:t>Maîtrise des charges permettant l'amélioration du résultat net</w:t>
      </w:r>
    </w:p>
    <w:p>
      <w:pPr>
        <w:pStyle w:val="ListBullet"/>
        <w:spacing w:before="20" w:after="20"/>
        <w:ind w:left="700"/>
      </w:pPr>
      <w:r>
        <w:rPr>
          <w:sz w:val="18"/>
        </w:rPr>
        <w:t>Produits de paris dominant à 71% du chiffre d'affaires</w:t>
      </w:r>
    </w:p>
    <w:p>
      <w:pPr>
        <w:pStyle w:val="ListBullet"/>
        <w:spacing w:before="20" w:after="20"/>
        <w:ind w:left="700"/>
      </w:pPr>
      <w:r>
        <w:rPr>
          <w:sz w:val="18"/>
        </w:rPr>
        <w:t>Paiement de 15 milliards FCFA de dividendes à l'État en 2024</w:t>
      </w:r>
    </w:p>
    <w:p>
      <w:pPr>
        <w:spacing w:before="40"/>
        <w:ind w:left="400"/>
      </w:pPr>
      <w:r>
        <w:rPr>
          <w:b/>
          <w:color w:val="C05000"/>
          <w:sz w:val="18"/>
        </w:rPr>
        <w:t xml:space="preserve">⚠️ Risques : </w:t>
      </w:r>
      <w:r>
        <w:rPr>
          <w:sz w:val="18"/>
        </w:rPr>
        <w:t>["D\u00e9pendance aux variations saisonni\u00e8res et religieuses impactant les paris", "Concentration sur le march\u00e9 b\u00e9ninois limitant les opportunit\u00e9s de diversification", "Impact des paiements de dividendes \u00e9lev\u00e9s sur la tr\u00e9sorerie et les produits financiers"]</w:t>
      </w:r>
    </w:p>
    <w:p>
      <w:pPr>
        <w:spacing w:before="40"/>
        <w:ind w:left="400"/>
      </w:pPr>
      <w:r>
        <w:rPr>
          <w:b/>
          <w:color w:val="0064A0"/>
          <w:sz w:val="18"/>
        </w:rPr>
        <w:t xml:space="preserve">🔮 Perspectives : </w:t>
      </w:r>
      <w:r>
        <w:rPr>
          <w:sz w:val="18"/>
        </w:rPr>
        <w:t>La LNB prévoit de déployer des actions stratégiques et opérationnelles sur les trois prochains trimestres pour améliorer ses performances commerciales et financières. L'objectif est de maintenir les engagements vis-à-vis des actionnaires tout en compensant l'impact saisonnier observé au premier trim</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d\u00e9cevants au S1, les mesures strat\u00e9giques annonc\u00e9es et l'arriv\u00e9e de nouveaux partenaires technologiques pourraient permettre un redressement d\u00e8s le S2 2025."}</w:t>
      </w:r>
    </w:p>
    <w:p>
      <w:pPr>
        <w:spacing w:before="40"/>
        <w:ind w:left="400"/>
      </w:pPr>
      <w:r>
        <w:rPr>
          <w:sz w:val="18"/>
        </w:rPr>
        <w:t>La Loterie Nationale du Bénin (LNB SA) a enregistré une baisse significative de ses performances au premier semestre 2025. Le chiffre d'affaires a reculé de 6% à 48,148 milliards FCFA contre 51,272 milliards en 2024. Le résultat net s'effondre de 77% à 841 millions FCFA contre 3,588 milliards l'année précédente. Cette détérioration s'explique par l'intensification de la concurrence et l'implantation d'opérateurs illégaux proposant des offres plus attractives. La direction anticipe néanmoins une amélioration au second semestre grâce à la contractualisation de nouveaux partenaires pour les paris sportifs et jeux virtuels en ligne.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'2 000 000 000 FCFA', 'resultat_financier': '244 millions FCFA', 'resultat_exploitation': '1 278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48 148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6% à 48,148 milliards FCFA au S1 2025</w:t>
      </w:r>
    </w:p>
    <w:p>
      <w:pPr>
        <w:pStyle w:val="ListBullet"/>
        <w:spacing w:before="20" w:after="20"/>
        <w:ind w:left="700"/>
      </w:pPr>
      <w:r>
        <w:rPr>
          <w:sz w:val="18"/>
        </w:rPr>
        <w:t>Effondrement du résultat net de 77% à 841 millions FCFA</w:t>
      </w:r>
    </w:p>
    <w:p>
      <w:pPr>
        <w:pStyle w:val="ListBullet"/>
        <w:spacing w:before="20" w:after="20"/>
        <w:ind w:left="700"/>
      </w:pPr>
      <w:r>
        <w:rPr>
          <w:sz w:val="18"/>
        </w:rPr>
        <w:t>Résultat d'exploitation en forte baisse de 44% à 1,278 milliards FCFA</w:t>
      </w:r>
    </w:p>
    <w:p>
      <w:pPr>
        <w:pStyle w:val="ListBullet"/>
        <w:spacing w:before="20" w:after="20"/>
        <w:ind w:left="700"/>
      </w:pPr>
      <w:r>
        <w:rPr>
          <w:sz w:val="18"/>
        </w:rPr>
        <w:t>Intensification de la concurrence dans le secteur des jeux</w:t>
      </w:r>
    </w:p>
    <w:p>
      <w:pPr>
        <w:pStyle w:val="ListBullet"/>
        <w:spacing w:before="20" w:after="20"/>
        <w:ind w:left="700"/>
      </w:pPr>
      <w:r>
        <w:rPr>
          <w:sz w:val="18"/>
        </w:rPr>
        <w:t>Présence d'opérateurs illégaux détournant la clientèle</w:t>
      </w:r>
    </w:p>
    <w:p>
      <w:pPr>
        <w:pStyle w:val="ListBullet"/>
        <w:spacing w:before="20" w:after="20"/>
        <w:ind w:left="700"/>
      </w:pPr>
      <w:r>
        <w:rPr>
          <w:sz w:val="18"/>
        </w:rPr>
        <w:t>Contractualisation de 2 nouveaux partenaires pour paris sportifs et jeux virtuels dès septembre 2025</w:t>
      </w:r>
    </w:p>
    <w:p>
      <w:pPr>
        <w:spacing w:before="40"/>
        <w:ind w:left="400"/>
      </w:pPr>
      <w:r>
        <w:rPr>
          <w:b/>
          <w:color w:val="C05000"/>
          <w:sz w:val="18"/>
        </w:rPr>
        <w:t xml:space="preserve">⚠️ Risques : </w:t>
      </w:r>
      <w:r>
        <w:rPr>
          <w:sz w:val="18"/>
        </w:rPr>
        <w:t>["Concurrence accrue des op\u00e9rateurs ill\u00e9gaux proposant des offres plus attractives", "D\u00e9tournement continu de la client\u00e8le vers la concurrence", "Incertitude sur l'efficacit\u00e9 des mesures correctives annonc\u00e9es"]</w:t>
      </w:r>
    </w:p>
    <w:p>
      <w:pPr>
        <w:spacing w:before="40"/>
        <w:ind w:left="400"/>
      </w:pPr>
      <w:r>
        <w:rPr>
          <w:b/>
          <w:color w:val="0064A0"/>
          <w:sz w:val="18"/>
        </w:rPr>
        <w:t xml:space="preserve">🔮 Perspectives : </w:t>
      </w:r>
      <w:r>
        <w:rPr>
          <w:sz w:val="18"/>
        </w:rPr>
        <w:t>La direction anticipe une amélioration progressive de la performance dès le second semestre 2025 grâce au lancement du site de paris sportifs et jeux virtuels. Les actions contre les plateformes illégales devraient également contribuer à reconquérir des parts de marché et atteindre les objectifs ann</w:t>
      </w:r>
    </w:p>
    <w:p/>
    <w:p>
      <w:r>
        <w:t>════════════════════════════════════════════════════════════════════════════════</w:t>
      </w:r>
    </w:p>
    <w:p>
      <w:r>
        <w:br w:type="page"/>
      </w:r>
    </w:p>
    <w:p>
      <w:pPr>
        <w:pStyle w:val="Heading2"/>
        <w:spacing w:before="360"/>
      </w:pPr>
      <w:r>
        <w:rPr>
          <w:color w:val="0066CC"/>
        </w:rPr>
        <w:t>20. NEIC - NEIC - NEI-CEDA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NEIC</w:t>
            </w:r>
          </w:p>
          <w:p>
            <w:r>
              <w:rPr>
                <w:b/>
                <w:color w:val="323250"/>
                <w:sz w:val="16"/>
              </w:rPr>
              <w:t xml:space="preserve">Société : </w:t>
            </w:r>
            <w:r>
              <w:rPr>
                <w:color w:val="000000"/>
                <w:sz w:val="16"/>
              </w:rPr>
              <w:t>NEIC - NEI-CEDA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27.32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2,363 titres</w:t>
            </w:r>
          </w:p>
        </w:tc>
        <w:tc>
          <w:tcPr>
            <w:tcW w:type="dxa" w:w="2268"/>
            <w:shd w:fill="FFF2CC" w:val="clear"/>
          </w:tcPr>
          <w:p>
            <w:r>
              <w:rPr>
                <w:b/>
                <w:color w:val="503200"/>
                <w:sz w:val="16"/>
              </w:rPr>
              <w:t xml:space="preserve">Cours actuel : </w:t>
            </w:r>
            <w:r>
              <w:rPr>
                <w:color w:val="000000"/>
                <w:sz w:val="17"/>
              </w:rPr>
              <w:t>2,140 FCFA</w:t>
            </w:r>
          </w:p>
          <w:p>
            <w:r>
              <w:rPr>
                <w:b/>
                <w:color w:val="503200"/>
                <w:sz w:val="16"/>
              </w:rPr>
              <w:t xml:space="preserve">Var. 100 jours : </w:t>
            </w:r>
            <w:r>
              <w:rPr>
                <w:b/>
                <w:color w:val="007800"/>
                <w:sz w:val="17"/>
              </w:rPr>
              <w:t>+7.54%</w:t>
            </w:r>
          </w:p>
          <w:p>
            <w:r>
              <w:rPr>
                <w:b/>
                <w:color w:val="503200"/>
                <w:sz w:val="16"/>
              </w:rPr>
              <w:t xml:space="preserve">Plus haut 100j : </w:t>
            </w:r>
            <w:r>
              <w:rPr>
                <w:color w:val="000000"/>
                <w:sz w:val="17"/>
              </w:rPr>
              <w:t>3,000 FCFA</w:t>
            </w:r>
          </w:p>
          <w:p>
            <w:r>
              <w:rPr>
                <w:b/>
                <w:color w:val="503200"/>
                <w:sz w:val="16"/>
              </w:rPr>
              <w:t xml:space="preserve">Plus bas 100j : </w:t>
            </w:r>
            <w:r>
              <w:rPr>
                <w:color w:val="000000"/>
                <w:sz w:val="17"/>
              </w:rPr>
              <w:t>1,900 FCFA</w:t>
            </w:r>
          </w:p>
          <w:p>
            <w:r>
              <w:rPr>
                <w:b/>
                <w:color w:val="503200"/>
                <w:sz w:val="16"/>
              </w:rPr>
              <w:t xml:space="preserve">Volatilité ann. : </w:t>
            </w:r>
            <w:r>
              <w:rPr>
                <w:color w:val="000000"/>
                <w:sz w:val="17"/>
              </w:rPr>
              <w:t>52.6%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20.6/100 → Moyen</w:t>
      </w:r>
    </w:p>
    <w:p>
      <w:pPr>
        <w:spacing w:before="40" w:after="80"/>
      </w:pPr>
      <w:r>
        <w:rPr>
          <w:rFonts w:ascii="Courier New" w:hAnsi="Courier New"/>
          <w:color w:val="825A00"/>
          <w:sz w:val="18"/>
        </w:rPr>
        <w:t>████░░░░░░░░░░░░░░░░  20.6/100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11.82% (Moyenne) — μ=2,323 FCFA, σ=275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β=0.0842 (Défensif) — Cov=0.000006, Var(idx)=0.000075, ρ=0.022,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2,363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FFEB9C" w:val="clear"/>
          </w:tcPr>
          <w:p>
            <w:r>
              <w:rPr>
                <w:b/>
                <w:sz w:val="15"/>
              </w:rPr>
              <w:t>σ_j=3.31%/j (Modérée) — Vol. annualisée≈52.6%</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22" name="Picture 22"/>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2026-10-16</w:t>
            </w:r>
          </w:p>
        </w:tc>
        <w:tc>
          <w:tcPr>
            <w:tcW w:type="dxa" w:w="1440"/>
            <w:shd w:fill="FAFAFA" w:val="clear"/>
          </w:tcPr>
          <w:p>
            <w:r>
              <w:rPr>
                <w:sz w:val="17"/>
              </w:rPr>
              <w:t>2,021</w:t>
            </w:r>
          </w:p>
        </w:tc>
        <w:tc>
          <w:tcPr>
            <w:tcW w:type="dxa" w:w="1440"/>
            <w:shd w:fill="FAFAFA" w:val="clear"/>
          </w:tcPr>
          <w:p>
            <w:r>
              <w:rPr>
                <w:b/>
                <w:sz w:val="17"/>
              </w:rPr>
              <w:t>2,129</w:t>
            </w:r>
          </w:p>
        </w:tc>
        <w:tc>
          <w:tcPr>
            <w:tcW w:type="dxa" w:w="1440"/>
            <w:shd w:fill="FAFAFA" w:val="clear"/>
          </w:tcPr>
          <w:p>
            <w:r>
              <w:rPr>
                <w:sz w:val="17"/>
              </w:rPr>
              <w:t>2,237</w:t>
            </w:r>
          </w:p>
        </w:tc>
        <w:tc>
          <w:tcPr>
            <w:tcW w:type="dxa" w:w="1440"/>
            <w:shd w:fill="FAFAFA" w:val="clear"/>
          </w:tcPr>
          <w:p>
            <w:r>
              <w:rPr>
                <w:b/>
                <w:color w:val="C00000"/>
                <w:sz w:val="17"/>
              </w:rPr>
              <w:t>-0.5%</w:t>
            </w:r>
          </w:p>
        </w:tc>
      </w:tr>
      <w:tr>
        <w:tc>
          <w:tcPr>
            <w:tcW w:type="dxa" w:w="1440"/>
            <w:shd w:fill="FAFAFA" w:val="clear"/>
          </w:tcPr>
          <w:p>
            <w:r>
              <w:rPr>
                <w:sz w:val="17"/>
              </w:rPr>
              <w:t>J+2  Moyenne</w:t>
            </w:r>
          </w:p>
        </w:tc>
        <w:tc>
          <w:tcPr>
            <w:tcW w:type="dxa" w:w="1440"/>
            <w:shd w:fill="FAFAFA" w:val="clear"/>
          </w:tcPr>
          <w:p>
            <w:r>
              <w:rPr>
                <w:sz w:val="17"/>
              </w:rPr>
              <w:t>2026-10-19</w:t>
            </w:r>
          </w:p>
        </w:tc>
        <w:tc>
          <w:tcPr>
            <w:tcW w:type="dxa" w:w="1440"/>
            <w:shd w:fill="FAFAFA" w:val="clear"/>
          </w:tcPr>
          <w:p>
            <w:r>
              <w:rPr>
                <w:sz w:val="17"/>
              </w:rPr>
              <w:t>1,965</w:t>
            </w:r>
          </w:p>
        </w:tc>
        <w:tc>
          <w:tcPr>
            <w:tcW w:type="dxa" w:w="1440"/>
            <w:shd w:fill="FAFAFA" w:val="clear"/>
          </w:tcPr>
          <w:p>
            <w:r>
              <w:rPr>
                <w:b/>
                <w:sz w:val="17"/>
              </w:rPr>
              <w:t>2,117</w:t>
            </w:r>
          </w:p>
        </w:tc>
        <w:tc>
          <w:tcPr>
            <w:tcW w:type="dxa" w:w="1440"/>
            <w:shd w:fill="FAFAFA" w:val="clear"/>
          </w:tcPr>
          <w:p>
            <w:r>
              <w:rPr>
                <w:sz w:val="17"/>
              </w:rPr>
              <w:t>2,269</w:t>
            </w:r>
          </w:p>
        </w:tc>
        <w:tc>
          <w:tcPr>
            <w:tcW w:type="dxa" w:w="1440"/>
            <w:shd w:fill="FAFAFA" w:val="clear"/>
          </w:tcPr>
          <w:p>
            <w:r>
              <w:rPr>
                <w:b/>
                <w:color w:val="C00000"/>
                <w:sz w:val="17"/>
              </w:rPr>
              <w:t>-1.1%</w:t>
            </w:r>
          </w:p>
        </w:tc>
      </w:tr>
      <w:tr>
        <w:tc>
          <w:tcPr>
            <w:tcW w:type="dxa" w:w="1440"/>
            <w:shd w:fill="FAFAFA" w:val="clear"/>
          </w:tcPr>
          <w:p>
            <w:r>
              <w:rPr>
                <w:sz w:val="17"/>
              </w:rPr>
              <w:t>J+3  Moyenne</w:t>
            </w:r>
          </w:p>
        </w:tc>
        <w:tc>
          <w:tcPr>
            <w:tcW w:type="dxa" w:w="1440"/>
            <w:shd w:fill="FAFAFA" w:val="clear"/>
          </w:tcPr>
          <w:p>
            <w:r>
              <w:rPr>
                <w:sz w:val="17"/>
              </w:rPr>
              <w:t>2026-10-20</w:t>
            </w:r>
          </w:p>
        </w:tc>
        <w:tc>
          <w:tcPr>
            <w:tcW w:type="dxa" w:w="1440"/>
            <w:shd w:fill="FAFAFA" w:val="clear"/>
          </w:tcPr>
          <w:p>
            <w:r>
              <w:rPr>
                <w:sz w:val="17"/>
              </w:rPr>
              <w:t>1,919</w:t>
            </w:r>
          </w:p>
        </w:tc>
        <w:tc>
          <w:tcPr>
            <w:tcW w:type="dxa" w:w="1440"/>
            <w:shd w:fill="FAFAFA" w:val="clear"/>
          </w:tcPr>
          <w:p>
            <w:r>
              <w:rPr>
                <w:b/>
                <w:sz w:val="17"/>
              </w:rPr>
              <w:t>2,104</w:t>
            </w:r>
          </w:p>
        </w:tc>
        <w:tc>
          <w:tcPr>
            <w:tcW w:type="dxa" w:w="1440"/>
            <w:shd w:fill="FAFAFA" w:val="clear"/>
          </w:tcPr>
          <w:p>
            <w:r>
              <w:rPr>
                <w:sz w:val="17"/>
              </w:rPr>
              <w:t>2,289</w:t>
            </w:r>
          </w:p>
        </w:tc>
        <w:tc>
          <w:tcPr>
            <w:tcW w:type="dxa" w:w="1440"/>
            <w:shd w:fill="FAFAFA" w:val="clear"/>
          </w:tcPr>
          <w:p>
            <w:r>
              <w:rPr>
                <w:b/>
                <w:color w:val="C00000"/>
                <w:sz w:val="17"/>
              </w:rPr>
              <w:t>-1.7%</w:t>
            </w:r>
          </w:p>
        </w:tc>
      </w:tr>
      <w:tr>
        <w:tc>
          <w:tcPr>
            <w:tcW w:type="dxa" w:w="1440"/>
            <w:shd w:fill="FFDCE0" w:val="clear"/>
          </w:tcPr>
          <w:p>
            <w:r>
              <w:rPr>
                <w:sz w:val="17"/>
              </w:rPr>
              <w:t>J+4  ⭐</w:t>
            </w:r>
          </w:p>
        </w:tc>
        <w:tc>
          <w:tcPr>
            <w:tcW w:type="dxa" w:w="1440"/>
            <w:shd w:fill="FFDCE0" w:val="clear"/>
          </w:tcPr>
          <w:p>
            <w:r>
              <w:rPr>
                <w:sz w:val="17"/>
              </w:rPr>
              <w:t>2026-10-21</w:t>
            </w:r>
          </w:p>
        </w:tc>
        <w:tc>
          <w:tcPr>
            <w:tcW w:type="dxa" w:w="1440"/>
            <w:shd w:fill="FFDCE0" w:val="clear"/>
          </w:tcPr>
          <w:p>
            <w:r>
              <w:rPr>
                <w:sz w:val="17"/>
              </w:rPr>
              <w:t>1,881</w:t>
            </w:r>
          </w:p>
        </w:tc>
        <w:tc>
          <w:tcPr>
            <w:tcW w:type="dxa" w:w="1440"/>
            <w:shd w:fill="FFDCE0" w:val="clear"/>
          </w:tcPr>
          <w:p>
            <w:r>
              <w:rPr>
                <w:b/>
                <w:sz w:val="17"/>
              </w:rPr>
              <w:t>2,093</w:t>
            </w:r>
          </w:p>
        </w:tc>
        <w:tc>
          <w:tcPr>
            <w:tcW w:type="dxa" w:w="1440"/>
            <w:shd w:fill="FFDCE0" w:val="clear"/>
          </w:tcPr>
          <w:p>
            <w:r>
              <w:rPr>
                <w:sz w:val="17"/>
              </w:rPr>
              <w:t>2,305</w:t>
            </w:r>
          </w:p>
        </w:tc>
        <w:tc>
          <w:tcPr>
            <w:tcW w:type="dxa" w:w="1440"/>
            <w:shd w:fill="FFDCE0" w:val="clear"/>
          </w:tcPr>
          <w:p>
            <w:r>
              <w:rPr>
                <w:b/>
                <w:color w:val="C00000"/>
                <w:sz w:val="17"/>
              </w:rPr>
              <w:t>-2.2%</w:t>
            </w:r>
          </w:p>
        </w:tc>
      </w:tr>
      <w:tr>
        <w:tc>
          <w:tcPr>
            <w:tcW w:type="dxa" w:w="1440"/>
            <w:shd w:fill="FFDCE0" w:val="clear"/>
          </w:tcPr>
          <w:p>
            <w:r>
              <w:rPr>
                <w:sz w:val="17"/>
              </w:rPr>
              <w:t>J+5  ⭐</w:t>
            </w:r>
          </w:p>
        </w:tc>
        <w:tc>
          <w:tcPr>
            <w:tcW w:type="dxa" w:w="1440"/>
            <w:shd w:fill="FFDCE0" w:val="clear"/>
          </w:tcPr>
          <w:p>
            <w:r>
              <w:rPr>
                <w:sz w:val="17"/>
              </w:rPr>
              <w:t>2026-10-22</w:t>
            </w:r>
          </w:p>
        </w:tc>
        <w:tc>
          <w:tcPr>
            <w:tcW w:type="dxa" w:w="1440"/>
            <w:shd w:fill="FFDCE0" w:val="clear"/>
          </w:tcPr>
          <w:p>
            <w:r>
              <w:rPr>
                <w:sz w:val="17"/>
              </w:rPr>
              <w:t>1,846</w:t>
            </w:r>
          </w:p>
        </w:tc>
        <w:tc>
          <w:tcPr>
            <w:tcW w:type="dxa" w:w="1440"/>
            <w:shd w:fill="FFDCE0" w:val="clear"/>
          </w:tcPr>
          <w:p>
            <w:r>
              <w:rPr>
                <w:b/>
                <w:sz w:val="17"/>
              </w:rPr>
              <w:t>2,083</w:t>
            </w:r>
          </w:p>
        </w:tc>
        <w:tc>
          <w:tcPr>
            <w:tcW w:type="dxa" w:w="1440"/>
            <w:shd w:fill="FFDCE0" w:val="clear"/>
          </w:tcPr>
          <w:p>
            <w:r>
              <w:rPr>
                <w:sz w:val="17"/>
              </w:rPr>
              <w:t>2,319</w:t>
            </w:r>
          </w:p>
        </w:tc>
        <w:tc>
          <w:tcPr>
            <w:tcW w:type="dxa" w:w="1440"/>
            <w:shd w:fill="FFDCE0" w:val="clear"/>
          </w:tcPr>
          <w:p>
            <w:r>
              <w:rPr>
                <w:b/>
                <w:color w:val="C00000"/>
                <w:sz w:val="17"/>
              </w:rPr>
              <w:t>-2.7%</w:t>
            </w:r>
          </w:p>
        </w:tc>
      </w:tr>
      <w:tr>
        <w:tc>
          <w:tcPr>
            <w:tcW w:type="dxa" w:w="1440"/>
            <w:shd w:fill="FFDCE0" w:val="clear"/>
          </w:tcPr>
          <w:p>
            <w:r>
              <w:rPr>
                <w:sz w:val="17"/>
              </w:rPr>
              <w:t>J+6  ⭐</w:t>
            </w:r>
          </w:p>
        </w:tc>
        <w:tc>
          <w:tcPr>
            <w:tcW w:type="dxa" w:w="1440"/>
            <w:shd w:fill="FFDCE0" w:val="clear"/>
          </w:tcPr>
          <w:p>
            <w:r>
              <w:rPr>
                <w:sz w:val="17"/>
              </w:rPr>
              <w:t>2026-10-23</w:t>
            </w:r>
          </w:p>
        </w:tc>
        <w:tc>
          <w:tcPr>
            <w:tcW w:type="dxa" w:w="1440"/>
            <w:shd w:fill="FFDCE0" w:val="clear"/>
          </w:tcPr>
          <w:p>
            <w:r>
              <w:rPr>
                <w:sz w:val="17"/>
              </w:rPr>
              <w:t>1,815</w:t>
            </w:r>
          </w:p>
        </w:tc>
        <w:tc>
          <w:tcPr>
            <w:tcW w:type="dxa" w:w="1440"/>
            <w:shd w:fill="FFDCE0" w:val="clear"/>
          </w:tcPr>
          <w:p>
            <w:r>
              <w:rPr>
                <w:b/>
                <w:sz w:val="17"/>
              </w:rPr>
              <w:t>2,073</w:t>
            </w:r>
          </w:p>
        </w:tc>
        <w:tc>
          <w:tcPr>
            <w:tcW w:type="dxa" w:w="1440"/>
            <w:shd w:fill="FFDCE0" w:val="clear"/>
          </w:tcPr>
          <w:p>
            <w:r>
              <w:rPr>
                <w:sz w:val="17"/>
              </w:rPr>
              <w:t>2,330</w:t>
            </w:r>
          </w:p>
        </w:tc>
        <w:tc>
          <w:tcPr>
            <w:tcW w:type="dxa" w:w="1440"/>
            <w:shd w:fill="FFDCE0" w:val="clear"/>
          </w:tcPr>
          <w:p>
            <w:r>
              <w:rPr>
                <w:b/>
                <w:color w:val="C00000"/>
                <w:sz w:val="17"/>
              </w:rPr>
              <w:t>-3.1%</w:t>
            </w:r>
          </w:p>
        </w:tc>
      </w:tr>
      <w:tr>
        <w:tc>
          <w:tcPr>
            <w:tcW w:type="dxa" w:w="1440"/>
            <w:shd w:fill="FFDCE0" w:val="clear"/>
          </w:tcPr>
          <w:p>
            <w:r>
              <w:rPr>
                <w:sz w:val="17"/>
              </w:rPr>
              <w:t>J+7  ⭐</w:t>
            </w:r>
          </w:p>
        </w:tc>
        <w:tc>
          <w:tcPr>
            <w:tcW w:type="dxa" w:w="1440"/>
            <w:shd w:fill="FFDCE0" w:val="clear"/>
          </w:tcPr>
          <w:p>
            <w:r>
              <w:rPr>
                <w:sz w:val="17"/>
              </w:rPr>
              <w:t>2026-10-26</w:t>
            </w:r>
          </w:p>
        </w:tc>
        <w:tc>
          <w:tcPr>
            <w:tcW w:type="dxa" w:w="1440"/>
            <w:shd w:fill="FFDCE0" w:val="clear"/>
          </w:tcPr>
          <w:p>
            <w:r>
              <w:rPr>
                <w:sz w:val="17"/>
              </w:rPr>
              <w:t>1,787</w:t>
            </w:r>
          </w:p>
        </w:tc>
        <w:tc>
          <w:tcPr>
            <w:tcW w:type="dxa" w:w="1440"/>
            <w:shd w:fill="FFDCE0" w:val="clear"/>
          </w:tcPr>
          <w:p>
            <w:r>
              <w:rPr>
                <w:b/>
                <w:sz w:val="17"/>
              </w:rPr>
              <w:t>2,064</w:t>
            </w:r>
          </w:p>
        </w:tc>
        <w:tc>
          <w:tcPr>
            <w:tcW w:type="dxa" w:w="1440"/>
            <w:shd w:fill="FFDCE0" w:val="clear"/>
          </w:tcPr>
          <w:p>
            <w:r>
              <w:rPr>
                <w:sz w:val="17"/>
              </w:rPr>
              <w:t>2,341</w:t>
            </w:r>
          </w:p>
        </w:tc>
        <w:tc>
          <w:tcPr>
            <w:tcW w:type="dxa" w:w="1440"/>
            <w:shd w:fill="FFDCE0" w:val="clear"/>
          </w:tcPr>
          <w:p>
            <w:r>
              <w:rPr>
                <w:b/>
                <w:color w:val="C00000"/>
                <w:sz w:val="17"/>
              </w:rPr>
              <w:t>-3.6%</w:t>
            </w:r>
          </w:p>
        </w:tc>
      </w:tr>
      <w:tr>
        <w:tc>
          <w:tcPr>
            <w:tcW w:type="dxa" w:w="1440"/>
            <w:shd w:fill="FFDCE0" w:val="clear"/>
          </w:tcPr>
          <w:p>
            <w:r>
              <w:rPr>
                <w:sz w:val="17"/>
              </w:rPr>
              <w:t>J+8  ⭐</w:t>
            </w:r>
          </w:p>
        </w:tc>
        <w:tc>
          <w:tcPr>
            <w:tcW w:type="dxa" w:w="1440"/>
            <w:shd w:fill="FFDCE0" w:val="clear"/>
          </w:tcPr>
          <w:p>
            <w:r>
              <w:rPr>
                <w:sz w:val="17"/>
              </w:rPr>
              <w:t>2026-10-27</w:t>
            </w:r>
          </w:p>
        </w:tc>
        <w:tc>
          <w:tcPr>
            <w:tcW w:type="dxa" w:w="1440"/>
            <w:shd w:fill="FFDCE0" w:val="clear"/>
          </w:tcPr>
          <w:p>
            <w:r>
              <w:rPr>
                <w:sz w:val="17"/>
              </w:rPr>
              <w:t>1,760</w:t>
            </w:r>
          </w:p>
        </w:tc>
        <w:tc>
          <w:tcPr>
            <w:tcW w:type="dxa" w:w="1440"/>
            <w:shd w:fill="FFDCE0" w:val="clear"/>
          </w:tcPr>
          <w:p>
            <w:r>
              <w:rPr>
                <w:b/>
                <w:sz w:val="17"/>
              </w:rPr>
              <w:t>2,055</w:t>
            </w:r>
          </w:p>
        </w:tc>
        <w:tc>
          <w:tcPr>
            <w:tcW w:type="dxa" w:w="1440"/>
            <w:shd w:fill="FFDCE0" w:val="clear"/>
          </w:tcPr>
          <w:p>
            <w:r>
              <w:rPr>
                <w:sz w:val="17"/>
              </w:rPr>
              <w:t>2,350</w:t>
            </w:r>
          </w:p>
        </w:tc>
        <w:tc>
          <w:tcPr>
            <w:tcW w:type="dxa" w:w="1440"/>
            <w:shd w:fill="FFDCE0" w:val="clear"/>
          </w:tcPr>
          <w:p>
            <w:r>
              <w:rPr>
                <w:b/>
                <w:color w:val="C00000"/>
                <w:sz w:val="17"/>
              </w:rPr>
              <w:t>-4.0%</w:t>
            </w:r>
          </w:p>
        </w:tc>
      </w:tr>
      <w:tr>
        <w:tc>
          <w:tcPr>
            <w:tcW w:type="dxa" w:w="1440"/>
            <w:shd w:fill="FFDCE0" w:val="clear"/>
          </w:tcPr>
          <w:p>
            <w:r>
              <w:rPr>
                <w:sz w:val="17"/>
              </w:rPr>
              <w:t>J+9  ⭐</w:t>
            </w:r>
          </w:p>
        </w:tc>
        <w:tc>
          <w:tcPr>
            <w:tcW w:type="dxa" w:w="1440"/>
            <w:shd w:fill="FFDCE0" w:val="clear"/>
          </w:tcPr>
          <w:p>
            <w:r>
              <w:rPr>
                <w:sz w:val="17"/>
              </w:rPr>
              <w:t>2026-10-28</w:t>
            </w:r>
          </w:p>
        </w:tc>
        <w:tc>
          <w:tcPr>
            <w:tcW w:type="dxa" w:w="1440"/>
            <w:shd w:fill="FFDCE0" w:val="clear"/>
          </w:tcPr>
          <w:p>
            <w:r>
              <w:rPr>
                <w:sz w:val="17"/>
              </w:rPr>
              <w:t>1,736</w:t>
            </w:r>
          </w:p>
        </w:tc>
        <w:tc>
          <w:tcPr>
            <w:tcW w:type="dxa" w:w="1440"/>
            <w:shd w:fill="FFDCE0" w:val="clear"/>
          </w:tcPr>
          <w:p>
            <w:r>
              <w:rPr>
                <w:b/>
                <w:sz w:val="17"/>
              </w:rPr>
              <w:t>2,047</w:t>
            </w:r>
          </w:p>
        </w:tc>
        <w:tc>
          <w:tcPr>
            <w:tcW w:type="dxa" w:w="1440"/>
            <w:shd w:fill="FFDCE0" w:val="clear"/>
          </w:tcPr>
          <w:p>
            <w:r>
              <w:rPr>
                <w:sz w:val="17"/>
              </w:rPr>
              <w:t>2,359</w:t>
            </w:r>
          </w:p>
        </w:tc>
        <w:tc>
          <w:tcPr>
            <w:tcW w:type="dxa" w:w="1440"/>
            <w:shd w:fill="FFDCE0" w:val="clear"/>
          </w:tcPr>
          <w:p>
            <w:r>
              <w:rPr>
                <w:b/>
                <w:color w:val="C00000"/>
                <w:sz w:val="17"/>
              </w:rPr>
              <w:t>-4.3%</w:t>
            </w:r>
          </w:p>
        </w:tc>
      </w:tr>
      <w:tr>
        <w:tc>
          <w:tcPr>
            <w:tcW w:type="dxa" w:w="1440"/>
            <w:shd w:fill="FFDCE0" w:val="clear"/>
          </w:tcPr>
          <w:p>
            <w:r>
              <w:rPr>
                <w:sz w:val="17"/>
              </w:rPr>
              <w:t>J+10  ⭐</w:t>
            </w:r>
          </w:p>
        </w:tc>
        <w:tc>
          <w:tcPr>
            <w:tcW w:type="dxa" w:w="1440"/>
            <w:shd w:fill="FFDCE0" w:val="clear"/>
          </w:tcPr>
          <w:p>
            <w:r>
              <w:rPr>
                <w:sz w:val="17"/>
              </w:rPr>
              <w:t>2026-10-29</w:t>
            </w:r>
          </w:p>
        </w:tc>
        <w:tc>
          <w:tcPr>
            <w:tcW w:type="dxa" w:w="1440"/>
            <w:shd w:fill="FFDCE0" w:val="clear"/>
          </w:tcPr>
          <w:p>
            <w:r>
              <w:rPr>
                <w:sz w:val="17"/>
              </w:rPr>
              <w:t>1,712</w:t>
            </w:r>
          </w:p>
        </w:tc>
        <w:tc>
          <w:tcPr>
            <w:tcW w:type="dxa" w:w="1440"/>
            <w:shd w:fill="FFDCE0" w:val="clear"/>
          </w:tcPr>
          <w:p>
            <w:r>
              <w:rPr>
                <w:b/>
                <w:sz w:val="17"/>
              </w:rPr>
              <w:t>2,040</w:t>
            </w:r>
          </w:p>
        </w:tc>
        <w:tc>
          <w:tcPr>
            <w:tcW w:type="dxa" w:w="1440"/>
            <w:shd w:fill="FFDCE0" w:val="clear"/>
          </w:tcPr>
          <w:p>
            <w:r>
              <w:rPr>
                <w:sz w:val="17"/>
              </w:rPr>
              <w:t>2,367</w:t>
            </w:r>
          </w:p>
        </w:tc>
        <w:tc>
          <w:tcPr>
            <w:tcW w:type="dxa" w:w="1440"/>
            <w:shd w:fill="FFDCE0" w:val="clear"/>
          </w:tcPr>
          <w:p>
            <w:r>
              <w:rPr>
                <w:b/>
                <w:color w:val="C00000"/>
                <w:sz w:val="17"/>
              </w:rPr>
              <w:t>-4.7%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2.209 Mds FCFA</w:t>
            </w:r>
          </w:p>
        </w:tc>
        <w:tc>
          <w:tcPr>
            <w:tcW w:type="dxa" w:w="5669"/>
            <w:shd w:fill="FFFFFF" w:val="clear"/>
          </w:tcPr>
          <w:p>
            <w:r>
              <w:rPr>
                <w:color w:val="282828"/>
                <w:sz w:val="15"/>
              </w:rPr>
              <w:t>Créances clients = 43.0%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777.90 M FCFA</w:t>
            </w:r>
          </w:p>
        </w:tc>
        <w:tc>
          <w:tcPr>
            <w:tcW w:type="dxa" w:w="5669"/>
            <w:shd w:fill="FFFFFF" w:val="clear"/>
          </w:tcPr>
          <w:p>
            <w:r>
              <w:rPr>
                <w:color w:val="282828"/>
                <w:sz w:val="15"/>
              </w:rPr>
              <w:t>Rotation stocks = 6.6x/an.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3.130 Mds FCFA</w:t>
            </w:r>
          </w:p>
        </w:tc>
        <w:tc>
          <w:tcPr>
            <w:tcW w:type="dxa" w:w="5669"/>
            <w:shd w:fill="FFFFFF" w:val="clear"/>
          </w:tcPr>
          <w:p>
            <w:r>
              <w:rPr>
                <w:color w:val="282828"/>
                <w:sz w:val="15"/>
              </w:rPr>
              <w:t>Ratio actif circ./passif circ. = 1.92x.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15.00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109.43 M FCFA</w:t>
            </w:r>
          </w:p>
        </w:tc>
        <w:tc>
          <w:tcPr>
            <w:tcW w:type="dxa" w:w="5669"/>
            <w:shd w:fill="FFFFFF" w:val="clear"/>
          </w:tcPr>
          <w:p>
            <w:r>
              <w:rPr>
                <w:color w:val="282828"/>
                <w:sz w:val="15"/>
              </w:rPr>
              <w:t>Outil industriel (1.5%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147.47 M FCFA</w:t>
            </w:r>
          </w:p>
        </w:tc>
        <w:tc>
          <w:tcPr>
            <w:tcW w:type="dxa" w:w="5669"/>
            <w:shd w:fill="FFFFFF" w:val="clear"/>
          </w:tcPr>
          <w:p>
            <w:r>
              <w:rPr>
                <w:color w:val="282828"/>
                <w:sz w:val="15"/>
              </w:rPr>
              <w:t>Actif immobilisé = 2.0%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4.196 Mds FCFA</w:t>
            </w:r>
          </w:p>
        </w:tc>
        <w:tc>
          <w:tcPr>
            <w:tcW w:type="dxa" w:w="5669"/>
            <w:shd w:fill="FFFFFF" w:val="clear"/>
          </w:tcPr>
          <w:p>
            <w:r>
              <w:rPr>
                <w:color w:val="282828"/>
                <w:sz w:val="15"/>
              </w:rPr>
              <w:t>Liquidités disponibles (56.1%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7.473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255.32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51.12 M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5.755 Mds FCFA</w:t>
            </w:r>
          </w:p>
        </w:tc>
        <w:tc>
          <w:tcPr>
            <w:tcW w:type="dxa" w:w="5669"/>
            <w:shd w:fill="FFFFFF" w:val="clear"/>
          </w:tcPr>
          <w:p>
            <w:r>
              <w:rPr>
                <w:color w:val="282828"/>
                <w:sz w:val="15"/>
              </w:rPr>
              <w:t>Fonds propres = 77.0%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5.841 Mds FCFA</w:t>
            </w:r>
          </w:p>
        </w:tc>
        <w:tc>
          <w:tcPr>
            <w:tcW w:type="dxa" w:w="5669"/>
            <w:shd w:fill="FFFFFF" w:val="clear"/>
          </w:tcPr>
          <w:p>
            <w:r>
              <w:rPr>
                <w:color w:val="282828"/>
                <w:sz w:val="15"/>
              </w:rPr>
              <w:t>Capitaux permanents / Actif immobilisé = 39.61x.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992.96 M FCFA</w:t>
            </w:r>
          </w:p>
        </w:tc>
        <w:tc>
          <w:tcPr>
            <w:tcW w:type="dxa" w:w="5669"/>
            <w:shd w:fill="FFFFFF" w:val="clear"/>
          </w:tcPr>
          <w:p>
            <w:r>
              <w:rPr>
                <w:color w:val="282828"/>
                <w:sz w:val="15"/>
              </w:rPr>
              <w:t>Délai fournisseurs implicite ≈ 71 j. ✅ Bon pouvoir de négociation.</w:t>
            </w:r>
          </w:p>
        </w:tc>
      </w:tr>
      <w:tr>
        <w:tc>
          <w:tcPr>
            <w:tcW w:type="dxa" w:w="2268"/>
            <w:shd w:fill="EEF2F7" w:val="clear"/>
          </w:tcPr>
          <w:p>
            <w:r>
              <w:rPr>
                <w:b/>
                <w:color w:val="1E1E3C"/>
                <w:sz w:val="16"/>
              </w:rPr>
              <w:t>Dettes totales</w:t>
            </w:r>
          </w:p>
        </w:tc>
        <w:tc>
          <w:tcPr>
            <w:tcW w:type="dxa" w:w="1984"/>
            <w:shd w:fill="C6EFCE" w:val="clear"/>
          </w:tcPr>
          <w:p>
            <w:r>
              <w:rPr>
                <w:b/>
                <w:color w:val="006400"/>
                <w:sz w:val="17"/>
              </w:rPr>
              <w:t>1.718 Mds FCFA</w:t>
            </w:r>
          </w:p>
        </w:tc>
        <w:tc>
          <w:tcPr>
            <w:tcW w:type="dxa" w:w="5669"/>
            <w:shd w:fill="FFFFFF" w:val="clear"/>
          </w:tcPr>
          <w:p>
            <w:r>
              <w:rPr>
                <w:color w:val="282828"/>
                <w:sz w:val="15"/>
              </w:rPr>
              <w:t>Dettes totales = 23.0%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5.139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5.139 Mds FCFA</w:t>
            </w:r>
          </w:p>
        </w:tc>
        <w:tc>
          <w:tcPr>
            <w:tcW w:type="dxa" w:w="5669"/>
            <w:shd w:fill="FFFFFF" w:val="clear"/>
          </w:tcPr>
          <w:p>
            <w:r>
              <w:rPr>
                <w:color w:val="282828"/>
                <w:sz w:val="15"/>
              </w:rPr>
              <w:t>Chiffre d'affaires. Croissance: -23.8%.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51.45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660.53 M FCFA</w:t>
            </w:r>
          </w:p>
        </w:tc>
        <w:tc>
          <w:tcPr>
            <w:tcW w:type="dxa" w:w="5669"/>
            <w:shd w:fill="FFFFFF" w:val="clear"/>
          </w:tcPr>
          <w:p>
            <w:r>
              <w:rPr>
                <w:color w:val="282828"/>
                <w:sz w:val="15"/>
              </w:rPr>
              <w:t>Masse salariale = 12.9%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1.917 Mds FCFA</w:t>
            </w:r>
          </w:p>
        </w:tc>
        <w:tc>
          <w:tcPr>
            <w:tcW w:type="dxa" w:w="5669"/>
            <w:shd w:fill="FFFFFF" w:val="clear"/>
          </w:tcPr>
          <w:p>
            <w:r>
              <w:rPr>
                <w:color w:val="282828"/>
                <w:sz w:val="15"/>
              </w:rPr>
              <w:t>VA = 37.3%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1.256 Mds FCFA</w:t>
            </w:r>
          </w:p>
        </w:tc>
        <w:tc>
          <w:tcPr>
            <w:tcW w:type="dxa" w:w="5669"/>
            <w:shd w:fill="FFFFFF" w:val="clear"/>
          </w:tcPr>
          <w:p>
            <w:r>
              <w:rPr>
                <w:color w:val="282828"/>
                <w:sz w:val="15"/>
              </w:rPr>
              <w:t>EBE = 24.4%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1.213 Mds FCFA</w:t>
            </w:r>
          </w:p>
        </w:tc>
        <w:tc>
          <w:tcPr>
            <w:tcW w:type="dxa" w:w="5669"/>
            <w:shd w:fill="FFFFFF" w:val="clear"/>
          </w:tcPr>
          <w:p>
            <w:r>
              <w:rPr>
                <w:color w:val="282828"/>
                <w:sz w:val="15"/>
              </w:rPr>
              <w:t>Profit d'exploitation = 23.6%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85.82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2.037 Mds FCFA</w:t>
            </w:r>
          </w:p>
        </w:tc>
        <w:tc>
          <w:tcPr>
            <w:tcW w:type="dxa" w:w="5669"/>
            <w:shd w:fill="FFFFFF" w:val="clear"/>
          </w:tcPr>
          <w:p>
            <w:r>
              <w:rPr>
                <w:color w:val="282828"/>
                <w:sz w:val="15"/>
              </w:rPr>
              <w:t>Marge nette = 39.6%.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2.088 Mds FCFA</w:t>
            </w:r>
          </w:p>
        </w:tc>
        <w:tc>
          <w:tcPr>
            <w:tcW w:type="dxa" w:w="5669"/>
            <w:shd w:fill="FFFFFF" w:val="clear"/>
          </w:tcPr>
          <w:p>
            <w:r>
              <w:rPr>
                <w:color w:val="282828"/>
                <w:sz w:val="15"/>
              </w:rPr>
              <w:t>CAF = 2.09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-527.07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-38.84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Free Cash Flow</w:t>
            </w:r>
          </w:p>
        </w:tc>
        <w:tc>
          <w:tcPr>
            <w:tcW w:type="dxa" w:w="1984"/>
            <w:shd w:fill="FFEB9C" w:val="clear"/>
          </w:tcPr>
          <w:p>
            <w:r>
              <w:rPr>
                <w:b/>
                <w:color w:val="B40000"/>
                <w:sz w:val="17"/>
              </w:rPr>
              <w:t>-565.91 M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EB9C" w:val="clear"/>
          </w:tcPr>
          <w:p>
            <w:r>
              <w:rPr>
                <w:b/>
                <w:color w:val="006400"/>
                <w:sz w:val="17"/>
              </w:rPr>
              <w:t>1.498 Mds FCFA</w:t>
            </w:r>
          </w:p>
        </w:tc>
        <w:tc>
          <w:tcPr>
            <w:tcW w:type="dxa" w:w="5669"/>
            <w:shd w:fill="FFFFFF" w:val="clear"/>
          </w:tcPr>
          <w:p>
            <w:r>
              <w:rPr>
                <w:color w:val="282828"/>
                <w:sz w:val="15"/>
              </w:rPr>
              <w:t>BFR = 29.1%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5.693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4.196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24.45%</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39.63%</w:t>
            </w:r>
          </w:p>
        </w:tc>
        <w:tc>
          <w:tcPr>
            <w:tcW w:type="dxa" w:w="5669"/>
            <w:shd w:fill="FFFFFF" w:val="clear"/>
          </w:tcPr>
          <w:p>
            <w:r>
              <w:rPr>
                <w:color w:val="282828"/>
                <w:sz w:val="15"/>
              </w:rPr>
              <w:t>Résultat net / revenus = 39.63%.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23.60%</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35.39%</w:t>
            </w:r>
          </w:p>
        </w:tc>
        <w:tc>
          <w:tcPr>
            <w:tcW w:type="dxa" w:w="5669"/>
            <w:shd w:fill="FFFFFF" w:val="clear"/>
          </w:tcPr>
          <w:p>
            <w:r>
              <w:rPr>
                <w:color w:val="282828"/>
                <w:sz w:val="15"/>
              </w:rPr>
              <w:t>Résultat net / capitaux propres = 35.39%.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27.25%</w:t>
            </w:r>
          </w:p>
        </w:tc>
        <w:tc>
          <w:tcPr>
            <w:tcW w:type="dxa" w:w="5669"/>
            <w:shd w:fill="FFFFFF" w:val="clear"/>
          </w:tcPr>
          <w:p>
            <w:r>
              <w:rPr>
                <w:color w:val="282828"/>
                <w:sz w:val="15"/>
              </w:rPr>
              <w:t>Résultat net / total actif = 27.25%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68.77%</w:t>
            </w:r>
          </w:p>
        </w:tc>
        <w:tc>
          <w:tcPr>
            <w:tcW w:type="dxa" w:w="5669"/>
            <w:shd w:fill="FFFFFF" w:val="clear"/>
          </w:tcPr>
          <w:p>
            <w:r>
              <w:rPr>
                <w:color w:val="282828"/>
                <w:sz w:val="15"/>
              </w:rPr>
              <w:t>CA / total actif = 68.77x.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-23.80%</w:t>
            </w:r>
          </w:p>
        </w:tc>
        <w:tc>
          <w:tcPr>
            <w:tcW w:type="dxa" w:w="5669"/>
            <w:shd w:fill="FFFFFF" w:val="clear"/>
          </w:tcPr>
          <w:p>
            <w:r>
              <w:rPr>
                <w:color w:val="282828"/>
                <w:sz w:val="15"/>
              </w:rPr>
              <w:t>Croissance CA vs exercice précédent = -23.80%.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77.01%</w:t>
            </w:r>
          </w:p>
        </w:tc>
        <w:tc>
          <w:tcPr>
            <w:tcW w:type="dxa" w:w="5669"/>
            <w:shd w:fill="FFFFFF" w:val="clear"/>
          </w:tcPr>
          <w:p>
            <w:r>
              <w:rPr>
                <w:color w:val="282828"/>
                <w:sz w:val="15"/>
              </w:rPr>
              <w:t>Fonds propres / total bilan = 77.01%.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22.99%</w:t>
            </w:r>
          </w:p>
        </w:tc>
        <w:tc>
          <w:tcPr>
            <w:tcW w:type="dxa" w:w="5669"/>
            <w:shd w:fill="FFFFFF" w:val="clear"/>
          </w:tcPr>
          <w:p>
            <w:r>
              <w:rPr>
                <w:color w:val="282828"/>
                <w:sz w:val="15"/>
              </w:rPr>
              <w:t>Dettes financières / total bilan = 22.99%. ✅ Dépendance faible.</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435.02%</w:t>
            </w:r>
          </w:p>
        </w:tc>
        <w:tc>
          <w:tcPr>
            <w:tcW w:type="dxa" w:w="5669"/>
            <w:shd w:fill="FFFFFF" w:val="clear"/>
          </w:tcPr>
          <w:p>
            <w:r>
              <w:rPr>
                <w:color w:val="282828"/>
                <w:sz w:val="15"/>
              </w:rPr>
              <w:t>Total actif / dettes totales = 435.02x.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448.86%</w:t>
            </w:r>
          </w:p>
        </w:tc>
        <w:tc>
          <w:tcPr>
            <w:tcW w:type="dxa" w:w="5669"/>
            <w:shd w:fill="FFFFFF" w:val="clear"/>
          </w:tcPr>
          <w:p>
            <w:r>
              <w:rPr>
                <w:color w:val="282828"/>
                <w:sz w:val="15"/>
              </w:rPr>
              <w:t>Actif circulant / passif circulant = 448.86x.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257.09%</w:t>
            </w:r>
          </w:p>
        </w:tc>
        <w:tc>
          <w:tcPr>
            <w:tcW w:type="dxa" w:w="5669"/>
            <w:shd w:fill="FFFFFF" w:val="clear"/>
          </w:tcPr>
          <w:p>
            <w:r>
              <w:rPr>
                <w:color w:val="282828"/>
                <w:sz w:val="15"/>
              </w:rPr>
              <w:t>Trésorerie / passif circulant = 257.09x.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401.20%</w:t>
            </w:r>
          </w:p>
        </w:tc>
        <w:tc>
          <w:tcPr>
            <w:tcW w:type="dxa" w:w="5669"/>
            <w:shd w:fill="FFFFFF" w:val="clear"/>
          </w:tcPr>
          <w:p>
            <w:r>
              <w:rPr>
                <w:color w:val="282828"/>
                <w:sz w:val="15"/>
              </w:rPr>
              <w:t>(Actif circ. - stocks) / passif circ. = 401.20x.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3960.59%</w:t>
            </w:r>
          </w:p>
        </w:tc>
        <w:tc>
          <w:tcPr>
            <w:tcW w:type="dxa" w:w="5669"/>
            <w:shd w:fill="FFFFFF" w:val="clear"/>
          </w:tcPr>
          <w:p>
            <w:r>
              <w:rPr>
                <w:color w:val="282828"/>
                <w:sz w:val="15"/>
              </w:rPr>
              <w:t>Capitaux permanents / actif immobilisé = 3960.59x. ✅ Les actifs LT sont intégralement financés par des ressources stables.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2317.76%</w:t>
            </w:r>
          </w:p>
        </w:tc>
        <w:tc>
          <w:tcPr>
            <w:tcW w:type="dxa" w:w="5669"/>
            <w:shd w:fill="FFFFFF" w:val="clear"/>
          </w:tcPr>
          <w:p>
            <w:r>
              <w:rPr>
                <w:color w:val="282828"/>
                <w:sz w:val="15"/>
              </w:rPr>
              <w:t>CAF / investissements = 2317.76x.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154.7 j</w:t>
            </w:r>
          </w:p>
        </w:tc>
        <w:tc>
          <w:tcPr>
            <w:tcW w:type="dxa" w:w="5669"/>
            <w:shd w:fill="FFFFFF" w:val="clear"/>
          </w:tcPr>
          <w:p>
            <w:r>
              <w:rPr>
                <w:color w:val="282828"/>
                <w:sz w:val="15"/>
              </w:rPr>
              <w:t>Les clients paient en moyenne en 155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69.6 j</w:t>
            </w:r>
          </w:p>
        </w:tc>
        <w:tc>
          <w:tcPr>
            <w:tcW w:type="dxa" w:w="5669"/>
            <w:shd w:fill="FFFFFF" w:val="clear"/>
          </w:tcPr>
          <w:p>
            <w:r>
              <w:rPr>
                <w:color w:val="282828"/>
                <w:sz w:val="15"/>
              </w:rPr>
              <w:t>Paiement des fournisseurs en 70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54.5 j</w:t>
            </w:r>
          </w:p>
        </w:tc>
        <w:tc>
          <w:tcPr>
            <w:tcW w:type="dxa" w:w="5669"/>
            <w:shd w:fill="FFFFFF" w:val="clear"/>
          </w:tcPr>
          <w:p>
            <w:r>
              <w:rPr>
                <w:color w:val="282828"/>
                <w:sz w:val="15"/>
              </w:rPr>
              <w:t>Stock écoulé en 54 jours. ✅ Stockage standard.</w:t>
            </w:r>
          </w:p>
        </w:tc>
      </w:tr>
    </w:tbl>
    <w:p/>
    <w:p>
      <w:pPr>
        <w:spacing w:after="120" w:line="276" w:lineRule="auto"/>
      </w:pPr>
      <w:r>
        <w:t>**RAPPORT D'ANALYSE FINANCIÈRE — ACTION NEIC (NEI-CEDA CI)**</w:t>
        <w:br/>
        <w:t>**Bourse Régionale des Valeurs Mobilières (BRVM) — Secteur : Édition &amp; Diffusion**</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27,32 milliards FCFA, NEIC se positionne comme une valeur de taille moyenne sur le compartiment des entreprises non bancaires de la BRVM, ce qui reste modeste à l'échelle régionale mais significatif pour le secteur de l'édition. Le BPA de 160 FCFA/action indique que chaque titre génère 160 FCFA de bénéfice net, ce qui, rapporté au cours actuel de 2 140 FCFA, donne un PER de 13,4x — un niveau modéré, légèrement supérieur à la moyenne BRVM (8-12x), suggérant que le marché intègre déjà une partie de la reprise bénéficiaire de 2025. En revanche, le P/B de 4,75x traduit une forte prime par rapport à la valeur comptable (capitaux propres de 5,755 Mds FCFA pour une capitalisation de 27,32 Mds FCFA), ce qui est exigeant et laisse peu de marge d'erreur. Enfin, l'EV/EBITDA de 19,8x, très supérieur au seuil de 15x, signale que la valeur d'entreprise (incluant la dette nette) est chèrement valorisée au regard de la capacité opérationnelle de génération de cash — un signal de prudence qui contraste avec le PER modéré.</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NEIC affiche une variation totale positive de +7,54%, bien que la dernière séance (J-1) se soit soldée par un repli de -0,70%, portant le cours à 2 140 FCFA. Le range de trading est particulièrement large, avec un plus haut à 3 000 FCFA et un plus bas à 1 900 FCFA, soit une amplitude de 1 100 FCFA (58% du cours actuel) qui témoigne d'une forte nervosité du marché sur ce titre. La tendance générale reste haussière sur la période, mais le cours actuel (2 140 FCFA) se situe nettement sous la moyenne (2 323 FCFA) et la médiane (2 272 FCFA), ce qui indique que le titre a corrigé depuis ses sommets et évolue désormais dans la partie basse de sa fourchette récente. L'écart entre moyenne et médiane (51 FCFA) est modéré, mais le skewness positif de 1,089 confirme une asymétrie à droite : la distribution comporte davantage de journées sous la moyenne, avec quelques pics haussiers marqués qui tirent la moyenne vers le haut. Le kurtosis de 0,622 (mésokurtique) indique une distribution proche de la normale, sans risque extrême de pics de volatilité, tandis que l'écart-type de 276 FCFA (CV=11,9%) traduit une dispersion modérée autour de la moyenne. La volatilité annualisée de 52,6% classe clairement NEIC dans la catégorie des titres à volatilité élevée (&gt;30%), ce qui implique un risque de marché significatif et justifie une approche prudente pour tout investisseur.</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(2 287 FCFA) et la MM50 (2 463,9 FCFA) se situent toutes deux au-dessus du cours actuel (2 140 FCFA), avec une MM20 inférieure à la MM50 — configuration baissière caractéristique d'un marché en correction. Le cours évoluant sous ses deux moyennes, la décision technique est logiquement à la vente, confirmant que la pression baissière domine à court et moyen terme.</w:t>
      </w:r>
    </w:p>
    <w:p>
      <w:pPr>
        <w:spacing w:after="120" w:line="276" w:lineRule="auto"/>
      </w:pPr>
      <w:r>
        <w:t>**Bandes de Bollinger** : Le cours (2 140 FCFA) se situe entre la borne inférieure (2 026,65 FCFA) et la borne supérieure (2 547,35 FCFA), plus proche de la borne basse, ce qui traduit une position de faiblesse relative. L'amplitude des bandes (520,7 FCFA) reflète une volatilité élevée, et la décision est neutre car le cours n'est ni en situation de survente extrême ni de surachat — il évolue dans la zone médiane-basse, sans signal directionnel fort.</w:t>
      </w:r>
    </w:p>
    <w:p>
      <w:pPr>
        <w:spacing w:after="120" w:line="276" w:lineRule="auto"/>
      </w:pPr>
      <w:r>
        <w:t>**MACD** : Le MACD (-116,353) est inférieur à son signal (-101,524), avec un histogramme négatif — configuration baissière qui indique un momentum négatif persistant. La divergence entre les deux lignes reste modérée mais orientée à la baisse, justifiant la décision de vente tant que le MACD ne repasse pas au-dessus de son signal.</w:t>
      </w:r>
    </w:p>
    <w:p>
      <w:pPr>
        <w:spacing w:after="120" w:line="276" w:lineRule="auto"/>
      </w:pPr>
      <w:r>
        <w:t>**RSI** : À 17,5, le RSI est très nettement en zone de survente (&lt;30), ce qui constitue un signal d'achat technique classique. Un RSI aussi bas suggère que le titre a été massivement vendu et qu'un rebond technique est probable à court terme, même si la tendance de fond reste baissière — c'est un signal de retournement potentiel à surveiller.</w:t>
      </w:r>
    </w:p>
    <w:p>
      <w:pPr>
        <w:spacing w:after="120" w:line="276" w:lineRule="auto"/>
      </w:pPr>
      <w:r>
        <w:t>**Stochastique** : Le %K (16,393) et le %D (12,454) sont tous deux en zone de survente profonde, avec un %K légèrement supérieur au %D — un croisement haussier est en formation, ce qui confirme le signal d'achat technique. Cette configuration suggère que la pression vendeuse s'épuise et qu'un rebond pourrait se matérialiser dans les prochaines séances.</w:t>
      </w:r>
    </w:p>
    <w:p>
      <w:pPr>
        <w:spacing w:after="120" w:line="276" w:lineRule="auto"/>
      </w:pPr>
      <w:r>
        <w:t>**Conclusion technique** : Les indicateurs sont divergents — les moyennes mobiles et le MACD sont baissiers (tendance de fond négative), tandis que le RSI et le stochastique sont en survente extrême et génèrent des signaux d'achat contra-cycliques. Cette configuration est typique d'un titre en fin de correction, où un rebond technique est probable à court terme, mais où la tendance de moyen terme reste fragile tant que le cours n'aura pas reconquis la MM20 (2 287 FCFA) puis la MM50 (2 463,9 FCFA).</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données financières structurées de l'exercice 2025 (chiffres officiels) révèlent une société en profonde mutation. Le chiffre d'affaires s'établit à 5,139 Mds FCFA, en baisse de -23,8% par rapport à l'exercice précédent, ce qui traduit un net ralentissement de l'activité commerciale. Pourtant, le résultat net atteint 2,037 Mds FCFA, avec une marge nette exceptionnelle de 39,6% et un ROE de 35,4% (très supérieur au seuil de 15% considéré comme excellent) ainsi qu'un ROA de 27,3%. Cette performance apparente est toutefois à nuancer : le rapport du T3 2025 (daté du 30 septembre 2025) précise que le bénéfice net de 1 596 millions FCFA au T3 est majoritairement dû à la reprise d'une provision pour redressement fiscal constituée en 2024 — un élément non récurrent qui gonfle artificiellement le résultat. Hors cet effet, la marge nette serait alignée sur la marge opérationnelle (23,6%), et la performance récurrente serait bien plus modeste. Le rapport du T1 2025 (31 mars 2025) confirme cette fragilité opérationnelle avec un CA de seulement 48,5 millions FCFA (-154% en glissement annuel, probablement une correction comptable) et une perte nette de -189,9 millions FCFA. La structure financière reste néanmoins très solide : autonomie financière de 77,0%, liquidité générale de 448,9%, trésorerie nette de 4,196 Mds FCFA et un BFR de 1,498 Mds FCFA (positif, donc défavorable). Les délais d'exploitation sont préoccupants : 154,7 jours de délai client (risque de trésorerie élevé) contre 69,6 jours de délai fournisseur, et 54,5 jours de durée de stockage. Le rapport annuel 2025 (publié en 2026) fait état d'un résultat net de 2,04 Mds FCFA (+169% vs 2024) et d'un CA de 6,74 Mds FCFA (+29%), avec un dividende généreux de 2,04 Mds FCFA (100% du résultat net) — mais cette distribution intégrale limite la capacité d'autofinancement. Le rapport du T1 2026 (2026) montre une reprise du CA à 115,1 millions FCFA (+137%) mais une perte nette persistante de -168,9 millions FCFA, avec un résultat d'exploitation toujours négatif (-271,5 millions FCFA). **En synthèse**, NEIC présente une solidité bilancielle indéniable (trésorerie abondante, faible endettement) mais une fragilité opérationnelle chronique : l'activité commerciale est erratique, la rentabilité récurrente est faible, et la performance 2025 est dopée par des éléments exceptionnels. La recommandation fondamentale est de **CONSERVER** avec une vigilance accrue sur la capacité de l'entreprise à redresser durablement son activité opérationnelle en 2026, comme semblent l'indiquer les premiers signes de reprise du T1 2026.</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révèle un profil d'investissement contrasté. **Sur la valorisation (Partie 0)** , le PER de 13,4x est modéré mais le P/B de 4,75x et l'EV/EBITDA de 19,8x indiquent une valorisation exigeante qui intègre déjà une bonne partie du redressement attendu — le titre n'est pas sous-évalué. **Sur le comportement du cours (Partie 1)** , la tendance haussière de +7,54% sur 100 jours masque une correction récente (cours sous la moyenne et la médiane), avec une volatilité élevée de 52,6% et un skewness positif qui suggère que les baisses sont plus fréquentes que les hausses — un profil de risque élevé. **Sur le plan technique (Partie 2)** , les signaux sont divergents : les indicateurs de tendance (MM, MACD) sont baissiers, tandis que les oscillateurs (RSI à 17,5, stochastique en survente) génèrent des signaux d'achat contra-cycliques — une configuration de fin de correction qui appelle à la prudence. **Sur le plan fondamental (Partie 3)** , la société dispose d'un bilan solide (trésorerie de 4,2 Mds FCFA, autonomie financière de 77%) mais d'une activité opérationnelle fragile, avec un CA en baisse de -23,8% en 2025 et une rentabilité récurrente faible, la performance nette étant dopée par des éléments exceptionnels. Les **prédictions IA (J+1 à J+10)** anticipent une poursuite de la baisse jusqu'à 2 083 FCFA le 22 octobre 2026, ce qui contredit les signaux d'achat techniques à court terme mais confirme la tendance baissière de fond. **Recommandation finale : CONSERVER** — la convergence entre une valorisation exigeante, une tendance technique baissière et des fondamentaux opérationnels fragiles ne justifie pas un achat, mais la solidité bilancielle et les signes de reprise du T1 2026 (CA +137%) incitent à ne pas vendre. Le niveau de confiance est **Moyen** (les signaux sont divergents) et le niveau de risque global est **Élevé** (volatilité de 52,6%, dépendance aux éléments exceptionnels, activité erratique). L'horizon d'investissement optimal est le **moyen terme (3-12 mois)** , le temps de vérifier si le redressement opérationnel amorcé au T1 2026 se confirme sur les trimestres suivants — un retour durable de la croissance du CA et une amélioration de la marge opérationnelle seraient les déclencheurs d'un passage à l'ACHAT.</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pertes persistantes, la forte croissance du chiffre d'affaires (+137%) et l'am\u00e9lioration de tous les indicateurs financiers t\u00e9moignent d'une dynamique positive. La soci\u00e9t\u00e9 semble \u00eatre dans une phase de redressement qui n\u00e9cessite du temps pour atteindre la rentabilit\u00e9."}</w:t>
      </w:r>
    </w:p>
    <w:p>
      <w:pPr>
        <w:spacing w:before="40"/>
        <w:ind w:left="400"/>
      </w:pPr>
      <w:r>
        <w:rPr>
          <w:sz w:val="18"/>
        </w:rPr>
        <w:t>NEI-CEDA, société d'édition et de diffusion africaine, présente des résultats mitigés au premier trimestre 2026. Le chiffre d'affaires a plus que doublé passant de 48,5 millions FCFA à 115,1 millions FCFA, soit une hausse impressionnante de 137%. Malgré cette forte croissance du chiffre d'affaires, la société reste déficitaire avec une perte nette de 168,9 millions FCFA, néanmoins en amélioration par rapport aux -189,9 millions FCFA de 2025. Le résultat d'exploitation demeure négatif à -271,5 millions FCFA mais s'améliore légèrement de 5%. Les résultats financiers sont positifs à 41,7 millions FCFA grâce aux intérêts sur dépôts à terme, en hausse de 43%.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'+137%', 'resultat_financier': '41,7 millions FCFA', 'resultat_exploitation': '-271,5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-168,9 millions FCFA</w:t>
            </w:r>
          </w:p>
        </w:tc>
        <w:tc>
          <w:tcPr>
            <w:tcW w:type="dxa" w:w="2160"/>
          </w:tcPr>
          <w:p>
            <w:r/>
            <w:r>
              <w:rPr>
                <w:b/>
                <w:sz w:val="16"/>
              </w:rPr>
              <w:t>capitaux_propres</w:t>
              <w:br/>
            </w:r>
            <w:r>
              <w:rPr>
                <w:sz w:val="18"/>
              </w:rPr>
              <w:t>255,3 millions FCFA (capital)</w:t>
            </w:r>
          </w:p>
        </w:tc>
        <w:tc>
          <w:tcPr>
            <w:tcW w:type="dxa" w:w="2160"/>
          </w:tcPr>
          <w:p>
            <w:r/>
            <w:r>
              <w:rPr>
                <w:b/>
                <w:sz w:val="16"/>
              </w:rPr>
              <w:t>chiffre_affaires</w:t>
              <w:br/>
            </w:r>
            <w:r>
              <w:rPr>
                <w:sz w:val="18"/>
              </w:rPr>
              <w:t>115,1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+137% à 115,1 millions FCFA</w:t>
      </w:r>
    </w:p>
    <w:p>
      <w:pPr>
        <w:pStyle w:val="ListBullet"/>
        <w:spacing w:before="20" w:after="20"/>
        <w:ind w:left="700"/>
      </w:pPr>
      <w:r>
        <w:rPr>
          <w:sz w:val="18"/>
        </w:rPr>
        <w:t>Résultat net déficitaire mais en amélioration : -168,9 millions FCFA contre -189,9 millions FCFA</w:t>
      </w:r>
    </w:p>
    <w:p>
      <w:pPr>
        <w:pStyle w:val="ListBullet"/>
        <w:spacing w:before="20" w:after="20"/>
        <w:ind w:left="700"/>
      </w:pPr>
      <w:r>
        <w:rPr>
          <w:sz w:val="18"/>
        </w:rPr>
        <w:t>Résultat d'exploitation négatif de -271,5 millions FCFA, amélioration de 5%</w:t>
      </w:r>
    </w:p>
    <w:p>
      <w:pPr>
        <w:pStyle w:val="ListBullet"/>
        <w:spacing w:before="20" w:after="20"/>
        <w:ind w:left="700"/>
      </w:pPr>
      <w:r>
        <w:rPr>
          <w:sz w:val="18"/>
        </w:rPr>
        <w:t>Résultat financier positif de 41,7 millions FCFA (+43%) grâce aux placements</w:t>
      </w:r>
    </w:p>
    <w:p>
      <w:pPr>
        <w:pStyle w:val="ListBullet"/>
        <w:spacing w:before="20" w:after="20"/>
        <w:ind w:left="700"/>
      </w:pPr>
      <w:r>
        <w:rPr>
          <w:sz w:val="18"/>
        </w:rPr>
        <w:t>Société du secteur de l'édition et diffusion africaine basée à Abidjan</w:t>
      </w:r>
    </w:p>
    <w:p>
      <w:pPr>
        <w:pStyle w:val="ListBullet"/>
        <w:spacing w:before="20" w:after="20"/>
        <w:ind w:left="700"/>
      </w:pPr>
      <w:r>
        <w:rPr>
          <w:sz w:val="18"/>
        </w:rPr>
        <w:t>Capital social de 255,3 millions FCFA</w:t>
      </w:r>
    </w:p>
    <w:p>
      <w:pPr>
        <w:spacing w:before="40"/>
        <w:ind w:left="400"/>
      </w:pPr>
      <w:r>
        <w:rPr>
          <w:b/>
          <w:color w:val="C05000"/>
          <w:sz w:val="18"/>
        </w:rPr>
        <w:t xml:space="preserve">⚠️ Risques : </w:t>
      </w:r>
      <w:r>
        <w:rPr>
          <w:sz w:val="18"/>
        </w:rPr>
        <w:t>["Pertes op\u00e9rationnelles importantes qui persistent malgr\u00e9 l'am\u00e9lioration", "D\u00e9pendance aux r\u00e9sultats financiers pour limiter les pertes globales", "Secteur de l'\u00e9dition africaine avec des d\u00e9fis structurels de rentabilit\u00e9"]</w:t>
      </w:r>
    </w:p>
    <w:p>
      <w:pPr>
        <w:spacing w:before="40"/>
        <w:ind w:left="400"/>
      </w:pPr>
      <w:r>
        <w:rPr>
          <w:b/>
          <w:color w:val="0064A0"/>
          <w:sz w:val="18"/>
        </w:rPr>
        <w:t xml:space="preserve">🔮 Perspectives : </w:t>
      </w:r>
      <w:r>
        <w:rPr>
          <w:sz w:val="18"/>
        </w:rPr>
        <w:t>La forte croissance du chiffre d'affaires (+137%) et l'amélioration continue des résultats laissent présager une poursuite du redressement en 2026. Si cette tendance se confirme sur les trimestres suivants, la société pourrait atteindre l'équilibre opérationnel d'ici la fin de l'année.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croissance du r\u00e9sultat de 169% et une marge nette \u00e9lev\u00e9e de 30,2%. La solidit\u00e9 financi\u00e8re et la politique de dividende g\u00e9n\u00e9reuse rendent le titre attractif."}</w:t>
      </w:r>
    </w:p>
    <w:p>
      <w:pPr>
        <w:spacing w:before="40"/>
        <w:ind w:left="400"/>
      </w:pPr>
      <w:r>
        <w:rPr>
          <w:sz w:val="18"/>
        </w:rPr>
        <w:t>NEI CEDA CI présente des résultats financiers solides pour 2025 avec un résultat net de 2,04 milliards FCFA contre 758 millions FCFA en 2024, soit une croissance de 169%. Le chiffre d'affaires a progressé de 29% à 6,74 milliards FCFA. La société propose un dividende généreux de 2,04 milliards FCFA, équivalent à 100% du résultat net. Les capitaux propres se renforcent à 8,61 milliards FCFA et la trésorerie reste positive à 4,2 milliards FCFA. Cette performance exceptionnelle témoigne d'une gestion efficace et d'une stratégie commerciale réussie.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'4 195 612 623 FCFA', 'croissance_ca': '29%', 'capital_social': '255 316 500 FCFA', 'croissance_resultat': '169%'}</w:t>
            </w:r>
          </w:p>
        </w:tc>
        <w:tc>
          <w:tcPr>
            <w:tcW w:type="dxa" w:w="2160"/>
          </w:tcPr>
          <w:p>
            <w:pPr>
              <w:ind w:left="100"/>
            </w:pPr>
            <w:r/>
            <w:r>
              <w:rPr>
                <w:b/>
                <w:sz w:val="16"/>
              </w:rPr>
              <w:t>dividende</w:t>
              <w:br/>
            </w:r>
            <w:r>
              <w:rPr>
                <w:sz w:val="18"/>
              </w:rPr>
              <w:t>2 036 626 234 FCFA</w:t>
            </w:r>
          </w:p>
        </w:tc>
        <w:tc>
          <w:tcPr>
            <w:tcW w:type="dxa" w:w="2160"/>
          </w:tcPr>
          <w:p>
            <w:pPr>
              <w:ind w:left="100"/>
            </w:pPr>
            <w:r/>
            <w:r>
              <w:rPr>
                <w:b/>
                <w:sz w:val="16"/>
              </w:rPr>
              <w:t>marge_nette</w:t>
              <w:br/>
            </w:r>
            <w:r>
              <w:rPr>
                <w:sz w:val="18"/>
              </w:rPr>
              <w:t>30,2%</w:t>
            </w:r>
          </w:p>
        </w:tc>
        <w:tc>
          <w:tcPr>
            <w:tcW w:type="dxa" w:w="2160"/>
          </w:tcPr>
          <w:p>
            <w:pPr>
              <w:ind w:left="100"/>
            </w:pPr>
            <w:r/>
            <w:r>
              <w:rPr>
                <w:b/>
                <w:sz w:val="16"/>
              </w:rPr>
              <w:t>total_actif</w:t>
              <w:br/>
            </w:r>
            <w:r>
              <w:rPr>
                <w:sz w:val="18"/>
              </w:rPr>
              <w:t>13 210 359 130 FCFA</w:t>
            </w:r>
          </w:p>
        </w:tc>
      </w:tr>
      <w:tr>
        <w:tc>
          <w:tcPr>
            <w:tcW w:type="dxa" w:w="2160"/>
          </w:tcPr>
          <w:p>
            <w:r/>
            <w:r>
              <w:rPr>
                <w:b/>
                <w:sz w:val="16"/>
              </w:rPr>
              <w:t>resultat_net</w:t>
              <w:br/>
            </w:r>
            <w:r>
              <w:rPr>
                <w:sz w:val="18"/>
              </w:rPr>
              <w:t>2 036 626 234 FCFA</w:t>
            </w:r>
          </w:p>
        </w:tc>
        <w:tc>
          <w:tcPr>
            <w:tcW w:type="dxa" w:w="2160"/>
          </w:tcPr>
          <w:p>
            <w:r/>
            <w:r>
              <w:rPr>
                <w:b/>
                <w:sz w:val="16"/>
              </w:rPr>
              <w:t>capitaux_propres</w:t>
              <w:br/>
            </w:r>
            <w:r>
              <w:rPr>
                <w:sz w:val="18"/>
              </w:rPr>
              <w:t>8 613 857 488 FCFA</w:t>
            </w:r>
          </w:p>
        </w:tc>
        <w:tc>
          <w:tcPr>
            <w:tcW w:type="dxa" w:w="2160"/>
          </w:tcPr>
          <w:p>
            <w:r/>
            <w:r>
              <w:rPr>
                <w:b/>
                <w:sz w:val="16"/>
              </w:rPr>
              <w:t>chiffre_affaires</w:t>
              <w:br/>
            </w:r>
            <w:r>
              <w:rPr>
                <w:sz w:val="18"/>
              </w:rPr>
              <w:t>6 744 255 774 FCFA</w:t>
            </w:r>
          </w:p>
        </w:tc>
        <w:tc>
          <w:tcPr>
            <w:tcW w:type="dxa" w:w="2160"/>
          </w:tcPr>
          <w:p/>
        </w:tc>
      </w:tr>
    </w:tbl>
    <w:p/>
    <w:p>
      <w:pPr>
        <w:spacing w:before="60"/>
        <w:ind w:left="400"/>
      </w:pPr>
      <w:r>
        <w:rPr>
          <w:b/>
          <w:sz w:val="18"/>
        </w:rPr>
        <w:t>Points clés :</w:t>
      </w:r>
    </w:p>
    <w:p>
      <w:pPr>
        <w:pStyle w:val="ListBullet"/>
        <w:spacing w:before="20" w:after="20"/>
        <w:ind w:left="700"/>
      </w:pPr>
      <w:r>
        <w:rPr>
          <w:sz w:val="18"/>
        </w:rPr>
        <w:t>Explosion du résultat net : +169% à 2,04 milliards FCFA</w:t>
      </w:r>
    </w:p>
    <w:p>
      <w:pPr>
        <w:pStyle w:val="ListBullet"/>
        <w:spacing w:before="20" w:after="20"/>
        <w:ind w:left="700"/>
      </w:pPr>
      <w:r>
        <w:rPr>
          <w:sz w:val="18"/>
        </w:rPr>
        <w:t>Croissance soutenue du chiffre d'affaires : +29% à 6,74 milliards FCFA</w:t>
      </w:r>
    </w:p>
    <w:p>
      <w:pPr>
        <w:pStyle w:val="ListBullet"/>
        <w:spacing w:before="20" w:after="20"/>
        <w:ind w:left="700"/>
      </w:pPr>
      <w:r>
        <w:rPr>
          <w:sz w:val="18"/>
        </w:rPr>
        <w:t>Politique de distribution généreuse : dividende de 2,04 milliards FCFA</w:t>
      </w:r>
    </w:p>
    <w:p>
      <w:pPr>
        <w:pStyle w:val="ListBullet"/>
        <w:spacing w:before="20" w:after="20"/>
        <w:ind w:left="700"/>
      </w:pPr>
      <w:r>
        <w:rPr>
          <w:sz w:val="18"/>
        </w:rPr>
        <w:t>Renforcement des capitaux propres à 8,61 milliards FCFA</w:t>
      </w:r>
    </w:p>
    <w:p>
      <w:pPr>
        <w:pStyle w:val="ListBullet"/>
        <w:spacing w:before="20" w:after="20"/>
        <w:ind w:left="700"/>
      </w:pPr>
      <w:r>
        <w:rPr>
          <w:sz w:val="18"/>
        </w:rPr>
        <w:t>Trésorerie solide de 4,2 milliards FCFA</w:t>
      </w:r>
    </w:p>
    <w:p>
      <w:pPr>
        <w:pStyle w:val="ListBullet"/>
        <w:spacing w:before="20" w:after="20"/>
        <w:ind w:left="700"/>
      </w:pPr>
      <w:r>
        <w:rPr>
          <w:sz w:val="18"/>
        </w:rPr>
        <w:t>Amélioration significative de la marge nette à 30,2%</w:t>
      </w:r>
    </w:p>
    <w:p>
      <w:pPr>
        <w:spacing w:before="40"/>
        <w:ind w:left="400"/>
      </w:pPr>
      <w:r>
        <w:rPr>
          <w:b/>
          <w:color w:val="C05000"/>
          <w:sz w:val="18"/>
        </w:rPr>
        <w:t xml:space="preserve">⚠️ Risques : </w:t>
      </w:r>
      <w:r>
        <w:rPr>
          <w:sz w:val="18"/>
        </w:rPr>
        <w:t>["Distribution de 100% du r\u00e9sultat en dividende limite la capacit\u00e9 d'autofinancement", "Forte d\u00e9pendance \u00e0 la performance commerciale pour maintenir ces niveaux de rentabilit\u00e9", "Exposition aux fluctuations du march\u00e9 ivoirien et de la zone UEMOA"]</w:t>
      </w:r>
    </w:p>
    <w:p>
      <w:pPr>
        <w:spacing w:before="40"/>
        <w:ind w:left="400"/>
      </w:pPr>
      <w:r>
        <w:rPr>
          <w:b/>
          <w:color w:val="0064A0"/>
          <w:sz w:val="18"/>
        </w:rPr>
        <w:t xml:space="preserve">🔮 Perspectives : </w:t>
      </w:r>
      <w:r>
        <w:rPr>
          <w:sz w:val="18"/>
        </w:rPr>
        <w:t>Les perspectives sont favorables compte tenu de la dynamique commerciale positive et de la solidité du bilan. La société devra équilibrer sa politique de distribution avec ses besoins d'investissement pour soutenir la croissance future. La trésorerie importante offre une marge de manœuvre pour les d</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\u00e9lev\u00e9e et une tr\u00e9sorerie tr\u00e8s solide. La structure financi\u00e8re saine et la croissance du chiffre d'affaires offrent un potentiel d'investissement attractif."}</w:t>
      </w:r>
    </w:p>
    <w:p>
      <w:pPr>
        <w:spacing w:before="40"/>
        <w:ind w:left="400"/>
      </w:pPr>
      <w:r>
        <w:rPr>
          <w:sz w:val="18"/>
        </w:rPr>
        <w:t>NEI CEDA CI démontre une performance exceptionnelle en 2020 avec un chiffre d'affaires de 7,3 milliards FCFA. La société affiche une rentabilité remarquable avec un résultat net de 800,8 millions FCFA, représentant une marge nette de 11%. La structure financière est solide avec des capitaux propres de 2,8 milliards FCFA et un total actif de 14,1 milliards FCFA. La trésorerie nette s'établit à 4,9 milliards FCFA, témoignant d'une excellente liquidité. Cette performance globale positionne favorablement l'entreprise sur le marché ivoirien.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'255 317 MFCFA', 'tresorerie_nette': '4 944 036 MFCFA', 'marge_commerciale': '3 307 004 MFCFA'}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11%</w:t>
            </w:r>
          </w:p>
        </w:tc>
        <w:tc>
          <w:tcPr>
            <w:tcW w:type="dxa" w:w="2160"/>
          </w:tcPr>
          <w:p>
            <w:pPr>
              <w:ind w:left="100"/>
            </w:pPr>
            <w:r/>
            <w:r>
              <w:rPr>
                <w:b/>
                <w:sz w:val="16"/>
              </w:rPr>
              <w:t>total_actif</w:t>
              <w:br/>
            </w:r>
            <w:r>
              <w:rPr>
                <w:sz w:val="18"/>
              </w:rPr>
              <w:t>14 108 707 MFCFA</w:t>
            </w:r>
          </w:p>
        </w:tc>
      </w:tr>
      <w:tr>
        <w:tc>
          <w:tcPr>
            <w:tcW w:type="dxa" w:w="2160"/>
          </w:tcPr>
          <w:p>
            <w:r/>
            <w:r>
              <w:rPr>
                <w:b/>
                <w:sz w:val="16"/>
              </w:rPr>
              <w:t>resultat_net</w:t>
              <w:br/>
            </w:r>
            <w:r>
              <w:rPr>
                <w:sz w:val="18"/>
              </w:rPr>
              <w:t>800 793 MFCFA</w:t>
            </w:r>
          </w:p>
        </w:tc>
        <w:tc>
          <w:tcPr>
            <w:tcW w:type="dxa" w:w="2160"/>
          </w:tcPr>
          <w:p>
            <w:r/>
            <w:r>
              <w:rPr>
                <w:b/>
                <w:sz w:val="16"/>
              </w:rPr>
              <w:t>capitaux_propres</w:t>
              <w:br/>
            </w:r>
            <w:r>
              <w:rPr>
                <w:sz w:val="18"/>
              </w:rPr>
              <w:t>2 819 849 MFCFA</w:t>
            </w:r>
          </w:p>
        </w:tc>
        <w:tc>
          <w:tcPr>
            <w:tcW w:type="dxa" w:w="2160"/>
          </w:tcPr>
          <w:p>
            <w:r/>
            <w:r>
              <w:rPr>
                <w:b/>
                <w:sz w:val="16"/>
              </w:rPr>
              <w:t>chiffre_affaires</w:t>
              <w:br/>
            </w:r>
            <w:r>
              <w:rPr>
                <w:sz w:val="18"/>
              </w:rPr>
              <w:t>7 301 216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7,301 millions FCFA en forte progression</w:t>
      </w:r>
    </w:p>
    <w:p>
      <w:pPr>
        <w:pStyle w:val="ListBullet"/>
        <w:spacing w:before="20" w:after="20"/>
        <w:ind w:left="700"/>
      </w:pPr>
      <w:r>
        <w:rPr>
          <w:sz w:val="18"/>
        </w:rPr>
        <w:t>Marge commerciale solide de 3,307 millions FCFA</w:t>
      </w:r>
    </w:p>
    <w:p>
      <w:pPr>
        <w:pStyle w:val="ListBullet"/>
        <w:spacing w:before="20" w:after="20"/>
        <w:ind w:left="700"/>
      </w:pPr>
      <w:r>
        <w:rPr>
          <w:sz w:val="18"/>
        </w:rPr>
        <w:t>Résultat net exceptionnel de 800,8 millions FCFA soit 11% de marge nette</w:t>
      </w:r>
    </w:p>
    <w:p>
      <w:pPr>
        <w:pStyle w:val="ListBullet"/>
        <w:spacing w:before="20" w:after="20"/>
        <w:ind w:left="700"/>
      </w:pPr>
      <w:r>
        <w:rPr>
          <w:sz w:val="18"/>
        </w:rPr>
        <w:t>Trésorerie nette très positive à 4,9 milliards FCFA</w:t>
      </w:r>
    </w:p>
    <w:p>
      <w:pPr>
        <w:pStyle w:val="ListBullet"/>
        <w:spacing w:before="20" w:after="20"/>
        <w:ind w:left="700"/>
      </w:pPr>
      <w:r>
        <w:rPr>
          <w:sz w:val="18"/>
        </w:rPr>
        <w:t>Total actif de 14,1 milliards FCFA avec une structure équilibrée</w:t>
      </w:r>
    </w:p>
    <w:p>
      <w:pPr>
        <w:pStyle w:val="ListBullet"/>
        <w:spacing w:before="20" w:after="20"/>
        <w:ind w:left="700"/>
      </w:pPr>
      <w:r>
        <w:rPr>
          <w:sz w:val="18"/>
        </w:rPr>
        <w:t>Capitaux propres robustes de 2,8 milliards FCFA</w:t>
      </w:r>
    </w:p>
    <w:p>
      <w:pPr>
        <w:spacing w:before="40"/>
        <w:ind w:left="400"/>
      </w:pPr>
      <w:r>
        <w:rPr>
          <w:b/>
          <w:color w:val="C05000"/>
          <w:sz w:val="18"/>
        </w:rPr>
        <w:t xml:space="preserve">⚠️ Risques : </w:t>
      </w:r>
      <w:r>
        <w:rPr>
          <w:sz w:val="18"/>
        </w:rPr>
        <w:t>["Concentration potentielle sur un secteur d'activit\u00e9 sp\u00e9cifique", "Absence de distribution de dividendes malgr\u00e9 la forte rentabilit\u00e9", "D\u00e9pendance aux conditions \u00e9conomiques du march\u00e9 ivoirien"]</w:t>
      </w:r>
    </w:p>
    <w:p>
      <w:pPr>
        <w:spacing w:before="40"/>
        <w:ind w:left="400"/>
      </w:pPr>
      <w:r>
        <w:rPr>
          <w:b/>
          <w:color w:val="0064A0"/>
          <w:sz w:val="18"/>
        </w:rPr>
        <w:t xml:space="preserve">🔮 Perspectives : </w:t>
      </w:r>
      <w:r>
        <w:rPr>
          <w:sz w:val="18"/>
        </w:rPr>
        <w:t>Avec une trésorerie de près de 5 milliards FCFA et une rentabilité démontrée, NEI CEDA CI dispose d'une base solide pour poursuivre sa croissance. La société pourrait envisager des investissements stratégiques ou une politique de dividendes pour valoriser davantage les actionnaires.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"acheter", "justification": "La soci\u00e9t\u00e9 affiche une croissance exceptionnelle de 53% du CA et 207% du r\u00e9sultat net, d\u00e9montrant une forte dynamique commerciale. L'ex\u00e9cution r\u00e9ussie de gros march\u00e9s et l'am\u00e9lioration des ventes hors march\u00e9 confirment la solidit\u00e9 du mod\u00e8le \u00e9conomique."}</w:t>
      </w:r>
    </w:p>
    <w:p>
      <w:pPr>
        <w:spacing w:before="40"/>
        <w:ind w:left="400"/>
      </w:pPr>
      <w:r>
        <w:rPr>
          <w:sz w:val="18"/>
        </w:rPr>
        <w:t>NEI CEDA présente des résultats exceptionnels au T3 2021 avec un chiffre d'affaires de 7,167 milliards FCFA, en hausse de 53% par rapport au T3 2020. Le résultat net atteint 1,201 milliard FCFA contre 392 millions au T3 2020, soit une progression remarquable de 207%. Cette performance s'explique par l'amélioration des ventes hors marché et l'exécution d'un marché de 1,181 milliards FCFA. La société démontre une forte capacité de croissance et de maîtrise des charges de fonctionnement. Ces résultats positionnent NEI CEDA comme un acteur dynamique du secteur de l'édition et de la diffusion en Côte d'Ivoire.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 '390,773 millions FCFA', 'resultat_financier': '65,826 millions FCFA', 'resultat_exploitation': '1,958 milliards FCFA', 'resultat_activites_ordinaires': '2,024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1,201 milliard FCFA (T3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7,167 milliards FCFA (T3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progression de 53% au T3 2021 à 7,167 milliards FCFA</w:t>
      </w:r>
    </w:p>
    <w:p>
      <w:pPr>
        <w:pStyle w:val="ListBullet"/>
        <w:spacing w:before="20" w:after="20"/>
        <w:ind w:left="700"/>
      </w:pPr>
      <w:r>
        <w:rPr>
          <w:sz w:val="18"/>
        </w:rPr>
        <w:t>Résultat net exceptionnel de 1,201 milliard FCFA, soit +207% par rapport au T3 2020</w:t>
      </w:r>
    </w:p>
    <w:p>
      <w:pPr>
        <w:pStyle w:val="ListBullet"/>
        <w:spacing w:before="20" w:after="20"/>
        <w:ind w:left="700"/>
      </w:pPr>
      <w:r>
        <w:rPr>
          <w:sz w:val="18"/>
        </w:rPr>
        <w:t>Exécution d'un important marché de 1,181 milliards FCFA au T3 2021</w:t>
      </w:r>
    </w:p>
    <w:p>
      <w:pPr>
        <w:pStyle w:val="ListBullet"/>
        <w:spacing w:before="20" w:after="20"/>
        <w:ind w:left="700"/>
      </w:pPr>
      <w:r>
        <w:rPr>
          <w:sz w:val="18"/>
        </w:rPr>
        <w:t>Amélioration significative des ventes hors marché</w:t>
      </w:r>
    </w:p>
    <w:p>
      <w:pPr>
        <w:pStyle w:val="ListBullet"/>
        <w:spacing w:before="20" w:after="20"/>
        <w:ind w:left="700"/>
      </w:pPr>
      <w:r>
        <w:rPr>
          <w:sz w:val="18"/>
        </w:rPr>
        <w:t>Résultat d'exploitation multiplié par 2,6 à 1,958 milliards FCFA</w:t>
      </w:r>
    </w:p>
    <w:p>
      <w:pPr>
        <w:pStyle w:val="ListBullet"/>
        <w:spacing w:before="20" w:after="20"/>
        <w:ind w:left="700"/>
      </w:pPr>
      <w:r>
        <w:rPr>
          <w:sz w:val="18"/>
        </w:rPr>
        <w:t>Maîtrise des charges de fonctionnement avec une légère baisse de 2%</w:t>
      </w:r>
    </w:p>
    <w:p>
      <w:pPr>
        <w:spacing w:before="40"/>
        <w:ind w:left="400"/>
      </w:pPr>
      <w:r>
        <w:rPr>
          <w:b/>
          <w:color w:val="C05000"/>
          <w:sz w:val="18"/>
        </w:rPr>
        <w:t xml:space="preserve">⚠️ Risques : </w:t>
      </w:r>
      <w:r>
        <w:rPr>
          <w:sz w:val="18"/>
        </w:rPr>
        <w:t>["D\u00e9pendance potentielle aux grands march\u00e9s publics pour maintenir cette croissance", "Volatilit\u00e9 possible des r\u00e9sultats li\u00e9e \u00e0 la nature cyclique des contrats d'\u00e9dition", "N\u00e9cessit\u00e9 de maintenir une gestion rigoureuse des charges face \u00e0 la croissanc</w:t>
      </w:r>
    </w:p>
    <w:p>
      <w:pPr>
        <w:spacing w:before="40"/>
        <w:ind w:left="400"/>
      </w:pPr>
      <w:r>
        <w:rPr>
          <w:b/>
          <w:color w:val="0064A0"/>
          <w:sz w:val="18"/>
        </w:rPr>
        <w:t xml:space="preserve">🔮 Perspectives : </w:t>
      </w:r>
      <w:r>
        <w:rPr>
          <w:sz w:val="18"/>
        </w:rPr>
        <w:t>Les excellents résultats du T3 2021 laissent présager une année record pour NEI CEDA. La société semble bien positionnée pour capitaliser sur sa dynamique commerciale et poursuivre sa croissance. Le défi sera de maintenir cette performance et de diversifier ses sources de revenus pour assurer une cr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"Am\u00e9lioration significative des performances avec r\u00e9duction de moiti\u00e9 de la perte nette et forte croissance du chiffre d'affaires. L'ex\u00e9cution du contrat UNICEF devrait consid\u00e9rablement am\u00e9liorer les r\u00e9sultats du second semestre."}</w:t>
      </w:r>
    </w:p>
    <w:p>
      <w:pPr>
        <w:spacing w:before="40"/>
        <w:ind w:left="400"/>
      </w:pPr>
      <w:r>
        <w:rPr>
          <w:sz w:val="18"/>
        </w:rPr>
        <w:t>NEI CEDA, société anonyme ivoirienne spécialisée dans l'édition et la diffusion, présente des résultats mitigés pour le premier semestre 2021. Le chiffre d'affaires a progressé de 37% à 1,657 milliard FCFA contre 1,209 milliard en 2020. Cependant, la société enregistre une perte nette de 188 millions FCFA contre une perte de 401 millions en 2020, marquant une amélioration de 53%. L'activité reste saisonnière avec des résultats peu significatifs au premier semestre. Les commissaires aux comptes ont validé la conformité des états financiers selon les normes OHADA.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'+37%', 'capital_social': '255,316 millions FCFA', 'resultat_financier': '44,6 millions FCFA', 'resultat_exploitation': '-207 millions FCFA', 'variation_resultat_net': '+53%'}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-188 millions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1,657 milliard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37% au S1 2021 (1,657 milliard FCFA)</w:t>
      </w:r>
    </w:p>
    <w:p>
      <w:pPr>
        <w:pStyle w:val="ListBullet"/>
        <w:spacing w:before="20" w:after="20"/>
        <w:ind w:left="700"/>
      </w:pPr>
      <w:r>
        <w:rPr>
          <w:sz w:val="18"/>
        </w:rPr>
        <w:t>Réduction significative de la perte nette de 53% (de -401M à -188M FCFA)</w:t>
      </w:r>
    </w:p>
    <w:p>
      <w:pPr>
        <w:pStyle w:val="ListBullet"/>
        <w:spacing w:before="20" w:after="20"/>
        <w:ind w:left="700"/>
      </w:pPr>
      <w:r>
        <w:rPr>
          <w:sz w:val="18"/>
        </w:rPr>
        <w:t>Amélioration du résultat d'exploitation malgré la perte de 207 millions FCFA</w:t>
      </w:r>
    </w:p>
    <w:p>
      <w:pPr>
        <w:pStyle w:val="ListBullet"/>
        <w:spacing w:before="20" w:after="20"/>
        <w:ind w:left="700"/>
      </w:pPr>
      <w:r>
        <w:rPr>
          <w:sz w:val="18"/>
        </w:rPr>
        <w:t>Résultat financier positif à 44,6 millions FCFA contre 48,3 millions en 2020</w:t>
      </w:r>
    </w:p>
    <w:p>
      <w:pPr>
        <w:pStyle w:val="ListBullet"/>
        <w:spacing w:before="20" w:after="20"/>
        <w:ind w:left="700"/>
      </w:pPr>
      <w:r>
        <w:rPr>
          <w:sz w:val="18"/>
        </w:rPr>
        <w:t>Activité saisonnière avec impact limité des résultats du premier semestre</w:t>
      </w:r>
    </w:p>
    <w:p>
      <w:pPr>
        <w:pStyle w:val="ListBullet"/>
        <w:spacing w:before="20" w:after="20"/>
        <w:ind w:left="700"/>
      </w:pPr>
      <w:r>
        <w:rPr>
          <w:sz w:val="18"/>
        </w:rPr>
        <w:t>Remboursement de créance de 433 millions FCFA dans le cadre de l'abandon de créance</w:t>
      </w:r>
    </w:p>
    <w:p>
      <w:pPr>
        <w:spacing w:before="40"/>
        <w:ind w:left="400"/>
      </w:pPr>
      <w:r>
        <w:rPr>
          <w:b/>
          <w:color w:val="C05000"/>
          <w:sz w:val="18"/>
        </w:rPr>
        <w:t xml:space="preserve">⚠️ Risques : </w:t>
      </w:r>
      <w:r>
        <w:rPr>
          <w:sz w:val="18"/>
        </w:rPr>
        <w:t>["D\u00e9pendance forte \u00e0 l'activit\u00e9 saisonni\u00e8re concentrant les revenus sur le second semestre", "Persistance des pertes op\u00e9rationnelles malgr\u00e9 l'am\u00e9lioration des r\u00e9sultats", "Impact potentiel de la crise sanitaire COVID-19 sur l'activit\u00e9 future"]</w:t>
      </w:r>
    </w:p>
    <w:p>
      <w:pPr>
        <w:spacing w:before="40"/>
        <w:ind w:left="400"/>
      </w:pPr>
      <w:r>
        <w:rPr>
          <w:b/>
          <w:color w:val="0064A0"/>
          <w:sz w:val="18"/>
        </w:rPr>
        <w:t xml:space="preserve">🔮 Perspectives : </w:t>
      </w:r>
      <w:r>
        <w:rPr>
          <w:sz w:val="18"/>
        </w:rPr>
        <w:t>L'exécution du marché UNICEF de 1,305 milliard FCFA en juillet 2021 devrait transformer positivement les résultats annuels. La société semble sur une trajectoire d'amélioration avec la réduction significative des pertes et la croissance du chiffre d'affaires, laissant espérer un retour à l'équilibre</w:t>
      </w:r>
    </w:p>
    <w:p/>
    <w:p>
      <w:r>
        <w:t>════════════════════════════════════════════════════════════════════════════════</w:t>
      </w:r>
    </w:p>
    <w:p>
      <w:r>
        <w:br w:type="page"/>
      </w:r>
    </w:p>
    <w:p>
      <w:pPr>
        <w:pStyle w:val="Heading2"/>
        <w:spacing w:before="360"/>
      </w:pPr>
      <w:r>
        <w:rPr>
          <w:color w:val="0066CC"/>
        </w:rPr>
        <w:t>21. NSBC - NSBC - NSIA BANQUE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NSBC</w:t>
            </w:r>
          </w:p>
          <w:p>
            <w:r>
              <w:rPr>
                <w:b/>
                <w:color w:val="323250"/>
                <w:sz w:val="16"/>
              </w:rPr>
              <w:t xml:space="preserve">Société : </w:t>
            </w:r>
            <w:r>
              <w:rPr>
                <w:color w:val="000000"/>
                <w:sz w:val="16"/>
              </w:rPr>
              <w:t>NSBC - NSIA BANQUE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514.48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2,880 titres</w:t>
            </w:r>
          </w:p>
        </w:tc>
        <w:tc>
          <w:tcPr>
            <w:tcW w:type="dxa" w:w="2268"/>
            <w:shd w:fill="FFF2CC" w:val="clear"/>
          </w:tcPr>
          <w:p>
            <w:r>
              <w:rPr>
                <w:b/>
                <w:color w:val="503200"/>
                <w:sz w:val="16"/>
              </w:rPr>
              <w:t xml:space="preserve">Cours actuel : </w:t>
            </w:r>
            <w:r>
              <w:rPr>
                <w:color w:val="000000"/>
                <w:sz w:val="17"/>
              </w:rPr>
              <w:t>20,800 FCFA</w:t>
            </w:r>
          </w:p>
          <w:p>
            <w:r>
              <w:rPr>
                <w:b/>
                <w:color w:val="503200"/>
                <w:sz w:val="16"/>
              </w:rPr>
              <w:t xml:space="preserve">Var. 100 jours : </w:t>
            </w:r>
            <w:r>
              <w:rPr>
                <w:b/>
                <w:color w:val="007800"/>
                <w:sz w:val="17"/>
              </w:rPr>
              <w:t>+15.56%</w:t>
            </w:r>
          </w:p>
          <w:p>
            <w:r>
              <w:rPr>
                <w:b/>
                <w:color w:val="503200"/>
                <w:sz w:val="16"/>
              </w:rPr>
              <w:t xml:space="preserve">Plus haut 100j : </w:t>
            </w:r>
            <w:r>
              <w:rPr>
                <w:color w:val="000000"/>
                <w:sz w:val="17"/>
              </w:rPr>
              <w:t>24,885 FCFA</w:t>
            </w:r>
          </w:p>
          <w:p>
            <w:r>
              <w:rPr>
                <w:b/>
                <w:color w:val="503200"/>
                <w:sz w:val="16"/>
              </w:rPr>
              <w:t xml:space="preserve">Plus bas 100j : </w:t>
            </w:r>
            <w:r>
              <w:rPr>
                <w:color w:val="000000"/>
                <w:sz w:val="17"/>
              </w:rPr>
              <w:t>17,980 FCFA</w:t>
            </w:r>
          </w:p>
          <w:p>
            <w:r>
              <w:rPr>
                <w:b/>
                <w:color w:val="503200"/>
                <w:sz w:val="16"/>
              </w:rPr>
              <w:t xml:space="preserve">Volatilité ann. : </w:t>
            </w:r>
            <w:r>
              <w:rPr>
                <w:color w:val="000000"/>
                <w:sz w:val="17"/>
              </w:rPr>
              <w:t>36.5%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19.3/100 → Faible</w:t>
      </w:r>
    </w:p>
    <w:p>
      <w:pPr>
        <w:spacing w:before="40" w:after="80"/>
      </w:pPr>
      <w:r>
        <w:rPr>
          <w:rFonts w:ascii="Courier New" w:hAnsi="Courier New"/>
          <w:color w:val="006400"/>
          <w:sz w:val="18"/>
        </w:rPr>
        <w:t>███░░░░░░░░░░░░░░░░░  19.3/100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9.00% (Moyenne) — μ=21,657 FCFA, σ=1,949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β=1.1281 (Neutre (suit le marché)) — Cov=0.000084, Var(idx)=0.000075, ρ=0.423, n=96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2,880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σ_j=2.30%/j (Stable) — Vol. annualisée≈36.5%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03190"/>
            <wp:docPr id="23" name="Picture 23"/>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2026-10-16</w:t>
            </w:r>
          </w:p>
        </w:tc>
        <w:tc>
          <w:tcPr>
            <w:tcW w:type="dxa" w:w="1440"/>
            <w:shd w:fill="FAFAFA" w:val="clear"/>
          </w:tcPr>
          <w:p>
            <w:r>
              <w:rPr>
                <w:sz w:val="17"/>
              </w:rPr>
              <w:t>19,522</w:t>
            </w:r>
          </w:p>
        </w:tc>
        <w:tc>
          <w:tcPr>
            <w:tcW w:type="dxa" w:w="1440"/>
            <w:shd w:fill="FAFAFA" w:val="clear"/>
          </w:tcPr>
          <w:p>
            <w:r>
              <w:rPr>
                <w:b/>
                <w:sz w:val="17"/>
              </w:rPr>
              <w:t>20,518</w:t>
            </w:r>
          </w:p>
        </w:tc>
        <w:tc>
          <w:tcPr>
            <w:tcW w:type="dxa" w:w="1440"/>
            <w:shd w:fill="FAFAFA" w:val="clear"/>
          </w:tcPr>
          <w:p>
            <w:r>
              <w:rPr>
                <w:sz w:val="17"/>
              </w:rPr>
              <w:t>21,513</w:t>
            </w:r>
          </w:p>
        </w:tc>
        <w:tc>
          <w:tcPr>
            <w:tcW w:type="dxa" w:w="1440"/>
            <w:shd w:fill="FAFAFA" w:val="clear"/>
          </w:tcPr>
          <w:p>
            <w:r>
              <w:rPr>
                <w:b/>
                <w:color w:val="C00000"/>
                <w:sz w:val="17"/>
              </w:rPr>
              <w:t>-1.4%</w:t>
            </w:r>
          </w:p>
        </w:tc>
      </w:tr>
      <w:tr>
        <w:tc>
          <w:tcPr>
            <w:tcW w:type="dxa" w:w="1440"/>
            <w:shd w:fill="FFDCE0" w:val="clear"/>
          </w:tcPr>
          <w:p>
            <w:r>
              <w:rPr>
                <w:sz w:val="17"/>
              </w:rPr>
              <w:t>J+2  Moyenne</w:t>
            </w:r>
          </w:p>
        </w:tc>
        <w:tc>
          <w:tcPr>
            <w:tcW w:type="dxa" w:w="1440"/>
            <w:shd w:fill="FFDCE0" w:val="clear"/>
          </w:tcPr>
          <w:p>
            <w:r>
              <w:rPr>
                <w:sz w:val="17"/>
              </w:rPr>
              <w:t>2026-10-19</w:t>
            </w:r>
          </w:p>
        </w:tc>
        <w:tc>
          <w:tcPr>
            <w:tcW w:type="dxa" w:w="1440"/>
            <w:shd w:fill="FFDCE0" w:val="clear"/>
          </w:tcPr>
          <w:p>
            <w:r>
              <w:rPr>
                <w:sz w:val="17"/>
              </w:rPr>
              <w:t>18,896</w:t>
            </w:r>
          </w:p>
        </w:tc>
        <w:tc>
          <w:tcPr>
            <w:tcW w:type="dxa" w:w="1440"/>
            <w:shd w:fill="FFDCE0" w:val="clear"/>
          </w:tcPr>
          <w:p>
            <w:r>
              <w:rPr>
                <w:b/>
                <w:sz w:val="17"/>
              </w:rPr>
              <w:t>20,288</w:t>
            </w:r>
          </w:p>
        </w:tc>
        <w:tc>
          <w:tcPr>
            <w:tcW w:type="dxa" w:w="1440"/>
            <w:shd w:fill="FFDCE0" w:val="clear"/>
          </w:tcPr>
          <w:p>
            <w:r>
              <w:rPr>
                <w:sz w:val="17"/>
              </w:rPr>
              <w:t>21,680</w:t>
            </w:r>
          </w:p>
        </w:tc>
        <w:tc>
          <w:tcPr>
            <w:tcW w:type="dxa" w:w="1440"/>
            <w:shd w:fill="FFDCE0" w:val="clear"/>
          </w:tcPr>
          <w:p>
            <w:r>
              <w:rPr>
                <w:b/>
                <w:color w:val="C00000"/>
                <w:sz w:val="17"/>
              </w:rPr>
              <w:t>-2.5%</w:t>
            </w:r>
          </w:p>
        </w:tc>
      </w:tr>
      <w:tr>
        <w:tc>
          <w:tcPr>
            <w:tcW w:type="dxa" w:w="1440"/>
            <w:shd w:fill="FFDCE0" w:val="clear"/>
          </w:tcPr>
          <w:p>
            <w:r>
              <w:rPr>
                <w:sz w:val="17"/>
              </w:rPr>
              <w:t>J+3  Moyenne</w:t>
            </w:r>
          </w:p>
        </w:tc>
        <w:tc>
          <w:tcPr>
            <w:tcW w:type="dxa" w:w="1440"/>
            <w:shd w:fill="FFDCE0" w:val="clear"/>
          </w:tcPr>
          <w:p>
            <w:r>
              <w:rPr>
                <w:sz w:val="17"/>
              </w:rPr>
              <w:t>2026-10-20</w:t>
            </w:r>
          </w:p>
        </w:tc>
        <w:tc>
          <w:tcPr>
            <w:tcW w:type="dxa" w:w="1440"/>
            <w:shd w:fill="FFDCE0" w:val="clear"/>
          </w:tcPr>
          <w:p>
            <w:r>
              <w:rPr>
                <w:sz w:val="17"/>
              </w:rPr>
              <w:t>18,380</w:t>
            </w:r>
          </w:p>
        </w:tc>
        <w:tc>
          <w:tcPr>
            <w:tcW w:type="dxa" w:w="1440"/>
            <w:shd w:fill="FFDCE0" w:val="clear"/>
          </w:tcPr>
          <w:p>
            <w:r>
              <w:rPr>
                <w:b/>
                <w:sz w:val="17"/>
              </w:rPr>
              <w:t>20,067</w:t>
            </w:r>
          </w:p>
        </w:tc>
        <w:tc>
          <w:tcPr>
            <w:tcW w:type="dxa" w:w="1440"/>
            <w:shd w:fill="FFDCE0" w:val="clear"/>
          </w:tcPr>
          <w:p>
            <w:r>
              <w:rPr>
                <w:sz w:val="17"/>
              </w:rPr>
              <w:t>21,754</w:t>
            </w:r>
          </w:p>
        </w:tc>
        <w:tc>
          <w:tcPr>
            <w:tcW w:type="dxa" w:w="1440"/>
            <w:shd w:fill="FFDCE0" w:val="clear"/>
          </w:tcPr>
          <w:p>
            <w:r>
              <w:rPr>
                <w:b/>
                <w:color w:val="C00000"/>
                <w:sz w:val="17"/>
              </w:rPr>
              <w:t>-3.5%</w:t>
            </w:r>
          </w:p>
        </w:tc>
      </w:tr>
      <w:tr>
        <w:tc>
          <w:tcPr>
            <w:tcW w:type="dxa" w:w="1440"/>
            <w:shd w:fill="FFDCE0" w:val="clear"/>
          </w:tcPr>
          <w:p>
            <w:r>
              <w:rPr>
                <w:sz w:val="17"/>
              </w:rPr>
              <w:t>J+4  ⭐</w:t>
            </w:r>
          </w:p>
        </w:tc>
        <w:tc>
          <w:tcPr>
            <w:tcW w:type="dxa" w:w="1440"/>
            <w:shd w:fill="FFDCE0" w:val="clear"/>
          </w:tcPr>
          <w:p>
            <w:r>
              <w:rPr>
                <w:sz w:val="17"/>
              </w:rPr>
              <w:t>2026-10-21</w:t>
            </w:r>
          </w:p>
        </w:tc>
        <w:tc>
          <w:tcPr>
            <w:tcW w:type="dxa" w:w="1440"/>
            <w:shd w:fill="FFDCE0" w:val="clear"/>
          </w:tcPr>
          <w:p>
            <w:r>
              <w:rPr>
                <w:sz w:val="17"/>
              </w:rPr>
              <w:t>17,928</w:t>
            </w:r>
          </w:p>
        </w:tc>
        <w:tc>
          <w:tcPr>
            <w:tcW w:type="dxa" w:w="1440"/>
            <w:shd w:fill="FFDCE0" w:val="clear"/>
          </w:tcPr>
          <w:p>
            <w:r>
              <w:rPr>
                <w:b/>
                <w:sz w:val="17"/>
              </w:rPr>
              <w:t>19,854</w:t>
            </w:r>
          </w:p>
        </w:tc>
        <w:tc>
          <w:tcPr>
            <w:tcW w:type="dxa" w:w="1440"/>
            <w:shd w:fill="FFDCE0" w:val="clear"/>
          </w:tcPr>
          <w:p>
            <w:r>
              <w:rPr>
                <w:sz w:val="17"/>
              </w:rPr>
              <w:t>21,781</w:t>
            </w:r>
          </w:p>
        </w:tc>
        <w:tc>
          <w:tcPr>
            <w:tcW w:type="dxa" w:w="1440"/>
            <w:shd w:fill="FFDCE0" w:val="clear"/>
          </w:tcPr>
          <w:p>
            <w:r>
              <w:rPr>
                <w:b/>
                <w:color w:val="C00000"/>
                <w:sz w:val="17"/>
              </w:rPr>
              <w:t>-4.5%</w:t>
            </w:r>
          </w:p>
        </w:tc>
      </w:tr>
      <w:tr>
        <w:tc>
          <w:tcPr>
            <w:tcW w:type="dxa" w:w="1440"/>
            <w:shd w:fill="FFDCE0" w:val="clear"/>
          </w:tcPr>
          <w:p>
            <w:r>
              <w:rPr>
                <w:sz w:val="17"/>
              </w:rPr>
              <w:t>J+5  ⭐</w:t>
            </w:r>
          </w:p>
        </w:tc>
        <w:tc>
          <w:tcPr>
            <w:tcW w:type="dxa" w:w="1440"/>
            <w:shd w:fill="FFDCE0" w:val="clear"/>
          </w:tcPr>
          <w:p>
            <w:r>
              <w:rPr>
                <w:sz w:val="17"/>
              </w:rPr>
              <w:t>2026-10-22</w:t>
            </w:r>
          </w:p>
        </w:tc>
        <w:tc>
          <w:tcPr>
            <w:tcW w:type="dxa" w:w="1440"/>
            <w:shd w:fill="FFDCE0" w:val="clear"/>
          </w:tcPr>
          <w:p>
            <w:r>
              <w:rPr>
                <w:sz w:val="17"/>
              </w:rPr>
              <w:t>17,514</w:t>
            </w:r>
          </w:p>
        </w:tc>
        <w:tc>
          <w:tcPr>
            <w:tcW w:type="dxa" w:w="1440"/>
            <w:shd w:fill="FFDCE0" w:val="clear"/>
          </w:tcPr>
          <w:p>
            <w:r>
              <w:rPr>
                <w:b/>
                <w:sz w:val="17"/>
              </w:rPr>
              <w:t>19,646</w:t>
            </w:r>
          </w:p>
        </w:tc>
        <w:tc>
          <w:tcPr>
            <w:tcW w:type="dxa" w:w="1440"/>
            <w:shd w:fill="FFDCE0" w:val="clear"/>
          </w:tcPr>
          <w:p>
            <w:r>
              <w:rPr>
                <w:sz w:val="17"/>
              </w:rPr>
              <w:t>21,778</w:t>
            </w:r>
          </w:p>
        </w:tc>
        <w:tc>
          <w:tcPr>
            <w:tcW w:type="dxa" w:w="1440"/>
            <w:shd w:fill="FFDCE0" w:val="clear"/>
          </w:tcPr>
          <w:p>
            <w:r>
              <w:rPr>
                <w:b/>
                <w:color w:val="C00000"/>
                <w:sz w:val="17"/>
              </w:rPr>
              <w:t>-5.5%</w:t>
            </w:r>
          </w:p>
        </w:tc>
      </w:tr>
      <w:tr>
        <w:tc>
          <w:tcPr>
            <w:tcW w:type="dxa" w:w="1440"/>
            <w:shd w:fill="FFDCE0" w:val="clear"/>
          </w:tcPr>
          <w:p>
            <w:r>
              <w:rPr>
                <w:sz w:val="17"/>
              </w:rPr>
              <w:t>J+6  ⭐</w:t>
            </w:r>
          </w:p>
        </w:tc>
        <w:tc>
          <w:tcPr>
            <w:tcW w:type="dxa" w:w="1440"/>
            <w:shd w:fill="FFDCE0" w:val="clear"/>
          </w:tcPr>
          <w:p>
            <w:r>
              <w:rPr>
                <w:sz w:val="17"/>
              </w:rPr>
              <w:t>2026-10-23</w:t>
            </w:r>
          </w:p>
        </w:tc>
        <w:tc>
          <w:tcPr>
            <w:tcW w:type="dxa" w:w="1440"/>
            <w:shd w:fill="FFDCE0" w:val="clear"/>
          </w:tcPr>
          <w:p>
            <w:r>
              <w:rPr>
                <w:sz w:val="17"/>
              </w:rPr>
              <w:t>17,130</w:t>
            </w:r>
          </w:p>
        </w:tc>
        <w:tc>
          <w:tcPr>
            <w:tcW w:type="dxa" w:w="1440"/>
            <w:shd w:fill="FFDCE0" w:val="clear"/>
          </w:tcPr>
          <w:p>
            <w:r>
              <w:rPr>
                <w:b/>
                <w:sz w:val="17"/>
              </w:rPr>
              <w:t>19,441</w:t>
            </w:r>
          </w:p>
        </w:tc>
        <w:tc>
          <w:tcPr>
            <w:tcW w:type="dxa" w:w="1440"/>
            <w:shd w:fill="FFDCE0" w:val="clear"/>
          </w:tcPr>
          <w:p>
            <w:r>
              <w:rPr>
                <w:sz w:val="17"/>
              </w:rPr>
              <w:t>21,752</w:t>
            </w:r>
          </w:p>
        </w:tc>
        <w:tc>
          <w:tcPr>
            <w:tcW w:type="dxa" w:w="1440"/>
            <w:shd w:fill="FFDCE0" w:val="clear"/>
          </w:tcPr>
          <w:p>
            <w:r>
              <w:rPr>
                <w:b/>
                <w:color w:val="C00000"/>
                <w:sz w:val="17"/>
              </w:rPr>
              <w:t>-6.5%</w:t>
            </w:r>
          </w:p>
        </w:tc>
      </w:tr>
      <w:tr>
        <w:tc>
          <w:tcPr>
            <w:tcW w:type="dxa" w:w="1440"/>
            <w:shd w:fill="FFDCE0" w:val="clear"/>
          </w:tcPr>
          <w:p>
            <w:r>
              <w:rPr>
                <w:sz w:val="17"/>
              </w:rPr>
              <w:t>J+7  ⭐</w:t>
            </w:r>
          </w:p>
        </w:tc>
        <w:tc>
          <w:tcPr>
            <w:tcW w:type="dxa" w:w="1440"/>
            <w:shd w:fill="FFDCE0" w:val="clear"/>
          </w:tcPr>
          <w:p>
            <w:r>
              <w:rPr>
                <w:sz w:val="17"/>
              </w:rPr>
              <w:t>2026-10-26</w:t>
            </w:r>
          </w:p>
        </w:tc>
        <w:tc>
          <w:tcPr>
            <w:tcW w:type="dxa" w:w="1440"/>
            <w:shd w:fill="FFDCE0" w:val="clear"/>
          </w:tcPr>
          <w:p>
            <w:r>
              <w:rPr>
                <w:sz w:val="17"/>
              </w:rPr>
              <w:t>16,769</w:t>
            </w:r>
          </w:p>
        </w:tc>
        <w:tc>
          <w:tcPr>
            <w:tcW w:type="dxa" w:w="1440"/>
            <w:shd w:fill="FFDCE0" w:val="clear"/>
          </w:tcPr>
          <w:p>
            <w:r>
              <w:rPr>
                <w:b/>
                <w:sz w:val="17"/>
              </w:rPr>
              <w:t>19,239</w:t>
            </w:r>
          </w:p>
        </w:tc>
        <w:tc>
          <w:tcPr>
            <w:tcW w:type="dxa" w:w="1440"/>
            <w:shd w:fill="FFDCE0" w:val="clear"/>
          </w:tcPr>
          <w:p>
            <w:r>
              <w:rPr>
                <w:sz w:val="17"/>
              </w:rPr>
              <w:t>21,709</w:t>
            </w:r>
          </w:p>
        </w:tc>
        <w:tc>
          <w:tcPr>
            <w:tcW w:type="dxa" w:w="1440"/>
            <w:shd w:fill="FFDCE0" w:val="clear"/>
          </w:tcPr>
          <w:p>
            <w:r>
              <w:rPr>
                <w:b/>
                <w:color w:val="C00000"/>
                <w:sz w:val="17"/>
              </w:rPr>
              <w:t>-7.5%</w:t>
            </w:r>
          </w:p>
        </w:tc>
      </w:tr>
      <w:tr>
        <w:tc>
          <w:tcPr>
            <w:tcW w:type="dxa" w:w="1440"/>
            <w:shd w:fill="FFDCE0" w:val="clear"/>
          </w:tcPr>
          <w:p>
            <w:r>
              <w:rPr>
                <w:sz w:val="17"/>
              </w:rPr>
              <w:t>J+8  ⭐</w:t>
            </w:r>
          </w:p>
        </w:tc>
        <w:tc>
          <w:tcPr>
            <w:tcW w:type="dxa" w:w="1440"/>
            <w:shd w:fill="FFDCE0" w:val="clear"/>
          </w:tcPr>
          <w:p>
            <w:r>
              <w:rPr>
                <w:sz w:val="17"/>
              </w:rPr>
              <w:t>2026-10-27</w:t>
            </w:r>
          </w:p>
        </w:tc>
        <w:tc>
          <w:tcPr>
            <w:tcW w:type="dxa" w:w="1440"/>
            <w:shd w:fill="FFDCE0" w:val="clear"/>
          </w:tcPr>
          <w:p>
            <w:r>
              <w:rPr>
                <w:sz w:val="17"/>
              </w:rPr>
              <w:t>16,426</w:t>
            </w:r>
          </w:p>
        </w:tc>
        <w:tc>
          <w:tcPr>
            <w:tcW w:type="dxa" w:w="1440"/>
            <w:shd w:fill="FFDCE0" w:val="clear"/>
          </w:tcPr>
          <w:p>
            <w:r>
              <w:rPr>
                <w:b/>
                <w:sz w:val="17"/>
              </w:rPr>
              <w:t>19,039</w:t>
            </w:r>
          </w:p>
        </w:tc>
        <w:tc>
          <w:tcPr>
            <w:tcW w:type="dxa" w:w="1440"/>
            <w:shd w:fill="FFDCE0" w:val="clear"/>
          </w:tcPr>
          <w:p>
            <w:r>
              <w:rPr>
                <w:sz w:val="17"/>
              </w:rPr>
              <w:t>21,653</w:t>
            </w:r>
          </w:p>
        </w:tc>
        <w:tc>
          <w:tcPr>
            <w:tcW w:type="dxa" w:w="1440"/>
            <w:shd w:fill="FFDCE0" w:val="clear"/>
          </w:tcPr>
          <w:p>
            <w:r>
              <w:rPr>
                <w:b/>
                <w:color w:val="C00000"/>
                <w:sz w:val="17"/>
              </w:rPr>
              <w:t>-8.5%</w:t>
            </w:r>
          </w:p>
        </w:tc>
      </w:tr>
      <w:tr>
        <w:tc>
          <w:tcPr>
            <w:tcW w:type="dxa" w:w="1440"/>
            <w:shd w:fill="FFDCE0" w:val="clear"/>
          </w:tcPr>
          <w:p>
            <w:r>
              <w:rPr>
                <w:sz w:val="17"/>
              </w:rPr>
              <w:t>J+9  ⭐</w:t>
            </w:r>
          </w:p>
        </w:tc>
        <w:tc>
          <w:tcPr>
            <w:tcW w:type="dxa" w:w="1440"/>
            <w:shd w:fill="FFDCE0" w:val="clear"/>
          </w:tcPr>
          <w:p>
            <w:r>
              <w:rPr>
                <w:sz w:val="17"/>
              </w:rPr>
              <w:t>2026-10-28</w:t>
            </w:r>
          </w:p>
        </w:tc>
        <w:tc>
          <w:tcPr>
            <w:tcW w:type="dxa" w:w="1440"/>
            <w:shd w:fill="FFDCE0" w:val="clear"/>
          </w:tcPr>
          <w:p>
            <w:r>
              <w:rPr>
                <w:sz w:val="17"/>
              </w:rPr>
              <w:t>16,099</w:t>
            </w:r>
          </w:p>
        </w:tc>
        <w:tc>
          <w:tcPr>
            <w:tcW w:type="dxa" w:w="1440"/>
            <w:shd w:fill="FFDCE0" w:val="clear"/>
          </w:tcPr>
          <w:p>
            <w:r>
              <w:rPr>
                <w:b/>
                <w:sz w:val="17"/>
              </w:rPr>
              <w:t>18,842</w:t>
            </w:r>
          </w:p>
        </w:tc>
        <w:tc>
          <w:tcPr>
            <w:tcW w:type="dxa" w:w="1440"/>
            <w:shd w:fill="FFDCE0" w:val="clear"/>
          </w:tcPr>
          <w:p>
            <w:r>
              <w:rPr>
                <w:sz w:val="17"/>
              </w:rPr>
              <w:t>21,585</w:t>
            </w:r>
          </w:p>
        </w:tc>
        <w:tc>
          <w:tcPr>
            <w:tcW w:type="dxa" w:w="1440"/>
            <w:shd w:fill="FFDCE0" w:val="clear"/>
          </w:tcPr>
          <w:p>
            <w:r>
              <w:rPr>
                <w:b/>
                <w:color w:val="C00000"/>
                <w:sz w:val="17"/>
              </w:rPr>
              <w:t>-9.4%</w:t>
            </w:r>
          </w:p>
        </w:tc>
      </w:tr>
      <w:tr>
        <w:tc>
          <w:tcPr>
            <w:tcW w:type="dxa" w:w="1440"/>
            <w:shd w:fill="FFDCE0" w:val="clear"/>
          </w:tcPr>
          <w:p>
            <w:r>
              <w:rPr>
                <w:sz w:val="17"/>
              </w:rPr>
              <w:t>J+10  ⭐</w:t>
            </w:r>
          </w:p>
        </w:tc>
        <w:tc>
          <w:tcPr>
            <w:tcW w:type="dxa" w:w="1440"/>
            <w:shd w:fill="FFDCE0" w:val="clear"/>
          </w:tcPr>
          <w:p>
            <w:r>
              <w:rPr>
                <w:sz w:val="17"/>
              </w:rPr>
              <w:t>2026-10-29</w:t>
            </w:r>
          </w:p>
        </w:tc>
        <w:tc>
          <w:tcPr>
            <w:tcW w:type="dxa" w:w="1440"/>
            <w:shd w:fill="FFDCE0" w:val="clear"/>
          </w:tcPr>
          <w:p>
            <w:r>
              <w:rPr>
                <w:sz w:val="17"/>
              </w:rPr>
              <w:t>15,786</w:t>
            </w:r>
          </w:p>
        </w:tc>
        <w:tc>
          <w:tcPr>
            <w:tcW w:type="dxa" w:w="1440"/>
            <w:shd w:fill="FFDCE0" w:val="clear"/>
          </w:tcPr>
          <w:p>
            <w:r>
              <w:rPr>
                <w:b/>
                <w:sz w:val="17"/>
              </w:rPr>
              <w:t>18,647</w:t>
            </w:r>
          </w:p>
        </w:tc>
        <w:tc>
          <w:tcPr>
            <w:tcW w:type="dxa" w:w="1440"/>
            <w:shd w:fill="FFDCE0" w:val="clear"/>
          </w:tcPr>
          <w:p>
            <w:r>
              <w:rPr>
                <w:sz w:val="17"/>
              </w:rPr>
              <w:t>21,509</w:t>
            </w:r>
          </w:p>
        </w:tc>
        <w:tc>
          <w:tcPr>
            <w:tcW w:type="dxa" w:w="1440"/>
            <w:shd w:fill="FFDCE0" w:val="clear"/>
          </w:tcPr>
          <w:p>
            <w:r>
              <w:rPr>
                <w:b/>
                <w:color w:val="C00000"/>
                <w:sz w:val="17"/>
              </w:rPr>
              <w:t>-10.3%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235.374 Mds FCFA</w:t>
            </w:r>
          </w:p>
        </w:tc>
        <w:tc>
          <w:tcPr>
            <w:tcW w:type="dxa" w:w="5669"/>
            <w:shd w:fill="FFFFFF" w:val="clear"/>
          </w:tcPr>
          <w:p>
            <w:r>
              <w:rPr>
                <w:color w:val="282828"/>
                <w:sz w:val="15"/>
              </w:rPr>
              <w:t>Représente 7.7%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465.392 Mds FCFA</w:t>
            </w:r>
          </w:p>
        </w:tc>
        <w:tc>
          <w:tcPr>
            <w:tcW w:type="dxa" w:w="5669"/>
            <w:shd w:fill="FFFFFF" w:val="clear"/>
          </w:tcPr>
          <w:p>
            <w:r>
              <w:rPr>
                <w:color w:val="282828"/>
                <w:sz w:val="15"/>
              </w:rPr>
              <w:t>Titres d'État détenus (15.1%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252.759 Mds FCFA</w:t>
            </w:r>
          </w:p>
        </w:tc>
        <w:tc>
          <w:tcPr>
            <w:tcW w:type="dxa" w:w="5669"/>
            <w:shd w:fill="FFFFFF" w:val="clear"/>
          </w:tcPr>
          <w:p>
            <w:r>
              <w:rPr>
                <w:color w:val="282828"/>
                <w:sz w:val="15"/>
              </w:rPr>
              <w:t>Prêts aux autres banques (8.2%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1818.671 Mds FCFA</w:t>
            </w:r>
          </w:p>
        </w:tc>
        <w:tc>
          <w:tcPr>
            <w:tcW w:type="dxa" w:w="5669"/>
            <w:shd w:fill="FFFFFF" w:val="clear"/>
          </w:tcPr>
          <w:p>
            <w:r>
              <w:rPr>
                <w:color w:val="282828"/>
                <w:sz w:val="15"/>
              </w:rPr>
              <w:t>Portefeuille crédits (59.2%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6.842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132.733 Mds FCFA</w:t>
            </w:r>
          </w:p>
        </w:tc>
        <w:tc>
          <w:tcPr>
            <w:tcW w:type="dxa" w:w="5669"/>
            <w:shd w:fill="FFFFFF" w:val="clear"/>
          </w:tcPr>
          <w:p>
            <w:r>
              <w:rPr>
                <w:color w:val="282828"/>
                <w:sz w:val="15"/>
              </w:rPr>
              <w:t>Outil industriel (4.3%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3073.062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24.735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41.121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233.303 Mds FCFA</w:t>
            </w:r>
          </w:p>
        </w:tc>
        <w:tc>
          <w:tcPr>
            <w:tcW w:type="dxa" w:w="5669"/>
            <w:shd w:fill="FFFFFF" w:val="clear"/>
          </w:tcPr>
          <w:p>
            <w:r>
              <w:rPr>
                <w:color w:val="282828"/>
                <w:sz w:val="15"/>
              </w:rPr>
              <w:t>Fonds propres = 7.6%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273.420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491.587 Mds FCFA</w:t>
            </w:r>
          </w:p>
        </w:tc>
        <w:tc>
          <w:tcPr>
            <w:tcW w:type="dxa" w:w="5669"/>
            <w:shd w:fill="FFFFFF" w:val="clear"/>
          </w:tcPr>
          <w:p>
            <w:r>
              <w:rPr>
                <w:color w:val="282828"/>
                <w:sz w:val="15"/>
              </w:rPr>
              <w:t>Refinancement interbancaire (16.0%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2242.218 Mds FCFA</w:t>
            </w:r>
          </w:p>
        </w:tc>
        <w:tc>
          <w:tcPr>
            <w:tcW w:type="dxa" w:w="5669"/>
            <w:shd w:fill="FFFFFF" w:val="clear"/>
          </w:tcPr>
          <w:p>
            <w:r>
              <w:rPr>
                <w:color w:val="282828"/>
                <w:sz w:val="15"/>
              </w:rPr>
              <w:t>Dépôts clients = 73.0%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40.117 Mds FCFA</w:t>
            </w:r>
          </w:p>
        </w:tc>
        <w:tc>
          <w:tcPr>
            <w:tcW w:type="dxa" w:w="5669"/>
            <w:shd w:fill="FFFFFF" w:val="clear"/>
          </w:tcPr>
          <w:p>
            <w:r>
              <w:rPr>
                <w:color w:val="282828"/>
                <w:sz w:val="15"/>
              </w:rPr>
              <w:t>Dette LT/MT = 17% des fonds propres. ✅ Endettement LT maîtrisé.</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531.704 Mds FCFA</w:t>
            </w:r>
          </w:p>
        </w:tc>
        <w:tc>
          <w:tcPr>
            <w:tcW w:type="dxa" w:w="5669"/>
            <w:shd w:fill="FFFFFF" w:val="clear"/>
          </w:tcPr>
          <w:p>
            <w:r>
              <w:rPr>
                <w:color w:val="282828"/>
                <w:sz w:val="15"/>
              </w:rPr>
              <w:t>Dette financière totale = 228%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2839.759 Mds FCFA</w:t>
            </w:r>
          </w:p>
        </w:tc>
        <w:tc>
          <w:tcPr>
            <w:tcW w:type="dxa" w:w="5669"/>
            <w:shd w:fill="FFFFFF" w:val="clear"/>
          </w:tcPr>
          <w:p>
            <w:r>
              <w:rPr>
                <w:color w:val="282828"/>
                <w:sz w:val="15"/>
              </w:rPr>
              <w:t>Dettes totales = 92.4%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112.928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112.928 Mds FCFA</w:t>
            </w:r>
          </w:p>
        </w:tc>
        <w:tc>
          <w:tcPr>
            <w:tcW w:type="dxa" w:w="5669"/>
            <w:shd w:fill="FFFFFF" w:val="clear"/>
          </w:tcPr>
          <w:p>
            <w:r>
              <w:rPr>
                <w:color w:val="282828"/>
                <w:sz w:val="15"/>
              </w:rPr>
              <w:t>Revenu bancaire central (≡ CA). Croissance: 15.4%.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133.718 Mds FCFA</w:t>
            </w:r>
          </w:p>
        </w:tc>
        <w:tc>
          <w:tcPr>
            <w:tcW w:type="dxa" w:w="5669"/>
            <w:shd w:fill="FFFFFF" w:val="clear"/>
          </w:tcPr>
          <w:p>
            <w:r>
              <w:rPr>
                <w:color w:val="282828"/>
                <w:sz w:val="15"/>
              </w:rPr>
              <w:t>Revenus d'intérêts sur crédits (118%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-52.001 Mds FCFA</w:t>
            </w:r>
          </w:p>
        </w:tc>
        <w:tc>
          <w:tcPr>
            <w:tcW w:type="dxa" w:w="5669"/>
            <w:shd w:fill="FFFFFF" w:val="clear"/>
          </w:tcPr>
          <w:p>
            <w:r>
              <w:rPr>
                <w:color w:val="282828"/>
                <w:sz w:val="15"/>
              </w:rPr>
              <w:t>Coût des dépôts collectés (-46%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25.604 Mds FCFA</w:t>
            </w:r>
          </w:p>
        </w:tc>
        <w:tc>
          <w:tcPr>
            <w:tcW w:type="dxa" w:w="5669"/>
            <w:shd w:fill="FFFFFF" w:val="clear"/>
          </w:tcPr>
          <w:p>
            <w:r>
              <w:rPr>
                <w:color w:val="282828"/>
                <w:sz w:val="15"/>
              </w:rPr>
              <w:t>Revenus de commissions (22.7%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53.554 Mds FCFA</w:t>
            </w:r>
          </w:p>
        </w:tc>
        <w:tc>
          <w:tcPr>
            <w:tcW w:type="dxa" w:w="5669"/>
            <w:shd w:fill="FFFFFF" w:val="clear"/>
          </w:tcPr>
          <w:p>
            <w:r>
              <w:rPr>
                <w:color w:val="282828"/>
                <w:sz w:val="15"/>
              </w:rPr>
              <w:t>47.4%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8.093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51.281 Mds FCFA</w:t>
            </w:r>
          </w:p>
        </w:tc>
        <w:tc>
          <w:tcPr>
            <w:tcW w:type="dxa" w:w="5669"/>
            <w:shd w:fill="FFFFFF" w:val="clear"/>
          </w:tcPr>
          <w:p>
            <w:r>
              <w:rPr>
                <w:color w:val="282828"/>
                <w:sz w:val="15"/>
              </w:rPr>
              <w:t>RBE = 45.4%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42.771 Mds FCFA</w:t>
            </w:r>
          </w:p>
        </w:tc>
        <w:tc>
          <w:tcPr>
            <w:tcW w:type="dxa" w:w="5669"/>
            <w:shd w:fill="FFFFFF" w:val="clear"/>
          </w:tcPr>
          <w:p>
            <w:r>
              <w:rPr>
                <w:color w:val="282828"/>
                <w:sz w:val="15"/>
              </w:rPr>
              <w:t>Profit d'exploitation = 37.9%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-8.510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40.712 Mds FCFA</w:t>
            </w:r>
          </w:p>
        </w:tc>
        <w:tc>
          <w:tcPr>
            <w:tcW w:type="dxa" w:w="5669"/>
            <w:shd w:fill="FFFFFF" w:val="clear"/>
          </w:tcPr>
          <w:p>
            <w:r>
              <w:rPr>
                <w:color w:val="282828"/>
                <w:sz w:val="15"/>
              </w:rPr>
              <w:t>Marge nette = 36.1%.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45.41%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36.05%</w:t>
            </w:r>
          </w:p>
        </w:tc>
        <w:tc>
          <w:tcPr>
            <w:tcW w:type="dxa" w:w="5669"/>
            <w:shd w:fill="FFFFFF" w:val="clear"/>
          </w:tcPr>
          <w:p>
            <w:r>
              <w:rPr>
                <w:color w:val="282828"/>
                <w:sz w:val="15"/>
              </w:rPr>
              <w:t>Résultat net / revenus = 36.05%.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37.87%</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17.45%</w:t>
            </w:r>
          </w:p>
        </w:tc>
        <w:tc>
          <w:tcPr>
            <w:tcW w:type="dxa" w:w="5669"/>
            <w:shd w:fill="FFFFFF" w:val="clear"/>
          </w:tcPr>
          <w:p>
            <w:r>
              <w:rPr>
                <w:color w:val="282828"/>
                <w:sz w:val="15"/>
              </w:rPr>
              <w:t>Résultat net / capitaux propres = 17.45%.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1.32%</w:t>
            </w:r>
          </w:p>
        </w:tc>
        <w:tc>
          <w:tcPr>
            <w:tcW w:type="dxa" w:w="5669"/>
            <w:shd w:fill="FFFFFF" w:val="clear"/>
          </w:tcPr>
          <w:p>
            <w:r>
              <w:rPr>
                <w:color w:val="282828"/>
                <w:sz w:val="15"/>
              </w:rPr>
              <w:t>Résultat net / total actif = 1.32%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3.67%</w:t>
            </w:r>
          </w:p>
        </w:tc>
        <w:tc>
          <w:tcPr>
            <w:tcW w:type="dxa" w:w="5669"/>
            <w:shd w:fill="FFFFFF" w:val="clear"/>
          </w:tcPr>
          <w:p>
            <w:r>
              <w:rPr>
                <w:color w:val="282828"/>
                <w:sz w:val="15"/>
              </w:rPr>
              <w:t>CA / total actif = 3.67x.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54.59%</w:t>
            </w:r>
          </w:p>
        </w:tc>
        <w:tc>
          <w:tcPr>
            <w:tcW w:type="dxa" w:w="5669"/>
            <w:shd w:fill="FFFFFF" w:val="clear"/>
          </w:tcPr>
          <w:p>
            <w:r>
              <w:rPr>
                <w:color w:val="282828"/>
                <w:sz w:val="15"/>
              </w:rPr>
              <w:t>Charges / PNB = 54.59% (cost-to-income). ✅ Efficiente (standard UEMOA).</w:t>
            </w:r>
          </w:p>
        </w:tc>
      </w:tr>
      <w:tr>
        <w:tc>
          <w:tcPr>
            <w:tcW w:type="dxa" w:w="2268"/>
            <w:shd w:fill="EEF2F7" w:val="clear"/>
          </w:tcPr>
          <w:p>
            <w:r>
              <w:rPr>
                <w:b/>
                <w:color w:val="1E1E3C"/>
                <w:sz w:val="16"/>
              </w:rPr>
              <w:t>Coût du risque</w:t>
            </w:r>
          </w:p>
        </w:tc>
        <w:tc>
          <w:tcPr>
            <w:tcW w:type="dxa" w:w="1984"/>
            <w:shd w:fill="FFC7CE" w:val="clear"/>
          </w:tcPr>
          <w:p>
            <w:r>
              <w:rPr>
                <w:b/>
                <w:color w:val="006400"/>
                <w:sz w:val="17"/>
              </w:rPr>
              <w:t>7.54%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15.45%</w:t>
            </w:r>
          </w:p>
        </w:tc>
        <w:tc>
          <w:tcPr>
            <w:tcW w:type="dxa" w:w="5669"/>
            <w:shd w:fill="FFFFFF" w:val="clear"/>
          </w:tcPr>
          <w:p>
            <w:r>
              <w:rPr>
                <w:color w:val="282828"/>
                <w:sz w:val="15"/>
              </w:rPr>
              <w:t>Croissance PNB vs exercice précédent = 15.45%.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7.59%</w:t>
            </w:r>
          </w:p>
        </w:tc>
        <w:tc>
          <w:tcPr>
            <w:tcW w:type="dxa" w:w="5669"/>
            <w:shd w:fill="FFFFFF" w:val="clear"/>
          </w:tcPr>
          <w:p>
            <w:r>
              <w:rPr>
                <w:color w:val="282828"/>
                <w:sz w:val="15"/>
              </w:rPr>
              <w:t>Fonds propres / total bilan = 7.59%.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92.41%</w:t>
            </w:r>
          </w:p>
        </w:tc>
        <w:tc>
          <w:tcPr>
            <w:tcW w:type="dxa" w:w="5669"/>
            <w:shd w:fill="FFFFFF" w:val="clear"/>
          </w:tcPr>
          <w:p>
            <w:r>
              <w:rPr>
                <w:color w:val="282828"/>
                <w:sz w:val="15"/>
              </w:rPr>
              <w:t>Dettes financières / total bilan = 92.41%.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227.90%</w:t>
            </w:r>
          </w:p>
        </w:tc>
        <w:tc>
          <w:tcPr>
            <w:tcW w:type="dxa" w:w="5669"/>
            <w:shd w:fill="FFFFFF" w:val="clear"/>
          </w:tcPr>
          <w:p>
            <w:r>
              <w:rPr>
                <w:color w:val="282828"/>
                <w:sz w:val="15"/>
              </w:rPr>
              <w:t>Dettes totales / fonds propres = 227.90%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108.22%</w:t>
            </w:r>
          </w:p>
        </w:tc>
        <w:tc>
          <w:tcPr>
            <w:tcW w:type="dxa" w:w="5669"/>
            <w:shd w:fill="FFFFFF" w:val="clear"/>
          </w:tcPr>
          <w:p>
            <w:r>
              <w:rPr>
                <w:color w:val="282828"/>
                <w:sz w:val="15"/>
              </w:rPr>
              <w:t>Total actif / dettes totales = 108.22x. ✅ Solvable.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82.25%</w:t>
            </w:r>
          </w:p>
        </w:tc>
        <w:tc>
          <w:tcPr>
            <w:tcW w:type="dxa" w:w="5669"/>
            <w:shd w:fill="FFFFFF" w:val="clear"/>
          </w:tcPr>
          <w:p>
            <w:r>
              <w:rPr>
                <w:color w:val="282828"/>
                <w:sz w:val="15"/>
              </w:rPr>
              <w:t>Résultat exploit. / charges financières = 82.25x. ❌ L'exploitation ne couvre pas les charges financières.</w:t>
            </w:r>
          </w:p>
        </w:tc>
      </w:tr>
    </w:tbl>
    <w:p/>
    <w:p>
      <w:pPr>
        <w:spacing w:after="120" w:line="276" w:lineRule="auto"/>
      </w:pPr>
      <w:r>
        <w:t># RAPPORT D'ANALYSE FINANCIÈRE — NSBC (NSIA Banque Côte d'Ivoire)</w:t>
        <w:br/>
        <w:t>**Bourse Régionale des Valeurs Mobilières (BRVM) — Secteur Bancaire**</w:t>
        <w:br/>
        <w:t>*Date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514,48 milliards FCFA, NSBC s'impose comme l'une des valeurs bancaires de premier plan de la cote BRVM, reflétant la solidité d'un groupe panafricain bien implanté en Côte d'Ivoire. Le BPA de 1 646 FCFA/action signifie que chaque titre génère près de 1 646 FCFA de bénéfice net, un niveau élevé qui traduit la forte rentabilité de la banque. Le PER de 12,6x se situe légèrement au-dessus de la moyenne BRVM (8-12x), signalant une valorisation modérée mais non excessive — le marché accepte de payer une prime raisonnable pour la qualité des bénéfices. Le P/B de 2,21x indique que le marché valorise NSBC à plus du double de sa valeur comptable, une prime de croissance justifiée par un ROE de 17,45% nettement supérieur au coût des fonds propres. En revanche, l'EV/EBITDA de 20,4x apparaît très exigeant (&gt;15x), ce qui suggère que la valeur totale de l'entreprise (dette incluse) est chèrement valorisée par rapport à sa capacité opérationnelle — un point de vigilance pour les investisseurs value.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NSBC affiche une performance positive de +15,56%, bien que la dernière séance (J-1) enregistre un léger repli de -0,48%, signalant une prise de bénéfices après la récente progression. Le cours actuel de 20 800 FCFA se situe dans la partie médiane du range de trading, entre un plus bas de 17 980 FCFA et un plus haut de 24 885 FCFA — soit une amplitude de près de 38%, témoignant d'une réelle volatilité. La tendance générale reste haussière sur la période, mais le repli récent sous les 21 000 FCFA marque une consolidation. Les statistiques descriptives révèlent une moyenne de 21 657 FCFA légèrement supérieure à la médiane de 22 000 FCFA, avec un mode à 21 000 FCFA — l'écart modéré entre moyenne et médiane indique une distribution quasi-symétrique, confirmée par un skewness de -0,321 (légère asymétrie négative, quelques valeurs extrêmes basses). L'écart-type de 1 959 FCFA et le coefficient de variation de 9,0% traduisent une dispersion modérée du cours autour de sa moyenne. Le kurtosis de -1,111 (distribution platykurtique) indique une faible concentration des rendements et un risque de pics moins prononcé qu'une loi normale — un élément rassurant pour la gestion du risque. Enfin, la volatilité annualisée de 36,5% classe NSBC dans la catégorie des titres à volatilité élevée (&gt;30%), ce qui implique un potentiel de gain attractif mais aussi un risque de perte significatif à court terme.</w:t>
      </w:r>
    </w:p>
    <w:p>
      <w:pPr>
        <w:spacing w:after="120" w:line="276" w:lineRule="auto"/>
      </w:pPr>
      <w:r>
        <w:t>---</w:t>
      </w:r>
    </w:p>
    <w:p>
      <w:pPr>
        <w:spacing w:after="120" w:line="276" w:lineRule="auto"/>
      </w:pPr>
      <w:r>
        <w:t>## PARTIE 2 : ANALYSE TECHNIQUE DÉTAILLÉE</w:t>
      </w:r>
    </w:p>
    <w:p>
      <w:pPr>
        <w:spacing w:after="120" w:line="276" w:lineRule="auto"/>
      </w:pPr>
      <w:r>
        <w:t>**Moyennes Mobiles** : La MM20 (21 904,25 FCFA) et la MM50 (22 848,70 FCFA) se situent toutes deux au-dessus du cours actuel (20 800 FCFA), avec la MM20 sous la MM50 — configuration baissière classique. Le cours évoluant sous ses deux moyennes, la pression vendeuse domine, justifiant la décision technique de **Vente**.</w:t>
      </w:r>
    </w:p>
    <w:p>
      <w:pPr>
        <w:spacing w:after="120" w:line="276" w:lineRule="auto"/>
      </w:pPr>
      <w:r>
        <w:t>**Bandes de Bollinger** : Le cours (20 800 FCFA) se situe dans la partie basse de la bande, entre la borne inférieure (19 611,39 FCFA) et la borne supérieure (24 197,11 FCFA), sans franchir les extrêmes. Cette position médiane-basse, dans un contexte de bandes relativement larges, traduit une volatilité modérée sans signal de survente extrême — d'où la décision **Neutre**.</w:t>
      </w:r>
    </w:p>
    <w:p>
      <w:pPr>
        <w:spacing w:after="120" w:line="276" w:lineRule="auto"/>
      </w:pPr>
      <w:r>
        <w:t>**MACD** : La valeur du MACD (-617,54) est inférieure à son signal (-539,01), confirmant une divergence baissière persistante. Le momentum reste négatif et la ligne MACD évolue sous zéro, indiquant que la dynamique de court terme est clairement vendeuse — décision **Vente**.</w:t>
      </w:r>
    </w:p>
    <w:p>
      <w:pPr>
        <w:spacing w:after="120" w:line="276" w:lineRule="auto"/>
      </w:pPr>
      <w:r>
        <w:t>**RSI** : À 39,09, le RSI se situe dans la zone neutre basse (30-70), sans atteindre le seuil de survente (&lt;30). Cela signifie que le titre n'est ni suracheté ni survendu, mais penche vers la faiblesse — décision **Neutre**, avec un biais baissier modéré.</w:t>
      </w:r>
    </w:p>
    <w:p>
      <w:pPr>
        <w:spacing w:after="120" w:line="276" w:lineRule="auto"/>
      </w:pPr>
      <w:r>
        <w:t>**Stochastique** : Le %K (0,0) et le %D (3,66) sont tous deux en zone de survente extrême (&lt;20), avec un %K nettement sous le %D. Cette configuration signale un épuisement de la pression vendeuse et un potentiel rebond technique imminent — décision **Achat** contrarienne.</w:t>
      </w:r>
    </w:p>
    <w:p>
      <w:pPr>
        <w:spacing w:after="120" w:line="276" w:lineRule="auto"/>
      </w:pPr>
      <w:r>
        <w:t>**Conclusion technique** : Les indicateurs sont majoritairement baissiers (MM, MACD) ou neutres (Bollinger, RSI), mais le stochastique en survente extrême suggère un possible retournement à court terme. La convergence des signaux négatifs (cours sous MM20/MM50, MACD négatif) domine, mais le stochastique offre une lueur d'espoir pour les acheteurs contrariens. **Synthèse : biais baissier à court terme, avec un potentiel rebond technique fragile.**</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NSIA Banque CI affiche un Produit Net Bancaire (PNB, équivalent du chiffre d'affaires) de 112,928 milliards FCFA, en croissance de +15,45% sur un an, portée par une marge d'intérêts en hausse de +26%. Le résultat net s'établit à 40,712 milliards FCFA, avec une marge nette élevée de 36,05% et un ROE de 17,45% (&gt;15% = excellent), confirmant la forte rentabilité des fonds propres. Le ROA de 1,32% reste dans les standards bancaires, tandis que le coefficient d'exploitation de 54,59% (&lt;60%) témoigne d'une bonne efficacité opérationnelle. Le coût du risque (provisions/charges financières) de 7,54% est un point de vigilance, reflétant une dégradation du portefeuille de crédits — les provisions ont bondi à -8,51 milliards FCFA en 2025, contre une reprise de +0,6 milliard en 2024. La structure financière montre une autonomie financière de 7,59% (faible mais normale pour une banque) et un ratio d'endettement de 227,90%, typique du modèle bancaire basé sur les dépôts clientèle (2 242,22 milliards FCFA) qui financent les créances clientèle (1 818,67 milliards FCFA), avec un ratio dépôts/crédits de 123% — une surliquidité confortable.</w:t>
      </w:r>
    </w:p>
    <w:p>
      <w:pPr>
        <w:spacing w:after="120" w:line="276" w:lineRule="auto"/>
      </w:pPr>
      <w:r>
        <w:t>**Estimations basées sur les rapports trimestriels** : Le rapport du **T1 2026 (publié le 31/03/2026)** révèle une accélération spectaculaire : PNB de 28,615 milliards FCFA (+28% sur un an) et résultat net de 10,912 milliards FCFA (+53%), avec une marge nette de 38,1%. Cette performance est principalement tirée par l'activité « titres » (portefeuille d'État), mais les encours de crédits nets ont légèrement reculé (-4%). Sur cette base, on peut estimer que l'exercice 2026 devrait afficher un PNB supérieur à 125 milliards FCFA et un résultat net proche de 45-48 milliards FCFA, soit une croissance de 10-18% — une projection favorable mais dépendante de la volatilité des revenus titres. Le rapport annuel 2025 (publié le 13/05/2026) confirme la solidité du bilan (total actif de 3 073 milliards FCFA, +22%) et la stratégie de diversification (titrisation, finance verte, PME). **Recommandation fondamentale : solidité financière avérée, croissance robuste, mais vigilance sur le coût du risque et la concentration des revenus sur les titres.**</w:t>
      </w:r>
    </w:p>
    <w:p>
      <w:pPr>
        <w:spacing w:after="120" w:line="276" w:lineRule="auto"/>
      </w:pPr>
      <w:r>
        <w:t>---</w:t>
      </w:r>
    </w:p>
    <w:p>
      <w:pPr>
        <w:spacing w:after="120" w:line="276" w:lineRule="auto"/>
      </w:pPr>
      <w:r>
        <w:t>## PARTIE 4 : CONCLUSION D'INVESTISSEMENT</w:t>
      </w:r>
    </w:p>
    <w:p>
      <w:pPr>
        <w:spacing w:after="120" w:line="276" w:lineRule="auto"/>
      </w:pPr>
      <w:r>
        <w:t>La valorisation (Partie 0) présente un profil mitigé : PER de 12,6x légèrement supérieur à la moyenne BRVM, P/B de 2,21x justifié par un ROE de 17,45%, mais EV/EBITDA de 20,4x très exigeant — le titre n'est ni une affaire exceptionnelle ni une bulle manifeste. Le comportement du cours (Partie 1) montre une tendance haussière sur 100 jours (+15,56%) mais une consolidation récente, avec une volatilité élevée (36,5%) et une distribution platykurtique (kurtosis -1,111) qui limite le risque de pics extrêmes. Les signaux techniques (Partie 2) sont majoritairement baissiers (cours sous MM20/MM50, MACD négatif), mais le stochastique en survente extrême (%K=0, %D=3,66) suggère un rebond technique possible à très court terme. Les fondamentaux (Partie 3) restent solides : PNB 2025 de 112,9 milliards FCFA (+15,45%), résultat net de 40,7 milliards FCFA, ROE de 17,45%, et un T1 2026 exceptionnel (+53% de résultat net) qui laisse présager une année 2026 favorable. Les prédictions IA (J+1 à J+10) anticipent une poursuite de la baisse jusqu'à 19 646 FCFA le 22/10/2026, confirmant le biais baissier technique à court terme. **Synthèse globale** : la convergence entre technique baissier et prédictions IA négatives contraste avec des fondamentaux solides et une valorisation raisonnable. **Recommandation finale : CONSERVER** — les investisseurs existants peuvent conserver leur position pour capter la croissance fondamentale, mais les nouveaux entrants devraient attendre un repli vers 19 500-20 000 FCFA (zone de support technique) avant d'acheter. **Niveau de confiance : Moyen** (divergence technique/fondamental). **Risque global : Moyen** (volatilité élevée mais fondamentaux solides). **Horizon optimal : Moyen terme (3-12 mois)**, le temps que la consolidation technique s'achève et que les résultats 2026 confirment la dynamique du T1.</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"Performance trimestrielle exceptionnelle avec une croissance de 53% du r\u00e9sultat net et des fondamentaux solides. Les perspectives 2026 sont tr\u00e8s favorables avec une strat\u00e9gie ax\u00e9e sur la digitalisation et l'am\u00e9lioration de l'exp\u00e9rience client."}</w:t>
      </w:r>
    </w:p>
    <w:p>
      <w:pPr>
        <w:spacing w:before="40"/>
        <w:ind w:left="400"/>
      </w:pPr>
      <w:r>
        <w:rPr>
          <w:sz w:val="18"/>
        </w:rPr>
        <w:t>NSIA Banque CI affiche une performance exceptionnelle au premier trimestre 2026 avec un résultat net de 10,9 milliards FCFA, en forte progression de 53% par rapport à mars 2025. Le Produit Net Bancaire progresse de 28% à 28,6 milliards FCFA, principalement porté par l'activité titres. Le résultat avant impôt bondit de 49% à 11,8 milliards FCFA grâce à l'accroissement des commissions et à la maîtrise du coût du risque. Les encours de crédits et dépôts clientèle s'établissent respectivement à 1 744 milliards et 2 163 milliards FCFA. La banque anticipe une poursuite de cette dynamique positive tout au long de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'2 162 760 millions FCFA', 'resultat_avant_impots': '11 830 millions FCFA', 'credits_nets_clientele': '1 744 337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38,1%</w:t>
            </w:r>
          </w:p>
        </w:tc>
        <w:tc>
          <w:tcPr>
            <w:tcW w:type="dxa" w:w="2160"/>
          </w:tcPr>
          <w:p>
            <w:pPr>
              <w:ind w:left="100"/>
            </w:pPr>
            <w:r/>
            <w:r>
              <w:rPr>
                <w:b/>
                <w:sz w:val="16"/>
              </w:rPr>
              <w:t>total_actif</w:t>
              <w:br/>
            </w:r>
            <w:r>
              <w:rPr>
                <w:sz w:val="18"/>
              </w:rPr>
              <w:t>3 013 098 millions FCFA</w:t>
            </w:r>
          </w:p>
        </w:tc>
      </w:tr>
      <w:tr>
        <w:tc>
          <w:tcPr>
            <w:tcW w:type="dxa" w:w="2160"/>
          </w:tcPr>
          <w:p>
            <w:r/>
            <w:r>
              <w:rPr>
                <w:b/>
                <w:sz w:val="16"/>
              </w:rPr>
              <w:t>resultat_net</w:t>
              <w:br/>
            </w:r>
            <w:r>
              <w:rPr>
                <w:sz w:val="18"/>
              </w:rPr>
              <w:t>10 912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28 615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53% à 10,9 milliards FCFA au T1 2026</w:t>
      </w:r>
    </w:p>
    <w:p>
      <w:pPr>
        <w:pStyle w:val="ListBullet"/>
        <w:spacing w:before="20" w:after="20"/>
        <w:ind w:left="700"/>
      </w:pPr>
      <w:r>
        <w:rPr>
          <w:sz w:val="18"/>
        </w:rPr>
        <w:t>Produit Net Bancaire en croissance de 28% à 28,6 milliards FCFA</w:t>
      </w:r>
    </w:p>
    <w:p>
      <w:pPr>
        <w:pStyle w:val="ListBullet"/>
        <w:spacing w:before="20" w:after="20"/>
        <w:ind w:left="700"/>
      </w:pPr>
      <w:r>
        <w:rPr>
          <w:sz w:val="18"/>
        </w:rPr>
        <w:t>Résultat avant impôt en progression de 49% à 11,8 milliards FCFA</w:t>
      </w:r>
    </w:p>
    <w:p>
      <w:pPr>
        <w:pStyle w:val="ListBullet"/>
        <w:spacing w:before="20" w:after="20"/>
        <w:ind w:left="700"/>
      </w:pPr>
      <w:r>
        <w:rPr>
          <w:sz w:val="18"/>
        </w:rPr>
        <w:t>Performance tirée principalement par l'activité titres</w:t>
      </w:r>
    </w:p>
    <w:p>
      <w:pPr>
        <w:pStyle w:val="ListBullet"/>
        <w:spacing w:before="20" w:after="20"/>
        <w:ind w:left="700"/>
      </w:pPr>
      <w:r>
        <w:rPr>
          <w:sz w:val="18"/>
        </w:rPr>
        <w:t>Maîtrise du coût du risque et accroissement des commissions</w:t>
      </w:r>
    </w:p>
    <w:p>
      <w:pPr>
        <w:pStyle w:val="ListBullet"/>
        <w:spacing w:before="20" w:after="20"/>
        <w:ind w:left="700"/>
      </w:pPr>
      <w:r>
        <w:rPr>
          <w:sz w:val="18"/>
        </w:rPr>
        <w:t>Encours de crédits nets à 1 744 milliards FCFA</w:t>
      </w:r>
    </w:p>
    <w:p>
      <w:pPr>
        <w:spacing w:before="40"/>
        <w:ind w:left="400"/>
      </w:pPr>
      <w:r>
        <w:rPr>
          <w:b/>
          <w:color w:val="C05000"/>
          <w:sz w:val="18"/>
        </w:rPr>
        <w:t xml:space="preserve">⚠️ Risques : </w:t>
      </w:r>
      <w:r>
        <w:rPr>
          <w:sz w:val="18"/>
        </w:rPr>
        <w:t>["Concentration de la performance sur l'activit\u00e9 titres qui peut \u00eatre volatile", "L\u00e9ger recul des encours de cr\u00e9dits (-4%) qui pourrait impacter la croissance future", "Environnement \u00e9conomique incertain n\u00e9cessitant une gestion prudente des risques"]</w:t>
      </w:r>
    </w:p>
    <w:p>
      <w:pPr>
        <w:spacing w:before="40"/>
        <w:ind w:left="400"/>
      </w:pPr>
      <w:r>
        <w:rPr>
          <w:b/>
          <w:color w:val="0064A0"/>
          <w:sz w:val="18"/>
        </w:rPr>
        <w:t xml:space="preserve">🔮 Perspectives : </w:t>
      </w:r>
      <w:r>
        <w:rPr>
          <w:sz w:val="18"/>
        </w:rPr>
        <w:t xml:space="preserve">La direction anticipe une poursuite de la dynamique positive en 2026, soutenue par l'amélioration de l'expérience client et la digitalisation des services. Les efforts d'inclusion financière et de durabilité devraient renforcer la position concurrentielle tout en maintenant une gestion prudente des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sur tous les indicateurs cl\u00e9s avec une am\u00e9lioration de l'efficacit\u00e9 op\u00e9rationnelle. Les perspectives 2026 sont favorables avec le nouveau cycle d'investissement du PND 2026-2030 repr\u00e9sentant 114 838 milliards FCFA."}</w:t>
      </w:r>
    </w:p>
    <w:p>
      <w:pPr>
        <w:spacing w:before="40"/>
        <w:ind w:left="400"/>
      </w:pPr>
      <w:r>
        <w:rPr>
          <w:sz w:val="18"/>
        </w:rPr>
        <w:t>NSIA Banque Côte d'Ivoire confirme sa trajectoire de croissance avec un résultat net de 40,7 milliards FCFA en hausse de 7% par rapport à 2024. Le total du bilan progresse fortement de 22% pour atteindre 3 073 milliards FCFA, porté par une croissance des créances clientèle de 18% et des ressources clientèle de 32%. Le Produit Net Bancaire s'améliore de 15% à 112,9 milliards FCFA avec une marge d'intérêt en hausse de 26%. La banque renforce sa stratégie de diversification des sources de financement notamment par des opérations de titrisation innovantes. Le coefficient d'exploitation s'améliore à 54,6% contre 59,7% l'année précédente, témoignant d'une meilleure efficacité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'-8,5 milliards FCFA', 'creances_clientele': '1 818,7 milliards FCFA', 'ressources_clientele': '2 242 milliards FCFA', 'coefficient_exploitation': '54,6%', 'resultat_brut_exploitation': '51,3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36,0%</w:t>
            </w:r>
          </w:p>
        </w:tc>
        <w:tc>
          <w:tcPr>
            <w:tcW w:type="dxa" w:w="2160"/>
          </w:tcPr>
          <w:p>
            <w:pPr>
              <w:ind w:left="100"/>
            </w:pPr>
            <w:r/>
            <w:r>
              <w:rPr>
                <w:b/>
                <w:sz w:val="16"/>
              </w:rPr>
              <w:t>total_actif</w:t>
              <w:br/>
            </w:r>
            <w:r>
              <w:rPr>
                <w:sz w:val="18"/>
              </w:rPr>
              <w:t>3 073 milliards FCFA</w:t>
            </w:r>
          </w:p>
        </w:tc>
      </w:tr>
      <w:tr>
        <w:tc>
          <w:tcPr>
            <w:tcW w:type="dxa" w:w="2160"/>
          </w:tcPr>
          <w:p>
            <w:r/>
            <w:r>
              <w:rPr>
                <w:b/>
                <w:sz w:val="16"/>
              </w:rPr>
              <w:t>resultat_net</w:t>
              <w:br/>
            </w:r>
            <w:r>
              <w:rPr>
                <w:sz w:val="18"/>
              </w:rPr>
              <w:t>40,7 milliards FCFA</w:t>
            </w:r>
          </w:p>
        </w:tc>
        <w:tc>
          <w:tcPr>
            <w:tcW w:type="dxa" w:w="2160"/>
          </w:tcPr>
          <w:p>
            <w:r/>
            <w:r>
              <w:rPr>
                <w:b/>
                <w:sz w:val="16"/>
              </w:rPr>
              <w:t>capitaux_propres</w:t>
              <w:br/>
            </w:r>
            <w:r>
              <w:rPr>
                <w:sz w:val="18"/>
              </w:rPr>
              <w:t>233,3 milliards FCFA</w:t>
            </w:r>
          </w:p>
        </w:tc>
        <w:tc>
          <w:tcPr>
            <w:tcW w:type="dxa" w:w="2160"/>
          </w:tcPr>
          <w:p>
            <w:r/>
            <w:r>
              <w:rPr>
                <w:b/>
                <w:sz w:val="16"/>
              </w:rPr>
              <w:t>chiffre_affaires</w:t>
              <w:br/>
            </w:r>
            <w:r>
              <w:rPr>
                <w:sz w:val="18"/>
              </w:rPr>
              <w:t>112,9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progression de 7% à 40,7 milliards FCFA</w:t>
      </w:r>
    </w:p>
    <w:p>
      <w:pPr>
        <w:pStyle w:val="ListBullet"/>
        <w:spacing w:before="20" w:after="20"/>
        <w:ind w:left="700"/>
      </w:pPr>
      <w:r>
        <w:rPr>
          <w:sz w:val="18"/>
        </w:rPr>
        <w:t>Croissance du total bilan de 22% atteignant 3 073 milliards FCFA</w:t>
      </w:r>
    </w:p>
    <w:p>
      <w:pPr>
        <w:pStyle w:val="ListBullet"/>
        <w:spacing w:before="20" w:after="20"/>
        <w:ind w:left="700"/>
      </w:pPr>
      <w:r>
        <w:rPr>
          <w:sz w:val="18"/>
        </w:rPr>
        <w:t>Forte progression des créances clientèle (+18%) et des ressources clientèle (+32%)</w:t>
      </w:r>
    </w:p>
    <w:p>
      <w:pPr>
        <w:pStyle w:val="ListBullet"/>
        <w:spacing w:before="20" w:after="20"/>
        <w:ind w:left="700"/>
      </w:pPr>
      <w:r>
        <w:rPr>
          <w:sz w:val="18"/>
        </w:rPr>
        <w:t>Produit Net Bancaire en hausse de 15% à 112,9 milliards FCFA</w:t>
      </w:r>
    </w:p>
    <w:p>
      <w:pPr>
        <w:pStyle w:val="ListBullet"/>
        <w:spacing w:before="20" w:after="20"/>
        <w:ind w:left="700"/>
      </w:pPr>
      <w:r>
        <w:rPr>
          <w:sz w:val="18"/>
        </w:rPr>
        <w:t>Amélioration du coefficient d'exploitation de 5,1 points à 54,6%</w:t>
      </w:r>
    </w:p>
    <w:p>
      <w:pPr>
        <w:pStyle w:val="ListBullet"/>
        <w:spacing w:before="20" w:after="20"/>
        <w:ind w:left="700"/>
      </w:pPr>
      <w:r>
        <w:rPr>
          <w:sz w:val="18"/>
        </w:rPr>
        <w:t>Lancement de plusieurs opérations de titrisation multidevises pour 60 milliards FCFA</w:t>
      </w:r>
    </w:p>
    <w:p>
      <w:pPr>
        <w:spacing w:before="40"/>
        <w:ind w:left="400"/>
      </w:pPr>
      <w:r>
        <w:rPr>
          <w:b/>
          <w:color w:val="C05000"/>
          <w:sz w:val="18"/>
        </w:rPr>
        <w:t xml:space="preserve">⚠️ Risques : </w:t>
      </w:r>
      <w:r>
        <w:rPr>
          <w:sz w:val="18"/>
        </w:rPr>
        <w:t>["D\u00e9t\u00e9rioration du co\u00fbt du risque passant de +0,6 \u00e0 -8,5 milliards FCFA", "Exposition au risque climatique en cours d'int\u00e9gration dans le dispositif de gestion des risques", "D\u00e9pendance \u00e0 l'\u00e9volution \u00e9conomique de la C\u00f4te d'Ivoire et de la sous-r\u00</w:t>
      </w:r>
    </w:p>
    <w:p>
      <w:pPr>
        <w:spacing w:before="40"/>
        <w:ind w:left="400"/>
      </w:pPr>
      <w:r>
        <w:rPr>
          <w:b/>
          <w:color w:val="0064A0"/>
          <w:sz w:val="18"/>
        </w:rPr>
        <w:t xml:space="preserve">🔮 Perspectives : </w:t>
      </w:r>
      <w:r>
        <w:rPr>
          <w:sz w:val="18"/>
        </w:rPr>
        <w:t>Pour 2026, NSIA Banque entend consolider son rôle de partenaire de développement en accompagnant les acteurs économiques dans les secteurs prioritaires du nouveau PND 2026-2030. La banque poursuivra le renforcement de ses dispositifs commerciaux, l'accélération de sa transformation digitale et l'opt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indicateurs financiers sont excellents avec une croissance soutenue du r\u00e9sultat net (+21%) et du PNB (+12%), accompagn\u00e9e d'une am\u00e9lioration du co\u00fbt du risque. La dynamique commerciale est forte avec la progression des d\u00e9p\u00f4ts et cr\u00e9dits, positionnant bien la banque pour l'avenir."}</w:t>
      </w:r>
    </w:p>
    <w:p>
      <w:pPr>
        <w:spacing w:before="40"/>
        <w:ind w:left="400"/>
      </w:pPr>
      <w:r>
        <w:rPr>
          <w:sz w:val="18"/>
        </w:rPr>
        <w:t>NSIA Banque CI affiche des performances solides au troisième trimestre 2023 avec un résultat net de 18,3 milliards FCFA, en progression de 21% par rapport à septembre 2022. Le Produit Net Bancaire s'établit à 63,4 milliards FCFA, en hausse de 12% sur un an. La croissance est portée par l'augmentation des marges d'intérêt (+9%), des commissions (+19%) et la maîtrise du coût du risque qui diminue à 15,4%. Les encours de crédits nets à la clientèle progressent de 4% à 1 186 milliards FCFA, témoignant d'une activité commerciale soutenue. La banque poursuit la mise en œuvre de son plan stratégique « Altitude 22-26 » axé sur la croissance commerciale et la maîtrise des risques.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{'commissions': '18,9 milliards FCFA', 'cout_du_risque': '15,4%', 'depots_clientele': '1 334 milliards FCFA', 'marge_nette_interet': '44,5 milliards FCFA', 'credits_nets_clientele': '1 186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63,4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21% à 18,3 milliards FCFA au 30 septembre 2023</w:t>
      </w:r>
    </w:p>
    <w:p>
      <w:pPr>
        <w:pStyle w:val="ListBullet"/>
        <w:spacing w:before="20" w:after="20"/>
        <w:ind w:left="700"/>
      </w:pPr>
      <w:r>
        <w:rPr>
          <w:sz w:val="18"/>
        </w:rPr>
        <w:t>Produit Net Bancaire en progression de 12% à 63,4 milliards FCFA</w:t>
      </w:r>
    </w:p>
    <w:p>
      <w:pPr>
        <w:pStyle w:val="ListBullet"/>
        <w:spacing w:before="20" w:after="20"/>
        <w:ind w:left="700"/>
      </w:pPr>
      <w:r>
        <w:rPr>
          <w:sz w:val="18"/>
        </w:rPr>
        <w:t>Marge nette d'intérêt en croissance de 9% à 44,5 milliards FCFA</w:t>
      </w:r>
    </w:p>
    <w:p>
      <w:pPr>
        <w:pStyle w:val="ListBullet"/>
        <w:spacing w:before="20" w:after="20"/>
        <w:ind w:left="700"/>
      </w:pPr>
      <w:r>
        <w:rPr>
          <w:sz w:val="18"/>
        </w:rPr>
        <w:t>Commissions en forte hausse de 19% grâce aux produits de banque électronique</w:t>
      </w:r>
    </w:p>
    <w:p>
      <w:pPr>
        <w:pStyle w:val="ListBullet"/>
        <w:spacing w:before="20" w:after="20"/>
        <w:ind w:left="700"/>
      </w:pPr>
      <w:r>
        <w:rPr>
          <w:sz w:val="18"/>
        </w:rPr>
        <w:t>Amélioration du coût du risque à 15,4% contre un niveau plus élevé en septembre 2022</w:t>
      </w:r>
    </w:p>
    <w:p>
      <w:pPr>
        <w:pStyle w:val="ListBullet"/>
        <w:spacing w:before="20" w:after="20"/>
        <w:ind w:left="700"/>
      </w:pPr>
      <w:r>
        <w:rPr>
          <w:sz w:val="18"/>
        </w:rPr>
        <w:t>Encours de crédits nets à la clientèle en progression de 4% à 1 186 milliards FCFA</w:t>
      </w:r>
    </w:p>
    <w:p>
      <w:pPr>
        <w:spacing w:before="40"/>
        <w:ind w:left="400"/>
      </w:pPr>
      <w:r>
        <w:rPr>
          <w:b/>
          <w:color w:val="C05000"/>
          <w:sz w:val="18"/>
        </w:rPr>
        <w:t xml:space="preserve">⚠️ Risques : </w:t>
      </w:r>
      <w:r>
        <w:rPr>
          <w:sz w:val="18"/>
        </w:rPr>
        <w:t>["Exposition au risque de cr\u00e9dit dans un environnement \u00e9conomique incertain", "Concurrence accrue sur le march\u00e9 bancaire ivoirien et r\u00e9gional", "Risques op\u00e9rationnels li\u00e9s au d\u00e9veloppement des services bancaires \u00e9lectroniques"]</w:t>
      </w:r>
    </w:p>
    <w:p>
      <w:pPr>
        <w:spacing w:before="40"/>
        <w:ind w:left="400"/>
      </w:pPr>
      <w:r>
        <w:rPr>
          <w:b/>
          <w:color w:val="0064A0"/>
          <w:sz w:val="18"/>
        </w:rPr>
        <w:t xml:space="preserve">🔮 Perspectives : </w:t>
      </w:r>
      <w:r>
        <w:rPr>
          <w:sz w:val="18"/>
        </w:rPr>
        <w:t>La banque poursuivra la mise en œuvre de son plan stratégique « Altitude 22-26 » au dernier trimestre 2023, visant la croissance des indicateurs commerciaux et la maîtrise des charges d'exploitation. Cette stratégie devrait contribuer à l'atteinte des objectifs annuels et maintenir la dynamique de c</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croissance de la rentabilit\u00e9 (+32% sur le r\u00e9sultat net) et l'int\u00e9gration r\u00e9ussie de Diamond Bank CI offrent des perspectives attractives. La dynamique commerciale soutenue et la refonte strat\u00e9gique renforcent le potentiel de cr\u00e9ation de valeur."}</w:t>
      </w:r>
    </w:p>
    <w:p>
      <w:pPr>
        <w:spacing w:before="40"/>
        <w:ind w:left="400"/>
      </w:pPr>
      <w:r>
        <w:rPr>
          <w:sz w:val="18"/>
        </w:rPr>
        <w:t>NSIA Banque CI affiche d'excellents résultats au T1 2021 avec une croissance robuste malgré le contexte de crise sanitaire. Le Produit Net Bancaire progresse de 8% à 17,0 milliards FCFA tandis que le résultat net bondit de 32% à 3,3 milliards FCFA. L'activité de crédit reste dynamique avec une hausse de 6% des encours nets à 880 milliards FCFA. La collecte de dépôts affiche une forte progression de 13% à 919 milliards FCFA. L'intégration de Diamond Bank CI début 2021 renforce les perspectives de développement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'24,7 milliards FCFA', 'depots_clientele': '919,0 milliards FCFA', 'resultat_avant_impot': '4,4 milliards FCFA', 'credits_nets_clientele': '879,8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17,0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8% à 17,0 milliards FCFA au T1 2021</w:t>
      </w:r>
    </w:p>
    <w:p>
      <w:pPr>
        <w:pStyle w:val="ListBullet"/>
        <w:spacing w:before="20" w:after="20"/>
        <w:ind w:left="700"/>
      </w:pPr>
      <w:r>
        <w:rPr>
          <w:sz w:val="18"/>
        </w:rPr>
        <w:t>Résultat net en hausse de 32% à 3,3 milliards FCFA</w:t>
      </w:r>
    </w:p>
    <w:p>
      <w:pPr>
        <w:pStyle w:val="ListBullet"/>
        <w:spacing w:before="20" w:after="20"/>
        <w:ind w:left="700"/>
      </w:pPr>
      <w:r>
        <w:rPr>
          <w:sz w:val="18"/>
        </w:rPr>
        <w:t>Résultat avant impôt en progression de 37% à 4,4 milliards FCFA</w:t>
      </w:r>
    </w:p>
    <w:p>
      <w:pPr>
        <w:pStyle w:val="ListBullet"/>
        <w:spacing w:before="20" w:after="20"/>
        <w:ind w:left="700"/>
      </w:pPr>
      <w:r>
        <w:rPr>
          <w:sz w:val="18"/>
        </w:rPr>
        <w:t>Encours de crédits nets en croissance de 6% à 880 milliards FCFA</w:t>
      </w:r>
    </w:p>
    <w:p>
      <w:pPr>
        <w:pStyle w:val="ListBullet"/>
        <w:spacing w:before="20" w:after="20"/>
        <w:ind w:left="700"/>
      </w:pPr>
      <w:r>
        <w:rPr>
          <w:sz w:val="18"/>
        </w:rPr>
        <w:t>Dépôts de la clientèle en forte hausse de 13% à 919 milliards FCFA</w:t>
      </w:r>
    </w:p>
    <w:p>
      <w:pPr>
        <w:pStyle w:val="ListBullet"/>
        <w:spacing w:before="20" w:after="20"/>
        <w:ind w:left="700"/>
      </w:pPr>
      <w:r>
        <w:rPr>
          <w:sz w:val="18"/>
        </w:rPr>
        <w:t>Intégration effective de Diamond Bank CI avec autorisation du CREPMF obtenue</w:t>
      </w:r>
    </w:p>
    <w:p>
      <w:pPr>
        <w:spacing w:before="40"/>
        <w:ind w:left="400"/>
      </w:pPr>
      <w:r>
        <w:rPr>
          <w:b/>
          <w:color w:val="C05000"/>
          <w:sz w:val="18"/>
        </w:rPr>
        <w:t xml:space="preserve">⚠️ Risques : </w:t>
      </w:r>
      <w:r>
        <w:rPr>
          <w:sz w:val="18"/>
        </w:rPr>
        <w:t>["Persistance de la crise sanitaire et ralentissement de l'activit\u00e9 \u00e9conomique", "D\u00e9fis d'int\u00e9gration op\u00e9rationnelle de Diamond Bank CI", "Pression concurrentielle sur les marges dans un environnement \u00e9conomique incertain"]</w:t>
      </w:r>
    </w:p>
    <w:p>
      <w:pPr>
        <w:spacing w:before="40"/>
        <w:ind w:left="400"/>
      </w:pPr>
      <w:r>
        <w:rPr>
          <w:b/>
          <w:color w:val="0064A0"/>
          <w:sz w:val="18"/>
        </w:rPr>
        <w:t xml:space="preserve">🔮 Perspectives : </w:t>
      </w:r>
      <w:r>
        <w:rPr>
          <w:sz w:val="18"/>
        </w:rPr>
        <w:t>L'intégration de Diamond Bank CI et la refonte de l'offre PME devraient soutenir la croissance en 2021. La banque mise sur un nouveau modèle économique avec une organisation repensée et un plan stratégique actualisé pour renforcer sa position sur le marché ivoirien.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 r\u00e9sultat net multipli\u00e9 par 3,5 et une am\u00e9lioration significative de tous les indicateurs cl\u00e9s. La banque d\u00e9montre sa capacit\u00e9 de rebond post-crise avec une gestion ma\u00eetris\u00e9e des risques et des perspectives solides."}</w:t>
      </w:r>
    </w:p>
    <w:p>
      <w:pPr>
        <w:spacing w:before="40"/>
        <w:ind w:left="400"/>
      </w:pPr>
      <w:r>
        <w:rPr>
          <w:sz w:val="18"/>
        </w:rPr>
        <w:t>NSIA Banque CI affiche une performance remarquable au premier semestre 2021 avec un résultat net en hausse de 255% à 10,0 milliards FCFA. Le Produit Net Bancaire progresse de 18% à 35,9 milliards FCFA porté par une marge d'intérêts en forte croissance de 27%. Le coût du risque s'améliore significativement de 40% à 3,57 milliards FCFA grâce à une meilleure gestion des engagements. Le coefficient d'exploitation s'améliore à 61,9% contre 69,6% l'année précédente. La banque respecte tous les ratios prudentiels et demeure dans le top 5 du marché bancaire ivoirien.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{'cout_risque': '3,57 milliards FCFA', 'depots_clientele': '966,9 milliards FCFA', 'credits_clientele': '891,6 milliards FCFA', 'ratio_solvabilite': '12,07%', 'coefficient_exploitation': '61,9%'}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27,9%</w:t>
            </w:r>
          </w:p>
        </w:tc>
        <w:tc>
          <w:tcPr>
            <w:tcW w:type="dxa" w:w="2160"/>
          </w:tcPr>
          <w:p>
            <w:pPr>
              <w:ind w:left="100"/>
            </w:pPr>
            <w:r/>
            <w:r>
              <w:rPr>
                <w:b/>
                <w:sz w:val="16"/>
              </w:rPr>
              <w:t>total_actif</w:t>
              <w:br/>
            </w:r>
            <w:r>
              <w:rPr>
                <w:sz w:val="18"/>
              </w:rPr>
              <w:t>1 506 milliards FCFA</w:t>
            </w:r>
          </w:p>
        </w:tc>
      </w:tr>
      <w:tr>
        <w:tc>
          <w:tcPr>
            <w:tcW w:type="dxa" w:w="2160"/>
          </w:tcPr>
          <w:p>
            <w:r/>
            <w:r>
              <w:rPr>
                <w:b/>
                <w:sz w:val="16"/>
              </w:rPr>
              <w:t>resultat_net</w:t>
              <w:br/>
            </w:r>
            <w:r>
              <w:rPr>
                <w:sz w:val="18"/>
              </w:rPr>
              <w:t>10,0 milliards FCFA</w:t>
            </w:r>
          </w:p>
        </w:tc>
        <w:tc>
          <w:tcPr>
            <w:tcW w:type="dxa" w:w="2160"/>
          </w:tcPr>
          <w:p>
            <w:r/>
            <w:r>
              <w:rPr>
                <w:b/>
                <w:sz w:val="16"/>
              </w:rPr>
              <w:t>capitaux_propres</w:t>
              <w:br/>
            </w:r>
            <w:r>
              <w:rPr>
                <w:sz w:val="18"/>
              </w:rPr>
              <w:t>118,8 milliards FCFA</w:t>
            </w:r>
          </w:p>
        </w:tc>
        <w:tc>
          <w:tcPr>
            <w:tcW w:type="dxa" w:w="2160"/>
          </w:tcPr>
          <w:p>
            <w:r/>
            <w:r>
              <w:rPr>
                <w:b/>
                <w:sz w:val="16"/>
              </w:rPr>
              <w:t>chiffre_affaires</w:t>
              <w:br/>
            </w:r>
            <w:r>
              <w:rPr>
                <w:sz w:val="18"/>
              </w:rPr>
              <w:t>35,9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hausse spectaculaire de 255% à 10,0 milliards FCFA</w:t>
      </w:r>
    </w:p>
    <w:p>
      <w:pPr>
        <w:pStyle w:val="ListBullet"/>
        <w:spacing w:before="20" w:after="20"/>
        <w:ind w:left="700"/>
      </w:pPr>
      <w:r>
        <w:rPr>
          <w:sz w:val="18"/>
        </w:rPr>
        <w:t>Produit Net Bancaire en croissance de 18% à 35,9 milliards FCFA</w:t>
      </w:r>
    </w:p>
    <w:p>
      <w:pPr>
        <w:pStyle w:val="ListBullet"/>
        <w:spacing w:before="20" w:after="20"/>
        <w:ind w:left="700"/>
      </w:pPr>
      <w:r>
        <w:rPr>
          <w:sz w:val="18"/>
        </w:rPr>
        <w:t>Amélioration du coût du risque de 40% à 3,57 milliards FCFA</w:t>
      </w:r>
    </w:p>
    <w:p>
      <w:pPr>
        <w:pStyle w:val="ListBullet"/>
        <w:spacing w:before="20" w:after="20"/>
        <w:ind w:left="700"/>
      </w:pPr>
      <w:r>
        <w:rPr>
          <w:sz w:val="18"/>
        </w:rPr>
        <w:t>Coefficient d'exploitation amélioré à 61,9% (-7,7 points)</w:t>
      </w:r>
    </w:p>
    <w:p>
      <w:pPr>
        <w:pStyle w:val="ListBullet"/>
        <w:spacing w:before="20" w:after="20"/>
        <w:ind w:left="700"/>
      </w:pPr>
      <w:r>
        <w:rPr>
          <w:sz w:val="18"/>
        </w:rPr>
        <w:t>Marge d'intérêts en forte progression de 27% à 26,8 milliards FCFA</w:t>
      </w:r>
    </w:p>
    <w:p>
      <w:pPr>
        <w:pStyle w:val="ListBullet"/>
        <w:spacing w:before="20" w:after="20"/>
        <w:ind w:left="700"/>
      </w:pPr>
      <w:r>
        <w:rPr>
          <w:sz w:val="18"/>
        </w:rPr>
        <w:t>Intégration réussie de l'ex-Diamond Bank CI depuis janvier 2021</w:t>
      </w:r>
    </w:p>
    <w:p>
      <w:pPr>
        <w:spacing w:before="40"/>
        <w:ind w:left="400"/>
      </w:pPr>
      <w:r>
        <w:rPr>
          <w:b/>
          <w:color w:val="C05000"/>
          <w:sz w:val="18"/>
        </w:rPr>
        <w:t xml:space="preserve">⚠️ Risques : </w:t>
      </w:r>
      <w:r>
        <w:rPr>
          <w:sz w:val="18"/>
        </w:rPr>
        <w:t>["Niveau encore \u00e9lev\u00e9 des cr\u00e9ances douteuses et litigieuses malgr\u00e9 l'am\u00e9lioration", "Contraction des cr\u00e9dits nets \u00e0 la client\u00e8le de 7% n\u00e9cessitant un red\u00e9ploiement", "D\u00e9pendance \u00e0 l'environnement \u00e9conomique ivoirien et r\u00e9gional UE</w:t>
      </w:r>
    </w:p>
    <w:p>
      <w:pPr>
        <w:spacing w:before="40"/>
        <w:ind w:left="400"/>
      </w:pPr>
      <w:r>
        <w:rPr>
          <w:b/>
          <w:color w:val="0064A0"/>
          <w:sz w:val="18"/>
        </w:rPr>
        <w:t xml:space="preserve">🔮 Perspectives : </w:t>
      </w:r>
      <w:r>
        <w:rPr>
          <w:sz w:val="18"/>
        </w:rPr>
        <w:t>La banque s'engage dans une dynamique commerciale soutenue avec la refonte de son offre PME et son plan de transformation digitale. L'élaboration d'un nouveau plan stratégique 2022-2026 vise à construire un modèle économique renforcé pour tous les stakeholders. Les partenariats stratégiques notammen</w:t>
      </w:r>
    </w:p>
    <w:p/>
    <w:p>
      <w:r>
        <w:t>════════════════════════════════════════════════════════════════════════════════</w:t>
      </w:r>
    </w:p>
    <w:p>
      <w:r>
        <w:br w:type="page"/>
      </w:r>
    </w:p>
    <w:p>
      <w:pPr>
        <w:pStyle w:val="Heading2"/>
        <w:spacing w:before="360"/>
      </w:pPr>
      <w:r>
        <w:rPr>
          <w:color w:val="0066CC"/>
        </w:rPr>
        <w:t>22. NTLC - NTLC - NESTLE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NTLC</w:t>
            </w:r>
          </w:p>
          <w:p>
            <w:r>
              <w:rPr>
                <w:b/>
                <w:color w:val="323250"/>
                <w:sz w:val="16"/>
              </w:rPr>
              <w:t xml:space="preserve">Société : </w:t>
            </w:r>
            <w:r>
              <w:rPr>
                <w:color w:val="000000"/>
                <w:sz w:val="16"/>
              </w:rPr>
              <w:t>NTLC - NESTLE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342.09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1,265 titres</w:t>
            </w:r>
          </w:p>
        </w:tc>
        <w:tc>
          <w:tcPr>
            <w:tcW w:type="dxa" w:w="2268"/>
            <w:shd w:fill="FFF2CC" w:val="clear"/>
          </w:tcPr>
          <w:p>
            <w:r>
              <w:rPr>
                <w:b/>
                <w:color w:val="503200"/>
                <w:sz w:val="16"/>
              </w:rPr>
              <w:t xml:space="preserve">Cours actuel : </w:t>
            </w:r>
            <w:r>
              <w:rPr>
                <w:color w:val="000000"/>
                <w:sz w:val="17"/>
              </w:rPr>
              <w:t>15,500 FCFA</w:t>
            </w:r>
          </w:p>
          <w:p>
            <w:r>
              <w:rPr>
                <w:b/>
                <w:color w:val="503200"/>
                <w:sz w:val="16"/>
              </w:rPr>
              <w:t xml:space="preserve">Var. 100 jours : </w:t>
            </w:r>
            <w:r>
              <w:rPr>
                <w:b/>
                <w:color w:val="007800"/>
                <w:sz w:val="17"/>
              </w:rPr>
              <w:t>+19.18%</w:t>
            </w:r>
          </w:p>
          <w:p>
            <w:r>
              <w:rPr>
                <w:b/>
                <w:color w:val="503200"/>
                <w:sz w:val="16"/>
              </w:rPr>
              <w:t xml:space="preserve">Plus haut 100j : </w:t>
            </w:r>
            <w:r>
              <w:rPr>
                <w:color w:val="000000"/>
                <w:sz w:val="17"/>
              </w:rPr>
              <w:t>18,000 FCFA</w:t>
            </w:r>
          </w:p>
          <w:p>
            <w:r>
              <w:rPr>
                <w:b/>
                <w:color w:val="503200"/>
                <w:sz w:val="16"/>
              </w:rPr>
              <w:t xml:space="preserve">Plus bas 100j : </w:t>
            </w:r>
            <w:r>
              <w:rPr>
                <w:color w:val="000000"/>
                <w:sz w:val="17"/>
              </w:rPr>
              <w:t>12,800 FCFA</w:t>
            </w:r>
          </w:p>
          <w:p>
            <w:r>
              <w:rPr>
                <w:b/>
                <w:color w:val="503200"/>
                <w:sz w:val="16"/>
              </w:rPr>
              <w:t xml:space="preserve">Volatilité ann. : </w:t>
            </w:r>
            <w:r>
              <w:rPr>
                <w:color w:val="000000"/>
                <w:sz w:val="17"/>
              </w:rPr>
              <w:t>35.1%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7.65% (Moyenne) — μ=15,738 FCFA, σ=1,204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β=0.4560 (Défensif) — Cov=0.000034, Var(idx)=0.000075, ρ=0.177,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1,265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σ_j=2.21%/j (Stable) — Vol. annualisée≈35.1%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03190"/>
            <wp:docPr id="24" name="Picture 24"/>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2026-10-16</w:t>
            </w:r>
          </w:p>
        </w:tc>
        <w:tc>
          <w:tcPr>
            <w:tcW w:type="dxa" w:w="1440"/>
            <w:shd w:fill="FAFAFA" w:val="clear"/>
          </w:tcPr>
          <w:p>
            <w:r>
              <w:rPr>
                <w:sz w:val="17"/>
              </w:rPr>
              <w:t>14,633</w:t>
            </w:r>
          </w:p>
        </w:tc>
        <w:tc>
          <w:tcPr>
            <w:tcW w:type="dxa" w:w="1440"/>
            <w:shd w:fill="FAFAFA" w:val="clear"/>
          </w:tcPr>
          <w:p>
            <w:r>
              <w:rPr>
                <w:b/>
                <w:sz w:val="17"/>
              </w:rPr>
              <w:t>15,296</w:t>
            </w:r>
          </w:p>
        </w:tc>
        <w:tc>
          <w:tcPr>
            <w:tcW w:type="dxa" w:w="1440"/>
            <w:shd w:fill="FAFAFA" w:val="clear"/>
          </w:tcPr>
          <w:p>
            <w:r>
              <w:rPr>
                <w:sz w:val="17"/>
              </w:rPr>
              <w:t>15,960</w:t>
            </w:r>
          </w:p>
        </w:tc>
        <w:tc>
          <w:tcPr>
            <w:tcW w:type="dxa" w:w="1440"/>
            <w:shd w:fill="FAFAFA" w:val="clear"/>
          </w:tcPr>
          <w:p>
            <w:r>
              <w:rPr>
                <w:b/>
                <w:color w:val="C00000"/>
                <w:sz w:val="17"/>
              </w:rPr>
              <w:t>-1.3%</w:t>
            </w:r>
          </w:p>
        </w:tc>
      </w:tr>
      <w:tr>
        <w:tc>
          <w:tcPr>
            <w:tcW w:type="dxa" w:w="1440"/>
            <w:shd w:fill="FAFAFA" w:val="clear"/>
          </w:tcPr>
          <w:p>
            <w:r>
              <w:rPr>
                <w:sz w:val="17"/>
              </w:rPr>
              <w:t>J+2  ⭐</w:t>
            </w:r>
          </w:p>
        </w:tc>
        <w:tc>
          <w:tcPr>
            <w:tcW w:type="dxa" w:w="1440"/>
            <w:shd w:fill="FAFAFA" w:val="clear"/>
          </w:tcPr>
          <w:p>
            <w:r>
              <w:rPr>
                <w:sz w:val="17"/>
              </w:rPr>
              <w:t>2026-10-19</w:t>
            </w:r>
          </w:p>
        </w:tc>
        <w:tc>
          <w:tcPr>
            <w:tcW w:type="dxa" w:w="1440"/>
            <w:shd w:fill="FAFAFA" w:val="clear"/>
          </w:tcPr>
          <w:p>
            <w:r>
              <w:rPr>
                <w:sz w:val="17"/>
              </w:rPr>
              <w:t>14,371</w:t>
            </w:r>
          </w:p>
        </w:tc>
        <w:tc>
          <w:tcPr>
            <w:tcW w:type="dxa" w:w="1440"/>
            <w:shd w:fill="FAFAFA" w:val="clear"/>
          </w:tcPr>
          <w:p>
            <w:r>
              <w:rPr>
                <w:b/>
                <w:sz w:val="17"/>
              </w:rPr>
              <w:t>15,311</w:t>
            </w:r>
          </w:p>
        </w:tc>
        <w:tc>
          <w:tcPr>
            <w:tcW w:type="dxa" w:w="1440"/>
            <w:shd w:fill="FAFAFA" w:val="clear"/>
          </w:tcPr>
          <w:p>
            <w:r>
              <w:rPr>
                <w:sz w:val="17"/>
              </w:rPr>
              <w:t>16,250</w:t>
            </w:r>
          </w:p>
        </w:tc>
        <w:tc>
          <w:tcPr>
            <w:tcW w:type="dxa" w:w="1440"/>
            <w:shd w:fill="FAFAFA" w:val="clear"/>
          </w:tcPr>
          <w:p>
            <w:r>
              <w:rPr>
                <w:b/>
                <w:color w:val="C00000"/>
                <w:sz w:val="17"/>
              </w:rPr>
              <w:t>-1.2%</w:t>
            </w:r>
          </w:p>
        </w:tc>
      </w:tr>
      <w:tr>
        <w:tc>
          <w:tcPr>
            <w:tcW w:type="dxa" w:w="1440"/>
            <w:shd w:fill="FAFAFA" w:val="clear"/>
          </w:tcPr>
          <w:p>
            <w:r>
              <w:rPr>
                <w:sz w:val="17"/>
              </w:rPr>
              <w:t>J+3  ⭐</w:t>
            </w:r>
          </w:p>
        </w:tc>
        <w:tc>
          <w:tcPr>
            <w:tcW w:type="dxa" w:w="1440"/>
            <w:shd w:fill="FAFAFA" w:val="clear"/>
          </w:tcPr>
          <w:p>
            <w:r>
              <w:rPr>
                <w:sz w:val="17"/>
              </w:rPr>
              <w:t>2026-10-20</w:t>
            </w:r>
          </w:p>
        </w:tc>
        <w:tc>
          <w:tcPr>
            <w:tcW w:type="dxa" w:w="1440"/>
            <w:shd w:fill="FAFAFA" w:val="clear"/>
          </w:tcPr>
          <w:p>
            <w:r>
              <w:rPr>
                <w:sz w:val="17"/>
              </w:rPr>
              <w:t>14,158</w:t>
            </w:r>
          </w:p>
        </w:tc>
        <w:tc>
          <w:tcPr>
            <w:tcW w:type="dxa" w:w="1440"/>
            <w:shd w:fill="FAFAFA" w:val="clear"/>
          </w:tcPr>
          <w:p>
            <w:r>
              <w:rPr>
                <w:b/>
                <w:sz w:val="17"/>
              </w:rPr>
              <w:t>15,309</w:t>
            </w:r>
          </w:p>
        </w:tc>
        <w:tc>
          <w:tcPr>
            <w:tcW w:type="dxa" w:w="1440"/>
            <w:shd w:fill="FAFAFA" w:val="clear"/>
          </w:tcPr>
          <w:p>
            <w:r>
              <w:rPr>
                <w:sz w:val="17"/>
              </w:rPr>
              <w:t>16,459</w:t>
            </w:r>
          </w:p>
        </w:tc>
        <w:tc>
          <w:tcPr>
            <w:tcW w:type="dxa" w:w="1440"/>
            <w:shd w:fill="FAFAFA" w:val="clear"/>
          </w:tcPr>
          <w:p>
            <w:r>
              <w:rPr>
                <w:b/>
                <w:color w:val="C00000"/>
                <w:sz w:val="17"/>
              </w:rPr>
              <w:t>-1.2%</w:t>
            </w:r>
          </w:p>
        </w:tc>
      </w:tr>
      <w:tr>
        <w:tc>
          <w:tcPr>
            <w:tcW w:type="dxa" w:w="1440"/>
            <w:shd w:fill="FAFAFA" w:val="clear"/>
          </w:tcPr>
          <w:p>
            <w:r>
              <w:rPr>
                <w:sz w:val="17"/>
              </w:rPr>
              <w:t>J+4  ⭐</w:t>
            </w:r>
          </w:p>
        </w:tc>
        <w:tc>
          <w:tcPr>
            <w:tcW w:type="dxa" w:w="1440"/>
            <w:shd w:fill="FAFAFA" w:val="clear"/>
          </w:tcPr>
          <w:p>
            <w:r>
              <w:rPr>
                <w:sz w:val="17"/>
              </w:rPr>
              <w:t>2026-10-21</w:t>
            </w:r>
          </w:p>
        </w:tc>
        <w:tc>
          <w:tcPr>
            <w:tcW w:type="dxa" w:w="1440"/>
            <w:shd w:fill="FAFAFA" w:val="clear"/>
          </w:tcPr>
          <w:p>
            <w:r>
              <w:rPr>
                <w:sz w:val="17"/>
              </w:rPr>
              <w:t>13,974</w:t>
            </w:r>
          </w:p>
        </w:tc>
        <w:tc>
          <w:tcPr>
            <w:tcW w:type="dxa" w:w="1440"/>
            <w:shd w:fill="FAFAFA" w:val="clear"/>
          </w:tcPr>
          <w:p>
            <w:r>
              <w:rPr>
                <w:b/>
                <w:sz w:val="17"/>
              </w:rPr>
              <w:t>15,302</w:t>
            </w:r>
          </w:p>
        </w:tc>
        <w:tc>
          <w:tcPr>
            <w:tcW w:type="dxa" w:w="1440"/>
            <w:shd w:fill="FAFAFA" w:val="clear"/>
          </w:tcPr>
          <w:p>
            <w:r>
              <w:rPr>
                <w:sz w:val="17"/>
              </w:rPr>
              <w:t>16,629</w:t>
            </w:r>
          </w:p>
        </w:tc>
        <w:tc>
          <w:tcPr>
            <w:tcW w:type="dxa" w:w="1440"/>
            <w:shd w:fill="FAFAFA" w:val="clear"/>
          </w:tcPr>
          <w:p>
            <w:r>
              <w:rPr>
                <w:b/>
                <w:color w:val="C00000"/>
                <w:sz w:val="17"/>
              </w:rPr>
              <w:t>-1.3%</w:t>
            </w:r>
          </w:p>
        </w:tc>
      </w:tr>
      <w:tr>
        <w:tc>
          <w:tcPr>
            <w:tcW w:type="dxa" w:w="1440"/>
            <w:shd w:fill="FAFAFA" w:val="clear"/>
          </w:tcPr>
          <w:p>
            <w:r>
              <w:rPr>
                <w:sz w:val="17"/>
              </w:rPr>
              <w:t>J+5  ⭐</w:t>
            </w:r>
          </w:p>
        </w:tc>
        <w:tc>
          <w:tcPr>
            <w:tcW w:type="dxa" w:w="1440"/>
            <w:shd w:fill="FAFAFA" w:val="clear"/>
          </w:tcPr>
          <w:p>
            <w:r>
              <w:rPr>
                <w:sz w:val="17"/>
              </w:rPr>
              <w:t>2026-10-22</w:t>
            </w:r>
          </w:p>
        </w:tc>
        <w:tc>
          <w:tcPr>
            <w:tcW w:type="dxa" w:w="1440"/>
            <w:shd w:fill="FAFAFA" w:val="clear"/>
          </w:tcPr>
          <w:p>
            <w:r>
              <w:rPr>
                <w:sz w:val="17"/>
              </w:rPr>
              <w:t>13,811</w:t>
            </w:r>
          </w:p>
        </w:tc>
        <w:tc>
          <w:tcPr>
            <w:tcW w:type="dxa" w:w="1440"/>
            <w:shd w:fill="FAFAFA" w:val="clear"/>
          </w:tcPr>
          <w:p>
            <w:r>
              <w:rPr>
                <w:b/>
                <w:sz w:val="17"/>
              </w:rPr>
              <w:t>15,295</w:t>
            </w:r>
          </w:p>
        </w:tc>
        <w:tc>
          <w:tcPr>
            <w:tcW w:type="dxa" w:w="1440"/>
            <w:shd w:fill="FAFAFA" w:val="clear"/>
          </w:tcPr>
          <w:p>
            <w:r>
              <w:rPr>
                <w:sz w:val="17"/>
              </w:rPr>
              <w:t>16,778</w:t>
            </w:r>
          </w:p>
        </w:tc>
        <w:tc>
          <w:tcPr>
            <w:tcW w:type="dxa" w:w="1440"/>
            <w:shd w:fill="FAFAFA" w:val="clear"/>
          </w:tcPr>
          <w:p>
            <w:r>
              <w:rPr>
                <w:b/>
                <w:color w:val="C00000"/>
                <w:sz w:val="17"/>
              </w:rPr>
              <w:t>-1.3%</w:t>
            </w:r>
          </w:p>
        </w:tc>
      </w:tr>
      <w:tr>
        <w:tc>
          <w:tcPr>
            <w:tcW w:type="dxa" w:w="1440"/>
            <w:shd w:fill="FAFAFA" w:val="clear"/>
          </w:tcPr>
          <w:p>
            <w:r>
              <w:rPr>
                <w:sz w:val="17"/>
              </w:rPr>
              <w:t>J+6  ⭐</w:t>
            </w:r>
          </w:p>
        </w:tc>
        <w:tc>
          <w:tcPr>
            <w:tcW w:type="dxa" w:w="1440"/>
            <w:shd w:fill="FAFAFA" w:val="clear"/>
          </w:tcPr>
          <w:p>
            <w:r>
              <w:rPr>
                <w:sz w:val="17"/>
              </w:rPr>
              <w:t>2026-10-23</w:t>
            </w:r>
          </w:p>
        </w:tc>
        <w:tc>
          <w:tcPr>
            <w:tcW w:type="dxa" w:w="1440"/>
            <w:shd w:fill="FAFAFA" w:val="clear"/>
          </w:tcPr>
          <w:p>
            <w:r>
              <w:rPr>
                <w:sz w:val="17"/>
              </w:rPr>
              <w:t>13,664</w:t>
            </w:r>
          </w:p>
        </w:tc>
        <w:tc>
          <w:tcPr>
            <w:tcW w:type="dxa" w:w="1440"/>
            <w:shd w:fill="FAFAFA" w:val="clear"/>
          </w:tcPr>
          <w:p>
            <w:r>
              <w:rPr>
                <w:b/>
                <w:sz w:val="17"/>
              </w:rPr>
              <w:t>15,289</w:t>
            </w:r>
          </w:p>
        </w:tc>
        <w:tc>
          <w:tcPr>
            <w:tcW w:type="dxa" w:w="1440"/>
            <w:shd w:fill="FAFAFA" w:val="clear"/>
          </w:tcPr>
          <w:p>
            <w:r>
              <w:rPr>
                <w:sz w:val="17"/>
              </w:rPr>
              <w:t>16,913</w:t>
            </w:r>
          </w:p>
        </w:tc>
        <w:tc>
          <w:tcPr>
            <w:tcW w:type="dxa" w:w="1440"/>
            <w:shd w:fill="FAFAFA" w:val="clear"/>
          </w:tcPr>
          <w:p>
            <w:r>
              <w:rPr>
                <w:b/>
                <w:color w:val="C00000"/>
                <w:sz w:val="17"/>
              </w:rPr>
              <w:t>-1.4%</w:t>
            </w:r>
          </w:p>
        </w:tc>
      </w:tr>
      <w:tr>
        <w:tc>
          <w:tcPr>
            <w:tcW w:type="dxa" w:w="1440"/>
            <w:shd w:fill="FAFAFA" w:val="clear"/>
          </w:tcPr>
          <w:p>
            <w:r>
              <w:rPr>
                <w:sz w:val="17"/>
              </w:rPr>
              <w:t>J+7  ⭐</w:t>
            </w:r>
          </w:p>
        </w:tc>
        <w:tc>
          <w:tcPr>
            <w:tcW w:type="dxa" w:w="1440"/>
            <w:shd w:fill="FAFAFA" w:val="clear"/>
          </w:tcPr>
          <w:p>
            <w:r>
              <w:rPr>
                <w:sz w:val="17"/>
              </w:rPr>
              <w:t>2026-10-26</w:t>
            </w:r>
          </w:p>
        </w:tc>
        <w:tc>
          <w:tcPr>
            <w:tcW w:type="dxa" w:w="1440"/>
            <w:shd w:fill="FAFAFA" w:val="clear"/>
          </w:tcPr>
          <w:p>
            <w:r>
              <w:rPr>
                <w:sz w:val="17"/>
              </w:rPr>
              <w:t>13,529</w:t>
            </w:r>
          </w:p>
        </w:tc>
        <w:tc>
          <w:tcPr>
            <w:tcW w:type="dxa" w:w="1440"/>
            <w:shd w:fill="FAFAFA" w:val="clear"/>
          </w:tcPr>
          <w:p>
            <w:r>
              <w:rPr>
                <w:b/>
                <w:sz w:val="17"/>
              </w:rPr>
              <w:t>15,282</w:t>
            </w:r>
          </w:p>
        </w:tc>
        <w:tc>
          <w:tcPr>
            <w:tcW w:type="dxa" w:w="1440"/>
            <w:shd w:fill="FAFAFA" w:val="clear"/>
          </w:tcPr>
          <w:p>
            <w:r>
              <w:rPr>
                <w:sz w:val="17"/>
              </w:rPr>
              <w:t>17,036</w:t>
            </w:r>
          </w:p>
        </w:tc>
        <w:tc>
          <w:tcPr>
            <w:tcW w:type="dxa" w:w="1440"/>
            <w:shd w:fill="FAFAFA" w:val="clear"/>
          </w:tcPr>
          <w:p>
            <w:r>
              <w:rPr>
                <w:b/>
                <w:color w:val="C00000"/>
                <w:sz w:val="17"/>
              </w:rPr>
              <w:t>-1.4%</w:t>
            </w:r>
          </w:p>
        </w:tc>
      </w:tr>
      <w:tr>
        <w:tc>
          <w:tcPr>
            <w:tcW w:type="dxa" w:w="1440"/>
            <w:shd w:fill="FAFAFA" w:val="clear"/>
          </w:tcPr>
          <w:p>
            <w:r>
              <w:rPr>
                <w:sz w:val="17"/>
              </w:rPr>
              <w:t>J+8  ⭐</w:t>
            </w:r>
          </w:p>
        </w:tc>
        <w:tc>
          <w:tcPr>
            <w:tcW w:type="dxa" w:w="1440"/>
            <w:shd w:fill="FAFAFA" w:val="clear"/>
          </w:tcPr>
          <w:p>
            <w:r>
              <w:rPr>
                <w:sz w:val="17"/>
              </w:rPr>
              <w:t>2026-10-27</w:t>
            </w:r>
          </w:p>
        </w:tc>
        <w:tc>
          <w:tcPr>
            <w:tcW w:type="dxa" w:w="1440"/>
            <w:shd w:fill="FAFAFA" w:val="clear"/>
          </w:tcPr>
          <w:p>
            <w:r>
              <w:rPr>
                <w:sz w:val="17"/>
              </w:rPr>
              <w:t>13,402</w:t>
            </w:r>
          </w:p>
        </w:tc>
        <w:tc>
          <w:tcPr>
            <w:tcW w:type="dxa" w:w="1440"/>
            <w:shd w:fill="FAFAFA" w:val="clear"/>
          </w:tcPr>
          <w:p>
            <w:r>
              <w:rPr>
                <w:b/>
                <w:sz w:val="17"/>
              </w:rPr>
              <w:t>15,277</w:t>
            </w:r>
          </w:p>
        </w:tc>
        <w:tc>
          <w:tcPr>
            <w:tcW w:type="dxa" w:w="1440"/>
            <w:shd w:fill="FAFAFA" w:val="clear"/>
          </w:tcPr>
          <w:p>
            <w:r>
              <w:rPr>
                <w:sz w:val="17"/>
              </w:rPr>
              <w:t>17,151</w:t>
            </w:r>
          </w:p>
        </w:tc>
        <w:tc>
          <w:tcPr>
            <w:tcW w:type="dxa" w:w="1440"/>
            <w:shd w:fill="FAFAFA" w:val="clear"/>
          </w:tcPr>
          <w:p>
            <w:r>
              <w:rPr>
                <w:b/>
                <w:color w:val="C00000"/>
                <w:sz w:val="17"/>
              </w:rPr>
              <w:t>-1.4%</w:t>
            </w:r>
          </w:p>
        </w:tc>
      </w:tr>
      <w:tr>
        <w:tc>
          <w:tcPr>
            <w:tcW w:type="dxa" w:w="1440"/>
            <w:shd w:fill="FAFAFA" w:val="clear"/>
          </w:tcPr>
          <w:p>
            <w:r>
              <w:rPr>
                <w:sz w:val="17"/>
              </w:rPr>
              <w:t>J+9  ⭐</w:t>
            </w:r>
          </w:p>
        </w:tc>
        <w:tc>
          <w:tcPr>
            <w:tcW w:type="dxa" w:w="1440"/>
            <w:shd w:fill="FAFAFA" w:val="clear"/>
          </w:tcPr>
          <w:p>
            <w:r>
              <w:rPr>
                <w:sz w:val="17"/>
              </w:rPr>
              <w:t>2026-10-28</w:t>
            </w:r>
          </w:p>
        </w:tc>
        <w:tc>
          <w:tcPr>
            <w:tcW w:type="dxa" w:w="1440"/>
            <w:shd w:fill="FAFAFA" w:val="clear"/>
          </w:tcPr>
          <w:p>
            <w:r>
              <w:rPr>
                <w:sz w:val="17"/>
              </w:rPr>
              <w:t>13,284</w:t>
            </w:r>
          </w:p>
        </w:tc>
        <w:tc>
          <w:tcPr>
            <w:tcW w:type="dxa" w:w="1440"/>
            <w:shd w:fill="FAFAFA" w:val="clear"/>
          </w:tcPr>
          <w:p>
            <w:r>
              <w:rPr>
                <w:b/>
                <w:sz w:val="17"/>
              </w:rPr>
              <w:t>15,271</w:t>
            </w:r>
          </w:p>
        </w:tc>
        <w:tc>
          <w:tcPr>
            <w:tcW w:type="dxa" w:w="1440"/>
            <w:shd w:fill="FAFAFA" w:val="clear"/>
          </w:tcPr>
          <w:p>
            <w:r>
              <w:rPr>
                <w:sz w:val="17"/>
              </w:rPr>
              <w:t>17,258</w:t>
            </w:r>
          </w:p>
        </w:tc>
        <w:tc>
          <w:tcPr>
            <w:tcW w:type="dxa" w:w="1440"/>
            <w:shd w:fill="FAFAFA" w:val="clear"/>
          </w:tcPr>
          <w:p>
            <w:r>
              <w:rPr>
                <w:b/>
                <w:color w:val="C00000"/>
                <w:sz w:val="17"/>
              </w:rPr>
              <w:t>-1.5%</w:t>
            </w:r>
          </w:p>
        </w:tc>
      </w:tr>
      <w:tr>
        <w:tc>
          <w:tcPr>
            <w:tcW w:type="dxa" w:w="1440"/>
            <w:shd w:fill="FAFAFA" w:val="clear"/>
          </w:tcPr>
          <w:p>
            <w:r>
              <w:rPr>
                <w:sz w:val="17"/>
              </w:rPr>
              <w:t>J+10  ⭐</w:t>
            </w:r>
          </w:p>
        </w:tc>
        <w:tc>
          <w:tcPr>
            <w:tcW w:type="dxa" w:w="1440"/>
            <w:shd w:fill="FAFAFA" w:val="clear"/>
          </w:tcPr>
          <w:p>
            <w:r>
              <w:rPr>
                <w:sz w:val="17"/>
              </w:rPr>
              <w:t>2026-10-29</w:t>
            </w:r>
          </w:p>
        </w:tc>
        <w:tc>
          <w:tcPr>
            <w:tcW w:type="dxa" w:w="1440"/>
            <w:shd w:fill="FAFAFA" w:val="clear"/>
          </w:tcPr>
          <w:p>
            <w:r>
              <w:rPr>
                <w:sz w:val="17"/>
              </w:rPr>
              <w:t>13,171</w:t>
            </w:r>
          </w:p>
        </w:tc>
        <w:tc>
          <w:tcPr>
            <w:tcW w:type="dxa" w:w="1440"/>
            <w:shd w:fill="FAFAFA" w:val="clear"/>
          </w:tcPr>
          <w:p>
            <w:r>
              <w:rPr>
                <w:b/>
                <w:sz w:val="17"/>
              </w:rPr>
              <w:t>15,265</w:t>
            </w:r>
          </w:p>
        </w:tc>
        <w:tc>
          <w:tcPr>
            <w:tcW w:type="dxa" w:w="1440"/>
            <w:shd w:fill="FAFAFA" w:val="clear"/>
          </w:tcPr>
          <w:p>
            <w:r>
              <w:rPr>
                <w:sz w:val="17"/>
              </w:rPr>
              <w:t>17,359</w:t>
            </w:r>
          </w:p>
        </w:tc>
        <w:tc>
          <w:tcPr>
            <w:tcW w:type="dxa" w:w="1440"/>
            <w:shd w:fill="FAFAFA" w:val="clear"/>
          </w:tcPr>
          <w:p>
            <w:r>
              <w:rPr>
                <w:b/>
                <w:color w:val="C00000"/>
                <w:sz w:val="17"/>
              </w:rPr>
              <w:t>-1.5%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48.141 Mds FCFA</w:t>
            </w:r>
          </w:p>
        </w:tc>
        <w:tc>
          <w:tcPr>
            <w:tcW w:type="dxa" w:w="5669"/>
            <w:shd w:fill="FFFFFF" w:val="clear"/>
          </w:tcPr>
          <w:p>
            <w:r>
              <w:rPr>
                <w:color w:val="282828"/>
                <w:sz w:val="15"/>
              </w:rPr>
              <w:t>Créances clients = 20.6%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38.482 Mds FCFA</w:t>
            </w:r>
          </w:p>
        </w:tc>
        <w:tc>
          <w:tcPr>
            <w:tcW w:type="dxa" w:w="5669"/>
            <w:shd w:fill="FFFFFF" w:val="clear"/>
          </w:tcPr>
          <w:p>
            <w:r>
              <w:rPr>
                <w:color w:val="282828"/>
                <w:sz w:val="15"/>
              </w:rPr>
              <w:t>Rotation stocks = 6.1x/an.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86.623 Mds FCFA</w:t>
            </w:r>
          </w:p>
        </w:tc>
        <w:tc>
          <w:tcPr>
            <w:tcW w:type="dxa" w:w="5669"/>
            <w:shd w:fill="FFFFFF" w:val="clear"/>
          </w:tcPr>
          <w:p>
            <w:r>
              <w:rPr>
                <w:color w:val="282828"/>
                <w:sz w:val="15"/>
              </w:rPr>
              <w:t>Ratio actif circ./passif circ. = 1.35x. ✅ Couverture satisfaisante des dettes court terme.</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91.945 Mds FCFA</w:t>
            </w:r>
          </w:p>
        </w:tc>
        <w:tc>
          <w:tcPr>
            <w:tcW w:type="dxa" w:w="5669"/>
            <w:shd w:fill="FFFFFF" w:val="clear"/>
          </w:tcPr>
          <w:p>
            <w:r>
              <w:rPr>
                <w:color w:val="282828"/>
                <w:sz w:val="15"/>
              </w:rPr>
              <w:t>Outil industriel (48.4%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93.990 Mds FCFA</w:t>
            </w:r>
          </w:p>
        </w:tc>
        <w:tc>
          <w:tcPr>
            <w:tcW w:type="dxa" w:w="5669"/>
            <w:shd w:fill="FFFFFF" w:val="clear"/>
          </w:tcPr>
          <w:p>
            <w:r>
              <w:rPr>
                <w:color w:val="282828"/>
                <w:sz w:val="15"/>
              </w:rPr>
              <w:t>Actif immobilisé = 49.5%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9.296 Mds FCFA</w:t>
            </w:r>
          </w:p>
        </w:tc>
        <w:tc>
          <w:tcPr>
            <w:tcW w:type="dxa" w:w="5669"/>
            <w:shd w:fill="FFFFFF" w:val="clear"/>
          </w:tcPr>
          <w:p>
            <w:r>
              <w:rPr>
                <w:color w:val="282828"/>
                <w:sz w:val="15"/>
              </w:rPr>
              <w:t>Liquidités disponibles (4.9%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189.959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5.518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5.581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29.588 Mds FCFA</w:t>
            </w:r>
          </w:p>
        </w:tc>
        <w:tc>
          <w:tcPr>
            <w:tcW w:type="dxa" w:w="5669"/>
            <w:shd w:fill="FFFFFF" w:val="clear"/>
          </w:tcPr>
          <w:p>
            <w:r>
              <w:rPr>
                <w:color w:val="282828"/>
                <w:sz w:val="15"/>
              </w:rPr>
              <w:t>Fonds propres = 15.6%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69.784 Mds FCFA</w:t>
            </w:r>
          </w:p>
        </w:tc>
        <w:tc>
          <w:tcPr>
            <w:tcW w:type="dxa" w:w="5669"/>
            <w:shd w:fill="FFFFFF" w:val="clear"/>
          </w:tcPr>
          <w:p>
            <w:r>
              <w:rPr>
                <w:color w:val="282828"/>
                <w:sz w:val="15"/>
              </w:rPr>
              <w:t>Capitaux permanents / Actif immobilisé = 0.74x. ⚠️ Une partie des actifs LT est financée par des dettes CT — risque de liquidité.</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32.097 Mds FCFA</w:t>
            </w:r>
          </w:p>
        </w:tc>
        <w:tc>
          <w:tcPr>
            <w:tcW w:type="dxa" w:w="5669"/>
            <w:shd w:fill="FFFFFF" w:val="clear"/>
          </w:tcPr>
          <w:p>
            <w:r>
              <w:rPr>
                <w:color w:val="282828"/>
                <w:sz w:val="15"/>
              </w:rPr>
              <w:t>Dette LT/MT = 108%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40.196 Mds FCFA</w:t>
            </w:r>
          </w:p>
        </w:tc>
        <w:tc>
          <w:tcPr>
            <w:tcW w:type="dxa" w:w="5669"/>
            <w:shd w:fill="FFFFFF" w:val="clear"/>
          </w:tcPr>
          <w:p>
            <w:r>
              <w:rPr>
                <w:color w:val="282828"/>
                <w:sz w:val="15"/>
              </w:rPr>
              <w:t>Dette financière totale = 136%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160.371 Mds FCFA</w:t>
            </w:r>
          </w:p>
        </w:tc>
        <w:tc>
          <w:tcPr>
            <w:tcW w:type="dxa" w:w="5669"/>
            <w:shd w:fill="FFFFFF" w:val="clear"/>
          </w:tcPr>
          <w:p>
            <w:r>
              <w:rPr>
                <w:color w:val="282828"/>
                <w:sz w:val="15"/>
              </w:rPr>
              <w:t>Dettes totales = 84.4%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233.261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233.261 Mds FCFA</w:t>
            </w:r>
          </w:p>
        </w:tc>
        <w:tc>
          <w:tcPr>
            <w:tcW w:type="dxa" w:w="5669"/>
            <w:shd w:fill="FFFFFF" w:val="clear"/>
          </w:tcPr>
          <w:p>
            <w:r>
              <w:rPr>
                <w:color w:val="282828"/>
                <w:sz w:val="15"/>
              </w:rPr>
              <w:t>Chiffre d'affaires. Croissance: 6.0%.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10.585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22.890 Mds FCFA</w:t>
            </w:r>
          </w:p>
        </w:tc>
        <w:tc>
          <w:tcPr>
            <w:tcW w:type="dxa" w:w="5669"/>
            <w:shd w:fill="FFFFFF" w:val="clear"/>
          </w:tcPr>
          <w:p>
            <w:r>
              <w:rPr>
                <w:color w:val="282828"/>
                <w:sz w:val="15"/>
              </w:rPr>
              <w:t>Masse salariale = 9.8%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69.061 Mds FCFA</w:t>
            </w:r>
          </w:p>
        </w:tc>
        <w:tc>
          <w:tcPr>
            <w:tcW w:type="dxa" w:w="5669"/>
            <w:shd w:fill="FFFFFF" w:val="clear"/>
          </w:tcPr>
          <w:p>
            <w:r>
              <w:rPr>
                <w:color w:val="282828"/>
                <w:sz w:val="15"/>
              </w:rPr>
              <w:t>VA = 29.6%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46.171 Mds FCFA</w:t>
            </w:r>
          </w:p>
        </w:tc>
        <w:tc>
          <w:tcPr>
            <w:tcW w:type="dxa" w:w="5669"/>
            <w:shd w:fill="FFFFFF" w:val="clear"/>
          </w:tcPr>
          <w:p>
            <w:r>
              <w:rPr>
                <w:color w:val="282828"/>
                <w:sz w:val="15"/>
              </w:rPr>
              <w:t>EBE = 19.8%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37.687 Mds FCFA</w:t>
            </w:r>
          </w:p>
        </w:tc>
        <w:tc>
          <w:tcPr>
            <w:tcW w:type="dxa" w:w="5669"/>
            <w:shd w:fill="FFFFFF" w:val="clear"/>
          </w:tcPr>
          <w:p>
            <w:r>
              <w:rPr>
                <w:color w:val="282828"/>
                <w:sz w:val="15"/>
              </w:rPr>
              <w:t>Profit d'exploitation = 16.2%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18.427 Mds FCFA</w:t>
            </w:r>
          </w:p>
        </w:tc>
        <w:tc>
          <w:tcPr>
            <w:tcW w:type="dxa" w:w="5669"/>
            <w:shd w:fill="FFFFFF" w:val="clear"/>
          </w:tcPr>
          <w:p>
            <w:r>
              <w:rPr>
                <w:color w:val="282828"/>
                <w:sz w:val="15"/>
              </w:rPr>
              <w:t>Marge nette = 7.9%.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BFR</w:t>
            </w:r>
          </w:p>
        </w:tc>
        <w:tc>
          <w:tcPr>
            <w:tcW w:type="dxa" w:w="1984"/>
            <w:shd w:fill="C6EFCE" w:val="clear"/>
          </w:tcPr>
          <w:p>
            <w:r>
              <w:rPr>
                <w:b/>
                <w:color w:val="006400"/>
                <w:sz w:val="17"/>
              </w:rPr>
              <w:t>22.625 Mds FCFA</w:t>
            </w:r>
          </w:p>
        </w:tc>
        <w:tc>
          <w:tcPr>
            <w:tcW w:type="dxa" w:w="5669"/>
            <w:shd w:fill="FFFFFF" w:val="clear"/>
          </w:tcPr>
          <w:p>
            <w:r>
              <w:rPr>
                <w:color w:val="282828"/>
                <w:sz w:val="15"/>
              </w:rPr>
              <w:t>BFR = 9.7%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-24.206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-46.831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29.61%</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7.90%</w:t>
            </w:r>
          </w:p>
        </w:tc>
        <w:tc>
          <w:tcPr>
            <w:tcW w:type="dxa" w:w="5669"/>
            <w:shd w:fill="FFFFFF" w:val="clear"/>
          </w:tcPr>
          <w:p>
            <w:r>
              <w:rPr>
                <w:color w:val="282828"/>
                <w:sz w:val="15"/>
              </w:rPr>
              <w:t>Résultat net / revenus = 7.90%.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16.16%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62.28%</w:t>
            </w:r>
          </w:p>
        </w:tc>
        <w:tc>
          <w:tcPr>
            <w:tcW w:type="dxa" w:w="5669"/>
            <w:shd w:fill="FFFFFF" w:val="clear"/>
          </w:tcPr>
          <w:p>
            <w:r>
              <w:rPr>
                <w:color w:val="282828"/>
                <w:sz w:val="15"/>
              </w:rPr>
              <w:t>Résultat net / capitaux propres = 62.28%.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9.70%</w:t>
            </w:r>
          </w:p>
        </w:tc>
        <w:tc>
          <w:tcPr>
            <w:tcW w:type="dxa" w:w="5669"/>
            <w:shd w:fill="FFFFFF" w:val="clear"/>
          </w:tcPr>
          <w:p>
            <w:r>
              <w:rPr>
                <w:color w:val="282828"/>
                <w:sz w:val="15"/>
              </w:rPr>
              <w:t>Résultat net / total actif = 9.70%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122.80%</w:t>
            </w:r>
          </w:p>
        </w:tc>
        <w:tc>
          <w:tcPr>
            <w:tcW w:type="dxa" w:w="5669"/>
            <w:shd w:fill="FFFFFF" w:val="clear"/>
          </w:tcPr>
          <w:p>
            <w:r>
              <w:rPr>
                <w:color w:val="282828"/>
                <w:sz w:val="15"/>
              </w:rPr>
              <w:t>CA / total actif = 122.80x.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3.41%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5.97%</w:t>
            </w:r>
          </w:p>
        </w:tc>
        <w:tc>
          <w:tcPr>
            <w:tcW w:type="dxa" w:w="5669"/>
            <w:shd w:fill="FFFFFF" w:val="clear"/>
          </w:tcPr>
          <w:p>
            <w:r>
              <w:rPr>
                <w:color w:val="282828"/>
                <w:sz w:val="15"/>
              </w:rPr>
              <w:t>Croissance CA vs exercice précédent = 5.97%.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15.58%</w:t>
            </w:r>
          </w:p>
        </w:tc>
        <w:tc>
          <w:tcPr>
            <w:tcW w:type="dxa" w:w="5669"/>
            <w:shd w:fill="FFFFFF" w:val="clear"/>
          </w:tcPr>
          <w:p>
            <w:r>
              <w:rPr>
                <w:color w:val="282828"/>
                <w:sz w:val="15"/>
              </w:rPr>
              <w:t>Fonds propres / total bilan = 15.58%.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84.42%</w:t>
            </w:r>
          </w:p>
        </w:tc>
        <w:tc>
          <w:tcPr>
            <w:tcW w:type="dxa" w:w="5669"/>
            <w:shd w:fill="FFFFFF" w:val="clear"/>
          </w:tcPr>
          <w:p>
            <w:r>
              <w:rPr>
                <w:color w:val="282828"/>
                <w:sz w:val="15"/>
              </w:rPr>
              <w:t>Dettes financières / total bilan = 84.42%.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135.85%</w:t>
            </w:r>
          </w:p>
        </w:tc>
        <w:tc>
          <w:tcPr>
            <w:tcW w:type="dxa" w:w="5669"/>
            <w:shd w:fill="FFFFFF" w:val="clear"/>
          </w:tcPr>
          <w:p>
            <w:r>
              <w:rPr>
                <w:color w:val="282828"/>
                <w:sz w:val="15"/>
              </w:rPr>
              <w:t>Dettes totales / fonds propres = 135.85%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118.45%</w:t>
            </w:r>
          </w:p>
        </w:tc>
        <w:tc>
          <w:tcPr>
            <w:tcW w:type="dxa" w:w="5669"/>
            <w:shd w:fill="FFFFFF" w:val="clear"/>
          </w:tcPr>
          <w:p>
            <w:r>
              <w:rPr>
                <w:color w:val="282828"/>
                <w:sz w:val="15"/>
              </w:rPr>
              <w:t>Total actif / dettes totales = 118.45x.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79.86%</w:t>
            </w:r>
          </w:p>
        </w:tc>
        <w:tc>
          <w:tcPr>
            <w:tcW w:type="dxa" w:w="5669"/>
            <w:shd w:fill="FFFFFF" w:val="clear"/>
          </w:tcPr>
          <w:p>
            <w:r>
              <w:rPr>
                <w:color w:val="282828"/>
                <w:sz w:val="15"/>
              </w:rPr>
              <w:t>Actif circulant / passif circulant = 79.86x.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7.74%</w:t>
            </w:r>
          </w:p>
        </w:tc>
        <w:tc>
          <w:tcPr>
            <w:tcW w:type="dxa" w:w="5669"/>
            <w:shd w:fill="FFFFFF" w:val="clear"/>
          </w:tcPr>
          <w:p>
            <w:r>
              <w:rPr>
                <w:color w:val="282828"/>
                <w:sz w:val="15"/>
              </w:rPr>
              <w:t>Trésorerie / passif circulant = 7.74x.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47.82%</w:t>
            </w:r>
          </w:p>
        </w:tc>
        <w:tc>
          <w:tcPr>
            <w:tcW w:type="dxa" w:w="5669"/>
            <w:shd w:fill="FFFFFF" w:val="clear"/>
          </w:tcPr>
          <w:p>
            <w:r>
              <w:rPr>
                <w:color w:val="282828"/>
                <w:sz w:val="15"/>
              </w:rPr>
              <w:t>(Actif circ. - stocks) / passif circ. = 47.82x.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74.25%</w:t>
            </w:r>
          </w:p>
        </w:tc>
        <w:tc>
          <w:tcPr>
            <w:tcW w:type="dxa" w:w="5669"/>
            <w:shd w:fill="FFFFFF" w:val="clear"/>
          </w:tcPr>
          <w:p>
            <w:r>
              <w:rPr>
                <w:color w:val="282828"/>
                <w:sz w:val="15"/>
              </w:rPr>
              <w:t>Capitaux permanents / actif immobilisé = 74.25x. ❌ Partie des actifs LT financée par des ressources CT — risque de liquidité.</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473.63%</w:t>
            </w:r>
          </w:p>
        </w:tc>
        <w:tc>
          <w:tcPr>
            <w:tcW w:type="dxa" w:w="5669"/>
            <w:shd w:fill="FFFFFF" w:val="clear"/>
          </w:tcPr>
          <w:p>
            <w:r>
              <w:rPr>
                <w:color w:val="282828"/>
                <w:sz w:val="15"/>
              </w:rPr>
              <w:t>Résultat exploit. / charges financières = 473.63x. ✅ Excellente couverture des intérêts.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74.3 j</w:t>
            </w:r>
          </w:p>
        </w:tc>
        <w:tc>
          <w:tcPr>
            <w:tcW w:type="dxa" w:w="5669"/>
            <w:shd w:fill="FFFFFF" w:val="clear"/>
          </w:tcPr>
          <w:p>
            <w:r>
              <w:rPr>
                <w:color w:val="282828"/>
                <w:sz w:val="15"/>
              </w:rPr>
              <w:t>Les clients paient en moyenne en 74 jours. ⚠️ Délai long — risque d'impayés et tension de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59.4 j</w:t>
            </w:r>
          </w:p>
        </w:tc>
        <w:tc>
          <w:tcPr>
            <w:tcW w:type="dxa" w:w="5669"/>
            <w:shd w:fill="FFFFFF" w:val="clear"/>
          </w:tcPr>
          <w:p>
            <w:r>
              <w:rPr>
                <w:color w:val="282828"/>
                <w:sz w:val="15"/>
              </w:rPr>
              <w:t>Stock écoulé en 59 jours. ✅ Stockage standard.</w:t>
            </w:r>
          </w:p>
        </w:tc>
      </w:tr>
    </w:tbl>
    <w:p/>
    <w:p>
      <w:pPr>
        <w:spacing w:after="120" w:line="276" w:lineRule="auto"/>
      </w:pPr>
      <w:r>
        <w:t>**RAPPORT D'ANALYSE FINANCIÈRE — NESTLÉ CÔTE D'IVOIRE (NTLC)**</w:t>
        <w:br/>
        <w:t>*Bourse Régionale des Valeurs Mobilières (BRVM)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342,09 milliards FCFA, NTLC figure parmi les valeurs les plus importantes de la cote BRVM, ce qui en fait un pilier de l'indice BRVM-30 et un titre de référence pour les investisseurs institutionnels. Le BPA de 835 FCFA/action signifie que chaque titre génère près de 835 FCFA de bénéfice net, ce qui, rapporté au cours actuel de 15 500 FCFA, donne un PER de 18,6x — nettement supérieur à la moyenne du marché BRVM (8-12x), traduisant une prime de qualité que les investisseurs acceptent de payer pour la solidité de la marque Nestlé. Le P/B de 11,56x, très au-dessus du seuil de 4x, confirme cette valorisation exigeante : le marché valorise l'entreprise à plus de onze fois sa valeur comptable, ce qui s'explique par la faiblesse relative des capitaux propres (29,59 Mds FCFA) face à la puissance bénéficiaire. Enfin, l'EV/EBITDA de 9,3x, dans la fourchette raisonnable de 5-10x, suggère que la valeur totale de l'entreprise (dette incluse) reste cohérente avec sa capacité opérationnelle, offrant un contrepoids modérateur à la cherté apparente du PER et du P/B.</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NTLC affiche une progression totale de +19,18%, avec une dernière séance en hausse de +1,11%, confirmant une dynamique haussière de fond malgré quelques accès de faiblesse. Le cours a évolué dans un range large de 12 800 FCFA (plus bas) à 18 000 FCFA (plus haut), soit une amplitude de plus de 40%, avant de se stabiliser autour de 15 500 FCFA — niveau intermédiaire qui traduit une phase de consolidation après le pic. La moyenne (15 738 FCFA) est légèrement supérieure à la médiane (15 995 FCFA est en réalité supérieure à la moyenne, ce qui indique une asymétrie négative), et l'écart entre moyenne et médiane confirme une distribution asymétrique avec davantage de journées de cotation au-dessus de la moyenne, comme l'indique le skewness de -0,862. L'écart-type de 1 210 FCFA et le coefficient de variation de 7,7% révèlent une dispersion modérée du cours autour de sa moyenne, tandis que le kurtosis de 0,237 (mésokurtique) indique une distribution proche de la normale, sans risque excessif de pics extrêmes. La volatilité annualisée de 35,1% positionne NTLC dans la catégorie des titres à volatilité élevée (&gt;30%), ce qui implique un risque de fluctuation important à court terme, mais cohérent avec la prime de rendement attendue par les investisseurs.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(15 323 FCFA) est inférieure au cours actuel (15 500 FCFA), ce qui constitue un signal haussier de court terme, tandis que la MM50 (16 259,9 FCFA) reste nettement au-dessus du cours, signalant une pression baissière de moyen terme. Le croisement baissier de la MM20 sous la MM50 et la position du cours sous la MM50 justifient la décision technique de **Vente**, bien que le récent redressement au-dessus de la MM20 nuance ce signal.</w:t>
      </w:r>
    </w:p>
    <w:p>
      <w:pPr>
        <w:spacing w:after="120" w:line="276" w:lineRule="auto"/>
      </w:pPr>
      <w:r>
        <w:t>**Bandes de Bollinger** : Le cours (15 500 FCFA) se situe à l'intérieur des bandes, entre la borne inférieure (14 431,69 FCFA) et la borne supérieure (16 214,31 FCFA), sans test des extrêmes. Cette position centrale, couplée à un rétrécissement apparent des bandes, traduit une phase de consolidation à volatilité modérée, justifiant la décision **Neutre** — ni suracheté, ni survendu.</w:t>
      </w:r>
    </w:p>
    <w:p>
      <w:pPr>
        <w:spacing w:after="120" w:line="276" w:lineRule="auto"/>
      </w:pPr>
      <w:r>
        <w:t>**MACD** : La valeur du MACD (-258,5) est supérieure à son signal (-325,33), générant un croisement haussier (MACD au-dessus du signal) qui indique un momentum positif en construction. Malgré une valeur négative, la convergence des deux lignes vers zéro suggère un essoufflement de la tendance baissière et un potentiel retournement, justifiant la décision d'**Achat**.</w:t>
      </w:r>
    </w:p>
    <w:p>
      <w:pPr>
        <w:spacing w:after="120" w:line="276" w:lineRule="auto"/>
      </w:pPr>
      <w:r>
        <w:t>**RSI** : À 65,92, le RSI se situe dans la zone neutre haute (30-70), sans atteindre le seuil de surachat de 70. Cette valeur indique une dynamique haussière modérée mais non excessive, laissant de la marge à une poursuite de la hausse avant correction, justifiant la décision **Neutre**.</w:t>
      </w:r>
    </w:p>
    <w:p>
      <w:pPr>
        <w:spacing w:after="120" w:line="276" w:lineRule="auto"/>
      </w:pPr>
      <w:r>
        <w:t>**Stochastique** : Le %K (100,0) est au maximum absolu et nettement supérieur au %D (91,0), signalant une forte pression acheteuse de court terme mais également un risque imminent de retournement, car un %K à 100 en zone de surachat précède souvent une correction. La décision technique est donc **Vente**, en anticipation d'un essoufflement.</w:t>
      </w:r>
    </w:p>
    <w:p>
      <w:pPr>
        <w:spacing w:after="120" w:line="276" w:lineRule="auto"/>
      </w:pPr>
      <w:r>
        <w:t>**Conclusion technique** : Les indicateurs présentent un tableau mitigé, avec des signaux contradictoires : le MACD est haussier, les MM sont baissières, le RSI est neutre, et le stochastique est en surachat extrême. Cette divergence suggère une phase de transition où le rebond technique actuel pourrait s'essouffler à court terme, mais la structure de fond reste fragile sous la MM50. La prudence est de mise, avec une préférence pour l'attente d'une confirmation de cassure de la MM50 avant tout engagement haussier durable.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En 2025, Nestlé Côte d'Ivoire a réalisé un chiffre d'affaires de 233,26 milliards FCFA, en croissance de 5,97% sur un an, avec un résultat net de 18,43 milliards FCFA (+1,53%), une marge nette de 7,90% et un ROE exceptionnel de 62,28% — bien au-dessus du seuil de 15% considéré comme excellent — tandis que le ROA s'établit à 9,70%. Ces données structurées, issues des états financiers officiels 2025, révèlent une entreprise très rentable mais dont la croissance des profits ralentit nettement par rapport à celle du chiffre d'affaires, sous l'effet d'une hausse des charges financières (+25,8% à 7,96 Mds FCFA) et d'une pression fiscale accrue. Sur le plan du besoin en fonds de roulement, le BFR s'élève à 22,63 Mds FCFA (positif, donc défavorable pour une entreprise), avec un délai client de 74,30 jours et une durée de stockage de 59,39 jours — des niveaux élevés qui immobilisent du capital et exposent l'entreprise à un risque de trésorerie, comme en témoigne une trésorerie nette négative de -46,83 Mds FCFA et un fonds de roulement de -24,21 Mds FCFA. La structure financière est tendue : l'autonomie financière n'est que de 15,58% (bien en dessous du seuil sain de 30%), le ratio d'endettement atteint 135,85% et la liquidité générale de 79,86% (&lt;1) signale une capacité limitée à honorer les dettes à court terme. Les rapports trimestriels confirment cette dynamique contrastée : le T1 2025 (rapport du 31/03/2025) affichait un CA en baisse de 11% mais un résultat net en hausse de 19%, tandis que le S1 2025 (rapport du 30/06/2025) montrait une stagnation du CA (0,00%) et une chute du résultat net de 23,5%, avant un T3 2025 (rapport du 30/09/2025) encore en repli de 21,3% du bénéfice. Cependant, le rapport du T1 2026 (publié en 2026) marque un retournement spectaculaire : le CA bondit de +31% à 70,82 Mds FCFA et le résultat net de +37% à 7,53 Mds FCFA, avec une marge nette en amélioration à 10,6% — ce qui permet d'estimer que l'exercice 2026 devrait renouer avec une croissance à deux chiffres, portée par la dynamique commerciale retrouvée et la maîtrise des coûts. La politique de dividende, réduite de moitié en 2025 (9,27 Mds FCFA contre 18,10 Mds FCFA en 2024, soit un payout de 50,3%), traduit une stratégie de renforcement des fonds propres pour financer la croissance future, ce qui est prudent mais décevant pour les investisseurs en quête de rendement immédiat. En conclusion, la solidité fondamentale de NTLC est indéniable (ROE élevé, marque forte, T1 2026 excellent), mais les risques liés à l'endettement, au BFR positif et à la volatilité des marges appellent à une vigilance accrue.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NTLC apparaît exigeante (PER de 18,6x et P/B de 11,56x, très supérieurs aux moyennes du marché BRVM), bien que l'EV/EBITDA de 9,3x reste raisonnable, ce qui suggère que le marché intègre déjà une prime de qualité et une croissance future optimiste. Le comportement du cours sur 100 jours est haussier (+19,18%) mais avec une volatilité élevée (35,1%) et une asymétrie négative (skewness de -0,862) indiquant que les journées de baisse sont plus fréquentes que les journées de hausse, ce qui est préoccupant pour le court terme. Les signaux techniques sont divergents : le MACD est haussier, mais les moyennes mobiles sont baissières, le stochastique est en surachat extrême (%K=100) et le RSI est neutre — cette configuration plaide pour une consolidation, voire une correction à court terme, avant une reprise durable. Les fondamentaux, bien que solides (ROE de 62,28% en 2025, T1 2026 en forte croissance de +31% du CA et +37% du résultat net), sont tempérés par un endettement élevé (ratio d'endettement de 135,85%) et un BFR positif de 22,63 Mds FCFA qui pèse sur la trésorerie. Les prédictions IA pour les 10 prochains jours (15 296 FCFA le 16/10, puis une légère baisse à 15 295 FCFA le 22/10) suggèrent une stagnation, voire un léger repli, ce qui contredit la dynamique haussière récente et confirme la probabilité d'une consolidation. Sur la base de cette synthèse, la recommandation finale est **CONSERVER** : le titre offre une qualité fondamentale indéniable et un potentiel de revalorisation à moyen terme lié à la reprise du T1 2026, mais la valorisation tendue, les signaux techniques mitigés et les prédictions baissières à court terme incitent à la prudence. Le niveau de confiance est **Moyen**, le risque global est **Moyen à Élevé** (en raison de l'endettement et de la volatilité), et l'horizon d'investissement optimal est le **moyen terme (3-12 mois)**, le temps que la croissance retrouvée se matérialise dans les résultats et que la structure financière se consolide.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20260522   avis de convocation   assemblee generale ordinaire   nestle ci</w:t>
      </w:r>
    </w:p>
    <w:p>
      <w:pPr>
        <w:spacing w:before="20"/>
        <w:ind w:left="400"/>
      </w:pPr>
      <w:r>
        <w:rPr>
          <w:color w:val="505050"/>
          <w:sz w:val="17"/>
        </w:rPr>
        <w:t xml:space="preserve">Date : 24/05/2026  |  Catégorie : convocation AG  |  Impact : </w:t>
      </w:r>
      <w:r>
        <w:rPr>
          <w:b/>
          <w:color w:val="646464"/>
          <w:sz w:val="17"/>
        </w:rPr>
        <w:t>⚪ NEUTRE</w:t>
      </w:r>
    </w:p>
    <w:p>
      <w:pPr>
        <w:spacing w:before="40"/>
        <w:ind w:left="400"/>
      </w:pPr>
      <w:r>
        <w:rPr>
          <w:sz w:val="18"/>
        </w:rPr>
        <w:t>Nestlé Côte d'Ivoire convoque ses actionnaires à une Assemblée Générale Ordinaire le 11 juin 2026 à 10h00 à l'Espace Latrille Events à Abidjan. L'ordre du jour comprend l'examen des états financiers 2025, la proposition d'affectation du résultat et la ratification d'un nouvel administrateur. Les documents seront disponibles 15 jours avant l'assemblée au siège social et en ligne.</w:t>
      </w:r>
    </w:p>
    <w:p>
      <w:pPr>
        <w:spacing w:before="60"/>
        <w:ind w:left="400"/>
      </w:pPr>
      <w:r>
        <w:rPr>
          <w:b/>
          <w:sz w:val="18"/>
        </w:rPr>
        <w:t>Points clés :</w:t>
      </w:r>
    </w:p>
    <w:p>
      <w:pPr>
        <w:pStyle w:val="ListBullet"/>
        <w:spacing w:before="20" w:after="20"/>
        <w:ind w:left="700"/>
      </w:pPr>
      <w:r>
        <w:rPr>
          <w:sz w:val="18"/>
        </w:rPr>
        <w:t>Assemblée Générale Ordinaire programmée le 11 juin 2026 à 10h00 à Abidjan</w:t>
      </w:r>
    </w:p>
    <w:p>
      <w:pPr>
        <w:pStyle w:val="ListBullet"/>
        <w:spacing w:before="20" w:after="20"/>
        <w:ind w:left="700"/>
      </w:pPr>
      <w:r>
        <w:rPr>
          <w:sz w:val="18"/>
        </w:rPr>
        <w:t>Examen des états financiers SYSCOHADA et IFRS arrêtés au 31 décembre 2025</w:t>
      </w:r>
    </w:p>
    <w:p>
      <w:pPr>
        <w:pStyle w:val="ListBullet"/>
        <w:spacing w:before="20" w:after="20"/>
        <w:ind w:left="700"/>
      </w:pPr>
      <w:r>
        <w:rPr>
          <w:sz w:val="18"/>
        </w:rPr>
        <w:t>Proposition d'affectation du résultat de l'exercice 2025</w:t>
      </w:r>
    </w:p>
    <w:p>
      <w:pPr>
        <w:pStyle w:val="ListBullet"/>
        <w:spacing w:before="20" w:after="20"/>
        <w:ind w:left="700"/>
      </w:pPr>
      <w:r>
        <w:rPr>
          <w:sz w:val="18"/>
        </w:rPr>
        <w:t>Ratification de la désignation d'un nouvel administrateur</w:t>
      </w:r>
    </w:p>
    <w:p>
      <w:pPr>
        <w:pStyle w:val="ListBullet"/>
        <w:spacing w:before="20" w:after="20"/>
        <w:ind w:left="700"/>
      </w:pPr>
      <w:r>
        <w:rPr>
          <w:sz w:val="18"/>
        </w:rPr>
        <w:t>Capital social de 5 517 600 000 F CFA confirmé</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performances exceptionnelles du T1 2026 avec une croissance \u00e0 deux chiffres sur tous les indicateurs cl\u00e9s d\u00e9montrent la solidit\u00e9 du mod\u00e8le. L'entreprise combine efficacement croissance du chiffre d'affaires et am\u00e9lioration de la rentabilit\u00e9 dans un contexte \u00e9conomique pourtant exigeant."}</w:t>
      </w:r>
    </w:p>
    <w:p>
      <w:pPr>
        <w:spacing w:before="40"/>
        <w:ind w:left="400"/>
      </w:pPr>
      <w:r>
        <w:rPr>
          <w:sz w:val="18"/>
        </w:rPr>
        <w:t>Nestlé Côte d'Ivoire affiche une performance remarquable au premier trimestre 2026 avec un chiffre d'affaires en forte croissance de 31% à 70,8 milliards FCFA. Le résultat net bondit de 37% à 7,5 milliards FCFA, témoignant d'une excellente exécution commerciale et d'une maîtrise des coûts. L'entreprise évolue dans un environnement d'affaires stable et bénéficie d'une dynamique de marché solide. La société maintient son engagement RSE avec des programmes d'alphabétisation et de formation professionnelle. Cette performance confirme la robustesse du modèle économique de Nestlé CI malgré les défis économiques.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'+31%', 'capital_social': '5,5 milliards FCFA', 'croissance_resultat_net': '+37%', 'resultat_activites_ordinaires': '10,9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70,8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31% par rapport au T1 2025</w:t>
      </w:r>
    </w:p>
    <w:p>
      <w:pPr>
        <w:pStyle w:val="ListBullet"/>
        <w:spacing w:before="20" w:after="20"/>
        <w:ind w:left="700"/>
      </w:pPr>
      <w:r>
        <w:rPr>
          <w:sz w:val="18"/>
        </w:rPr>
        <w:t>Résultat net en hausse spectaculaire de 37% à 7,5 milliards FCFA</w:t>
      </w:r>
    </w:p>
    <w:p>
      <w:pPr>
        <w:pStyle w:val="ListBullet"/>
        <w:spacing w:before="20" w:after="20"/>
        <w:ind w:left="700"/>
      </w:pPr>
      <w:r>
        <w:rPr>
          <w:sz w:val="18"/>
        </w:rPr>
        <w:t>Résultat des activités ordinaires en progression de 15% à 10,9 milliards FCFA</w:t>
      </w:r>
    </w:p>
    <w:p>
      <w:pPr>
        <w:pStyle w:val="ListBullet"/>
        <w:spacing w:before="20" w:after="20"/>
        <w:ind w:left="700"/>
      </w:pPr>
      <w:r>
        <w:rPr>
          <w:sz w:val="18"/>
        </w:rPr>
        <w:t>Maîtrise efficace des pressions de coûts sur les matières premières et emballages</w:t>
      </w:r>
    </w:p>
    <w:p>
      <w:pPr>
        <w:pStyle w:val="ListBullet"/>
        <w:spacing w:before="20" w:after="20"/>
        <w:ind w:left="700"/>
      </w:pPr>
      <w:r>
        <w:rPr>
          <w:sz w:val="18"/>
        </w:rPr>
        <w:t>Environnement d'affaires stable favorisant l'exécution commerciale</w:t>
      </w:r>
    </w:p>
    <w:p>
      <w:pPr>
        <w:pStyle w:val="ListBullet"/>
        <w:spacing w:before="20" w:after="20"/>
        <w:ind w:left="700"/>
      </w:pPr>
      <w:r>
        <w:rPr>
          <w:sz w:val="18"/>
        </w:rPr>
        <w:t>Programme d'alphabétisation MAGGI en partenariat avec l'UNESCO poursuivi</w:t>
      </w:r>
    </w:p>
    <w:p>
      <w:pPr>
        <w:spacing w:before="40"/>
        <w:ind w:left="400"/>
      </w:pPr>
      <w:r>
        <w:rPr>
          <w:b/>
          <w:color w:val="C05000"/>
          <w:sz w:val="18"/>
        </w:rPr>
        <w:t xml:space="preserve">⚠️ Risques : </w:t>
      </w:r>
      <w:r>
        <w:rPr>
          <w:sz w:val="18"/>
        </w:rPr>
        <w:t>["Pression persistante des co\u00fbts des mati\u00e8res premi\u00e8res et emballages", "Contexte \u00e9conomique exigeant pouvant affecter le pouvoir d'achat des consommateurs", "D\u00e9pendance au march\u00e9 local ivoirien et aux fluctuations \u00e9conomiques r\u00e9gionales"]</w:t>
      </w:r>
    </w:p>
    <w:p>
      <w:pPr>
        <w:spacing w:before="40"/>
        <w:ind w:left="400"/>
      </w:pPr>
      <w:r>
        <w:rPr>
          <w:b/>
          <w:color w:val="0064A0"/>
          <w:sz w:val="18"/>
        </w:rPr>
        <w:t xml:space="preserve">🔮 Perspectives : </w:t>
      </w:r>
      <w:r>
        <w:rPr>
          <w:sz w:val="18"/>
        </w:rPr>
        <w:t>Nestlé Côte d'Ivoire entend poursuivre cette dynamique positive sur les prochains trimestres avec un focus particulier sur la performance opérationnelle et la rentabilité. L'entreprise reste concentrée sur la création de valeur durable et le renforcement progressif de sa position de marché. La stabi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maintient une croissance soutenue et une rentabilit\u00e9 stable malgr\u00e9 l'augmentation des co\u00fbts financiers. La r\u00e9duction du dividende sugg\u00e8re une strat\u00e9gie de conservation des liquidit\u00e9s pour financer la croissance future."}</w:t>
      </w:r>
    </w:p>
    <w:p>
      <w:pPr>
        <w:spacing w:before="40"/>
        <w:ind w:left="400"/>
      </w:pPr>
      <w:r>
        <w:rPr>
          <w:sz w:val="18"/>
        </w:rPr>
        <w:t>Nestlé Côte d'Ivoire affiche des performances solides en 2025 avec une croissance du chiffre d'affaires de 5,98% atteignant 233,3 milliards FCFA. Le résultat net progresse légèrement de 1,5% à 18,4 milliards FCFA malgré une hausse des charges financières. La marge nette reste stable à 7,9%, témoignant d'une rentabilité maintenue. Le total de l'actif augmente de 6,8% à 190 milliards FCFA, reflétant une expansion contrôlée. La politique de dividende se révèle plus conservatrice avec une réduction de 48,8% du dividende brut distribué.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'69 060 804 060 FCFA', 'frais_financiers': '7 957 177 438 FCFA', 'impots_sur_resultat': '11 329 077 586 FCFA', 'excedent_brut_exploitation': '46 171 248 459 FCFA'}</w:t>
            </w:r>
          </w:p>
        </w:tc>
        <w:tc>
          <w:tcPr>
            <w:tcW w:type="dxa" w:w="2160"/>
          </w:tcPr>
          <w:p>
            <w:pPr>
              <w:ind w:left="100"/>
            </w:pPr>
            <w:r/>
            <w:r>
              <w:rPr>
                <w:b/>
                <w:sz w:val="16"/>
              </w:rPr>
              <w:t>dividende</w:t>
              <w:br/>
            </w:r>
            <w:r>
              <w:rPr>
                <w:sz w:val="18"/>
              </w:rPr>
              <w:t>9 269 568 000 FCFA</w:t>
            </w:r>
          </w:p>
        </w:tc>
        <w:tc>
          <w:tcPr>
            <w:tcW w:type="dxa" w:w="2160"/>
          </w:tcPr>
          <w:p>
            <w:pPr>
              <w:ind w:left="100"/>
            </w:pPr>
            <w:r/>
            <w:r>
              <w:rPr>
                <w:b/>
                <w:sz w:val="16"/>
              </w:rPr>
              <w:t>marge_nette</w:t>
              <w:br/>
            </w:r>
            <w:r>
              <w:rPr>
                <w:sz w:val="18"/>
              </w:rPr>
              <w:t>7,9%</w:t>
            </w:r>
          </w:p>
        </w:tc>
        <w:tc>
          <w:tcPr>
            <w:tcW w:type="dxa" w:w="2160"/>
          </w:tcPr>
          <w:p>
            <w:pPr>
              <w:ind w:left="100"/>
            </w:pPr>
            <w:r/>
            <w:r>
              <w:rPr>
                <w:b/>
                <w:sz w:val="16"/>
              </w:rPr>
              <w:t>total_actif</w:t>
              <w:br/>
            </w:r>
            <w:r>
              <w:rPr>
                <w:sz w:val="18"/>
              </w:rPr>
              <w:t>189 958 727 992 FCFA</w:t>
            </w:r>
          </w:p>
        </w:tc>
      </w:tr>
      <w:tr>
        <w:tc>
          <w:tcPr>
            <w:tcW w:type="dxa" w:w="2160"/>
          </w:tcPr>
          <w:p>
            <w:r/>
            <w:r>
              <w:rPr>
                <w:b/>
                <w:sz w:val="16"/>
              </w:rPr>
              <w:t>resultat_net</w:t>
              <w:br/>
            </w:r>
            <w:r>
              <w:rPr>
                <w:sz w:val="18"/>
              </w:rPr>
              <w:t>18 426 899 479 FCFA</w:t>
            </w:r>
          </w:p>
        </w:tc>
        <w:tc>
          <w:tcPr>
            <w:tcW w:type="dxa" w:w="2160"/>
          </w:tcPr>
          <w:p>
            <w:r/>
            <w:r>
              <w:rPr>
                <w:b/>
                <w:sz w:val="16"/>
              </w:rPr>
              <w:t>capitaux_propres</w:t>
              <w:br/>
            </w:r>
            <w:r>
              <w:rPr>
                <w:sz w:val="18"/>
              </w:rPr>
              <w:t>29 565 761 686 FCFA</w:t>
            </w:r>
          </w:p>
        </w:tc>
        <w:tc>
          <w:tcPr>
            <w:tcW w:type="dxa" w:w="2160"/>
          </w:tcPr>
          <w:p>
            <w:r/>
            <w:r>
              <w:rPr>
                <w:b/>
                <w:sz w:val="16"/>
              </w:rPr>
              <w:t>chiffre_affaires</w:t>
              <w:br/>
            </w:r>
            <w:r>
              <w:rPr>
                <w:sz w:val="18"/>
              </w:rPr>
              <w:t>233 261 162 741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5,98% à 233,3 milliards FCFA</w:t>
      </w:r>
    </w:p>
    <w:p>
      <w:pPr>
        <w:pStyle w:val="ListBullet"/>
        <w:spacing w:before="20" w:after="20"/>
        <w:ind w:left="700"/>
      </w:pPr>
      <w:r>
        <w:rPr>
          <w:sz w:val="18"/>
        </w:rPr>
        <w:t>Progression modérée du résultat net de 1,5% à 18,4 milliards FCFA</w:t>
      </w:r>
    </w:p>
    <w:p>
      <w:pPr>
        <w:pStyle w:val="ListBullet"/>
        <w:spacing w:before="20" w:after="20"/>
        <w:ind w:left="700"/>
      </w:pPr>
      <w:r>
        <w:rPr>
          <w:sz w:val="18"/>
        </w:rPr>
        <w:t>Marge nette stable à 7,9% démontrant une bonne maîtrise des coûts</w:t>
      </w:r>
    </w:p>
    <w:p>
      <w:pPr>
        <w:pStyle w:val="ListBullet"/>
        <w:spacing w:before="20" w:after="20"/>
        <w:ind w:left="700"/>
      </w:pPr>
      <w:r>
        <w:rPr>
          <w:sz w:val="18"/>
        </w:rPr>
        <w:t>Augmentation significative des frais financiers de 25,8% à 8 milliards FCFA</w:t>
      </w:r>
    </w:p>
    <w:p>
      <w:pPr>
        <w:pStyle w:val="ListBullet"/>
        <w:spacing w:before="20" w:after="20"/>
        <w:ind w:left="700"/>
      </w:pPr>
      <w:r>
        <w:rPr>
          <w:sz w:val="18"/>
        </w:rPr>
        <w:t>Croissance de l'excédent brut d'exploitation de 6% à 46,2 milliards FCFA</w:t>
      </w:r>
    </w:p>
    <w:p>
      <w:pPr>
        <w:pStyle w:val="ListBullet"/>
        <w:spacing w:before="20" w:after="20"/>
        <w:ind w:left="700"/>
      </w:pPr>
      <w:r>
        <w:rPr>
          <w:sz w:val="18"/>
        </w:rPr>
        <w:t>Réduction importante du dividende brut de 48,8% à 9,3 milliards FCFA</w:t>
      </w:r>
    </w:p>
    <w:p>
      <w:pPr>
        <w:spacing w:before="40"/>
        <w:ind w:left="400"/>
      </w:pPr>
      <w:r>
        <w:rPr>
          <w:b/>
          <w:color w:val="C05000"/>
          <w:sz w:val="18"/>
        </w:rPr>
        <w:t xml:space="preserve">⚠️ Risques : </w:t>
      </w:r>
      <w:r>
        <w:rPr>
          <w:sz w:val="18"/>
        </w:rPr>
        <w:t>["Hausse significative des frais financiers qui impacte la rentabilit\u00e9", "Pression sur les marges due \u00e0 l'inflation des co\u00fbts des mati\u00e8res premi\u00e8res", "D\u00e9pendance aux conditions \u00e9conomiques locales et \u00e0 la stabilit\u00e9 du FCFA"]</w:t>
      </w:r>
    </w:p>
    <w:p>
      <w:pPr>
        <w:spacing w:before="40"/>
        <w:ind w:left="400"/>
      </w:pPr>
      <w:r>
        <w:rPr>
          <w:b/>
          <w:color w:val="0064A0"/>
          <w:sz w:val="18"/>
        </w:rPr>
        <w:t xml:space="preserve">🔮 Perspectives : </w:t>
      </w:r>
      <w:r>
        <w:rPr>
          <w:sz w:val="18"/>
        </w:rPr>
        <w:t>Nestlé CI devrait continuer à bénéficier de la demande croissante des produits de consommation en Afrique de l'Ouest. La société pourrait privilégier les investissements productifs au détriment des distributions aux actionnaires à court terme. L'amélioration de la position de trésorerie offre une fl</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commerciale d\u00e9montre la solidit\u00e9 du positionnement march\u00e9, mais les pressions inflationnistes p\u00e8sent temporairement sur la rentabilit\u00e9. La r\u00e9silience strat\u00e9gique laisse pr\u00e9sager une am\u00e9lioration une fois la situation inflationniste stabilis\u00e9e."}</w:t>
      </w:r>
    </w:p>
    <w:p>
      <w:pPr>
        <w:spacing w:before="40"/>
        <w:ind w:left="400"/>
      </w:pPr>
      <w:r>
        <w:rPr>
          <w:sz w:val="18"/>
        </w:rPr>
        <w:t>Nestlé Côte d'Ivoire affiche une forte croissance du chiffre d'affaires de 20% au T1 2022, atteignant 57,8 milliards FCFA contre 48,1 milliards au T1 2021. Malgré cette performance commerciale remarquable, la rentabilité s'est considérablement détériorée avec un résultat net en baisse de 45% à 2,2 milliards FCFA. Cette dégradation s'explique par l'impact significatif de l'inflation sur les coûts des matières premières, emballages et transport. La société maintient néanmoins une rentabilité positive grâce à la résilience de sa stratégie et l'engagement de ses équipes. Le contexte inflationniste continue de peser sur les marges opérationnelles de l'entreprise.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'20%', 'capital_social': '5 517 600 000 FCFA', 'variation_resultat_net': '-45%', 'resultat_activites_ordinaires': '3 994 555 295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2 220 529 563 FCFA (T1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57 827 644 484 FCFA (T1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20% au T1 2022</w:t>
      </w:r>
    </w:p>
    <w:p>
      <w:pPr>
        <w:pStyle w:val="ListBullet"/>
        <w:spacing w:before="20" w:after="20"/>
        <w:ind w:left="700"/>
      </w:pPr>
      <w:r>
        <w:rPr>
          <w:sz w:val="18"/>
        </w:rPr>
        <w:t>Chute significative du résultat net de 45% à 2,2 milliards FCFA</w:t>
      </w:r>
    </w:p>
    <w:p>
      <w:pPr>
        <w:pStyle w:val="ListBullet"/>
        <w:spacing w:before="20" w:after="20"/>
        <w:ind w:left="700"/>
      </w:pPr>
      <w:r>
        <w:rPr>
          <w:sz w:val="18"/>
        </w:rPr>
        <w:t>Baisse du résultat des activités ordinaires de 32%</w:t>
      </w:r>
    </w:p>
    <w:p>
      <w:pPr>
        <w:pStyle w:val="ListBullet"/>
        <w:spacing w:before="20" w:after="20"/>
        <w:ind w:left="700"/>
      </w:pPr>
      <w:r>
        <w:rPr>
          <w:sz w:val="18"/>
        </w:rPr>
        <w:t>Impact majeur de l'inflation sur les coûts de production</w:t>
      </w:r>
    </w:p>
    <w:p>
      <w:pPr>
        <w:pStyle w:val="ListBullet"/>
        <w:spacing w:before="20" w:after="20"/>
        <w:ind w:left="700"/>
      </w:pPr>
      <w:r>
        <w:rPr>
          <w:sz w:val="18"/>
        </w:rPr>
        <w:t>Performance commerciale forte à l'export et localement</w:t>
      </w:r>
    </w:p>
    <w:p>
      <w:pPr>
        <w:pStyle w:val="ListBullet"/>
        <w:spacing w:before="20" w:after="20"/>
        <w:ind w:left="700"/>
      </w:pPr>
      <w:r>
        <w:rPr>
          <w:sz w:val="18"/>
        </w:rPr>
        <w:t>Croissance observée sur toutes les catégories de produits</w:t>
      </w:r>
    </w:p>
    <w:p>
      <w:pPr>
        <w:spacing w:before="40"/>
        <w:ind w:left="400"/>
      </w:pPr>
      <w:r>
        <w:rPr>
          <w:b/>
          <w:color w:val="C05000"/>
          <w:sz w:val="18"/>
        </w:rPr>
        <w:t xml:space="preserve">⚠️ Risques : </w:t>
      </w:r>
      <w:r>
        <w:rPr>
          <w:sz w:val="18"/>
        </w:rPr>
        <w:t>["Persistance de l'inflation sur les mati\u00e8res premi\u00e8res et co\u00fbts de transport", "Pression continue sur les marges op\u00e9rationnelles", "Risque de d\u00e9t\u00e9rioration suppl\u00e9mentaire de la rentabilit\u00e9 si l'inflation perdure"]</w:t>
      </w:r>
    </w:p>
    <w:p>
      <w:pPr>
        <w:spacing w:before="40"/>
        <w:ind w:left="400"/>
      </w:pPr>
      <w:r>
        <w:rPr>
          <w:b/>
          <w:color w:val="0064A0"/>
          <w:sz w:val="18"/>
        </w:rPr>
        <w:t xml:space="preserve">🔮 Perspectives : </w:t>
      </w:r>
      <w:r>
        <w:rPr>
          <w:sz w:val="18"/>
        </w:rPr>
        <w:t>L'amélioration des perspectives dépendra largement de l'évolution du contexte inflationniste et de la capacité de l'entreprise à répercuter les hausses de coûts sur ses prix de vente. La stratégie de résilience mise en place et la forte dynamique commerciale constituent des atouts pour naviguer dans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"Croissance solide du chiffre d'affaires et bonne performance op\u00e9rationnelle, mais rentabilit\u00e9 nette sous pression. L'am\u00e9lioration s\u00e9quentielle du T2 et les mesures d'adaptation aux d\u00e9fis \u00e9conomiques justifient une position d'attente."}</w:t>
      </w:r>
    </w:p>
    <w:p>
      <w:pPr>
        <w:spacing w:before="40"/>
        <w:ind w:left="400"/>
      </w:pPr>
      <w:r>
        <w:rPr>
          <w:sz w:val="18"/>
        </w:rPr>
        <w:t>Nestlé Côte d'Ivoire affiche une solide performance au premier semestre 2022 avec un chiffre d'affaires en hausse de 17,95% à 116,5 milliards FCFA. Le résultat d'exploitation progresse de 14,92% à 18,9 milliards FCFA, témoignant d'une bonne maîtrise opérationnelle. Cependant, le résultat net recule de 8,37% à 10,2 milliards FCFA, impacté par une hausse significative de la charge fiscale et des coûts financiers. La croissance des ventes locales de 19,43% démontre la solidité du positionnement de l'entreprise sur le marché ivoirien. L'entreprise fait face aux défis de la hausse des matières premières et de la dépréciation du FCFA face au dollar.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'5,52 milliards FCFA', 'marge_exploitation': '16,22%', 'resultat_exploitation': '18,9 milliards FCFA', 'resultat_activites_ordinaires': '16,5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8,77%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116,5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17,95% au S1 2022 (116,5 Mds FCFA)</w:t>
      </w:r>
    </w:p>
    <w:p>
      <w:pPr>
        <w:pStyle w:val="ListBullet"/>
        <w:spacing w:before="20" w:after="20"/>
        <w:ind w:left="700"/>
      </w:pPr>
      <w:r>
        <w:rPr>
          <w:sz w:val="18"/>
        </w:rPr>
        <w:t>Ventes locales dynamiques avec une progression de 19,43%</w:t>
      </w:r>
    </w:p>
    <w:p>
      <w:pPr>
        <w:pStyle w:val="ListBullet"/>
        <w:spacing w:before="20" w:after="20"/>
        <w:ind w:left="700"/>
      </w:pPr>
      <w:r>
        <w:rPr>
          <w:sz w:val="18"/>
        </w:rPr>
        <w:t>Résultat d'exploitation en hausse de 14,92% (18,9 Mds FCFA)</w:t>
      </w:r>
    </w:p>
    <w:p>
      <w:pPr>
        <w:pStyle w:val="ListBullet"/>
        <w:spacing w:before="20" w:after="20"/>
        <w:ind w:left="700"/>
      </w:pPr>
      <w:r>
        <w:rPr>
          <w:sz w:val="18"/>
        </w:rPr>
        <w:t>Résultat net en baisse de 8,37% (10,2 Mds FCFA) malgré la croissance du CA</w:t>
      </w:r>
    </w:p>
    <w:p>
      <w:pPr>
        <w:pStyle w:val="ListBullet"/>
        <w:spacing w:before="20" w:after="20"/>
        <w:ind w:left="700"/>
      </w:pPr>
      <w:r>
        <w:rPr>
          <w:sz w:val="18"/>
        </w:rPr>
        <w:t>Forte hausse de la charge fiscale (+72,14% à 6,3 Mds FCFA)</w:t>
      </w:r>
    </w:p>
    <w:p>
      <w:pPr>
        <w:pStyle w:val="ListBullet"/>
        <w:spacing w:before="20" w:after="20"/>
        <w:ind w:left="700"/>
      </w:pPr>
      <w:r>
        <w:rPr>
          <w:sz w:val="18"/>
        </w:rPr>
        <w:t>Détérioration du résultat financier (+42,97% de charges à 2,4 Mds FCFA)</w:t>
      </w:r>
    </w:p>
    <w:p>
      <w:pPr>
        <w:spacing w:before="40"/>
        <w:ind w:left="400"/>
      </w:pPr>
      <w:r>
        <w:rPr>
          <w:b/>
          <w:color w:val="C05000"/>
          <w:sz w:val="18"/>
        </w:rPr>
        <w:t xml:space="preserve">⚠️ Risques : </w:t>
      </w:r>
      <w:r>
        <w:rPr>
          <w:sz w:val="18"/>
        </w:rPr>
        <w:t>["Hausse continue des prix des mati\u00e8res premi\u00e8res impactant les marges", "D\u00e9pr\u00e9ciation du FCFA face au dollar am\u00e9ricain augmentant les co\u00fbts d'importation", "Pression fiscale croissante avec une charge d'imp\u00f4t en forte hausse"]</w:t>
      </w:r>
    </w:p>
    <w:p>
      <w:pPr>
        <w:spacing w:before="40"/>
        <w:ind w:left="400"/>
      </w:pPr>
      <w:r>
        <w:rPr>
          <w:b/>
          <w:color w:val="0064A0"/>
          <w:sz w:val="18"/>
        </w:rPr>
        <w:t xml:space="preserve">🔮 Perspectives : </w:t>
      </w:r>
      <w:r>
        <w:rPr>
          <w:sz w:val="18"/>
        </w:rPr>
        <w:t>L'entreprise anticipe de continuer ses actions pour minimiser l'impact de la hausse des matières premières et de la dépréciation du FCFA au second semestre 2022. La dynamique positive des ventes locales et l'amélioration séquentielle du résultat net au T2 laissent entrevoir une stabilisation progres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croissance soutenue du CA et ma\u00eetrise des co\u00fbts, mais vigilance requise sur l'\u00e9volution de la fiscalit\u00e9 et des co\u00fbts financiers. L'am\u00e9lioration s\u00e9quentielle Q2 vs Q1 confirme la capacit\u00e9 d'adaptation de l'entreprise."}</w:t>
      </w:r>
    </w:p>
    <w:p>
      <w:pPr>
        <w:spacing w:before="40"/>
        <w:ind w:left="400"/>
      </w:pPr>
      <w:r>
        <w:rPr>
          <w:sz w:val="18"/>
        </w:rPr>
        <w:t>Nestlé Côte d'Ivoire affiche une solide performance au premier semestre 2022 avec un chiffre d'affaires en hausse de 17,95% à 116,5 milliards FCFA. Le résultat d'exploitation progresse de 14,92% grâce aux mesures de maîtrise des coûts face à la hausse des matières premières. Cependant, le résultat net recule de 8,37% à 10,2 milliards FCFA en raison d'une charge d'impôt significativement plus élevée (+72,14%). L'entreprise démontre sa résilience avec une amélioration notable du résultat net au 2ème trimestre (8 milliards FCFA vs 2,2 milliards au 1er trimestre). La société reste confiante malgré les défis macroéconomiques persistants.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'5,5 milliards FCFA', 'resultat_exploitation': '18,9 milliards FCFA', 'resultat_activites_ordinaires': '16,5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8,77%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116,5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17,95% portée par les ventes locales (+19,43%)</w:t>
      </w:r>
    </w:p>
    <w:p>
      <w:pPr>
        <w:pStyle w:val="ListBullet"/>
        <w:spacing w:before="20" w:after="20"/>
        <w:ind w:left="700"/>
      </w:pPr>
      <w:r>
        <w:rPr>
          <w:sz w:val="18"/>
        </w:rPr>
        <w:t>Résultat d'exploitation en hausse de 14,92% démontrant l'efficacité opérationnelle</w:t>
      </w:r>
    </w:p>
    <w:p>
      <w:pPr>
        <w:pStyle w:val="ListBullet"/>
        <w:spacing w:before="20" w:after="20"/>
        <w:ind w:left="700"/>
      </w:pPr>
      <w:r>
        <w:rPr>
          <w:sz w:val="18"/>
        </w:rPr>
        <w:t>Résultat financier négatif qui se détériore de 42,97% impactant la rentabilité</w:t>
      </w:r>
    </w:p>
    <w:p>
      <w:pPr>
        <w:pStyle w:val="ListBullet"/>
        <w:spacing w:before="20" w:after="20"/>
        <w:ind w:left="700"/>
      </w:pPr>
      <w:r>
        <w:rPr>
          <w:sz w:val="18"/>
        </w:rPr>
        <w:t>Charge d'impôt en forte hausse de 72,14% pesant sur le résultat net</w:t>
      </w:r>
    </w:p>
    <w:p>
      <w:pPr>
        <w:pStyle w:val="ListBullet"/>
        <w:spacing w:before="20" w:after="20"/>
        <w:ind w:left="700"/>
      </w:pPr>
      <w:r>
        <w:rPr>
          <w:sz w:val="18"/>
        </w:rPr>
        <w:t>Amélioration séquentielle notable entre Q1 et Q2 2022</w:t>
      </w:r>
    </w:p>
    <w:p>
      <w:pPr>
        <w:pStyle w:val="ListBullet"/>
        <w:spacing w:before="20" w:after="20"/>
        <w:ind w:left="700"/>
      </w:pPr>
      <w:r>
        <w:rPr>
          <w:sz w:val="18"/>
        </w:rPr>
        <w:t>Maîtrise des coûts de production face à l'inflation des matières premières</w:t>
      </w:r>
    </w:p>
    <w:p>
      <w:pPr>
        <w:spacing w:before="40"/>
        <w:ind w:left="400"/>
      </w:pPr>
      <w:r>
        <w:rPr>
          <w:b/>
          <w:color w:val="C05000"/>
          <w:sz w:val="18"/>
        </w:rPr>
        <w:t xml:space="preserve">⚠️ Risques : </w:t>
      </w:r>
      <w:r>
        <w:rPr>
          <w:sz w:val="18"/>
        </w:rPr>
        <w:t>["Volatilit\u00e9 continue des prix des mati\u00e8res premi\u00e8res impactant les marges", "D\u00e9pr\u00e9ciation du FCFA face au dollar augmentant les co\u00fbts d'importation", "Pression fiscale \u00e9lev\u00e9e avec une charge d'imp\u00f4t en forte progression"]</w:t>
      </w:r>
    </w:p>
    <w:p>
      <w:pPr>
        <w:spacing w:before="40"/>
        <w:ind w:left="400"/>
      </w:pPr>
      <w:r>
        <w:rPr>
          <w:b/>
          <w:color w:val="0064A0"/>
          <w:sz w:val="18"/>
        </w:rPr>
        <w:t xml:space="preserve">🔮 Perspectives : </w:t>
      </w:r>
      <w:r>
        <w:rPr>
          <w:sz w:val="18"/>
        </w:rPr>
        <w:t>Nestlé CI anticipe un second semestre 2022 sous pression avec la persistance de l'inflation des matières premières et la faiblesse du FCFA. L'entreprise mise sur la poursuite de ses actions d'optimisation pour minimiser les impacts négatifs et maintenir sa trajectoire de croissance.</w:t>
      </w:r>
    </w:p>
    <w:p/>
    <w:p>
      <w:r>
        <w:t>════════════════════════════════════════════════════════════════════════════════</w:t>
      </w:r>
    </w:p>
    <w:p>
      <w:r>
        <w:br w:type="page"/>
      </w:r>
    </w:p>
    <w:p>
      <w:pPr>
        <w:pStyle w:val="Heading2"/>
        <w:spacing w:before="360"/>
      </w:pPr>
      <w:r>
        <w:rPr>
          <w:color w:val="0066CC"/>
        </w:rPr>
        <w:t>23. ONTBF - ONTBF - ONATEL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ONTBF</w:t>
            </w:r>
          </w:p>
          <w:p>
            <w:r>
              <w:rPr>
                <w:b/>
                <w:color w:val="323250"/>
                <w:sz w:val="16"/>
              </w:rPr>
              <w:t xml:space="preserve">Société : </w:t>
            </w:r>
            <w:r>
              <w:rPr>
                <w:color w:val="000000"/>
                <w:sz w:val="16"/>
              </w:rPr>
              <w:t>ONTBF - ONATEL BURKINA FASO</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197.20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6,381 titres</w:t>
            </w:r>
          </w:p>
        </w:tc>
        <w:tc>
          <w:tcPr>
            <w:tcW w:type="dxa" w:w="2268"/>
            <w:shd w:fill="FFF2CC" w:val="clear"/>
          </w:tcPr>
          <w:p>
            <w:r>
              <w:rPr>
                <w:b/>
                <w:color w:val="503200"/>
                <w:sz w:val="16"/>
              </w:rPr>
              <w:t xml:space="preserve">Cours actuel : </w:t>
            </w:r>
            <w:r>
              <w:rPr>
                <w:color w:val="000000"/>
                <w:sz w:val="17"/>
              </w:rPr>
              <w:t>2,900 FCFA</w:t>
            </w:r>
          </w:p>
          <w:p>
            <w:r>
              <w:rPr>
                <w:b/>
                <w:color w:val="503200"/>
                <w:sz w:val="16"/>
              </w:rPr>
              <w:t xml:space="preserve">Var. 100 jours : </w:t>
            </w:r>
            <w:r>
              <w:rPr>
                <w:b/>
                <w:color w:val="007800"/>
                <w:sz w:val="17"/>
              </w:rPr>
              <w:t>+1.75%</w:t>
            </w:r>
          </w:p>
          <w:p>
            <w:r>
              <w:rPr>
                <w:b/>
                <w:color w:val="503200"/>
                <w:sz w:val="16"/>
              </w:rPr>
              <w:t xml:space="preserve">Plus haut 100j : </w:t>
            </w:r>
            <w:r>
              <w:rPr>
                <w:color w:val="000000"/>
                <w:sz w:val="17"/>
              </w:rPr>
              <w:t>3,070 FCFA</w:t>
            </w:r>
          </w:p>
          <w:p>
            <w:r>
              <w:rPr>
                <w:b/>
                <w:color w:val="503200"/>
                <w:sz w:val="16"/>
              </w:rPr>
              <w:t xml:space="preserve">Plus bas 100j : </w:t>
            </w:r>
            <w:r>
              <w:rPr>
                <w:color w:val="000000"/>
                <w:sz w:val="17"/>
              </w:rPr>
              <w:t>2,675 FCFA</w:t>
            </w:r>
          </w:p>
          <w:p>
            <w:r>
              <w:rPr>
                <w:b/>
                <w:color w:val="503200"/>
                <w:sz w:val="16"/>
              </w:rPr>
              <w:t xml:space="preserve">Volatilité ann. : </w:t>
            </w:r>
            <w:r>
              <w:rPr>
                <w:color w:val="000000"/>
                <w:sz w:val="17"/>
              </w:rPr>
              <w:t>35.5%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9.5/100 → Faible</w:t>
      </w:r>
    </w:p>
    <w:p>
      <w:pPr>
        <w:spacing w:before="40" w:after="80"/>
      </w:pPr>
      <w:r>
        <w:rPr>
          <w:rFonts w:ascii="Courier New" w:hAnsi="Courier New"/>
          <w:color w:val="006400"/>
          <w:sz w:val="18"/>
        </w:rPr>
        <w:t>█░░░░░░░░░░░░░░░░░░░  9.5/100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2.93% (Faible) — μ=2,864 FCFA, σ=84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β=0.3780 (Défensif) — Cov=0.000028, Var(idx)=0.000075, ρ=0.148,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6,381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Achat=2 / Vente=0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σ_j=2.24%/j (Stable) — Vol. annualisée≈35.5%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635585"/>
            <wp:docPr id="25" name="Picture 25"/>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2026-10-16</w:t>
            </w:r>
          </w:p>
        </w:tc>
        <w:tc>
          <w:tcPr>
            <w:tcW w:type="dxa" w:w="1440"/>
            <w:shd w:fill="FAFAFA" w:val="clear"/>
          </w:tcPr>
          <w:p>
            <w:r>
              <w:rPr>
                <w:sz w:val="17"/>
              </w:rPr>
              <w:t>2,812</w:t>
            </w:r>
          </w:p>
        </w:tc>
        <w:tc>
          <w:tcPr>
            <w:tcW w:type="dxa" w:w="1440"/>
            <w:shd w:fill="FAFAFA" w:val="clear"/>
          </w:tcPr>
          <w:p>
            <w:r>
              <w:rPr>
                <w:b/>
                <w:sz w:val="17"/>
              </w:rPr>
              <w:t>2,944</w:t>
            </w:r>
          </w:p>
        </w:tc>
        <w:tc>
          <w:tcPr>
            <w:tcW w:type="dxa" w:w="1440"/>
            <w:shd w:fill="FAFAFA" w:val="clear"/>
          </w:tcPr>
          <w:p>
            <w:r>
              <w:rPr>
                <w:sz w:val="17"/>
              </w:rPr>
              <w:t>3,075</w:t>
            </w:r>
          </w:p>
        </w:tc>
        <w:tc>
          <w:tcPr>
            <w:tcW w:type="dxa" w:w="1440"/>
            <w:shd w:fill="FAFAFA" w:val="clear"/>
          </w:tcPr>
          <w:p>
            <w:r>
              <w:rPr>
                <w:b/>
                <w:color w:val="008000"/>
                <w:sz w:val="17"/>
              </w:rPr>
              <w:t>+1.5%</w:t>
            </w:r>
          </w:p>
        </w:tc>
      </w:tr>
      <w:tr>
        <w:tc>
          <w:tcPr>
            <w:tcW w:type="dxa" w:w="1440"/>
            <w:shd w:fill="FAFAFA" w:val="clear"/>
          </w:tcPr>
          <w:p>
            <w:r>
              <w:rPr>
                <w:sz w:val="17"/>
              </w:rPr>
              <w:t>J+2  Moyenne</w:t>
            </w:r>
          </w:p>
        </w:tc>
        <w:tc>
          <w:tcPr>
            <w:tcW w:type="dxa" w:w="1440"/>
            <w:shd w:fill="FAFAFA" w:val="clear"/>
          </w:tcPr>
          <w:p>
            <w:r>
              <w:rPr>
                <w:sz w:val="17"/>
              </w:rPr>
              <w:t>2026-10-19</w:t>
            </w:r>
          </w:p>
        </w:tc>
        <w:tc>
          <w:tcPr>
            <w:tcW w:type="dxa" w:w="1440"/>
            <w:shd w:fill="FAFAFA" w:val="clear"/>
          </w:tcPr>
          <w:p>
            <w:r>
              <w:rPr>
                <w:sz w:val="17"/>
              </w:rPr>
              <w:t>2,746</w:t>
            </w:r>
          </w:p>
        </w:tc>
        <w:tc>
          <w:tcPr>
            <w:tcW w:type="dxa" w:w="1440"/>
            <w:shd w:fill="FAFAFA" w:val="clear"/>
          </w:tcPr>
          <w:p>
            <w:r>
              <w:rPr>
                <w:b/>
                <w:sz w:val="17"/>
              </w:rPr>
              <w:t>2,931</w:t>
            </w:r>
          </w:p>
        </w:tc>
        <w:tc>
          <w:tcPr>
            <w:tcW w:type="dxa" w:w="1440"/>
            <w:shd w:fill="FAFAFA" w:val="clear"/>
          </w:tcPr>
          <w:p>
            <w:r>
              <w:rPr>
                <w:sz w:val="17"/>
              </w:rPr>
              <w:t>3,116</w:t>
            </w:r>
          </w:p>
        </w:tc>
        <w:tc>
          <w:tcPr>
            <w:tcW w:type="dxa" w:w="1440"/>
            <w:shd w:fill="FAFAFA" w:val="clear"/>
          </w:tcPr>
          <w:p>
            <w:r>
              <w:rPr>
                <w:b/>
                <w:color w:val="008000"/>
                <w:sz w:val="17"/>
              </w:rPr>
              <w:t>+1.1%</w:t>
            </w:r>
          </w:p>
        </w:tc>
      </w:tr>
      <w:tr>
        <w:tc>
          <w:tcPr>
            <w:tcW w:type="dxa" w:w="1440"/>
            <w:shd w:fill="FAFAFA" w:val="clear"/>
          </w:tcPr>
          <w:p>
            <w:r>
              <w:rPr>
                <w:sz w:val="17"/>
              </w:rPr>
              <w:t>J+3  Moyenne</w:t>
            </w:r>
          </w:p>
        </w:tc>
        <w:tc>
          <w:tcPr>
            <w:tcW w:type="dxa" w:w="1440"/>
            <w:shd w:fill="FAFAFA" w:val="clear"/>
          </w:tcPr>
          <w:p>
            <w:r>
              <w:rPr>
                <w:sz w:val="17"/>
              </w:rPr>
              <w:t>2026-10-20</w:t>
            </w:r>
          </w:p>
        </w:tc>
        <w:tc>
          <w:tcPr>
            <w:tcW w:type="dxa" w:w="1440"/>
            <w:shd w:fill="FAFAFA" w:val="clear"/>
          </w:tcPr>
          <w:p>
            <w:r>
              <w:rPr>
                <w:sz w:val="17"/>
              </w:rPr>
              <w:t>2,697</w:t>
            </w:r>
          </w:p>
        </w:tc>
        <w:tc>
          <w:tcPr>
            <w:tcW w:type="dxa" w:w="1440"/>
            <w:shd w:fill="FAFAFA" w:val="clear"/>
          </w:tcPr>
          <w:p>
            <w:r>
              <w:rPr>
                <w:b/>
                <w:sz w:val="17"/>
              </w:rPr>
              <w:t>2,923</w:t>
            </w:r>
          </w:p>
        </w:tc>
        <w:tc>
          <w:tcPr>
            <w:tcW w:type="dxa" w:w="1440"/>
            <w:shd w:fill="FAFAFA" w:val="clear"/>
          </w:tcPr>
          <w:p>
            <w:r>
              <w:rPr>
                <w:sz w:val="17"/>
              </w:rPr>
              <w:t>3,150</w:t>
            </w:r>
          </w:p>
        </w:tc>
        <w:tc>
          <w:tcPr>
            <w:tcW w:type="dxa" w:w="1440"/>
            <w:shd w:fill="FAFAFA" w:val="clear"/>
          </w:tcPr>
          <w:p>
            <w:r>
              <w:rPr>
                <w:b/>
                <w:color w:val="008000"/>
                <w:sz w:val="17"/>
              </w:rPr>
              <w:t>+0.8%</w:t>
            </w:r>
          </w:p>
        </w:tc>
      </w:tr>
      <w:tr>
        <w:tc>
          <w:tcPr>
            <w:tcW w:type="dxa" w:w="1440"/>
            <w:shd w:fill="FAFAFA" w:val="clear"/>
          </w:tcPr>
          <w:p>
            <w:r>
              <w:rPr>
                <w:sz w:val="17"/>
              </w:rPr>
              <w:t>J+4  ⭐</w:t>
            </w:r>
          </w:p>
        </w:tc>
        <w:tc>
          <w:tcPr>
            <w:tcW w:type="dxa" w:w="1440"/>
            <w:shd w:fill="FAFAFA" w:val="clear"/>
          </w:tcPr>
          <w:p>
            <w:r>
              <w:rPr>
                <w:sz w:val="17"/>
              </w:rPr>
              <w:t>2026-10-21</w:t>
            </w:r>
          </w:p>
        </w:tc>
        <w:tc>
          <w:tcPr>
            <w:tcW w:type="dxa" w:w="1440"/>
            <w:shd w:fill="FAFAFA" w:val="clear"/>
          </w:tcPr>
          <w:p>
            <w:r>
              <w:rPr>
                <w:sz w:val="17"/>
              </w:rPr>
              <w:t>2,656</w:t>
            </w:r>
          </w:p>
        </w:tc>
        <w:tc>
          <w:tcPr>
            <w:tcW w:type="dxa" w:w="1440"/>
            <w:shd w:fill="FAFAFA" w:val="clear"/>
          </w:tcPr>
          <w:p>
            <w:r>
              <w:rPr>
                <w:b/>
                <w:sz w:val="17"/>
              </w:rPr>
              <w:t>2,916</w:t>
            </w:r>
          </w:p>
        </w:tc>
        <w:tc>
          <w:tcPr>
            <w:tcW w:type="dxa" w:w="1440"/>
            <w:shd w:fill="FAFAFA" w:val="clear"/>
          </w:tcPr>
          <w:p>
            <w:r>
              <w:rPr>
                <w:sz w:val="17"/>
              </w:rPr>
              <w:t>3,177</w:t>
            </w:r>
          </w:p>
        </w:tc>
        <w:tc>
          <w:tcPr>
            <w:tcW w:type="dxa" w:w="1440"/>
            <w:shd w:fill="FAFAFA" w:val="clear"/>
          </w:tcPr>
          <w:p>
            <w:r>
              <w:rPr>
                <w:b/>
                <w:color w:val="008000"/>
                <w:sz w:val="17"/>
              </w:rPr>
              <w:t>+0.6%</w:t>
            </w:r>
          </w:p>
        </w:tc>
      </w:tr>
      <w:tr>
        <w:tc>
          <w:tcPr>
            <w:tcW w:type="dxa" w:w="1440"/>
            <w:shd w:fill="FAFAFA" w:val="clear"/>
          </w:tcPr>
          <w:p>
            <w:r>
              <w:rPr>
                <w:sz w:val="17"/>
              </w:rPr>
              <w:t>J+5  ⭐</w:t>
            </w:r>
          </w:p>
        </w:tc>
        <w:tc>
          <w:tcPr>
            <w:tcW w:type="dxa" w:w="1440"/>
            <w:shd w:fill="FAFAFA" w:val="clear"/>
          </w:tcPr>
          <w:p>
            <w:r>
              <w:rPr>
                <w:sz w:val="17"/>
              </w:rPr>
              <w:t>2026-10-22</w:t>
            </w:r>
          </w:p>
        </w:tc>
        <w:tc>
          <w:tcPr>
            <w:tcW w:type="dxa" w:w="1440"/>
            <w:shd w:fill="FAFAFA" w:val="clear"/>
          </w:tcPr>
          <w:p>
            <w:r>
              <w:rPr>
                <w:sz w:val="17"/>
              </w:rPr>
              <w:t>2,619</w:t>
            </w:r>
          </w:p>
        </w:tc>
        <w:tc>
          <w:tcPr>
            <w:tcW w:type="dxa" w:w="1440"/>
            <w:shd w:fill="FAFAFA" w:val="clear"/>
          </w:tcPr>
          <w:p>
            <w:r>
              <w:rPr>
                <w:b/>
                <w:sz w:val="17"/>
              </w:rPr>
              <w:t>2,909</w:t>
            </w:r>
          </w:p>
        </w:tc>
        <w:tc>
          <w:tcPr>
            <w:tcW w:type="dxa" w:w="1440"/>
            <w:shd w:fill="FAFAFA" w:val="clear"/>
          </w:tcPr>
          <w:p>
            <w:r>
              <w:rPr>
                <w:sz w:val="17"/>
              </w:rPr>
              <w:t>3,200</w:t>
            </w:r>
          </w:p>
        </w:tc>
        <w:tc>
          <w:tcPr>
            <w:tcW w:type="dxa" w:w="1440"/>
            <w:shd w:fill="FAFAFA" w:val="clear"/>
          </w:tcPr>
          <w:p>
            <w:r>
              <w:rPr>
                <w:b/>
                <w:color w:val="008000"/>
                <w:sz w:val="17"/>
              </w:rPr>
              <w:t>+0.3%</w:t>
            </w:r>
          </w:p>
        </w:tc>
      </w:tr>
      <w:tr>
        <w:tc>
          <w:tcPr>
            <w:tcW w:type="dxa" w:w="1440"/>
            <w:shd w:fill="FAFAFA" w:val="clear"/>
          </w:tcPr>
          <w:p>
            <w:r>
              <w:rPr>
                <w:sz w:val="17"/>
              </w:rPr>
              <w:t>J+6  ⭐</w:t>
            </w:r>
          </w:p>
        </w:tc>
        <w:tc>
          <w:tcPr>
            <w:tcW w:type="dxa" w:w="1440"/>
            <w:shd w:fill="FAFAFA" w:val="clear"/>
          </w:tcPr>
          <w:p>
            <w:r>
              <w:rPr>
                <w:sz w:val="17"/>
              </w:rPr>
              <w:t>2026-10-23</w:t>
            </w:r>
          </w:p>
        </w:tc>
        <w:tc>
          <w:tcPr>
            <w:tcW w:type="dxa" w:w="1440"/>
            <w:shd w:fill="FAFAFA" w:val="clear"/>
          </w:tcPr>
          <w:p>
            <w:r>
              <w:rPr>
                <w:sz w:val="17"/>
              </w:rPr>
              <w:t>2,585</w:t>
            </w:r>
          </w:p>
        </w:tc>
        <w:tc>
          <w:tcPr>
            <w:tcW w:type="dxa" w:w="1440"/>
            <w:shd w:fill="FAFAFA" w:val="clear"/>
          </w:tcPr>
          <w:p>
            <w:r>
              <w:rPr>
                <w:b/>
                <w:sz w:val="17"/>
              </w:rPr>
              <w:t>2,902</w:t>
            </w:r>
          </w:p>
        </w:tc>
        <w:tc>
          <w:tcPr>
            <w:tcW w:type="dxa" w:w="1440"/>
            <w:shd w:fill="FAFAFA" w:val="clear"/>
          </w:tcPr>
          <w:p>
            <w:r>
              <w:rPr>
                <w:sz w:val="17"/>
              </w:rPr>
              <w:t>3,220</w:t>
            </w:r>
          </w:p>
        </w:tc>
        <w:tc>
          <w:tcPr>
            <w:tcW w:type="dxa" w:w="1440"/>
            <w:shd w:fill="FAFAFA" w:val="clear"/>
          </w:tcPr>
          <w:p>
            <w:r>
              <w:rPr>
                <w:b/>
                <w:color w:val="008000"/>
                <w:sz w:val="17"/>
              </w:rPr>
              <w:t>+0.1%</w:t>
            </w:r>
          </w:p>
        </w:tc>
      </w:tr>
      <w:tr>
        <w:tc>
          <w:tcPr>
            <w:tcW w:type="dxa" w:w="1440"/>
            <w:shd w:fill="FAFAFA" w:val="clear"/>
          </w:tcPr>
          <w:p>
            <w:r>
              <w:rPr>
                <w:sz w:val="17"/>
              </w:rPr>
              <w:t>J+7  ⭐</w:t>
            </w:r>
          </w:p>
        </w:tc>
        <w:tc>
          <w:tcPr>
            <w:tcW w:type="dxa" w:w="1440"/>
            <w:shd w:fill="FAFAFA" w:val="clear"/>
          </w:tcPr>
          <w:p>
            <w:r>
              <w:rPr>
                <w:sz w:val="17"/>
              </w:rPr>
              <w:t>2026-10-26</w:t>
            </w:r>
          </w:p>
        </w:tc>
        <w:tc>
          <w:tcPr>
            <w:tcW w:type="dxa" w:w="1440"/>
            <w:shd w:fill="FAFAFA" w:val="clear"/>
          </w:tcPr>
          <w:p>
            <w:r>
              <w:rPr>
                <w:sz w:val="17"/>
              </w:rPr>
              <w:t>2,553</w:t>
            </w:r>
          </w:p>
        </w:tc>
        <w:tc>
          <w:tcPr>
            <w:tcW w:type="dxa" w:w="1440"/>
            <w:shd w:fill="FAFAFA" w:val="clear"/>
          </w:tcPr>
          <w:p>
            <w:r>
              <w:rPr>
                <w:b/>
                <w:sz w:val="17"/>
              </w:rPr>
              <w:t>2,896</w:t>
            </w:r>
          </w:p>
        </w:tc>
        <w:tc>
          <w:tcPr>
            <w:tcW w:type="dxa" w:w="1440"/>
            <w:shd w:fill="FAFAFA" w:val="clear"/>
          </w:tcPr>
          <w:p>
            <w:r>
              <w:rPr>
                <w:sz w:val="17"/>
              </w:rPr>
              <w:t>3,238</w:t>
            </w:r>
          </w:p>
        </w:tc>
        <w:tc>
          <w:tcPr>
            <w:tcW w:type="dxa" w:w="1440"/>
            <w:shd w:fill="FAFAFA" w:val="clear"/>
          </w:tcPr>
          <w:p>
            <w:r>
              <w:rPr>
                <w:b/>
                <w:color w:val="C00000"/>
                <w:sz w:val="17"/>
              </w:rPr>
              <w:t>-0.2%</w:t>
            </w:r>
          </w:p>
        </w:tc>
      </w:tr>
      <w:tr>
        <w:tc>
          <w:tcPr>
            <w:tcW w:type="dxa" w:w="1440"/>
            <w:shd w:fill="FAFAFA" w:val="clear"/>
          </w:tcPr>
          <w:p>
            <w:r>
              <w:rPr>
                <w:sz w:val="17"/>
              </w:rPr>
              <w:t>J+8  ⭐</w:t>
            </w:r>
          </w:p>
        </w:tc>
        <w:tc>
          <w:tcPr>
            <w:tcW w:type="dxa" w:w="1440"/>
            <w:shd w:fill="FAFAFA" w:val="clear"/>
          </w:tcPr>
          <w:p>
            <w:r>
              <w:rPr>
                <w:sz w:val="17"/>
              </w:rPr>
              <w:t>2026-10-27</w:t>
            </w:r>
          </w:p>
        </w:tc>
        <w:tc>
          <w:tcPr>
            <w:tcW w:type="dxa" w:w="1440"/>
            <w:shd w:fill="FAFAFA" w:val="clear"/>
          </w:tcPr>
          <w:p>
            <w:r>
              <w:rPr>
                <w:sz w:val="17"/>
              </w:rPr>
              <w:t>2,524</w:t>
            </w:r>
          </w:p>
        </w:tc>
        <w:tc>
          <w:tcPr>
            <w:tcW w:type="dxa" w:w="1440"/>
            <w:shd w:fill="FAFAFA" w:val="clear"/>
          </w:tcPr>
          <w:p>
            <w:r>
              <w:rPr>
                <w:b/>
                <w:sz w:val="17"/>
              </w:rPr>
              <w:t>2,889</w:t>
            </w:r>
          </w:p>
        </w:tc>
        <w:tc>
          <w:tcPr>
            <w:tcW w:type="dxa" w:w="1440"/>
            <w:shd w:fill="FAFAFA" w:val="clear"/>
          </w:tcPr>
          <w:p>
            <w:r>
              <w:rPr>
                <w:sz w:val="17"/>
              </w:rPr>
              <w:t>3,254</w:t>
            </w:r>
          </w:p>
        </w:tc>
        <w:tc>
          <w:tcPr>
            <w:tcW w:type="dxa" w:w="1440"/>
            <w:shd w:fill="FAFAFA" w:val="clear"/>
          </w:tcPr>
          <w:p>
            <w:r>
              <w:rPr>
                <w:b/>
                <w:color w:val="C00000"/>
                <w:sz w:val="17"/>
              </w:rPr>
              <w:t>-0.4%</w:t>
            </w:r>
          </w:p>
        </w:tc>
      </w:tr>
      <w:tr>
        <w:tc>
          <w:tcPr>
            <w:tcW w:type="dxa" w:w="1440"/>
            <w:shd w:fill="FAFAFA" w:val="clear"/>
          </w:tcPr>
          <w:p>
            <w:r>
              <w:rPr>
                <w:sz w:val="17"/>
              </w:rPr>
              <w:t>J+9  ⭐</w:t>
            </w:r>
          </w:p>
        </w:tc>
        <w:tc>
          <w:tcPr>
            <w:tcW w:type="dxa" w:w="1440"/>
            <w:shd w:fill="FAFAFA" w:val="clear"/>
          </w:tcPr>
          <w:p>
            <w:r>
              <w:rPr>
                <w:sz w:val="17"/>
              </w:rPr>
              <w:t>2026-10-28</w:t>
            </w:r>
          </w:p>
        </w:tc>
        <w:tc>
          <w:tcPr>
            <w:tcW w:type="dxa" w:w="1440"/>
            <w:shd w:fill="FAFAFA" w:val="clear"/>
          </w:tcPr>
          <w:p>
            <w:r>
              <w:rPr>
                <w:sz w:val="17"/>
              </w:rPr>
              <w:t>2,496</w:t>
            </w:r>
          </w:p>
        </w:tc>
        <w:tc>
          <w:tcPr>
            <w:tcW w:type="dxa" w:w="1440"/>
            <w:shd w:fill="FAFAFA" w:val="clear"/>
          </w:tcPr>
          <w:p>
            <w:r>
              <w:rPr>
                <w:b/>
                <w:sz w:val="17"/>
              </w:rPr>
              <w:t>2,882</w:t>
            </w:r>
          </w:p>
        </w:tc>
        <w:tc>
          <w:tcPr>
            <w:tcW w:type="dxa" w:w="1440"/>
            <w:shd w:fill="FAFAFA" w:val="clear"/>
          </w:tcPr>
          <w:p>
            <w:r>
              <w:rPr>
                <w:sz w:val="17"/>
              </w:rPr>
              <w:t>3,269</w:t>
            </w:r>
          </w:p>
        </w:tc>
        <w:tc>
          <w:tcPr>
            <w:tcW w:type="dxa" w:w="1440"/>
            <w:shd w:fill="FAFAFA" w:val="clear"/>
          </w:tcPr>
          <w:p>
            <w:r>
              <w:rPr>
                <w:b/>
                <w:color w:val="C00000"/>
                <w:sz w:val="17"/>
              </w:rPr>
              <w:t>-0.6%</w:t>
            </w:r>
          </w:p>
        </w:tc>
      </w:tr>
      <w:tr>
        <w:tc>
          <w:tcPr>
            <w:tcW w:type="dxa" w:w="1440"/>
            <w:shd w:fill="FAFAFA" w:val="clear"/>
          </w:tcPr>
          <w:p>
            <w:r>
              <w:rPr>
                <w:sz w:val="17"/>
              </w:rPr>
              <w:t>J+10  ⭐</w:t>
            </w:r>
          </w:p>
        </w:tc>
        <w:tc>
          <w:tcPr>
            <w:tcW w:type="dxa" w:w="1440"/>
            <w:shd w:fill="FAFAFA" w:val="clear"/>
          </w:tcPr>
          <w:p>
            <w:r>
              <w:rPr>
                <w:sz w:val="17"/>
              </w:rPr>
              <w:t>2026-10-29</w:t>
            </w:r>
          </w:p>
        </w:tc>
        <w:tc>
          <w:tcPr>
            <w:tcW w:type="dxa" w:w="1440"/>
            <w:shd w:fill="FAFAFA" w:val="clear"/>
          </w:tcPr>
          <w:p>
            <w:r>
              <w:rPr>
                <w:sz w:val="17"/>
              </w:rPr>
              <w:t>2,470</w:t>
            </w:r>
          </w:p>
        </w:tc>
        <w:tc>
          <w:tcPr>
            <w:tcW w:type="dxa" w:w="1440"/>
            <w:shd w:fill="FAFAFA" w:val="clear"/>
          </w:tcPr>
          <w:p>
            <w:r>
              <w:rPr>
                <w:b/>
                <w:sz w:val="17"/>
              </w:rPr>
              <w:t>2,876</w:t>
            </w:r>
          </w:p>
        </w:tc>
        <w:tc>
          <w:tcPr>
            <w:tcW w:type="dxa" w:w="1440"/>
            <w:shd w:fill="FAFAFA" w:val="clear"/>
          </w:tcPr>
          <w:p>
            <w:r>
              <w:rPr>
                <w:sz w:val="17"/>
              </w:rPr>
              <w:t>3,282</w:t>
            </w:r>
          </w:p>
        </w:tc>
        <w:tc>
          <w:tcPr>
            <w:tcW w:type="dxa" w:w="1440"/>
            <w:shd w:fill="FAFAFA" w:val="clear"/>
          </w:tcPr>
          <w:p>
            <w:r>
              <w:rPr>
                <w:b/>
                <w:color w:val="C00000"/>
                <w:sz w:val="17"/>
              </w:rPr>
              <w:t>-0.8%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13.53 M FCFA</w:t>
            </w:r>
          </w:p>
        </w:tc>
        <w:tc>
          <w:tcPr>
            <w:tcW w:type="dxa" w:w="5669"/>
            <w:shd w:fill="FFFFFF" w:val="clear"/>
          </w:tcPr>
          <w:p>
            <w:r>
              <w:rPr>
                <w:color w:val="282828"/>
                <w:sz w:val="15"/>
              </w:rPr>
              <w:t>Titres d'État détenus (0.0% du bilan). Actif très sécurisé, source de liquidité secondaire.</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12.328 Mds FCFA</w:t>
            </w:r>
          </w:p>
        </w:tc>
        <w:tc>
          <w:tcPr>
            <w:tcW w:type="dxa" w:w="5669"/>
            <w:shd w:fill="FFFFFF" w:val="clear"/>
          </w:tcPr>
          <w:p>
            <w:r>
              <w:rPr>
                <w:color w:val="282828"/>
                <w:sz w:val="15"/>
              </w:rPr>
              <w:t>Créances clients = 8.4%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4.954 Mds FCFA</w:t>
            </w:r>
          </w:p>
        </w:tc>
        <w:tc>
          <w:tcPr>
            <w:tcW w:type="dxa" w:w="5669"/>
            <w:shd w:fill="FFFFFF" w:val="clear"/>
          </w:tcPr>
          <w:p>
            <w:r>
              <w:rPr>
                <w:color w:val="282828"/>
                <w:sz w:val="15"/>
              </w:rPr>
              <w:t>Rotation stocks = 29.5x/an.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53.763 Mds FCFA</w:t>
            </w:r>
          </w:p>
        </w:tc>
        <w:tc>
          <w:tcPr>
            <w:tcW w:type="dxa" w:w="5669"/>
            <w:shd w:fill="FFFFFF" w:val="clear"/>
          </w:tcPr>
          <w:p>
            <w:r>
              <w:rPr>
                <w:color w:val="282828"/>
                <w:sz w:val="15"/>
              </w:rPr>
              <w:t>Ratio actif circ./passif circ. = 0.36x.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56.460 Mds FCFA</w:t>
            </w:r>
          </w:p>
        </w:tc>
        <w:tc>
          <w:tcPr>
            <w:tcW w:type="dxa" w:w="5669"/>
            <w:shd w:fill="FFFFFF" w:val="clear"/>
          </w:tcPr>
          <w:p>
            <w:r>
              <w:rPr>
                <w:color w:val="282828"/>
                <w:sz w:val="15"/>
              </w:rPr>
              <w:t>Brevets, logiciels, fonds commercial (17.4%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152.954 Mds FCFA</w:t>
            </w:r>
          </w:p>
        </w:tc>
        <w:tc>
          <w:tcPr>
            <w:tcW w:type="dxa" w:w="5669"/>
            <w:shd w:fill="FFFFFF" w:val="clear"/>
          </w:tcPr>
          <w:p>
            <w:r>
              <w:rPr>
                <w:color w:val="282828"/>
                <w:sz w:val="15"/>
              </w:rPr>
              <w:t>Outil industriel (47.1%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210.691 Mds FCFA</w:t>
            </w:r>
          </w:p>
        </w:tc>
        <w:tc>
          <w:tcPr>
            <w:tcW w:type="dxa" w:w="5669"/>
            <w:shd w:fill="FFFFFF" w:val="clear"/>
          </w:tcPr>
          <w:p>
            <w:r>
              <w:rPr>
                <w:color w:val="282828"/>
                <w:sz w:val="15"/>
              </w:rPr>
              <w:t>Actif immobilisé = 64.8%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60.449 Mds FCFA</w:t>
            </w:r>
          </w:p>
        </w:tc>
        <w:tc>
          <w:tcPr>
            <w:tcW w:type="dxa" w:w="5669"/>
            <w:shd w:fill="FFFFFF" w:val="clear"/>
          </w:tcPr>
          <w:p>
            <w:r>
              <w:rPr>
                <w:color w:val="282828"/>
                <w:sz w:val="15"/>
              </w:rPr>
              <w:t>Liquidités disponibles (18.6%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324.902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6.800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57.542 Mds FCFA</w:t>
            </w:r>
          </w:p>
        </w:tc>
        <w:tc>
          <w:tcPr>
            <w:tcW w:type="dxa" w:w="5669"/>
            <w:shd w:fill="FFFFFF" w:val="clear"/>
          </w:tcPr>
          <w:p>
            <w:r>
              <w:rPr>
                <w:color w:val="282828"/>
                <w:sz w:val="15"/>
              </w:rPr>
              <w:t>Fonds propres = 17.7%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127.233 Mds FCFA</w:t>
            </w:r>
          </w:p>
        </w:tc>
        <w:tc>
          <w:tcPr>
            <w:tcW w:type="dxa" w:w="5669"/>
            <w:shd w:fill="FFFFFF" w:val="clear"/>
          </w:tcPr>
          <w:p>
            <w:r>
              <w:rPr>
                <w:color w:val="282828"/>
                <w:sz w:val="15"/>
              </w:rPr>
              <w:t>Capitaux permanents / Actif immobilisé = 0.60x. ⚠️ Une partie des actifs LT est financée par des dettes CT — risque de liquidité.</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42.688 Mds FCFA</w:t>
            </w:r>
          </w:p>
        </w:tc>
        <w:tc>
          <w:tcPr>
            <w:tcW w:type="dxa" w:w="5669"/>
            <w:shd w:fill="FFFFFF" w:val="clear"/>
          </w:tcPr>
          <w:p>
            <w:r>
              <w:rPr>
                <w:color w:val="282828"/>
                <w:sz w:val="15"/>
              </w:rPr>
              <w:t>Dépôts clients = 13.1% du bilan. ℹ️ Dépôts modérés — compléter par d'autres ressources.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21.592 Mds FCFA</w:t>
            </w:r>
          </w:p>
        </w:tc>
        <w:tc>
          <w:tcPr>
            <w:tcW w:type="dxa" w:w="5669"/>
            <w:shd w:fill="FFFFFF" w:val="clear"/>
          </w:tcPr>
          <w:p>
            <w:r>
              <w:rPr>
                <w:color w:val="282828"/>
                <w:sz w:val="15"/>
              </w:rPr>
              <w:t>Délai fournisseurs implicite ≈ 54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57.796 Mds FCFA</w:t>
            </w:r>
          </w:p>
        </w:tc>
        <w:tc>
          <w:tcPr>
            <w:tcW w:type="dxa" w:w="5669"/>
            <w:shd w:fill="FFFFFF" w:val="clear"/>
          </w:tcPr>
          <w:p>
            <w:r>
              <w:rPr>
                <w:color w:val="282828"/>
                <w:sz w:val="15"/>
              </w:rPr>
              <w:t>Dette LT/MT = 100%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107.596 Mds FCFA</w:t>
            </w:r>
          </w:p>
        </w:tc>
        <w:tc>
          <w:tcPr>
            <w:tcW w:type="dxa" w:w="5669"/>
            <w:shd w:fill="FFFFFF" w:val="clear"/>
          </w:tcPr>
          <w:p>
            <w:r>
              <w:rPr>
                <w:color w:val="282828"/>
                <w:sz w:val="15"/>
              </w:rPr>
              <w:t>Dette financière totale = 187% des fonds propres (gearing). ⚠️ Gearing élevé — risque financier accru.</w:t>
            </w:r>
          </w:p>
        </w:tc>
      </w:tr>
      <w:tr>
        <w:tc>
          <w:tcPr>
            <w:tcW w:type="dxa" w:w="2268"/>
            <w:shd w:fill="EEF2F7" w:val="clear"/>
          </w:tcPr>
          <w:p>
            <w:r>
              <w:rPr>
                <w:b/>
                <w:color w:val="1E1E3C"/>
                <w:sz w:val="16"/>
              </w:rPr>
              <w:t>Dettes totales</w:t>
            </w:r>
          </w:p>
        </w:tc>
        <w:tc>
          <w:tcPr>
            <w:tcW w:type="dxa" w:w="1984"/>
            <w:shd w:fill="FFEB9C" w:val="clear"/>
          </w:tcPr>
          <w:p>
            <w:r>
              <w:rPr>
                <w:b/>
                <w:color w:val="006400"/>
                <w:sz w:val="17"/>
              </w:rPr>
              <w:t>267.361 Mds FCFA</w:t>
            </w:r>
          </w:p>
        </w:tc>
        <w:tc>
          <w:tcPr>
            <w:tcW w:type="dxa" w:w="5669"/>
            <w:shd w:fill="FFFFFF" w:val="clear"/>
          </w:tcPr>
          <w:p>
            <w:r>
              <w:rPr>
                <w:color w:val="282828"/>
                <w:sz w:val="15"/>
              </w:rPr>
              <w:t>Dettes totales = 82.3%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146.177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146.177 Mds FCFA</w:t>
            </w:r>
          </w:p>
        </w:tc>
        <w:tc>
          <w:tcPr>
            <w:tcW w:type="dxa" w:w="5669"/>
            <w:shd w:fill="FFFFFF" w:val="clear"/>
          </w:tcPr>
          <w:p>
            <w:r>
              <w:rPr>
                <w:color w:val="282828"/>
                <w:sz w:val="15"/>
              </w:rPr>
              <w:t>Chiffre d'affaires. Croissance: 3.1%.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-73.410 Mds FCFA</w:t>
            </w:r>
          </w:p>
        </w:tc>
        <w:tc>
          <w:tcPr>
            <w:tcW w:type="dxa" w:w="5669"/>
            <w:shd w:fill="FFFFFF" w:val="clear"/>
          </w:tcPr>
          <w:p>
            <w:r>
              <w:rPr>
                <w:color w:val="282828"/>
                <w:sz w:val="15"/>
              </w:rPr>
              <w:t>-50.2%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-32.505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-16.845 Mds FCFA</w:t>
            </w:r>
          </w:p>
        </w:tc>
        <w:tc>
          <w:tcPr>
            <w:tcW w:type="dxa" w:w="5669"/>
            <w:shd w:fill="FFFFFF" w:val="clear"/>
          </w:tcPr>
          <w:p>
            <w:r>
              <w:rPr>
                <w:color w:val="282828"/>
                <w:sz w:val="15"/>
              </w:rPr>
              <w:t>Masse salariale = -11.5%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73.576 Mds FCFA</w:t>
            </w:r>
          </w:p>
        </w:tc>
        <w:tc>
          <w:tcPr>
            <w:tcW w:type="dxa" w:w="5669"/>
            <w:shd w:fill="FFFFFF" w:val="clear"/>
          </w:tcPr>
          <w:p>
            <w:r>
              <w:rPr>
                <w:color w:val="282828"/>
                <w:sz w:val="15"/>
              </w:rPr>
              <w:t>VA = 50.3%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56.731 Mds FCFA</w:t>
            </w:r>
          </w:p>
        </w:tc>
        <w:tc>
          <w:tcPr>
            <w:tcW w:type="dxa" w:w="5669"/>
            <w:shd w:fill="FFFFFF" w:val="clear"/>
          </w:tcPr>
          <w:p>
            <w:r>
              <w:rPr>
                <w:color w:val="282828"/>
                <w:sz w:val="15"/>
              </w:rPr>
              <w:t>EBE = 38.8%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56.731 Mds FCFA</w:t>
            </w:r>
          </w:p>
        </w:tc>
        <w:tc>
          <w:tcPr>
            <w:tcW w:type="dxa" w:w="5669"/>
            <w:shd w:fill="FFFFFF" w:val="clear"/>
          </w:tcPr>
          <w:p>
            <w:r>
              <w:rPr>
                <w:color w:val="282828"/>
                <w:sz w:val="15"/>
              </w:rPr>
              <w:t>RBE = 5673067780400.0%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25.665 Mds FCFA</w:t>
            </w:r>
          </w:p>
        </w:tc>
        <w:tc>
          <w:tcPr>
            <w:tcW w:type="dxa" w:w="5669"/>
            <w:shd w:fill="FFFFFF" w:val="clear"/>
          </w:tcPr>
          <w:p>
            <w:r>
              <w:rPr>
                <w:color w:val="282828"/>
                <w:sz w:val="15"/>
              </w:rPr>
              <w:t>Profit d'exploitation = 17.6%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-31.065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15.887 Mds FCFA</w:t>
            </w:r>
          </w:p>
        </w:tc>
        <w:tc>
          <w:tcPr>
            <w:tcW w:type="dxa" w:w="5669"/>
            <w:shd w:fill="FFFFFF" w:val="clear"/>
          </w:tcPr>
          <w:p>
            <w:r>
              <w:rPr>
                <w:color w:val="282828"/>
                <w:sz w:val="15"/>
              </w:rPr>
              <w:t>Marge nette = 10.9%.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46.952 Mds FCFA</w:t>
            </w:r>
          </w:p>
        </w:tc>
        <w:tc>
          <w:tcPr>
            <w:tcW w:type="dxa" w:w="5669"/>
            <w:shd w:fill="FFFFFF" w:val="clear"/>
          </w:tcPr>
          <w:p>
            <w:r>
              <w:rPr>
                <w:color w:val="282828"/>
                <w:sz w:val="15"/>
              </w:rPr>
              <w:t>CAF = 46.95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68.487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-45.224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-18.671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1.556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-94.101 Mds FCFA</w:t>
            </w:r>
          </w:p>
        </w:tc>
        <w:tc>
          <w:tcPr>
            <w:tcW w:type="dxa" w:w="5669"/>
            <w:shd w:fill="FFFFFF" w:val="clear"/>
          </w:tcPr>
          <w:p>
            <w:r>
              <w:rPr>
                <w:color w:val="282828"/>
                <w:sz w:val="15"/>
              </w:rPr>
              <w:t>BFR = -64.4%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-83.457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10.649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50.33%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10.87%</w:t>
            </w:r>
          </w:p>
        </w:tc>
        <w:tc>
          <w:tcPr>
            <w:tcW w:type="dxa" w:w="5669"/>
            <w:shd w:fill="FFFFFF" w:val="clear"/>
          </w:tcPr>
          <w:p>
            <w:r>
              <w:rPr>
                <w:color w:val="282828"/>
                <w:sz w:val="15"/>
              </w:rPr>
              <w:t>Résultat net / revenus = 10.87%.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17.56%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27.61%</w:t>
            </w:r>
          </w:p>
        </w:tc>
        <w:tc>
          <w:tcPr>
            <w:tcW w:type="dxa" w:w="5669"/>
            <w:shd w:fill="FFFFFF" w:val="clear"/>
          </w:tcPr>
          <w:p>
            <w:r>
              <w:rPr>
                <w:color w:val="282828"/>
                <w:sz w:val="15"/>
              </w:rPr>
              <w:t>Résultat net / capitaux propres = 27.61%.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4.89%</w:t>
            </w:r>
          </w:p>
        </w:tc>
        <w:tc>
          <w:tcPr>
            <w:tcW w:type="dxa" w:w="5669"/>
            <w:shd w:fill="FFFFFF" w:val="clear"/>
          </w:tcPr>
          <w:p>
            <w:r>
              <w:rPr>
                <w:color w:val="282828"/>
                <w:sz w:val="15"/>
              </w:rPr>
              <w:t>Résultat net / total actif = 4.89% (banque: seuil &gt;1%).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44.99%</w:t>
            </w:r>
          </w:p>
        </w:tc>
        <w:tc>
          <w:tcPr>
            <w:tcW w:type="dxa" w:w="5669"/>
            <w:shd w:fill="FFFFFF" w:val="clear"/>
          </w:tcPr>
          <w:p>
            <w:r>
              <w:rPr>
                <w:color w:val="282828"/>
                <w:sz w:val="15"/>
              </w:rPr>
              <w:t>CA / total actif = 44.99x. ⚠️ Actifs peu utilisés.</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67.07%</w:t>
            </w:r>
          </w:p>
        </w:tc>
        <w:tc>
          <w:tcPr>
            <w:tcW w:type="dxa" w:w="5669"/>
            <w:shd w:fill="FFFFFF" w:val="clear"/>
          </w:tcPr>
          <w:p>
            <w:r>
              <w:rPr>
                <w:color w:val="282828"/>
                <w:sz w:val="15"/>
              </w:rPr>
              <w:t>Charges / PNB = 67.07%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3.57%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3.06%</w:t>
            </w:r>
          </w:p>
        </w:tc>
        <w:tc>
          <w:tcPr>
            <w:tcW w:type="dxa" w:w="5669"/>
            <w:shd w:fill="FFFFFF" w:val="clear"/>
          </w:tcPr>
          <w:p>
            <w:r>
              <w:rPr>
                <w:color w:val="282828"/>
                <w:sz w:val="15"/>
              </w:rPr>
              <w:t>Croissance PNB vs exercice précédent = 3.06%.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17.71%</w:t>
            </w:r>
          </w:p>
        </w:tc>
        <w:tc>
          <w:tcPr>
            <w:tcW w:type="dxa" w:w="5669"/>
            <w:shd w:fill="FFFFFF" w:val="clear"/>
          </w:tcPr>
          <w:p>
            <w:r>
              <w:rPr>
                <w:color w:val="282828"/>
                <w:sz w:val="15"/>
              </w:rPr>
              <w:t>Fonds propres / total bilan = 17.71%.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82.29%</w:t>
            </w:r>
          </w:p>
        </w:tc>
        <w:tc>
          <w:tcPr>
            <w:tcW w:type="dxa" w:w="5669"/>
            <w:shd w:fill="FFFFFF" w:val="clear"/>
          </w:tcPr>
          <w:p>
            <w:r>
              <w:rPr>
                <w:color w:val="282828"/>
                <w:sz w:val="15"/>
              </w:rPr>
              <w:t>Dettes financières / total bilan = 82.29%.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186.99%</w:t>
            </w:r>
          </w:p>
        </w:tc>
        <w:tc>
          <w:tcPr>
            <w:tcW w:type="dxa" w:w="5669"/>
            <w:shd w:fill="FFFFFF" w:val="clear"/>
          </w:tcPr>
          <w:p>
            <w:r>
              <w:rPr>
                <w:color w:val="282828"/>
                <w:sz w:val="15"/>
              </w:rPr>
              <w:t>Dettes totales / fonds propres = 186.99%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121.52%</w:t>
            </w:r>
          </w:p>
        </w:tc>
        <w:tc>
          <w:tcPr>
            <w:tcW w:type="dxa" w:w="5669"/>
            <w:shd w:fill="FFFFFF" w:val="clear"/>
          </w:tcPr>
          <w:p>
            <w:r>
              <w:rPr>
                <w:color w:val="282828"/>
                <w:sz w:val="15"/>
              </w:rPr>
              <w:t>Total actif / dettes totales = 121.52x. ✅ Solvable.</w:t>
            </w:r>
          </w:p>
        </w:tc>
      </w:tr>
      <w:tr>
        <w:tc>
          <w:tcPr>
            <w:tcW w:type="dxa" w:w="2268"/>
            <w:shd w:fill="EEF2F7" w:val="clear"/>
          </w:tcPr>
          <w:p>
            <w:r>
              <w:rPr>
                <w:b/>
                <w:color w:val="1E1E3C"/>
                <w:sz w:val="16"/>
              </w:rPr>
              <w:t>Liquidité générale</w:t>
            </w:r>
          </w:p>
        </w:tc>
        <w:tc>
          <w:tcPr>
            <w:tcW w:type="dxa" w:w="1984"/>
            <w:shd w:fill="FFC7CE" w:val="clear"/>
          </w:tcPr>
          <w:p>
            <w:r>
              <w:rPr>
                <w:b/>
                <w:color w:val="006400"/>
                <w:sz w:val="17"/>
              </w:rPr>
              <w:t>36.36%</w:t>
            </w:r>
          </w:p>
        </w:tc>
        <w:tc>
          <w:tcPr>
            <w:tcW w:type="dxa" w:w="5669"/>
            <w:shd w:fill="FFFFFF" w:val="clear"/>
          </w:tcPr>
          <w:p>
            <w:r>
              <w:rPr>
                <w:color w:val="282828"/>
                <w:sz w:val="15"/>
              </w:rPr>
              <w:t>Actif circulant / passif circulant = 36.36x. ❌ Liquidité critique — incapacité probable à honorer les dettes CT.</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40.88%</w:t>
            </w:r>
          </w:p>
        </w:tc>
        <w:tc>
          <w:tcPr>
            <w:tcW w:type="dxa" w:w="5669"/>
            <w:shd w:fill="FFFFFF" w:val="clear"/>
          </w:tcPr>
          <w:p>
            <w:r>
              <w:rPr>
                <w:color w:val="282828"/>
                <w:sz w:val="15"/>
              </w:rPr>
              <w:t>Trésorerie / passif circulant = 40.88x. ✅ Trésorerie immédiate confortable.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33.01%</w:t>
            </w:r>
          </w:p>
        </w:tc>
        <w:tc>
          <w:tcPr>
            <w:tcW w:type="dxa" w:w="5669"/>
            <w:shd w:fill="FFFFFF" w:val="clear"/>
          </w:tcPr>
          <w:p>
            <w:r>
              <w:rPr>
                <w:color w:val="282828"/>
                <w:sz w:val="15"/>
              </w:rPr>
              <w:t>(Actif circ. - stocks) / passif circ. = 33.01x.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60.39%</w:t>
            </w:r>
          </w:p>
        </w:tc>
        <w:tc>
          <w:tcPr>
            <w:tcW w:type="dxa" w:w="5669"/>
            <w:shd w:fill="FFFFFF" w:val="clear"/>
          </w:tcPr>
          <w:p>
            <w:r>
              <w:rPr>
                <w:color w:val="282828"/>
                <w:sz w:val="15"/>
              </w:rPr>
              <w:t>Capitaux permanents / actif immobilisé = 60.39x.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2.3 ans</w:t>
            </w:r>
          </w:p>
        </w:tc>
        <w:tc>
          <w:tcPr>
            <w:tcW w:type="dxa" w:w="5669"/>
            <w:shd w:fill="FFFFFF" w:val="clear"/>
          </w:tcPr>
          <w:p>
            <w:r>
              <w:rPr>
                <w:color w:val="282828"/>
                <w:sz w:val="15"/>
              </w:rPr>
              <w:t>Dettes financières / CAF = 2.3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491.55%</w:t>
            </w:r>
          </w:p>
        </w:tc>
        <w:tc>
          <w:tcPr>
            <w:tcW w:type="dxa" w:w="5669"/>
            <w:shd w:fill="FFFFFF" w:val="clear"/>
          </w:tcPr>
          <w:p>
            <w:r>
              <w:rPr>
                <w:color w:val="282828"/>
                <w:sz w:val="15"/>
              </w:rPr>
              <w:t>Résultat exploit. / charges financières = 491.55x.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103.82%</w:t>
            </w:r>
          </w:p>
        </w:tc>
        <w:tc>
          <w:tcPr>
            <w:tcW w:type="dxa" w:w="5669"/>
            <w:shd w:fill="FFFFFF" w:val="clear"/>
          </w:tcPr>
          <w:p>
            <w:r>
              <w:rPr>
                <w:color w:val="282828"/>
                <w:sz w:val="15"/>
              </w:rPr>
              <w:t>CAF / investissements = 103.82x.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30.8 j</w:t>
            </w:r>
          </w:p>
        </w:tc>
        <w:tc>
          <w:tcPr>
            <w:tcW w:type="dxa" w:w="5669"/>
            <w:shd w:fill="FFFFFF" w:val="clear"/>
          </w:tcPr>
          <w:p>
            <w:r>
              <w:rPr>
                <w:color w:val="282828"/>
                <w:sz w:val="15"/>
              </w:rPr>
              <w:t>Les clients paient en moyenne en 31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130.7 j</w:t>
            </w:r>
          </w:p>
        </w:tc>
        <w:tc>
          <w:tcPr>
            <w:tcW w:type="dxa" w:w="5669"/>
            <w:shd w:fill="FFFFFF" w:val="clear"/>
          </w:tcPr>
          <w:p>
            <w:r>
              <w:rPr>
                <w:color w:val="282828"/>
                <w:sz w:val="15"/>
              </w:rPr>
              <w:t>Paiement des fournisseurs en 131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1669.2 j</w:t>
            </w:r>
          </w:p>
        </w:tc>
        <w:tc>
          <w:tcPr>
            <w:tcW w:type="dxa" w:w="5669"/>
            <w:shd w:fill="FFFFFF" w:val="clear"/>
          </w:tcPr>
          <w:p>
            <w:r>
              <w:rPr>
                <w:color w:val="282828"/>
                <w:sz w:val="15"/>
              </w:rPr>
              <w:t>Stock écoulé en 1669 jours. ❌ Stock quasi-bloqué — risque d'obsolescence ou de surstock.</w:t>
            </w:r>
          </w:p>
        </w:tc>
      </w:tr>
    </w:tbl>
    <w:p/>
    <w:p>
      <w:pPr>
        <w:spacing w:after="120" w:line="276" w:lineRule="auto"/>
      </w:pPr>
      <w:r>
        <w:t>**RAPPORT D'ANALYSE FINANCIÈRE — ONTBF (ONATEL-SA)**</w:t>
        <w:br/>
        <w:t>**Bourse Régionale des Valeurs Mobilières (BRVM)**</w:t>
        <w:br/>
        <w:t>**Date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197,20 milliards FCFA, ONTBF s'affirme comme l'une des valeurs phares du compartiment télécoms de la BRVM, se positionnant parmi les plus grandes capitalisations de la cote. Le BPA de 234 FCFA/action indique que chaque titre génère près de 234 FCFA de bénéfice net, un niveau qui, rapporté au cours actuel de 2 900 FCFA, donne un PER de 12,4x — un multiple modéré, légèrement supérieur à la moyenne BRVM (8-12x), traduisant une prime de qualité justifiée par la solidité du bilan et la régularité des dividendes. Le P/B de 3,43x signale que le marché valorise l'entreprise à plus de trois fois sa valeur comptable, une prime de croissance cohérente avec un ROE de 27,6% (largement supérieur au coût des fonds propres). Enfin, l'EV/EBITDA de 5,2x apparaît particulièrement raisonnable dans la fourchette sectorielle (5-10x), suggérant que la valeur d'entreprise reste attractive au regard de la capacité opérationnelle de génération de cash.</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ONTBF affiche une variation globale de +1,75%, mais la dernière séance (J-1) a enregistré un repli marqué de -4,76%, signalant une pression vendeuse récente. Le range de trading s'établit entre un plus bas de 2 675 FCFA et un plus haut de 3 070 FCFA, soit une amplitude de 395 FCFA (environ 14,8%), reflétant une tendance globalement haussière mais ponctuée de corrections. Les statistiques descriptives révèlent une moyenne de 2 864 FCFA très proche de la médiane (2 870 FCFA) et du mode (2 900 FCFA), indiquant une distribution quasi-symétrique sans biais directionnel marqué. L'écart-type de 84 FCFA (CV = 2,9%) traduit une dispersion relativement faible du cours autour de sa moyenne, signe d'une certaine stabilité. Le kurtosis de -0,380 (mésokurtique) et le skewness de -0,074 (distribution symétrique) confirment l'absence de pics extrêmes ou d'asymétrie significative, ce qui réduit le risque de mouvements erratiques. Enfin, la volatilité annualisée de 35,5% positionne ONTBF dans la catégorie des titres à volatilité élevée (&gt;30%), ce qui est cohérent avec les valeurs télécoms exposées aux risques réglementaires et sécuritaires.</w:t>
      </w:r>
    </w:p>
    <w:p>
      <w:pPr>
        <w:spacing w:after="120" w:line="276" w:lineRule="auto"/>
      </w:pPr>
      <w:r>
        <w:t>---</w:t>
      </w:r>
    </w:p>
    <w:p>
      <w:pPr>
        <w:spacing w:after="120" w:line="276" w:lineRule="auto"/>
      </w:pPr>
      <w:r>
        <w:t>### PARTIE 2 : ANALYSE TECHNIQUE DÉTAILLÉE</w:t>
      </w:r>
    </w:p>
    <w:p>
      <w:pPr>
        <w:spacing w:after="120" w:line="276" w:lineRule="auto"/>
      </w:pPr>
      <w:r>
        <w:t>**Moyennes Mobiles** : La MM20 (2 927,5 FCFA) et la MM50 (2 904,6 FCFA) se situent toutes deux au-dessus du cours actuel (2 900 FCFA), mais la MM20 reste supérieure à la MM50, configurant un croisement haussier classique. Le cours évoluant légèrement sous ces moyennes, la décision technique reste "Achat" sur anticipation d'un retour vers ces niveaux de support dynamique.</w:t>
      </w:r>
    </w:p>
    <w:p>
      <w:pPr>
        <w:spacing w:after="120" w:line="276" w:lineRule="auto"/>
      </w:pPr>
      <w:r>
        <w:t>**Bandes de Bollinger** : Le cours (2 900 FCFA) se situe dans la partie médiane de la bande, entre la borne inférieure (2 774 FCFA) et supérieure (3 081 FCFA). Cette position neutre, sans contact avec les extrêmes, indique une absence de signal de surachat ou de survente, justifiant la décision "Neutre" avec une volatilité contenue.</w:t>
      </w:r>
    </w:p>
    <w:p>
      <w:pPr>
        <w:spacing w:after="120" w:line="276" w:lineRule="auto"/>
      </w:pPr>
      <w:r>
        <w:t>**MACD** : La ligne MACD (24,154) surpasse son signal (19,751), générant un histogramme positif qui confirme un momentum haussier. Cette divergence positive, bien qu'en phase de consolidation, soutient la décision "Achat" tant que l'écart reste favorable.</w:t>
      </w:r>
    </w:p>
    <w:p>
      <w:pPr>
        <w:spacing w:after="120" w:line="276" w:lineRule="auto"/>
      </w:pPr>
      <w:r>
        <w:t>**RSI** : À 58,235, le RSI se situe dans la zone neutre (30-70), sans approcher les seuils de surachat (70) ou de survente (30). Cette configuration indique un équilibre entre acheteurs et vendeurs, justifiant une décision "Neutre" sans signal directionnel fort.</w:t>
      </w:r>
    </w:p>
    <w:p>
      <w:pPr>
        <w:spacing w:after="120" w:line="276" w:lineRule="auto"/>
      </w:pPr>
      <w:r>
        <w:t>**Stochastique** : Le %K (47,273) est nettement inférieur au %D (81,744), signalant un croisement baissier récent et une perte de momentum haussier. Cette configuration, bien que neutre en décision, suggère une prudence à court terme face à un essoufflement de la dynamique.</w:t>
      </w:r>
    </w:p>
    <w:p>
      <w:pPr>
        <w:spacing w:after="120" w:line="276" w:lineRule="auto"/>
      </w:pPr>
      <w:r>
        <w:t>**Conclusion technique** : Les indicateurs présentent une configuration mitigée : les moyennes mobiles et le MACD plaident pour un achat, tandis que le RSI, les Bollinger et le stochastique recommandent la neutralité. Cette divergence suggère un marché en phase de consolidation, avec un biais haussier modéré mais une absence de signal fort à court terme.</w:t>
      </w:r>
    </w:p>
    <w:p>
      <w:pPr>
        <w:spacing w:after="120" w:line="276" w:lineRule="auto"/>
      </w:pPr>
      <w:r>
        <w:t>---</w:t>
      </w:r>
    </w:p>
    <w:p>
      <w:pPr>
        <w:spacing w:after="120" w:line="276" w:lineRule="auto"/>
      </w:pPr>
      <w:r>
        <w:t>### PARTIE 3 : ANALYSE FONDAMENTALE</w:t>
      </w:r>
    </w:p>
    <w:p>
      <w:pPr>
        <w:spacing w:after="120" w:line="276" w:lineRule="auto"/>
      </w:pPr>
      <w:r>
        <w:t>En 2025, ONTBF (ONATEL-SA) affiche un chiffre d'affaires de 146,18 milliards FCFA, en hausse de 3,1% par rapport à 2024, porté par le FTTH (+33%), l'Internet mobile (+4,6%) et le Mobile Money (+14%). Cependant, le résultat net chute de 26% à 15,89 milliards FCFA, contre 21,47 milliards en 2024, sous l'effet d'une compression des marges : l'EBE recule de 12% à 56,73 milliards FCFA et le résultat d'exploitation de 24% à 25,67 milliards FCFA. Les ratios de rentabilité restent néanmoins solides avec un ROE de 27,6% (excellent, &gt;15%) et un ROA de 4,89%, bien que la marge nette se contracte à 10,87% (contre 15,1% en 2024). Le coefficient d'exploitation de 67,07% (charges/PNB) dépasse le seuil de 60% recommandé pour une banque efficace, reflétant la pression des coûts énergétiques, sécuritaires et des indemnités de fin d'engagement. La structure financière montre une autonomie financière de 17,71% (inférieure au seuil sain de 30%) et un ratio d'endettement de 186,99%, mais la solvabilité générale (121,52%) et la couverture des intérêts (491,55%) restent satisfaisantes. Les rapports trimestriels 2026 confirment la tendance : au T1 2026 (rapport du 30 avril 2026), le CA progresse de 2,7% à 37,1 milliards FCFA avec un taux de marge EBITDA maintenu à 41,3%, mais le résultat net recule légèrement à 3,577 milliards FCFA (marge nette 9,6%). L'attestation des commissaires aux comptes du 25 septembre 2026 (rapport semestriel 2026) ne relève aucun fait remettant en cause la sincérité des comptes, confirmant la conformité réglementaire. **Recommandation fondamentale** : la solidité du bilan, la génération de cash (CAFG de 46,95 milliards FCFA) et le dividende attractif (166,08 FCFA/action, soit un rendement de ~5,7%) soutiennent la valeur, mais la dégradation continue des marges et l'endettement croissant (dettes financières de 107,6 milliards FCFA) appellent à la prudence.</w:t>
      </w:r>
    </w:p>
    <w:p>
      <w:pPr>
        <w:spacing w:after="120" w:line="276" w:lineRule="auto"/>
      </w:pPr>
      <w:r>
        <w:t>---</w:t>
      </w:r>
    </w:p>
    <w:p>
      <w:pPr>
        <w:spacing w:after="120" w:line="276" w:lineRule="auto"/>
      </w:pPr>
      <w:r>
        <w:t>### PARTIE 4 : CONCLUSION D'INVESTISSEMENT</w:t>
      </w:r>
    </w:p>
    <w:p>
      <w:pPr>
        <w:spacing w:after="120" w:line="276" w:lineRule="auto"/>
      </w:pPr>
      <w:r>
        <w:t>La valorisation (Partie 0) apparaît modérément attractive avec un PER de 12,4x (légèrement supérieur à la moyenne BRVM) et un EV/EBITDA de 5,2x (raisonnable), suggérant une juste appréciation du titre sans sous-évaluation flagrante. Le comportement du cours (Partie 1) révèle une tendance haussière fragile (+1,75% sur 100 jours) avec une correction récente de -4,76%, une volatilité élevée (35,5%) et une distribution symétrique sans risque de pics extrêmes, ce qui est globalement neutre. Les signaux techniques (Partie 2) sont divergents : les moyennes mobiles et le MACD soutiennent l'achat, tandis que le RSI, les Bollinger et le stochastique recommandent la neutralité, plaidant pour une consolidation à court terme. Les fondamentaux (Partie 3) restent solides (ROE de 27,6%, CAFG de 46,95 milliards FCFA) mais sont entachés par une dégradation des marges (-26% de résultat net en 2025) et un endettement croissant, bien que les rapports trimestriels 2026 montrent une certaine résilience (CA +2,7% au T1 2026). Les prédictions IA (J+1 à J+10) anticipent une légère baisse du cours de 2 944 FCFA à 2 909 FCFA, confirmant la phase de consolidation technique sans effondrement. **Recommandation finale : CONSERVER** — la convergence entre une valorisation correcte, des fondamentaux solides mais sous pression, et des signaux techniques mitigés ne justifie ni un achat agressif ni une vente. Le niveau de confiance est **Moyen** (divergence technique et fondamentaux en transition), le risque global est **Moyen** (volatilité élevée, endettement, risques réglementaires et sécuritaires), et l'horizon optimal est **moyen terme (3-12 mois)** , en attendant des signes tangibles d'amélioration des marges et de maîtrise des coûts.</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20260409   communique de presse   onatel bf 0</w:t>
      </w:r>
    </w:p>
    <w:p>
      <w:pPr>
        <w:spacing w:before="20"/>
        <w:ind w:left="400"/>
      </w:pPr>
      <w:r>
        <w:rPr>
          <w:color w:val="505050"/>
          <w:sz w:val="17"/>
        </w:rPr>
        <w:t xml:space="preserve">Date : 09/04/2026  |  Catégorie : résultats financiers  |  Impact : </w:t>
      </w:r>
      <w:r>
        <w:rPr>
          <w:b/>
          <w:color w:val="646464"/>
          <w:sz w:val="17"/>
        </w:rPr>
        <w:t>⚪ NEUTRE</w:t>
      </w:r>
    </w:p>
    <w:p>
      <w:pPr>
        <w:spacing w:before="40"/>
        <w:ind w:left="400"/>
      </w:pPr>
      <w:r>
        <w:rPr>
          <w:sz w:val="18"/>
        </w:rPr>
        <w:t>ONATEL-SA publie ses résultats financiers 2025 avec une croissance du chiffre d'affaires de 3,1% à 146,2 Mds FCFA mais une baisse significative du résultat net de 26% à 15,9 Mds FCFA. La base clients a progressé de 3,9% pour atteindre 12,6 millions d'abonnés grâce aux investissements dans l'extension du réseau. Un dividende de 166,0816 FCFA par action sera proposé à l'Assemblée Générale.</w:t>
      </w:r>
    </w:p>
    <w:p>
      <w:pPr>
        <w:spacing w:before="60"/>
        <w:ind w:left="400"/>
      </w:pPr>
      <w:r>
        <w:rPr>
          <w:b/>
          <w:sz w:val="18"/>
        </w:rPr>
        <w:t>Points clés :</w:t>
      </w:r>
    </w:p>
    <w:p>
      <w:pPr>
        <w:pStyle w:val="ListBullet"/>
        <w:spacing w:before="20" w:after="20"/>
        <w:ind w:left="700"/>
      </w:pPr>
      <w:r>
        <w:rPr>
          <w:sz w:val="18"/>
        </w:rPr>
        <w:t>Chiffre d'affaires en hausse de 3,1% à 146,2 Mds FCFA en 2025</w:t>
      </w:r>
    </w:p>
    <w:p>
      <w:pPr>
        <w:pStyle w:val="ListBullet"/>
        <w:spacing w:before="20" w:after="20"/>
        <w:ind w:left="700"/>
      </w:pPr>
      <w:r>
        <w:rPr>
          <w:sz w:val="18"/>
        </w:rPr>
        <w:t>Résultat net en baisse de 26% à 15,9 Mds FCFA contre 21,5 Mds FCFA en 2024</w:t>
      </w:r>
    </w:p>
    <w:p>
      <w:pPr>
        <w:pStyle w:val="ListBullet"/>
        <w:spacing w:before="20" w:after="20"/>
        <w:ind w:left="700"/>
      </w:pPr>
      <w:r>
        <w:rPr>
          <w:sz w:val="18"/>
        </w:rPr>
        <w:t>Base clients en croissance de 3,9% atteignant 12,6 millions d'abonnés</w:t>
      </w:r>
    </w:p>
    <w:p>
      <w:pPr>
        <w:pStyle w:val="ListBullet"/>
        <w:spacing w:before="20" w:after="20"/>
        <w:ind w:left="700"/>
      </w:pPr>
      <w:r>
        <w:rPr>
          <w:sz w:val="18"/>
        </w:rPr>
        <w:t>Résultat d'exploitation en baisse de 23,5% impacté par la hausse des charges opérationnelles</w:t>
      </w:r>
    </w:p>
    <w:p>
      <w:pPr>
        <w:pStyle w:val="ListBullet"/>
        <w:spacing w:before="20" w:after="20"/>
        <w:ind w:left="700"/>
      </w:pPr>
      <w:r>
        <w:rPr>
          <w:sz w:val="18"/>
        </w:rPr>
        <w:t>Proposition de dividende de 166,0816 FCFA par action pour 68 millions d'actions</w:t>
      </w:r>
    </w:p>
    <w:p>
      <w:pPr>
        <w:ind w:left="400"/>
      </w:pPr>
      <w:r>
        <w:rPr>
          <w:color w:val="B4B4B4"/>
          <w:sz w:val="14"/>
        </w:rPr>
        <w:t xml:space="preserve">· · · · · · · · · · · · · · · · · · · · · · · · · · · · · · </w:t>
      </w:r>
    </w:p>
    <w:p>
      <w:pPr>
        <w:spacing w:before="160"/>
      </w:pPr>
      <w:r>
        <w:rPr>
          <w:b/>
          <w:color w:val="0066CC"/>
          <w:sz w:val="20"/>
        </w:rPr>
        <w:t xml:space="preserve">[2] </w:t>
      </w:r>
      <w:r>
        <w:rPr>
          <w:b/>
          <w:sz w:val="20"/>
        </w:rPr>
        <w:t>20260409   communique de presse   onatel bf</w:t>
      </w:r>
    </w:p>
    <w:p>
      <w:pPr>
        <w:spacing w:before="20"/>
        <w:ind w:left="400"/>
      </w:pPr>
      <w:r>
        <w:rPr>
          <w:color w:val="505050"/>
          <w:sz w:val="17"/>
        </w:rPr>
        <w:t xml:space="preserve">Date : 09/04/2026  |  Catégorie : résultats financiers  |  Impact : </w:t>
      </w:r>
      <w:r>
        <w:rPr>
          <w:b/>
          <w:color w:val="646464"/>
          <w:sz w:val="17"/>
        </w:rPr>
        <w:t>⚪ NEUTRE</w:t>
      </w:r>
    </w:p>
    <w:p>
      <w:pPr>
        <w:spacing w:before="40"/>
        <w:ind w:left="400"/>
      </w:pPr>
      <w:r>
        <w:rPr>
          <w:sz w:val="18"/>
        </w:rPr>
        <w:t>ONATEL-SA publie ses résultats 2025 avec un chiffre d'affaires de 146,2 Mds FCFA (+3,1%) mais un résultat net en baisse à 15,9 Mds FCFA contre 21,5 Mds en 2024. La base clients atteint 12,6 millions (+3,9%) portée par la croissance du mobile et des services innovants. Un dividende de 166,0816 FCFA par action sera proposé à l'AG.</w:t>
      </w:r>
    </w:p>
    <w:p>
      <w:pPr>
        <w:spacing w:before="60"/>
        <w:ind w:left="400"/>
      </w:pPr>
      <w:r>
        <w:rPr>
          <w:b/>
          <w:sz w:val="18"/>
        </w:rPr>
        <w:t>Points clés :</w:t>
      </w:r>
    </w:p>
    <w:p>
      <w:pPr>
        <w:pStyle w:val="ListBullet"/>
        <w:spacing w:before="20" w:after="20"/>
        <w:ind w:left="700"/>
      </w:pPr>
      <w:r>
        <w:rPr>
          <w:sz w:val="18"/>
        </w:rPr>
        <w:t>Chiffre d'affaires 2025 de 146,2 Mds FCFA en progression de 3,1%</w:t>
      </w:r>
    </w:p>
    <w:p>
      <w:pPr>
        <w:pStyle w:val="ListBullet"/>
        <w:spacing w:before="20" w:after="20"/>
        <w:ind w:left="700"/>
      </w:pPr>
      <w:r>
        <w:rPr>
          <w:sz w:val="18"/>
        </w:rPr>
        <w:t>Résultat net en baisse de 26% à 15,9 Mds FCFA contre 21,5 Mds en 2024</w:t>
      </w:r>
    </w:p>
    <w:p>
      <w:pPr>
        <w:pStyle w:val="ListBullet"/>
        <w:spacing w:before="20" w:after="20"/>
        <w:ind w:left="700"/>
      </w:pPr>
      <w:r>
        <w:rPr>
          <w:sz w:val="18"/>
        </w:rPr>
        <w:t>Base clients élargie à 12,6 millions (+3,9%) avec croissance du parc Internet Mobile (+4,6%)</w:t>
      </w:r>
    </w:p>
    <w:p>
      <w:pPr>
        <w:pStyle w:val="ListBullet"/>
        <w:spacing w:before="20" w:after="20"/>
        <w:ind w:left="700"/>
      </w:pPr>
      <w:r>
        <w:rPr>
          <w:sz w:val="18"/>
        </w:rPr>
        <w:t>Résultat d'exploitation en baisse de 23,5% impacté par la hausse des charges opérationnelles</w:t>
      </w:r>
    </w:p>
    <w:p>
      <w:pPr>
        <w:pStyle w:val="ListBullet"/>
        <w:spacing w:before="20" w:after="20"/>
        <w:ind w:left="700"/>
      </w:pPr>
      <w:r>
        <w:rPr>
          <w:sz w:val="18"/>
        </w:rPr>
        <w:t>Dividende proposé de 166,0816 FCFA par action pour 68 millions d'actions</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"conserver", "justification": "Le document est une attestation d'audit sans r\u00e9serve qui confirme la r\u00e9gularit\u00e9 des comptes semestriels, mais il ne fournit aucune donn\u00e9e financi\u00e8re permettant d'\u00e9valuer la performance ou la valorisation. En l'absence d'informations chiffr\u00e9es, aucune d\u00e9cision d'achat ou de vente ne peut \u00eatre justifi\u00e9e."}</w:t>
      </w:r>
    </w:p>
    <w:p>
      <w:pPr>
        <w:spacing w:before="40"/>
        <w:ind w:left="400"/>
      </w:pPr>
      <w:r>
        <w:rPr>
          <w:sz w:val="18"/>
        </w:rPr>
        <w:t>Le document est une attestation des commissaires aux comptes (SOFIDEC Audit &amp; Conseil et AUREC Afrique-BF) portant sur l'examen limité des comptes semestriels d'ONATEL SA pour la période du 1er janvier au 30 juin 2026. Les auditeurs concluent, sur la base de leur examen limité, qu'ils n'ont pas relevé de faits remettant en cause la sincérité du tableau d'activités et de résultat ni du rapport semestriel d'activités. Les comptes ont été établis conformément aux articles 850 et 851 de l'Acte uniforme OHADA et à la Circulaire n°004-2010 de l'AMF-UMOA. Le document ne contient aucune donnée chiffrée sur l'activité, le résultat ou la situation financière de la société. Il s'agit donc d'une attesta</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{'type_document': 'Attestation des commissaires aux comptes sur examen limité', 'capital_social': '34 000 000 000 FCFA', 'periode_couverte': '1er janvier au 30 juin 2026', 'opinion_auditeurs': 'Sans réserve (aucun fait significatif relevé)'}</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sur les comptes semestriels d'ONATEL SA au 30 juin 2026.</w:t>
      </w:r>
    </w:p>
    <w:p>
      <w:pPr>
        <w:pStyle w:val="ListBullet"/>
        <w:spacing w:before="20" w:after="20"/>
        <w:ind w:left="700"/>
      </w:pPr>
      <w:r>
        <w:rPr>
          <w:sz w:val="18"/>
        </w:rPr>
        <w:t>Examen limité réalisé conformément au Règlement N°01/2017/CM/OHADA.</w:t>
      </w:r>
    </w:p>
    <w:p>
      <w:pPr>
        <w:pStyle w:val="ListBullet"/>
        <w:spacing w:before="20" w:after="20"/>
        <w:ind w:left="700"/>
      </w:pPr>
      <w:r>
        <w:rPr>
          <w:sz w:val="18"/>
        </w:rPr>
        <w:t>Conclusion sans réserve : aucun fait significatif remettant en cause la sincérité des comptes n'a été relevé.</w:t>
      </w:r>
    </w:p>
    <w:p>
      <w:pPr>
        <w:pStyle w:val="ListBullet"/>
        <w:spacing w:before="20" w:after="20"/>
        <w:ind w:left="700"/>
      </w:pPr>
      <w:r>
        <w:rPr>
          <w:sz w:val="18"/>
        </w:rPr>
        <w:t>Comptes établis selon les articles 850 et 851 de l'Acte uniforme OHADA.</w:t>
      </w:r>
    </w:p>
    <w:p>
      <w:pPr>
        <w:pStyle w:val="ListBullet"/>
        <w:spacing w:before="20" w:after="20"/>
        <w:ind w:left="700"/>
      </w:pPr>
      <w:r>
        <w:rPr>
          <w:sz w:val="18"/>
        </w:rPr>
        <w:t>Conformité à la Circulaire n°004-2010 de l'AMF-UMOA sur les informations diffusées par les émetteurs.</w:t>
      </w:r>
    </w:p>
    <w:p>
      <w:pPr>
        <w:pStyle w:val="ListBullet"/>
        <w:spacing w:before="20" w:after="20"/>
        <w:ind w:left="700"/>
      </w:pPr>
      <w:r>
        <w:rPr>
          <w:sz w:val="18"/>
        </w:rPr>
        <w:t>Document signé à Ouagadougou le 25 septembre 2026 par AUREC Afrique-BF et SOFIDEC-AC SARL.</w:t>
      </w:r>
    </w:p>
    <w:p>
      <w:pPr>
        <w:spacing w:before="40"/>
        <w:ind w:left="400"/>
      </w:pPr>
      <w:r>
        <w:rPr>
          <w:b/>
          <w:color w:val="C05000"/>
          <w:sz w:val="18"/>
        </w:rPr>
        <w:t xml:space="preserve">⚠️ Risques : </w:t>
      </w:r>
      <w:r>
        <w:rPr>
          <w:sz w:val="18"/>
        </w:rPr>
        <w:t>["Absence de donn\u00e9es financi\u00e8res chiffr\u00e9es emp\u00eachant toute analyse de performance et de valorisation.", "Risque li\u00e9 au caract\u00e8re limit\u00e9 de l'examen (pas d'opinion d'audit compl\u00e8te selon les normes ISA).", "Risque de change et de r\u00e9glementation t\u00e9l\u0</w:t>
      </w:r>
    </w:p>
    <w:p>
      <w:pPr>
        <w:spacing w:before="40"/>
        <w:ind w:left="400"/>
      </w:pPr>
      <w:r>
        <w:rPr>
          <w:b/>
          <w:color w:val="0064A0"/>
          <w:sz w:val="18"/>
        </w:rPr>
        <w:t xml:space="preserve">🔮 Perspectives : </w:t>
      </w:r>
      <w:r>
        <w:rPr>
          <w:sz w:val="18"/>
        </w:rPr>
        <w:t>Le document ne permet pas de formuler un outlook financier précis pour l'exercice suivant, faute de données sur l'activité et les résultats. La conclusion sans réserve des commissaires aux comptes suggère néanmoins une gouvernance et un reporting conformes aux exigences de l'AMF-UMOA. Pour une analy</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une baisse du r\u00e9sultat net, ONATEL maintient une croissance solide de son chiffre d'affaires et une rentabilit\u00e9 \u00e9lev\u00e9e. Les investissements strat\u00e9giques dans la digitalisation et l'expansion du r\u00e9seau positionnent bien l'entreprise pour l'avenir."}</w:t>
      </w:r>
    </w:p>
    <w:p>
      <w:pPr>
        <w:spacing w:before="40"/>
        <w:ind w:left="400"/>
      </w:pPr>
      <w:r>
        <w:rPr>
          <w:sz w:val="18"/>
        </w:rPr>
        <w:t>ONATEL-SA présente des résultats solides au 1er trimestre 2026 avec une base clients en croissance de 3,3% atteignant plus de 12,6 millions d'abonnés. Le chiffre d'affaires progresse de 2,7% à 37,1 Mds FCFA en normes OHADA, porté par les revenus Data et l'expansion des segments prépayés et postpayés. La rentabilité demeure robuste avec un taux de marge EBITDA maintenu à 41,3% malgré une légère baisse du résultat net. L'entreprise poursuit ses investissements stratégiques dans l'extension et la modernisation de son réseau ainsi que le déploiement de la fibre optique. La dynamique commerciale positive et la fidélité des clients témoignent de l'attractivité durable des offres de l'opérateur bur</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'15 494 millions FCFA', 'base_clients': '12 646 856', 'croissance_ca': '2,7%', 'taux_marge_ebitda': '41,3%'}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9,6% (OHADA) / 10,0% (IFRS)</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3 577 millions FCFA (OHADA) / 3 731 millions FCFA (IFRS)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37 137 millions FCFA (OHADA) / 37 481 millions FCFA (IFRS)</w:t>
            </w:r>
          </w:p>
        </w:tc>
        <w:tc>
          <w:tcPr>
            <w:tcW w:type="dxa" w:w="2160"/>
          </w:tcPr>
          <w:p/>
        </w:tc>
      </w:tr>
    </w:tbl>
    <w:p/>
    <w:p>
      <w:pPr>
        <w:spacing w:before="60"/>
        <w:ind w:left="400"/>
      </w:pPr>
      <w:r>
        <w:rPr>
          <w:b/>
          <w:sz w:val="18"/>
        </w:rPr>
        <w:t>Points clés :</w:t>
      </w:r>
    </w:p>
    <w:p>
      <w:pPr>
        <w:pStyle w:val="ListBullet"/>
        <w:spacing w:before="20" w:after="20"/>
        <w:ind w:left="700"/>
      </w:pPr>
      <w:r>
        <w:rPr>
          <w:sz w:val="18"/>
        </w:rPr>
        <w:t>Base clients en croissance de 3,3% à plus de 12,6 millions d'abonnés au 31 mars 2026</w:t>
      </w:r>
    </w:p>
    <w:p>
      <w:pPr>
        <w:pStyle w:val="ListBullet"/>
        <w:spacing w:before="20" w:after="20"/>
        <w:ind w:left="700"/>
      </w:pPr>
      <w:r>
        <w:rPr>
          <w:sz w:val="18"/>
        </w:rPr>
        <w:t>Forte progression du segment Mobile Money avec +17,1% de croissance</w:t>
      </w:r>
    </w:p>
    <w:p>
      <w:pPr>
        <w:pStyle w:val="ListBullet"/>
        <w:spacing w:before="20" w:after="20"/>
        <w:ind w:left="700"/>
      </w:pPr>
      <w:r>
        <w:rPr>
          <w:sz w:val="18"/>
        </w:rPr>
        <w:t>Expansion significative du Très Haut Débit FTTH avec +38,4%</w:t>
      </w:r>
    </w:p>
    <w:p>
      <w:pPr>
        <w:pStyle w:val="ListBullet"/>
        <w:spacing w:before="20" w:after="20"/>
        <w:ind w:left="700"/>
      </w:pPr>
      <w:r>
        <w:rPr>
          <w:sz w:val="18"/>
        </w:rPr>
        <w:t>Chiffre d'affaires en hausse de 2,7% à 37,1 Mds FCFA (normes OHADA)</w:t>
      </w:r>
    </w:p>
    <w:p>
      <w:pPr>
        <w:pStyle w:val="ListBullet"/>
        <w:spacing w:before="20" w:after="20"/>
        <w:ind w:left="700"/>
      </w:pPr>
      <w:r>
        <w:rPr>
          <w:sz w:val="18"/>
        </w:rPr>
        <w:t>Maintien d'un taux de marge EBITDA élevé à 41,3%</w:t>
      </w:r>
    </w:p>
    <w:p>
      <w:pPr>
        <w:pStyle w:val="ListBullet"/>
        <w:spacing w:before="20" w:after="20"/>
        <w:ind w:left="700"/>
      </w:pPr>
      <w:r>
        <w:rPr>
          <w:sz w:val="18"/>
        </w:rPr>
        <w:t>Baisse du résultat des activités ordinaires de 6,1% impactée par les coûts opérationnels</w:t>
      </w:r>
    </w:p>
    <w:p>
      <w:pPr>
        <w:spacing w:before="40"/>
        <w:ind w:left="400"/>
      </w:pPr>
      <w:r>
        <w:rPr>
          <w:b/>
          <w:color w:val="C05000"/>
          <w:sz w:val="18"/>
        </w:rPr>
        <w:t xml:space="preserve">⚠️ Risques : </w:t>
      </w:r>
      <w:r>
        <w:rPr>
          <w:sz w:val="18"/>
        </w:rPr>
        <w:t>["Pression sur les marges due \u00e0 l'augmentation des co\u00fbts op\u00e9rationnels", "Baisse significative du parc Internet (-21,8%) qui pourrait impacter les revenus futurs", "Intensification de la concurrence sur le march\u00e9 des t\u00e9l\u00e9communications au Burkina Faso"]</w:t>
      </w:r>
    </w:p>
    <w:p>
      <w:pPr>
        <w:spacing w:before="40"/>
        <w:ind w:left="400"/>
      </w:pPr>
      <w:r>
        <w:rPr>
          <w:b/>
          <w:color w:val="0064A0"/>
          <w:sz w:val="18"/>
        </w:rPr>
        <w:t xml:space="preserve">🔮 Perspectives : </w:t>
      </w:r>
      <w:r>
        <w:rPr>
          <w:sz w:val="18"/>
        </w:rPr>
        <w:t>ONATEL demeure confiante dans sa capacité à consolider ses performances grâce à la poursuite de son programme d'investissements et à la modernisation de son réseau. L'accélération du déploiement de la fibre optique et le développement des services digitaux devraient soutenir la croissance future.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"Leader télécom rentable, à très forte génération de cash et dividende élevé, mais rentabilité en net recul et endettement en hausse pour financer le capital. À conserver en surveillant la trajectoire des marges."}</w:t>
      </w:r>
    </w:p>
    <w:p>
      <w:pPr>
        <w:spacing w:before="40"/>
        <w:ind w:left="400"/>
      </w:pPr>
      <w:r>
        <w:rPr>
          <w:sz w:val="18"/>
        </w:rPr>
        <w:t>ONATEL (Moov Africa Burkina Faso) enregistre une croissance de son activité mais une rentabilité en recul sur 2025. Le chiffre d'affaires progresse de 3 % à 146,2 milliards FCFA, tandis que l'EBE recule de 12 % (56,7 Md) et le résultat net de 26 %, à 15,89 milliards FCFA, sous l'effet d'une compression des marges. La génération de trésorerie reste très forte (CAFG de 47 milliards, flux opérationnels de 68 milliards), largement absorbée par un programme d'investissement réseau élevé (-45 milliards), financé en partie par de nouveaux emprunts (+20,7 milliards). La société maintient un dividende élevé (15,16 milliards versés). Les dettes financières progressent à 69,7 milliards.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'46,95 milliards FCFA', 'resultat_exploitation': '25,67 milliards FCFA', 'excedent_brut_exploitation': '56,73 milliards FCFA'}</w:t>
            </w:r>
          </w:p>
        </w:tc>
        <w:tc>
          <w:tcPr>
            <w:tcW w:type="dxa" w:w="2160"/>
          </w:tcPr>
          <w:p>
            <w:pPr>
              <w:ind w:left="100"/>
            </w:pPr>
            <w:r/>
            <w:r>
              <w:rPr>
                <w:b/>
                <w:sz w:val="16"/>
              </w:rPr>
              <w:t>dividende</w:t>
              <w:br/>
            </w:r>
            <w:r>
              <w:rPr>
                <w:sz w:val="18"/>
              </w:rPr>
              <w:t>15,16 milliards FCFA (dividendes versés)</w:t>
            </w:r>
          </w:p>
        </w:tc>
        <w:tc>
          <w:tcPr>
            <w:tcW w:type="dxa" w:w="2160"/>
          </w:tcPr>
          <w:p>
            <w:pPr>
              <w:ind w:left="100"/>
            </w:pPr>
            <w:r/>
            <w:r>
              <w:rPr>
                <w:b/>
                <w:sz w:val="16"/>
              </w:rPr>
              <w:t>marge_nette</w:t>
              <w:br/>
            </w:r>
            <w:r>
              <w:rPr>
                <w:sz w:val="18"/>
              </w:rPr>
              <w:t>10,87 %</w:t>
            </w:r>
          </w:p>
        </w:tc>
        <w:tc>
          <w:tcPr>
            <w:tcW w:type="dxa" w:w="2160"/>
          </w:tcPr>
          <w:p>
            <w:pPr>
              <w:ind w:left="100"/>
            </w:pPr>
            <w:r/>
            <w:r>
              <w:rPr>
                <w:b/>
                <w:sz w:val="16"/>
              </w:rPr>
              <w:t>total_actif</w:t>
              <w:br/>
            </w:r>
            <w:r>
              <w:rPr>
                <w:sz w:val="18"/>
              </w:rPr>
              <w:t>324,9 milliards FCFA</w:t>
            </w:r>
          </w:p>
        </w:tc>
      </w:tr>
      <w:tr>
        <w:tc>
          <w:tcPr>
            <w:tcW w:type="dxa" w:w="2160"/>
          </w:tcPr>
          <w:p>
            <w:r/>
            <w:r>
              <w:rPr>
                <w:b/>
                <w:sz w:val="16"/>
              </w:rPr>
              <w:t>resultat_net</w:t>
              <w:br/>
            </w:r>
            <w:r>
              <w:rPr>
                <w:sz w:val="18"/>
              </w:rPr>
              <w:t>15,89 milliards FCFA (bénéfice)</w:t>
            </w:r>
          </w:p>
        </w:tc>
        <w:tc>
          <w:tcPr>
            <w:tcW w:type="dxa" w:w="2160"/>
          </w:tcPr>
          <w:p>
            <w:r/>
            <w:r>
              <w:rPr>
                <w:b/>
                <w:sz w:val="16"/>
              </w:rPr>
              <w:t>capitaux_propres</w:t>
              <w:br/>
            </w:r>
            <w:r>
              <w:rPr>
                <w:sz w:val="18"/>
              </w:rPr>
              <w:t>57,54 milliards FCFA</w:t>
            </w:r>
          </w:p>
        </w:tc>
        <w:tc>
          <w:tcPr>
            <w:tcW w:type="dxa" w:w="2160"/>
          </w:tcPr>
          <w:p>
            <w:r/>
            <w:r>
              <w:rPr>
                <w:b/>
                <w:sz w:val="16"/>
              </w:rPr>
              <w:t>chiffre_affaires</w:t>
              <w:br/>
            </w:r>
            <w:r>
              <w:rPr>
                <w:sz w:val="18"/>
              </w:rPr>
              <w:t>146,2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146,2 Md FCFA, en hausse de 3 %</w:t>
      </w:r>
    </w:p>
    <w:p>
      <w:pPr>
        <w:pStyle w:val="ListBullet"/>
        <w:spacing w:before="20" w:after="20"/>
        <w:ind w:left="700"/>
      </w:pPr>
      <w:r>
        <w:rPr>
          <w:sz w:val="18"/>
        </w:rPr>
        <w:t>EBE 56,7 Md (-12 %) et résultat d'exploitation 25,7 Md (-24 %) : marges sous pression</w:t>
      </w:r>
    </w:p>
    <w:p>
      <w:pPr>
        <w:pStyle w:val="ListBullet"/>
        <w:spacing w:before="20" w:after="20"/>
        <w:ind w:left="700"/>
      </w:pPr>
      <w:r>
        <w:rPr>
          <w:sz w:val="18"/>
        </w:rPr>
        <w:t>Bénéfice net 15,89 Md FCFA, en baisse de 26 %</w:t>
      </w:r>
    </w:p>
    <w:p>
      <w:pPr>
        <w:pStyle w:val="ListBullet"/>
        <w:spacing w:before="20" w:after="20"/>
        <w:ind w:left="700"/>
      </w:pPr>
      <w:r>
        <w:rPr>
          <w:sz w:val="18"/>
        </w:rPr>
        <w:t>Génération de cash élevée : CAFG 47 Md, flux opérationnels 68 Md</w:t>
      </w:r>
    </w:p>
    <w:p>
      <w:pPr>
        <w:pStyle w:val="ListBullet"/>
        <w:spacing w:before="20" w:after="20"/>
        <w:ind w:left="700"/>
      </w:pPr>
      <w:r>
        <w:rPr>
          <w:sz w:val="18"/>
        </w:rPr>
        <w:t>Investissements réseau importants : -45 Md, financés en partie par emprunt (+20,7 Md)</w:t>
      </w:r>
    </w:p>
    <w:p>
      <w:pPr>
        <w:pStyle w:val="ListBullet"/>
        <w:spacing w:before="20" w:after="20"/>
        <w:ind w:left="700"/>
      </w:pPr>
      <w:r>
        <w:rPr>
          <w:sz w:val="18"/>
        </w:rPr>
        <w:t>Dividende maintenu à 15,16 Md FCFA versés</w:t>
      </w:r>
    </w:p>
    <w:p>
      <w:pPr>
        <w:spacing w:before="40"/>
        <w:ind w:left="400"/>
      </w:pPr>
      <w:r>
        <w:rPr>
          <w:b/>
          <w:color w:val="C05000"/>
          <w:sz w:val="18"/>
        </w:rPr>
        <w:t xml:space="preserve">⚠️ Risques : </w:t>
      </w:r>
      <w:r>
        <w:rPr>
          <w:sz w:val="18"/>
        </w:rPr>
        <w:t>["Rentabilité en baisse : résultat net -26 %, EBE -12 %, résultat d'exploitation -24 %", "Capex élevé (~45 Md) financé en partie par emprunt ; dettes financières en hausse (69,7 Md)", "Résultat financier négatif et en dégradation (-3,28 Md)", "Contexte économique et sécuritaire du Burkina Faso ; con</w:t>
      </w:r>
    </w:p>
    <w:p>
      <w:pPr>
        <w:spacing w:before="40"/>
        <w:ind w:left="400"/>
      </w:pPr>
      <w:r>
        <w:rPr>
          <w:b/>
          <w:color w:val="0064A0"/>
          <w:sz w:val="18"/>
        </w:rPr>
        <w:t xml:space="preserve">🔮 Perspectives : </w:t>
      </w:r>
      <w:r>
        <w:rPr>
          <w:sz w:val="18"/>
        </w:rPr>
        <w:t>La croissance du chiffre d'affaires et le lourd programme d'investissement réseau peuvent soutenir l'activité future, mais la compression des marges et la hausse de l'endettement pèsent sur la rentabilité. Le maintien d'un dividende élevé dépendra de la capacité à restaurer les marges tout en poursu</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conserve une croissance du chiffre d'affaires et un rendement de dividende attractif, mais le repli du r\u00e9sultat net et les risques r\u00e9glementaires/s\u00e9curitaires limitent le potentiel de revalorisation. La solidit\u00e9 financi\u00e8re et la note rehauss\u00e9e justifient toutefois de conserver le titre."}</w:t>
      </w:r>
    </w:p>
    <w:p>
      <w:pPr>
        <w:spacing w:before="40"/>
        <w:ind w:left="400"/>
      </w:pPr>
      <w:r>
        <w:rPr>
          <w:sz w:val="18"/>
        </w:rPr>
        <w:t>ONATEL SA (Moov Africa Burkina Faso) a enregistré en 2025 un chiffre d'affaires de 146,18 milliards FCFA, en hausse de 3,1%, porté par le FTTH, l'internet mobile et le Mobile Money. Le résultat net ressort à 15,89 milliards FCFA, en net repli de 26% par rapport à 2024, sous l'effet de charges opérationnelles et exceptionnelles élevées. Le total du bilan progresse de 8% à 324,90 milliards FCFA, reflétant la poursuite des investissements de réseau. La base clients atteint 12,61 millions d'abonnés (+4%), avec une forte dynamique du FTTH (+33%) et du Mobile Money (+14%). Le Conseil propose un dividende de 166,08 FCFA par action, et la note de crédit a été relevée à A+(WU) avec perspective stable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'56,73 milliards FCFA', 'note_gcr': 'A+(WU), perspective stable', 'nombre_abonnes': '12,61 millions', 'croissance_parc_ftth': '+33%', 'cours_de_cloture_2025': '2 485 FCFA', 'resultat_exploitation': '25,67 milliards FCFA', 'dividende_total_propose': '11 293 548 800 FCFA', 'capitalisation_boursiere': '168,98 milliards FCFA', 'total_ressources_stables': '127,23 milliards FCFA', 'croissance_parc_mobile_money': '+14%'}</w:t>
            </w:r>
          </w:p>
        </w:tc>
        <w:tc>
          <w:tcPr>
            <w:tcW w:type="dxa" w:w="2160"/>
          </w:tcPr>
          <w:p>
            <w:pPr>
              <w:ind w:left="100"/>
            </w:pPr>
            <w:r/>
            <w:r>
              <w:rPr>
                <w:b/>
                <w:sz w:val="16"/>
              </w:rPr>
              <w:t>dividende</w:t>
              <w:br/>
            </w:r>
            <w:r>
              <w:rPr>
                <w:sz w:val="18"/>
              </w:rPr>
              <w:t>166,0816 FCFA par action (145,3214 FCFA net de l'IRCM)</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324,90 milliards FCFA</w:t>
            </w:r>
          </w:p>
        </w:tc>
      </w:tr>
      <w:tr>
        <w:tc>
          <w:tcPr>
            <w:tcW w:type="dxa" w:w="2160"/>
          </w:tcPr>
          <w:p>
            <w:r/>
            <w:r>
              <w:rPr>
                <w:b/>
                <w:sz w:val="16"/>
              </w:rPr>
              <w:t>resultat_net</w:t>
              <w:br/>
            </w:r>
            <w:r>
              <w:rPr>
                <w:sz w:val="18"/>
              </w:rPr>
              <w:t>15,89 milliards FCFA</w:t>
            </w:r>
          </w:p>
        </w:tc>
        <w:tc>
          <w:tcPr>
            <w:tcW w:type="dxa" w:w="2160"/>
          </w:tcPr>
          <w:p>
            <w:r/>
            <w:r>
              <w:rPr>
                <w:b/>
                <w:sz w:val="16"/>
              </w:rPr>
              <w:t>capitaux_propres</w:t>
              <w:br/>
            </w:r>
            <w:r>
              <w:rPr>
                <w:sz w:val="18"/>
              </w:rPr>
              <w:t>57,54 milliards FCFA</w:t>
            </w:r>
          </w:p>
        </w:tc>
        <w:tc>
          <w:tcPr>
            <w:tcW w:type="dxa" w:w="2160"/>
          </w:tcPr>
          <w:p>
            <w:r/>
            <w:r>
              <w:rPr>
                <w:b/>
                <w:sz w:val="16"/>
              </w:rPr>
              <w:t>chiffre_affaires</w:t>
              <w:br/>
            </w:r>
            <w:r>
              <w:rPr>
                <w:sz w:val="18"/>
              </w:rPr>
              <w:t>146,18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3,1% à 146,18 milliards FCFA en 2025, tiré par le FTTH, l'Internet mobile et le Mobile Money.</w:t>
      </w:r>
    </w:p>
    <w:p>
      <w:pPr>
        <w:pStyle w:val="ListBullet"/>
        <w:spacing w:before="20" w:after="20"/>
        <w:ind w:left="700"/>
      </w:pPr>
      <w:r>
        <w:rPr>
          <w:sz w:val="18"/>
        </w:rPr>
        <w:t>Résultat net en baisse à 15,89 milliards FCFA contre 21,47 milliards en 2024, notamment en raison des indemnités de fin d'engagement, des charges locatives, du coût de l'énergie et de la maintenance e</w:t>
      </w:r>
    </w:p>
    <w:p>
      <w:pPr>
        <w:pStyle w:val="ListBullet"/>
        <w:spacing w:before="20" w:after="20"/>
        <w:ind w:left="700"/>
      </w:pPr>
      <w:r>
        <w:rPr>
          <w:sz w:val="18"/>
        </w:rPr>
        <w:t>Total bilan à 324,90 milliards FCFA (+8%), avec un renforcement des investissements de +10% pour étendre et densifier les réseaux mobile et fixe.</w:t>
      </w:r>
    </w:p>
    <w:p>
      <w:pPr>
        <w:pStyle w:val="ListBullet"/>
        <w:spacing w:before="20" w:after="20"/>
        <w:ind w:left="700"/>
      </w:pPr>
      <w:r>
        <w:rPr>
          <w:sz w:val="18"/>
        </w:rPr>
        <w:t>Parc clients en hausse de 4% à 12,61 millions d'abonnés; le parc FTTH progresse de 33% et représente 95% du parc Internet fixe; le Mobile Money croît de 14%.</w:t>
      </w:r>
    </w:p>
    <w:p>
      <w:pPr>
        <w:pStyle w:val="ListBullet"/>
        <w:spacing w:before="20" w:after="20"/>
        <w:ind w:left="700"/>
      </w:pPr>
      <w:r>
        <w:rPr>
          <w:sz w:val="18"/>
        </w:rPr>
        <w:t>Proposition de dividende de 166,0816 FCFA par action (145,3214 FCFA net de l'IRCM), soit une distribution totale de 11,29 milliards FCFA.</w:t>
      </w:r>
    </w:p>
    <w:p>
      <w:pPr>
        <w:pStyle w:val="ListBullet"/>
        <w:spacing w:before="20" w:after="20"/>
        <w:ind w:left="700"/>
      </w:pPr>
      <w:r>
        <w:rPr>
          <w:sz w:val="18"/>
        </w:rPr>
        <w:t>Rehaussement de la note d'émetteur long terme de ONATEL SA à A+(WU) par GCR Ratings, perspective stable.</w:t>
      </w:r>
    </w:p>
    <w:p>
      <w:pPr>
        <w:spacing w:before="40"/>
        <w:ind w:left="400"/>
      </w:pPr>
      <w:r>
        <w:rPr>
          <w:b/>
          <w:color w:val="C05000"/>
          <w:sz w:val="18"/>
        </w:rPr>
        <w:t xml:space="preserve">⚠️ Risques : </w:t>
      </w:r>
      <w:r>
        <w:rPr>
          <w:sz w:val="18"/>
        </w:rPr>
        <w:t>["D\u00e9gradation du contexte s\u00e9curitaire au Burkina Faso, entra\u00eenant des co\u00fbts de maintenance et d'exploitation plus \u00e9lev\u00e9s dans certaines zones.", "Pression concurrentielle et risques r\u00e9glementaires, notamment une sanction de 1,543 milliard FCFA rendue ex\u00e9cutoir</w:t>
      </w:r>
    </w:p>
    <w:p>
      <w:pPr>
        <w:spacing w:before="40"/>
        <w:ind w:left="400"/>
      </w:pPr>
      <w:r>
        <w:rPr>
          <w:b/>
          <w:color w:val="0064A0"/>
          <w:sz w:val="18"/>
        </w:rPr>
        <w:t xml:space="preserve">🔮 Perspectives : </w:t>
      </w:r>
      <w:r>
        <w:rPr>
          <w:sz w:val="18"/>
        </w:rPr>
        <w:t>Pour 2026, ONATEL SA place l'année sous le thème « Avançons ensemble pour reconquérir notre leadership », avec un accent sur l'optimisation de la couverture mobile, l'accélération du déploiement de la fibre optique et le renforcement des solutions digitales et financières. La direction vise une amél</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r\u00e9sultats li\u00e9e aux probl\u00e8mes s\u00e9curitaires, ONATEL maintient une marge EBITDA solide et investit dans la modernisation de son r\u00e9seau. La croissance des services Internet et les efforts de r\u00e9habilitation laissent pr\u00e9sager une am\u00e9lioration progressive."}</w:t>
      </w:r>
    </w:p>
    <w:p>
      <w:pPr>
        <w:spacing w:before="40"/>
        <w:ind w:left="400"/>
      </w:pPr>
      <w:r>
        <w:rPr>
          <w:sz w:val="18"/>
        </w:rPr>
        <w:t>ONATEL-SA affiche des résultats contrastés pour les 9 premiers mois de 2023 avec une croissance de 3% de sa base clients à 11,4 millions. Le chiffre d'affaires IFRS recule de 5% à 105,5 Mds FCFA contre 111,6 Mds en 2022. Le résultat net baisse de 12% à 15,9 Mds FCFA tandis que la marge EBITDA reste élevée à 48,3%. L'impact des sites vandalisés dans les zones d'insécurité pèse significativement sur les performances avec une baisse globale de 5% du chiffre d'affaires. L'opérateur maintient néanmoins une position solide sur le marché burkinabé avec des revenus Internet Mobile en forte croissance de 16%.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{'ebita': '25,2 Mds FCFA', 'marge_ebitda': '48,3%', 'base_internet': '6,96 millions', 'base_clients_fixe': '75 006', 'base_clients_mobile': '11,34 millions'}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15,9 Mds FCFA (9 mois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105,5 Mds FCFA (9 mois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 la base clients de 3% à 11,4 millions au 30 septembre 2023</w:t>
      </w:r>
    </w:p>
    <w:p>
      <w:pPr>
        <w:pStyle w:val="ListBullet"/>
        <w:spacing w:before="20" w:after="20"/>
        <w:ind w:left="700"/>
      </w:pPr>
      <w:r>
        <w:rPr>
          <w:sz w:val="18"/>
        </w:rPr>
        <w:t>Chiffre d'affaires IFRS en recul de 5% à 105,5 Mds FCFA sur 9 mois</w:t>
      </w:r>
    </w:p>
    <w:p>
      <w:pPr>
        <w:pStyle w:val="ListBullet"/>
        <w:spacing w:before="20" w:after="20"/>
        <w:ind w:left="700"/>
      </w:pPr>
      <w:r>
        <w:rPr>
          <w:sz w:val="18"/>
        </w:rPr>
        <w:t>Résultat net en baisse de 12% à 15,9 Mds FCFA</w:t>
      </w:r>
    </w:p>
    <w:p>
      <w:pPr>
        <w:pStyle w:val="ListBullet"/>
        <w:spacing w:before="20" w:after="20"/>
        <w:ind w:left="700"/>
      </w:pPr>
      <w:r>
        <w:rPr>
          <w:sz w:val="18"/>
        </w:rPr>
        <w:t>Impact significatif des sites vandalisés dans les zones d'insécurité (-5% sur le CA global)</w:t>
      </w:r>
    </w:p>
    <w:p>
      <w:pPr>
        <w:pStyle w:val="ListBullet"/>
        <w:spacing w:before="20" w:after="20"/>
        <w:ind w:left="700"/>
      </w:pPr>
      <w:r>
        <w:rPr>
          <w:sz w:val="18"/>
        </w:rPr>
        <w:t>Forte croissance des revenus Internet Mobile (+16%) et multiplication par 3,5 des revenus fibre</w:t>
      </w:r>
    </w:p>
    <w:p>
      <w:pPr>
        <w:pStyle w:val="ListBullet"/>
        <w:spacing w:before="20" w:after="20"/>
        <w:ind w:left="700"/>
      </w:pPr>
      <w:r>
        <w:rPr>
          <w:sz w:val="18"/>
        </w:rPr>
        <w:t>Marge EBITDA maintenue à un niveau élevé de 48,3%</w:t>
      </w:r>
    </w:p>
    <w:p>
      <w:pPr>
        <w:spacing w:before="40"/>
        <w:ind w:left="400"/>
      </w:pPr>
      <w:r>
        <w:rPr>
          <w:b/>
          <w:color w:val="C05000"/>
          <w:sz w:val="18"/>
        </w:rPr>
        <w:t xml:space="preserve">⚠️ Risques : </w:t>
      </w:r>
      <w:r>
        <w:rPr>
          <w:sz w:val="18"/>
        </w:rPr>
        <w:t>["Persistance de l'ins\u00e9curit\u00e9 et vandalisme des infrastructures dans certaines zones", "Recul du revenu pr\u00e9pay\u00e9 voix li\u00e9 \u00e0 l'usage massif des applications OTT", "Baisse des revenus de l'international entrant affectant la rentabilit\u00e9 globale"]</w:t>
      </w:r>
    </w:p>
    <w:p>
      <w:pPr>
        <w:spacing w:before="40"/>
        <w:ind w:left="400"/>
      </w:pPr>
      <w:r>
        <w:rPr>
          <w:b/>
          <w:color w:val="0064A0"/>
          <w:sz w:val="18"/>
        </w:rPr>
        <w:t xml:space="preserve">🔮 Perspectives : </w:t>
      </w:r>
      <w:r>
        <w:rPr>
          <w:sz w:val="18"/>
        </w:rPr>
        <w:t>La normalisation progressive de la situation sécuritaire et la poursuite des investissements dans les nouvelles technologies devraient permettre une amélioration des performances en 2024. Le déploiement de nouveaux sites et la réhabilitation des infrastructures endommagées constituent des leviers de</w:t>
      </w:r>
    </w:p>
    <w:p/>
    <w:p>
      <w:r>
        <w:t>════════════════════════════════════════════════════════════════════════════════</w:t>
      </w:r>
    </w:p>
    <w:p>
      <w:r>
        <w:br w:type="page"/>
      </w:r>
    </w:p>
    <w:p>
      <w:pPr>
        <w:pStyle w:val="Heading2"/>
        <w:spacing w:before="360"/>
      </w:pPr>
      <w:r>
        <w:rPr>
          <w:color w:val="0066CC"/>
        </w:rPr>
        <w:t>24. ORAC - ORAC - ORANGE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ORAC</w:t>
            </w:r>
          </w:p>
          <w:p>
            <w:r>
              <w:rPr>
                <w:b/>
                <w:color w:val="323250"/>
                <w:sz w:val="16"/>
              </w:rPr>
              <w:t xml:space="preserve">Société : </w:t>
            </w:r>
            <w:r>
              <w:rPr>
                <w:color w:val="000000"/>
                <w:sz w:val="16"/>
              </w:rPr>
              <w:t>ORAC - ORANGE COTE D'IVOIRE</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3239.09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3,561 titres</w:t>
            </w:r>
          </w:p>
        </w:tc>
        <w:tc>
          <w:tcPr>
            <w:tcW w:type="dxa" w:w="2268"/>
            <w:shd w:fill="FFF2CC" w:val="clear"/>
          </w:tcPr>
          <w:p>
            <w:r>
              <w:rPr>
                <w:b/>
                <w:color w:val="503200"/>
                <w:sz w:val="16"/>
              </w:rPr>
              <w:t xml:space="preserve">Cours actuel : </w:t>
            </w:r>
            <w:r>
              <w:rPr>
                <w:color w:val="000000"/>
                <w:sz w:val="17"/>
              </w:rPr>
              <w:t>21,500 FCFA</w:t>
            </w:r>
          </w:p>
          <w:p>
            <w:r>
              <w:rPr>
                <w:b/>
                <w:color w:val="503200"/>
                <w:sz w:val="16"/>
              </w:rPr>
              <w:t xml:space="preserve">Var. 100 jours : </w:t>
            </w:r>
            <w:r>
              <w:rPr>
                <w:b/>
                <w:color w:val="007800"/>
                <w:sz w:val="17"/>
              </w:rPr>
              <w:t>+38.26%</w:t>
            </w:r>
          </w:p>
          <w:p>
            <w:r>
              <w:rPr>
                <w:b/>
                <w:color w:val="503200"/>
                <w:sz w:val="16"/>
              </w:rPr>
              <w:t xml:space="preserve">Plus haut 100j : </w:t>
            </w:r>
            <w:r>
              <w:rPr>
                <w:color w:val="000000"/>
                <w:sz w:val="17"/>
              </w:rPr>
              <w:t>22,500 FCFA</w:t>
            </w:r>
          </w:p>
          <w:p>
            <w:r>
              <w:rPr>
                <w:b/>
                <w:color w:val="503200"/>
                <w:sz w:val="16"/>
              </w:rPr>
              <w:t xml:space="preserve">Plus bas 100j : </w:t>
            </w:r>
            <w:r>
              <w:rPr>
                <w:color w:val="000000"/>
                <w:sz w:val="17"/>
              </w:rPr>
              <w:t>15,550 FCFA</w:t>
            </w:r>
          </w:p>
          <w:p>
            <w:r>
              <w:rPr>
                <w:b/>
                <w:color w:val="503200"/>
                <w:sz w:val="16"/>
              </w:rPr>
              <w:t xml:space="preserve">Volatilité ann. : </w:t>
            </w:r>
            <w:r>
              <w:rPr>
                <w:color w:val="000000"/>
                <w:sz w:val="17"/>
              </w:rPr>
              <w:t>37.8%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22.3/100 → Moyen</w:t>
      </w:r>
    </w:p>
    <w:p>
      <w:pPr>
        <w:spacing w:before="40" w:after="80"/>
      </w:pPr>
      <w:r>
        <w:rPr>
          <w:rFonts w:ascii="Courier New" w:hAnsi="Courier New"/>
          <w:color w:val="825A00"/>
          <w:sz w:val="18"/>
        </w:rPr>
        <w:t>████░░░░░░░░░░░░░░░░  22.3/100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13.62% (Moyenne) — μ=18,469 FCFA, σ=2,516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β=1.4740 (Agressif) — Cov=0.000110, Var(idx)=0.000075, ρ=0.561, n=96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3,561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σ_j=2.38%/j (Stable) — Vol. annualisée≈37.8%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03190"/>
            <wp:docPr id="26" name="Picture 26"/>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2026-10-16</w:t>
            </w:r>
          </w:p>
        </w:tc>
        <w:tc>
          <w:tcPr>
            <w:tcW w:type="dxa" w:w="1440"/>
            <w:shd w:fill="FAFAFA" w:val="clear"/>
          </w:tcPr>
          <w:p>
            <w:r>
              <w:rPr>
                <w:sz w:val="17"/>
              </w:rPr>
              <w:t>20,172</w:t>
            </w:r>
          </w:p>
        </w:tc>
        <w:tc>
          <w:tcPr>
            <w:tcW w:type="dxa" w:w="1440"/>
            <w:shd w:fill="FAFAFA" w:val="clear"/>
          </w:tcPr>
          <w:p>
            <w:r>
              <w:rPr>
                <w:b/>
                <w:sz w:val="17"/>
              </w:rPr>
              <w:t>21,300</w:t>
            </w:r>
          </w:p>
        </w:tc>
        <w:tc>
          <w:tcPr>
            <w:tcW w:type="dxa" w:w="1440"/>
            <w:shd w:fill="FAFAFA" w:val="clear"/>
          </w:tcPr>
          <w:p>
            <w:r>
              <w:rPr>
                <w:sz w:val="17"/>
              </w:rPr>
              <w:t>22,428</w:t>
            </w:r>
          </w:p>
        </w:tc>
        <w:tc>
          <w:tcPr>
            <w:tcW w:type="dxa" w:w="1440"/>
            <w:shd w:fill="FAFAFA" w:val="clear"/>
          </w:tcPr>
          <w:p>
            <w:r>
              <w:rPr>
                <w:b/>
                <w:color w:val="C00000"/>
                <w:sz w:val="17"/>
              </w:rPr>
              <w:t>-0.9%</w:t>
            </w:r>
          </w:p>
        </w:tc>
      </w:tr>
      <w:tr>
        <w:tc>
          <w:tcPr>
            <w:tcW w:type="dxa" w:w="1440"/>
            <w:shd w:fill="FAFAFA" w:val="clear"/>
          </w:tcPr>
          <w:p>
            <w:r>
              <w:rPr>
                <w:sz w:val="17"/>
              </w:rPr>
              <w:t>J+2  ⭐</w:t>
            </w:r>
          </w:p>
        </w:tc>
        <w:tc>
          <w:tcPr>
            <w:tcW w:type="dxa" w:w="1440"/>
            <w:shd w:fill="FAFAFA" w:val="clear"/>
          </w:tcPr>
          <w:p>
            <w:r>
              <w:rPr>
                <w:sz w:val="17"/>
              </w:rPr>
              <w:t>2026-10-19</w:t>
            </w:r>
          </w:p>
        </w:tc>
        <w:tc>
          <w:tcPr>
            <w:tcW w:type="dxa" w:w="1440"/>
            <w:shd w:fill="FAFAFA" w:val="clear"/>
          </w:tcPr>
          <w:p>
            <w:r>
              <w:rPr>
                <w:sz w:val="17"/>
              </w:rPr>
              <w:t>19,682</w:t>
            </w:r>
          </w:p>
        </w:tc>
        <w:tc>
          <w:tcPr>
            <w:tcW w:type="dxa" w:w="1440"/>
            <w:shd w:fill="FAFAFA" w:val="clear"/>
          </w:tcPr>
          <w:p>
            <w:r>
              <w:rPr>
                <w:b/>
                <w:sz w:val="17"/>
              </w:rPr>
              <w:t>21,274</w:t>
            </w:r>
          </w:p>
        </w:tc>
        <w:tc>
          <w:tcPr>
            <w:tcW w:type="dxa" w:w="1440"/>
            <w:shd w:fill="FAFAFA" w:val="clear"/>
          </w:tcPr>
          <w:p>
            <w:r>
              <w:rPr>
                <w:sz w:val="17"/>
              </w:rPr>
              <w:t>22,867</w:t>
            </w:r>
          </w:p>
        </w:tc>
        <w:tc>
          <w:tcPr>
            <w:tcW w:type="dxa" w:w="1440"/>
            <w:shd w:fill="FAFAFA" w:val="clear"/>
          </w:tcPr>
          <w:p>
            <w:r>
              <w:rPr>
                <w:b/>
                <w:color w:val="C00000"/>
                <w:sz w:val="17"/>
              </w:rPr>
              <w:t>-1.0%</w:t>
            </w:r>
          </w:p>
        </w:tc>
      </w:tr>
      <w:tr>
        <w:tc>
          <w:tcPr>
            <w:tcW w:type="dxa" w:w="1440"/>
            <w:shd w:fill="FAFAFA" w:val="clear"/>
          </w:tcPr>
          <w:p>
            <w:r>
              <w:rPr>
                <w:sz w:val="17"/>
              </w:rPr>
              <w:t>J+3  ⭐</w:t>
            </w:r>
          </w:p>
        </w:tc>
        <w:tc>
          <w:tcPr>
            <w:tcW w:type="dxa" w:w="1440"/>
            <w:shd w:fill="FAFAFA" w:val="clear"/>
          </w:tcPr>
          <w:p>
            <w:r>
              <w:rPr>
                <w:sz w:val="17"/>
              </w:rPr>
              <w:t>2026-10-20</w:t>
            </w:r>
          </w:p>
        </w:tc>
        <w:tc>
          <w:tcPr>
            <w:tcW w:type="dxa" w:w="1440"/>
            <w:shd w:fill="FAFAFA" w:val="clear"/>
          </w:tcPr>
          <w:p>
            <w:r>
              <w:rPr>
                <w:sz w:val="17"/>
              </w:rPr>
              <w:t>19,305</w:t>
            </w:r>
          </w:p>
        </w:tc>
        <w:tc>
          <w:tcPr>
            <w:tcW w:type="dxa" w:w="1440"/>
            <w:shd w:fill="FAFAFA" w:val="clear"/>
          </w:tcPr>
          <w:p>
            <w:r>
              <w:rPr>
                <w:b/>
                <w:sz w:val="17"/>
              </w:rPr>
              <w:t>21,254</w:t>
            </w:r>
          </w:p>
        </w:tc>
        <w:tc>
          <w:tcPr>
            <w:tcW w:type="dxa" w:w="1440"/>
            <w:shd w:fill="FAFAFA" w:val="clear"/>
          </w:tcPr>
          <w:p>
            <w:r>
              <w:rPr>
                <w:sz w:val="17"/>
              </w:rPr>
              <w:t>23,202</w:t>
            </w:r>
          </w:p>
        </w:tc>
        <w:tc>
          <w:tcPr>
            <w:tcW w:type="dxa" w:w="1440"/>
            <w:shd w:fill="FAFAFA" w:val="clear"/>
          </w:tcPr>
          <w:p>
            <w:r>
              <w:rPr>
                <w:b/>
                <w:color w:val="C00000"/>
                <w:sz w:val="17"/>
              </w:rPr>
              <w:t>-1.1%</w:t>
            </w:r>
          </w:p>
        </w:tc>
      </w:tr>
      <w:tr>
        <w:tc>
          <w:tcPr>
            <w:tcW w:type="dxa" w:w="1440"/>
            <w:shd w:fill="FAFAFA" w:val="clear"/>
          </w:tcPr>
          <w:p>
            <w:r>
              <w:rPr>
                <w:sz w:val="17"/>
              </w:rPr>
              <w:t>J+4  ⭐</w:t>
            </w:r>
          </w:p>
        </w:tc>
        <w:tc>
          <w:tcPr>
            <w:tcW w:type="dxa" w:w="1440"/>
            <w:shd w:fill="FAFAFA" w:val="clear"/>
          </w:tcPr>
          <w:p>
            <w:r>
              <w:rPr>
                <w:sz w:val="17"/>
              </w:rPr>
              <w:t>2026-10-21</w:t>
            </w:r>
          </w:p>
        </w:tc>
        <w:tc>
          <w:tcPr>
            <w:tcW w:type="dxa" w:w="1440"/>
            <w:shd w:fill="FAFAFA" w:val="clear"/>
          </w:tcPr>
          <w:p>
            <w:r>
              <w:rPr>
                <w:sz w:val="17"/>
              </w:rPr>
              <w:t>18,985</w:t>
            </w:r>
          </w:p>
        </w:tc>
        <w:tc>
          <w:tcPr>
            <w:tcW w:type="dxa" w:w="1440"/>
            <w:shd w:fill="FAFAFA" w:val="clear"/>
          </w:tcPr>
          <w:p>
            <w:r>
              <w:rPr>
                <w:b/>
                <w:sz w:val="17"/>
              </w:rPr>
              <w:t>21,233</w:t>
            </w:r>
          </w:p>
        </w:tc>
        <w:tc>
          <w:tcPr>
            <w:tcW w:type="dxa" w:w="1440"/>
            <w:shd w:fill="FAFAFA" w:val="clear"/>
          </w:tcPr>
          <w:p>
            <w:r>
              <w:rPr>
                <w:sz w:val="17"/>
              </w:rPr>
              <w:t>23,481</w:t>
            </w:r>
          </w:p>
        </w:tc>
        <w:tc>
          <w:tcPr>
            <w:tcW w:type="dxa" w:w="1440"/>
            <w:shd w:fill="FAFAFA" w:val="clear"/>
          </w:tcPr>
          <w:p>
            <w:r>
              <w:rPr>
                <w:b/>
                <w:color w:val="C00000"/>
                <w:sz w:val="17"/>
              </w:rPr>
              <w:t>-1.2%</w:t>
            </w:r>
          </w:p>
        </w:tc>
      </w:tr>
      <w:tr>
        <w:tc>
          <w:tcPr>
            <w:tcW w:type="dxa" w:w="1440"/>
            <w:shd w:fill="FAFAFA" w:val="clear"/>
          </w:tcPr>
          <w:p>
            <w:r>
              <w:rPr>
                <w:sz w:val="17"/>
              </w:rPr>
              <w:t>J+5  ⭐</w:t>
            </w:r>
          </w:p>
        </w:tc>
        <w:tc>
          <w:tcPr>
            <w:tcW w:type="dxa" w:w="1440"/>
            <w:shd w:fill="FAFAFA" w:val="clear"/>
          </w:tcPr>
          <w:p>
            <w:r>
              <w:rPr>
                <w:sz w:val="17"/>
              </w:rPr>
              <w:t>2026-10-22</w:t>
            </w:r>
          </w:p>
        </w:tc>
        <w:tc>
          <w:tcPr>
            <w:tcW w:type="dxa" w:w="1440"/>
            <w:shd w:fill="FAFAFA" w:val="clear"/>
          </w:tcPr>
          <w:p>
            <w:r>
              <w:rPr>
                <w:sz w:val="17"/>
              </w:rPr>
              <w:t>18,701</w:t>
            </w:r>
          </w:p>
        </w:tc>
        <w:tc>
          <w:tcPr>
            <w:tcW w:type="dxa" w:w="1440"/>
            <w:shd w:fill="FAFAFA" w:val="clear"/>
          </w:tcPr>
          <w:p>
            <w:r>
              <w:rPr>
                <w:b/>
                <w:sz w:val="17"/>
              </w:rPr>
              <w:t>21,212</w:t>
            </w:r>
          </w:p>
        </w:tc>
        <w:tc>
          <w:tcPr>
            <w:tcW w:type="dxa" w:w="1440"/>
            <w:shd w:fill="FAFAFA" w:val="clear"/>
          </w:tcPr>
          <w:p>
            <w:r>
              <w:rPr>
                <w:sz w:val="17"/>
              </w:rPr>
              <w:t>23,723</w:t>
            </w:r>
          </w:p>
        </w:tc>
        <w:tc>
          <w:tcPr>
            <w:tcW w:type="dxa" w:w="1440"/>
            <w:shd w:fill="FAFAFA" w:val="clear"/>
          </w:tcPr>
          <w:p>
            <w:r>
              <w:rPr>
                <w:b/>
                <w:color w:val="C00000"/>
                <w:sz w:val="17"/>
              </w:rPr>
              <w:t>-1.3%</w:t>
            </w:r>
          </w:p>
        </w:tc>
      </w:tr>
      <w:tr>
        <w:tc>
          <w:tcPr>
            <w:tcW w:type="dxa" w:w="1440"/>
            <w:shd w:fill="FAFAFA" w:val="clear"/>
          </w:tcPr>
          <w:p>
            <w:r>
              <w:rPr>
                <w:sz w:val="17"/>
              </w:rPr>
              <w:t>J+6  ⭐</w:t>
            </w:r>
          </w:p>
        </w:tc>
        <w:tc>
          <w:tcPr>
            <w:tcW w:type="dxa" w:w="1440"/>
            <w:shd w:fill="FAFAFA" w:val="clear"/>
          </w:tcPr>
          <w:p>
            <w:r>
              <w:rPr>
                <w:sz w:val="17"/>
              </w:rPr>
              <w:t>2026-10-23</w:t>
            </w:r>
          </w:p>
        </w:tc>
        <w:tc>
          <w:tcPr>
            <w:tcW w:type="dxa" w:w="1440"/>
            <w:shd w:fill="FAFAFA" w:val="clear"/>
          </w:tcPr>
          <w:p>
            <w:r>
              <w:rPr>
                <w:sz w:val="17"/>
              </w:rPr>
              <w:t>18,443</w:t>
            </w:r>
          </w:p>
        </w:tc>
        <w:tc>
          <w:tcPr>
            <w:tcW w:type="dxa" w:w="1440"/>
            <w:shd w:fill="FAFAFA" w:val="clear"/>
          </w:tcPr>
          <w:p>
            <w:r>
              <w:rPr>
                <w:b/>
                <w:sz w:val="17"/>
              </w:rPr>
              <w:t>21,191</w:t>
            </w:r>
          </w:p>
        </w:tc>
        <w:tc>
          <w:tcPr>
            <w:tcW w:type="dxa" w:w="1440"/>
            <w:shd w:fill="FAFAFA" w:val="clear"/>
          </w:tcPr>
          <w:p>
            <w:r>
              <w:rPr>
                <w:sz w:val="17"/>
              </w:rPr>
              <w:t>23,939</w:t>
            </w:r>
          </w:p>
        </w:tc>
        <w:tc>
          <w:tcPr>
            <w:tcW w:type="dxa" w:w="1440"/>
            <w:shd w:fill="FAFAFA" w:val="clear"/>
          </w:tcPr>
          <w:p>
            <w:r>
              <w:rPr>
                <w:b/>
                <w:color w:val="C00000"/>
                <w:sz w:val="17"/>
              </w:rPr>
              <w:t>-1.4%</w:t>
            </w:r>
          </w:p>
        </w:tc>
      </w:tr>
      <w:tr>
        <w:tc>
          <w:tcPr>
            <w:tcW w:type="dxa" w:w="1440"/>
            <w:shd w:fill="FAFAFA" w:val="clear"/>
          </w:tcPr>
          <w:p>
            <w:r>
              <w:rPr>
                <w:sz w:val="17"/>
              </w:rPr>
              <w:t>J+7  ⭐</w:t>
            </w:r>
          </w:p>
        </w:tc>
        <w:tc>
          <w:tcPr>
            <w:tcW w:type="dxa" w:w="1440"/>
            <w:shd w:fill="FAFAFA" w:val="clear"/>
          </w:tcPr>
          <w:p>
            <w:r>
              <w:rPr>
                <w:sz w:val="17"/>
              </w:rPr>
              <w:t>2026-10-26</w:t>
            </w:r>
          </w:p>
        </w:tc>
        <w:tc>
          <w:tcPr>
            <w:tcW w:type="dxa" w:w="1440"/>
            <w:shd w:fill="FAFAFA" w:val="clear"/>
          </w:tcPr>
          <w:p>
            <w:r>
              <w:rPr>
                <w:sz w:val="17"/>
              </w:rPr>
              <w:t>18,205</w:t>
            </w:r>
          </w:p>
        </w:tc>
        <w:tc>
          <w:tcPr>
            <w:tcW w:type="dxa" w:w="1440"/>
            <w:shd w:fill="FAFAFA" w:val="clear"/>
          </w:tcPr>
          <w:p>
            <w:r>
              <w:rPr>
                <w:b/>
                <w:sz w:val="17"/>
              </w:rPr>
              <w:t>21,170</w:t>
            </w:r>
          </w:p>
        </w:tc>
        <w:tc>
          <w:tcPr>
            <w:tcW w:type="dxa" w:w="1440"/>
            <w:shd w:fill="FAFAFA" w:val="clear"/>
          </w:tcPr>
          <w:p>
            <w:r>
              <w:rPr>
                <w:sz w:val="17"/>
              </w:rPr>
              <w:t>24,136</w:t>
            </w:r>
          </w:p>
        </w:tc>
        <w:tc>
          <w:tcPr>
            <w:tcW w:type="dxa" w:w="1440"/>
            <w:shd w:fill="FAFAFA" w:val="clear"/>
          </w:tcPr>
          <w:p>
            <w:r>
              <w:rPr>
                <w:b/>
                <w:color w:val="C00000"/>
                <w:sz w:val="17"/>
              </w:rPr>
              <w:t>-1.5%</w:t>
            </w:r>
          </w:p>
        </w:tc>
      </w:tr>
      <w:tr>
        <w:tc>
          <w:tcPr>
            <w:tcW w:type="dxa" w:w="1440"/>
            <w:shd w:fill="FAFAFA" w:val="clear"/>
          </w:tcPr>
          <w:p>
            <w:r>
              <w:rPr>
                <w:sz w:val="17"/>
              </w:rPr>
              <w:t>J+8  ⭐</w:t>
            </w:r>
          </w:p>
        </w:tc>
        <w:tc>
          <w:tcPr>
            <w:tcW w:type="dxa" w:w="1440"/>
            <w:shd w:fill="FAFAFA" w:val="clear"/>
          </w:tcPr>
          <w:p>
            <w:r>
              <w:rPr>
                <w:sz w:val="17"/>
              </w:rPr>
              <w:t>2026-10-27</w:t>
            </w:r>
          </w:p>
        </w:tc>
        <w:tc>
          <w:tcPr>
            <w:tcW w:type="dxa" w:w="1440"/>
            <w:shd w:fill="FAFAFA" w:val="clear"/>
          </w:tcPr>
          <w:p>
            <w:r>
              <w:rPr>
                <w:sz w:val="17"/>
              </w:rPr>
              <w:t>17,984</w:t>
            </w:r>
          </w:p>
        </w:tc>
        <w:tc>
          <w:tcPr>
            <w:tcW w:type="dxa" w:w="1440"/>
            <w:shd w:fill="FAFAFA" w:val="clear"/>
          </w:tcPr>
          <w:p>
            <w:r>
              <w:rPr>
                <w:b/>
                <w:sz w:val="17"/>
              </w:rPr>
              <w:t>21,150</w:t>
            </w:r>
          </w:p>
        </w:tc>
        <w:tc>
          <w:tcPr>
            <w:tcW w:type="dxa" w:w="1440"/>
            <w:shd w:fill="FAFAFA" w:val="clear"/>
          </w:tcPr>
          <w:p>
            <w:r>
              <w:rPr>
                <w:sz w:val="17"/>
              </w:rPr>
              <w:t>24,317</w:t>
            </w:r>
          </w:p>
        </w:tc>
        <w:tc>
          <w:tcPr>
            <w:tcW w:type="dxa" w:w="1440"/>
            <w:shd w:fill="FAFAFA" w:val="clear"/>
          </w:tcPr>
          <w:p>
            <w:r>
              <w:rPr>
                <w:b/>
                <w:color w:val="C00000"/>
                <w:sz w:val="17"/>
              </w:rPr>
              <w:t>-1.6%</w:t>
            </w:r>
          </w:p>
        </w:tc>
      </w:tr>
      <w:tr>
        <w:tc>
          <w:tcPr>
            <w:tcW w:type="dxa" w:w="1440"/>
            <w:shd w:fill="FAFAFA" w:val="clear"/>
          </w:tcPr>
          <w:p>
            <w:r>
              <w:rPr>
                <w:sz w:val="17"/>
              </w:rPr>
              <w:t>J+9  ⭐</w:t>
            </w:r>
          </w:p>
        </w:tc>
        <w:tc>
          <w:tcPr>
            <w:tcW w:type="dxa" w:w="1440"/>
            <w:shd w:fill="FAFAFA" w:val="clear"/>
          </w:tcPr>
          <w:p>
            <w:r>
              <w:rPr>
                <w:sz w:val="17"/>
              </w:rPr>
              <w:t>2026-10-28</w:t>
            </w:r>
          </w:p>
        </w:tc>
        <w:tc>
          <w:tcPr>
            <w:tcW w:type="dxa" w:w="1440"/>
            <w:shd w:fill="FAFAFA" w:val="clear"/>
          </w:tcPr>
          <w:p>
            <w:r>
              <w:rPr>
                <w:sz w:val="17"/>
              </w:rPr>
              <w:t>17,775</w:t>
            </w:r>
          </w:p>
        </w:tc>
        <w:tc>
          <w:tcPr>
            <w:tcW w:type="dxa" w:w="1440"/>
            <w:shd w:fill="FAFAFA" w:val="clear"/>
          </w:tcPr>
          <w:p>
            <w:r>
              <w:rPr>
                <w:b/>
                <w:sz w:val="17"/>
              </w:rPr>
              <w:t>21,131</w:t>
            </w:r>
          </w:p>
        </w:tc>
        <w:tc>
          <w:tcPr>
            <w:tcW w:type="dxa" w:w="1440"/>
            <w:shd w:fill="FAFAFA" w:val="clear"/>
          </w:tcPr>
          <w:p>
            <w:r>
              <w:rPr>
                <w:sz w:val="17"/>
              </w:rPr>
              <w:t>24,487</w:t>
            </w:r>
          </w:p>
        </w:tc>
        <w:tc>
          <w:tcPr>
            <w:tcW w:type="dxa" w:w="1440"/>
            <w:shd w:fill="FAFAFA" w:val="clear"/>
          </w:tcPr>
          <w:p>
            <w:r>
              <w:rPr>
                <w:b/>
                <w:color w:val="C00000"/>
                <w:sz w:val="17"/>
              </w:rPr>
              <w:t>-1.7%</w:t>
            </w:r>
          </w:p>
        </w:tc>
      </w:tr>
      <w:tr>
        <w:tc>
          <w:tcPr>
            <w:tcW w:type="dxa" w:w="1440"/>
            <w:shd w:fill="FAFAFA" w:val="clear"/>
          </w:tcPr>
          <w:p>
            <w:r>
              <w:rPr>
                <w:sz w:val="17"/>
              </w:rPr>
              <w:t>J+10  ⭐</w:t>
            </w:r>
          </w:p>
        </w:tc>
        <w:tc>
          <w:tcPr>
            <w:tcW w:type="dxa" w:w="1440"/>
            <w:shd w:fill="FAFAFA" w:val="clear"/>
          </w:tcPr>
          <w:p>
            <w:r>
              <w:rPr>
                <w:sz w:val="17"/>
              </w:rPr>
              <w:t>2026-10-29</w:t>
            </w:r>
          </w:p>
        </w:tc>
        <w:tc>
          <w:tcPr>
            <w:tcW w:type="dxa" w:w="1440"/>
            <w:shd w:fill="FAFAFA" w:val="clear"/>
          </w:tcPr>
          <w:p>
            <w:r>
              <w:rPr>
                <w:sz w:val="17"/>
              </w:rPr>
              <w:t>17,577</w:t>
            </w:r>
          </w:p>
        </w:tc>
        <w:tc>
          <w:tcPr>
            <w:tcW w:type="dxa" w:w="1440"/>
            <w:shd w:fill="FAFAFA" w:val="clear"/>
          </w:tcPr>
          <w:p>
            <w:r>
              <w:rPr>
                <w:b/>
                <w:sz w:val="17"/>
              </w:rPr>
              <w:t>21,111</w:t>
            </w:r>
          </w:p>
        </w:tc>
        <w:tc>
          <w:tcPr>
            <w:tcW w:type="dxa" w:w="1440"/>
            <w:shd w:fill="FAFAFA" w:val="clear"/>
          </w:tcPr>
          <w:p>
            <w:r>
              <w:rPr>
                <w:sz w:val="17"/>
              </w:rPr>
              <w:t>24,645</w:t>
            </w:r>
          </w:p>
        </w:tc>
        <w:tc>
          <w:tcPr>
            <w:tcW w:type="dxa" w:w="1440"/>
            <w:shd w:fill="FAFAFA" w:val="clear"/>
          </w:tcPr>
          <w:p>
            <w:r>
              <w:rPr>
                <w:b/>
                <w:color w:val="C00000"/>
                <w:sz w:val="17"/>
              </w:rPr>
              <w:t>-1.8%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171.400 Mds FCFA</w:t>
            </w:r>
          </w:p>
        </w:tc>
        <w:tc>
          <w:tcPr>
            <w:tcW w:type="dxa" w:w="5669"/>
            <w:shd w:fill="FFFFFF" w:val="clear"/>
          </w:tcPr>
          <w:p>
            <w:r>
              <w:rPr>
                <w:color w:val="282828"/>
                <w:sz w:val="15"/>
              </w:rPr>
              <w:t>Créances clients = 14.3%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26.000 Mds FCFA</w:t>
            </w:r>
          </w:p>
        </w:tc>
        <w:tc>
          <w:tcPr>
            <w:tcW w:type="dxa" w:w="5669"/>
            <w:shd w:fill="FFFFFF" w:val="clear"/>
          </w:tcPr>
          <w:p>
            <w:r>
              <w:rPr>
                <w:color w:val="282828"/>
                <w:sz w:val="15"/>
              </w:rPr>
              <w:t>Rotation stocks = 46.0x/an.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1436.100 Mds FCFA</w:t>
            </w:r>
          </w:p>
        </w:tc>
        <w:tc>
          <w:tcPr>
            <w:tcW w:type="dxa" w:w="5669"/>
            <w:shd w:fill="FFFFFF" w:val="clear"/>
          </w:tcPr>
          <w:p>
            <w:r>
              <w:rPr>
                <w:color w:val="282828"/>
                <w:sz w:val="15"/>
              </w:rPr>
              <w:t>Ratio actif circ./passif circ. = 0.94x.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314.600 Mds FCFA</w:t>
            </w:r>
          </w:p>
        </w:tc>
        <w:tc>
          <w:tcPr>
            <w:tcW w:type="dxa" w:w="5669"/>
            <w:shd w:fill="FFFFFF" w:val="clear"/>
          </w:tcPr>
          <w:p>
            <w:r>
              <w:rPr>
                <w:color w:val="282828"/>
                <w:sz w:val="15"/>
              </w:rPr>
              <w:t>Brevets, logiciels, fonds commercial (12.3%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665.100 Mds FCFA</w:t>
            </w:r>
          </w:p>
        </w:tc>
        <w:tc>
          <w:tcPr>
            <w:tcW w:type="dxa" w:w="5669"/>
            <w:shd w:fill="FFFFFF" w:val="clear"/>
          </w:tcPr>
          <w:p>
            <w:r>
              <w:rPr>
                <w:color w:val="282828"/>
                <w:sz w:val="15"/>
              </w:rPr>
              <w:t>Outil industriel (26.0%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1118.000 Mds FCFA</w:t>
            </w:r>
          </w:p>
        </w:tc>
        <w:tc>
          <w:tcPr>
            <w:tcW w:type="dxa" w:w="5669"/>
            <w:shd w:fill="FFFFFF" w:val="clear"/>
          </w:tcPr>
          <w:p>
            <w:r>
              <w:rPr>
                <w:color w:val="282828"/>
                <w:sz w:val="15"/>
              </w:rPr>
              <w:t>Actif immobilisé = 43.8%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225.800 Mds FCFA</w:t>
            </w:r>
          </w:p>
        </w:tc>
        <w:tc>
          <w:tcPr>
            <w:tcW w:type="dxa" w:w="5669"/>
            <w:shd w:fill="FFFFFF" w:val="clear"/>
          </w:tcPr>
          <w:p>
            <w:r>
              <w:rPr>
                <w:color w:val="282828"/>
                <w:sz w:val="15"/>
              </w:rPr>
              <w:t>Liquidités disponibles (8.8%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2554.100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6.000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534.800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707.800 Mds FCFA</w:t>
            </w:r>
          </w:p>
        </w:tc>
        <w:tc>
          <w:tcPr>
            <w:tcW w:type="dxa" w:w="5669"/>
            <w:shd w:fill="FFFFFF" w:val="clear"/>
          </w:tcPr>
          <w:p>
            <w:r>
              <w:rPr>
                <w:color w:val="282828"/>
                <w:sz w:val="15"/>
              </w:rPr>
              <w:t>Fonds propres = 27.7%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1033.900 Mds FCFA</w:t>
            </w:r>
          </w:p>
        </w:tc>
        <w:tc>
          <w:tcPr>
            <w:tcW w:type="dxa" w:w="5669"/>
            <w:shd w:fill="FFFFFF" w:val="clear"/>
          </w:tcPr>
          <w:p>
            <w:r>
              <w:rPr>
                <w:color w:val="282828"/>
                <w:sz w:val="15"/>
              </w:rPr>
              <w:t>Capitaux permanents / Actif immobilisé = 0.92x.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279.100 Mds FCFA</w:t>
            </w:r>
          </w:p>
        </w:tc>
        <w:tc>
          <w:tcPr>
            <w:tcW w:type="dxa" w:w="5669"/>
            <w:shd w:fill="FFFFFF" w:val="clear"/>
          </w:tcPr>
          <w:p>
            <w:r>
              <w:rPr>
                <w:color w:val="282828"/>
                <w:sz w:val="15"/>
              </w:rPr>
              <w:t>Délai fournisseurs implicite ≈ 85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224.000 Mds FCFA</w:t>
            </w:r>
          </w:p>
        </w:tc>
        <w:tc>
          <w:tcPr>
            <w:tcW w:type="dxa" w:w="5669"/>
            <w:shd w:fill="FFFFFF" w:val="clear"/>
          </w:tcPr>
          <w:p>
            <w:r>
              <w:rPr>
                <w:color w:val="282828"/>
                <w:sz w:val="15"/>
              </w:rPr>
              <w:t>Dette LT/MT = 32%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335.900 Mds FCFA</w:t>
            </w:r>
          </w:p>
        </w:tc>
        <w:tc>
          <w:tcPr>
            <w:tcW w:type="dxa" w:w="5669"/>
            <w:shd w:fill="FFFFFF" w:val="clear"/>
          </w:tcPr>
          <w:p>
            <w:r>
              <w:rPr>
                <w:color w:val="282828"/>
                <w:sz w:val="15"/>
              </w:rPr>
              <w:t>Dette financière totale = 47%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1846.300 Mds FCFA</w:t>
            </w:r>
          </w:p>
        </w:tc>
        <w:tc>
          <w:tcPr>
            <w:tcW w:type="dxa" w:w="5669"/>
            <w:shd w:fill="FFFFFF" w:val="clear"/>
          </w:tcPr>
          <w:p>
            <w:r>
              <w:rPr>
                <w:color w:val="282828"/>
                <w:sz w:val="15"/>
              </w:rPr>
              <w:t>Dettes totales = 72.3%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1197.100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1197.100 Mds FCFA</w:t>
            </w:r>
          </w:p>
        </w:tc>
        <w:tc>
          <w:tcPr>
            <w:tcW w:type="dxa" w:w="5669"/>
            <w:shd w:fill="FFFFFF" w:val="clear"/>
          </w:tcPr>
          <w:p>
            <w:r>
              <w:rPr>
                <w:color w:val="282828"/>
                <w:sz w:val="15"/>
              </w:rPr>
              <w:t>Chiffre d'affaires. Croissance: 10.4%. ✅ CA en hausse — bonne dynamique commerciale.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-483.100 Mds FCFA</w:t>
            </w:r>
          </w:p>
        </w:tc>
        <w:tc>
          <w:tcPr>
            <w:tcW w:type="dxa" w:w="5669"/>
            <w:shd w:fill="FFFFFF" w:val="clear"/>
          </w:tcPr>
          <w:p>
            <w:r>
              <w:rPr>
                <w:color w:val="282828"/>
                <w:sz w:val="15"/>
              </w:rPr>
              <w:t>-40.4%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-162.500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-75.500 Mds FCFA</w:t>
            </w:r>
          </w:p>
        </w:tc>
        <w:tc>
          <w:tcPr>
            <w:tcW w:type="dxa" w:w="5669"/>
            <w:shd w:fill="FFFFFF" w:val="clear"/>
          </w:tcPr>
          <w:p>
            <w:r>
              <w:rPr>
                <w:color w:val="282828"/>
                <w:sz w:val="15"/>
              </w:rPr>
              <w:t>Masse salariale = -6.3%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707.300 Mds FCFA</w:t>
            </w:r>
          </w:p>
        </w:tc>
        <w:tc>
          <w:tcPr>
            <w:tcW w:type="dxa" w:w="5669"/>
            <w:shd w:fill="FFFFFF" w:val="clear"/>
          </w:tcPr>
          <w:p>
            <w:r>
              <w:rPr>
                <w:color w:val="282828"/>
                <w:sz w:val="15"/>
              </w:rPr>
              <w:t>VA = 59.1%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450.300 Mds FCFA</w:t>
            </w:r>
          </w:p>
        </w:tc>
        <w:tc>
          <w:tcPr>
            <w:tcW w:type="dxa" w:w="5669"/>
            <w:shd w:fill="FFFFFF" w:val="clear"/>
          </w:tcPr>
          <w:p>
            <w:r>
              <w:rPr>
                <w:color w:val="282828"/>
                <w:sz w:val="15"/>
              </w:rPr>
              <w:t>EBE = 37.6% des revenus (marge opérationnelle brute). ✅ Excellente capacité bénéficiaire avant amort.</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287.200 Mds FCFA</w:t>
            </w:r>
          </w:p>
        </w:tc>
        <w:tc>
          <w:tcPr>
            <w:tcW w:type="dxa" w:w="5669"/>
            <w:shd w:fill="FFFFFF" w:val="clear"/>
          </w:tcPr>
          <w:p>
            <w:r>
              <w:rPr>
                <w:color w:val="282828"/>
                <w:sz w:val="15"/>
              </w:rPr>
              <w:t>Profit d'exploitation = 24.0%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-9.700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167.800 Mds FCFA</w:t>
            </w:r>
          </w:p>
        </w:tc>
        <w:tc>
          <w:tcPr>
            <w:tcW w:type="dxa" w:w="5669"/>
            <w:shd w:fill="FFFFFF" w:val="clear"/>
          </w:tcPr>
          <w:p>
            <w:r>
              <w:rPr>
                <w:color w:val="282828"/>
                <w:sz w:val="15"/>
              </w:rPr>
              <w:t>Marge nette = 14.0%.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340.000 Mds FCFA</w:t>
            </w:r>
          </w:p>
        </w:tc>
        <w:tc>
          <w:tcPr>
            <w:tcW w:type="dxa" w:w="5669"/>
            <w:shd w:fill="FFFFFF" w:val="clear"/>
          </w:tcPr>
          <w:p>
            <w:r>
              <w:rPr>
                <w:color w:val="282828"/>
                <w:sz w:val="15"/>
              </w:rPr>
              <w:t>CAF = 340.00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335.500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-179.300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-214.400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156.200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-198.000 Mds FCFA</w:t>
            </w:r>
          </w:p>
        </w:tc>
        <w:tc>
          <w:tcPr>
            <w:tcW w:type="dxa" w:w="5669"/>
            <w:shd w:fill="FFFFFF" w:val="clear"/>
          </w:tcPr>
          <w:p>
            <w:r>
              <w:rPr>
                <w:color w:val="282828"/>
                <w:sz w:val="15"/>
              </w:rPr>
              <w:t>BFR = -16.5%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-84.100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113.900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59.64%</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14.02%</w:t>
            </w:r>
          </w:p>
        </w:tc>
        <w:tc>
          <w:tcPr>
            <w:tcW w:type="dxa" w:w="5669"/>
            <w:shd w:fill="FFFFFF" w:val="clear"/>
          </w:tcPr>
          <w:p>
            <w:r>
              <w:rPr>
                <w:color w:val="282828"/>
                <w:sz w:val="15"/>
              </w:rPr>
              <w:t>Résultat net / revenus = 14.02%.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23.99%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23.71%</w:t>
            </w:r>
          </w:p>
        </w:tc>
        <w:tc>
          <w:tcPr>
            <w:tcW w:type="dxa" w:w="5669"/>
            <w:shd w:fill="FFFFFF" w:val="clear"/>
          </w:tcPr>
          <w:p>
            <w:r>
              <w:rPr>
                <w:color w:val="282828"/>
                <w:sz w:val="15"/>
              </w:rPr>
              <w:t>Résultat net / capitaux propres = 23.71%.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6.57%</w:t>
            </w:r>
          </w:p>
        </w:tc>
        <w:tc>
          <w:tcPr>
            <w:tcW w:type="dxa" w:w="5669"/>
            <w:shd w:fill="FFFFFF" w:val="clear"/>
          </w:tcPr>
          <w:p>
            <w:r>
              <w:rPr>
                <w:color w:val="282828"/>
                <w:sz w:val="15"/>
              </w:rPr>
              <w:t>Résultat net / total actif = 6.57% (entreprise: seuil &gt;5%).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46.87%</w:t>
            </w:r>
          </w:p>
        </w:tc>
        <w:tc>
          <w:tcPr>
            <w:tcW w:type="dxa" w:w="5669"/>
            <w:shd w:fill="FFFFFF" w:val="clear"/>
          </w:tcPr>
          <w:p>
            <w:r>
              <w:rPr>
                <w:color w:val="282828"/>
                <w:sz w:val="15"/>
              </w:rPr>
              <w:t>CA / total actif = 46.87x. ⚠️ Actifs peu utilisés.</w:t>
            </w:r>
          </w:p>
        </w:tc>
      </w:tr>
      <w:tr>
        <w:tc>
          <w:tcPr>
            <w:tcW w:type="dxa" w:w="2268"/>
            <w:shd w:fill="EEF2F7" w:val="clear"/>
          </w:tcPr>
          <w:p>
            <w:r>
              <w:rPr>
                <w:b/>
                <w:color w:val="1E1E3C"/>
                <w:sz w:val="16"/>
              </w:rPr>
              <w:t>Coût du risque</w:t>
            </w:r>
          </w:p>
        </w:tc>
        <w:tc>
          <w:tcPr>
            <w:tcW w:type="dxa" w:w="1984"/>
            <w:shd w:fill="FFEB9C" w:val="clear"/>
          </w:tcPr>
          <w:p>
            <w:r>
              <w:rPr>
                <w:b/>
                <w:color w:val="006400"/>
                <w:sz w:val="17"/>
              </w:rPr>
              <w:t>2.36%</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10.42%</w:t>
            </w:r>
          </w:p>
        </w:tc>
        <w:tc>
          <w:tcPr>
            <w:tcW w:type="dxa" w:w="5669"/>
            <w:shd w:fill="FFFFFF" w:val="clear"/>
          </w:tcPr>
          <w:p>
            <w:r>
              <w:rPr>
                <w:color w:val="282828"/>
                <w:sz w:val="15"/>
              </w:rPr>
              <w:t>Croissance CA vs exercice précédent = 10.42%.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27.71%</w:t>
            </w:r>
          </w:p>
        </w:tc>
        <w:tc>
          <w:tcPr>
            <w:tcW w:type="dxa" w:w="5669"/>
            <w:shd w:fill="FFFFFF" w:val="clear"/>
          </w:tcPr>
          <w:p>
            <w:r>
              <w:rPr>
                <w:color w:val="282828"/>
                <w:sz w:val="15"/>
              </w:rPr>
              <w:t>Fonds propres / total bilan = 27.71%.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72.29%</w:t>
            </w:r>
          </w:p>
        </w:tc>
        <w:tc>
          <w:tcPr>
            <w:tcW w:type="dxa" w:w="5669"/>
            <w:shd w:fill="FFFFFF" w:val="clear"/>
          </w:tcPr>
          <w:p>
            <w:r>
              <w:rPr>
                <w:color w:val="282828"/>
                <w:sz w:val="15"/>
              </w:rPr>
              <w:t>Dettes financières / total bilan = 72.29%.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47.46%</w:t>
            </w:r>
          </w:p>
        </w:tc>
        <w:tc>
          <w:tcPr>
            <w:tcW w:type="dxa" w:w="5669"/>
            <w:shd w:fill="FFFFFF" w:val="clear"/>
          </w:tcPr>
          <w:p>
            <w:r>
              <w:rPr>
                <w:color w:val="282828"/>
                <w:sz w:val="15"/>
              </w:rPr>
              <w:t>Dettes totales / fonds propres = 47.46%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138.34%</w:t>
            </w:r>
          </w:p>
        </w:tc>
        <w:tc>
          <w:tcPr>
            <w:tcW w:type="dxa" w:w="5669"/>
            <w:shd w:fill="FFFFFF" w:val="clear"/>
          </w:tcPr>
          <w:p>
            <w:r>
              <w:rPr>
                <w:color w:val="282828"/>
                <w:sz w:val="15"/>
              </w:rPr>
              <w:t>Total actif / dettes totales = 138.34x.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101.83%</w:t>
            </w:r>
          </w:p>
        </w:tc>
        <w:tc>
          <w:tcPr>
            <w:tcW w:type="dxa" w:w="5669"/>
            <w:shd w:fill="FFFFFF" w:val="clear"/>
          </w:tcPr>
          <w:p>
            <w:r>
              <w:rPr>
                <w:color w:val="282828"/>
                <w:sz w:val="15"/>
              </w:rPr>
              <w:t>Actif circulant / passif circulant = 101.83x.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13.83%</w:t>
            </w:r>
          </w:p>
        </w:tc>
        <w:tc>
          <w:tcPr>
            <w:tcW w:type="dxa" w:w="5669"/>
            <w:shd w:fill="FFFFFF" w:val="clear"/>
          </w:tcPr>
          <w:p>
            <w:r>
              <w:rPr>
                <w:color w:val="282828"/>
                <w:sz w:val="15"/>
              </w:rPr>
              <w:t>Trésorerie / passif circulant = 13.83x.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100.23%</w:t>
            </w:r>
          </w:p>
        </w:tc>
        <w:tc>
          <w:tcPr>
            <w:tcW w:type="dxa" w:w="5669"/>
            <w:shd w:fill="FFFFFF" w:val="clear"/>
          </w:tcPr>
          <w:p>
            <w:r>
              <w:rPr>
                <w:color w:val="282828"/>
                <w:sz w:val="15"/>
              </w:rPr>
              <w:t>(Actif circ. - stocks) / passif circ. = 100.23x. ✅ Liquidité réduite solide.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92.48%</w:t>
            </w:r>
          </w:p>
        </w:tc>
        <w:tc>
          <w:tcPr>
            <w:tcW w:type="dxa" w:w="5669"/>
            <w:shd w:fill="FFFFFF" w:val="clear"/>
          </w:tcPr>
          <w:p>
            <w:r>
              <w:rPr>
                <w:color w:val="282828"/>
                <w:sz w:val="15"/>
              </w:rPr>
              <w:t>Capitaux permanents / actif immobilisé = 92.48x.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1018.44%</w:t>
            </w:r>
          </w:p>
        </w:tc>
        <w:tc>
          <w:tcPr>
            <w:tcW w:type="dxa" w:w="5669"/>
            <w:shd w:fill="FFFFFF" w:val="clear"/>
          </w:tcPr>
          <w:p>
            <w:r>
              <w:rPr>
                <w:color w:val="282828"/>
                <w:sz w:val="15"/>
              </w:rPr>
              <w:t>Résultat exploit. / charges financières = 1018.44x.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189.63%</w:t>
            </w:r>
          </w:p>
        </w:tc>
        <w:tc>
          <w:tcPr>
            <w:tcW w:type="dxa" w:w="5669"/>
            <w:shd w:fill="FFFFFF" w:val="clear"/>
          </w:tcPr>
          <w:p>
            <w:r>
              <w:rPr>
                <w:color w:val="282828"/>
                <w:sz w:val="15"/>
              </w:rPr>
              <w:t>CAF / investissements = 189.63x.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52.3 j</w:t>
            </w:r>
          </w:p>
        </w:tc>
        <w:tc>
          <w:tcPr>
            <w:tcW w:type="dxa" w:w="5669"/>
            <w:shd w:fill="FFFFFF" w:val="clear"/>
          </w:tcPr>
          <w:p>
            <w:r>
              <w:rPr>
                <w:color w:val="282828"/>
                <w:sz w:val="15"/>
              </w:rPr>
              <w:t>Les clients paient en moyenne en 52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210.9 j</w:t>
            </w:r>
          </w:p>
        </w:tc>
        <w:tc>
          <w:tcPr>
            <w:tcW w:type="dxa" w:w="5669"/>
            <w:shd w:fill="FFFFFF" w:val="clear"/>
          </w:tcPr>
          <w:p>
            <w:r>
              <w:rPr>
                <w:color w:val="282828"/>
                <w:sz w:val="15"/>
              </w:rPr>
              <w:t>Paiement des fournisseurs en 211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19.6 j</w:t>
            </w:r>
          </w:p>
        </w:tc>
        <w:tc>
          <w:tcPr>
            <w:tcW w:type="dxa" w:w="5669"/>
            <w:shd w:fill="FFFFFF" w:val="clear"/>
          </w:tcPr>
          <w:p>
            <w:r>
              <w:rPr>
                <w:color w:val="282828"/>
                <w:sz w:val="15"/>
              </w:rPr>
              <w:t>Stock écoulé en 20 jours. ✅ Rotation rapide — faible immobilisation de capital.</w:t>
            </w:r>
          </w:p>
        </w:tc>
      </w:tr>
    </w:tbl>
    <w:p/>
    <w:p>
      <w:pPr>
        <w:spacing w:after="120" w:line="276" w:lineRule="auto"/>
      </w:pPr>
      <w:r>
        <w:t># 📊 RAPPORT D'ANALYSE FINANCIÈRE — ORAC (Orange Côte d'Ivoire)</w:t>
        <w:br/>
        <w:t>**Bourse Régionale des Valeurs Mobilières (BRVM) — Secteur : Télécommunications**</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**3 239,09 Mds FCFA**, ORAC s'impose comme l'une des valeurs phares de la BRVM, représentant une part significative de la capitalisation totale du marché régional. Le BPA de **1 114 FCFA/action** traduit la capacité bénéficiaire intrinsèque de chaque titre, tandis que le PER de **19,3x** situe le titre nettement au-dessus de la moyenne du marché BRVM (généralement comprise entre 8 et 12x), signalant que les investisseurs acceptent de payer une prime de qualité pour ce leader télécom. Le ratio P/B de **4,58x** confirme cette valorisation exigeante, le marché valorisant ORAC à plus de quatre fois sa valeur comptable — reflet de la prééminence de ses actifs incorporels (marque, licences, base clients) non capturés au bilan. Enfin, l'EV/EBITDA de **7,7x**, dans la fourchette raisonnable de 5-10x, indique que la valeur d'entreprise reste cohérente avec la capacité opérationnelle de génération de cash-flow, offrant un contrepoids rassurant à la cherté apparente du PER et du P/B.</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ORAC affiche une performance remarquable de **+38,26%**, avec une accélération notable lors de la dernière séance (**+4,85%**), portant le cours à **21 500 FCFA**. Le range de trading s'étend de **15 550 FCFA** (plus bas) à **22 500 FCFA** (plus haut), matérialisant une amplitude de près de 45% qui témoigne d'une tendance franchement haussière, soutenue par la dynamique fondamentale du groupe. L'analyse descriptive révèle un écart significatif entre la moyenne (**18 469 FCFA**) et la médiane (**17 000 FCFA**), ainsi qu'un mode à **16 000 FCFA** : cette asymétrie positive indique que le cours a passé davantage de temps dans les zones basses avant de s'envoler en fin de période, la moyenne étant tirée vers le haut par les récents sommets. L'écart-type de **2 528 FCFA** (CV = **13,7%**) traduit une dispersion modérée autour de la moyenne, tandis que le kurtosis négatif (**-1,627**, distribution platykurtique) signale une faible concentration des rendements et un risque de pics extrêmes limité — profil rassurant pour un investisseur. Le skewness de **0,380**, qualifié de symétrique, confirme l'absence de biais directionnel marqué malgré la récente poussée haussière. Enfin, la volatilité annualisée de **37,8%** classe ORAC dans la catégorie des titres à volatilité élevée (&gt;30%), ce qui implique un potentiel de gain attractif mais aussi une exposition accrue au risque de correction.</w:t>
      </w:r>
    </w:p>
    <w:p>
      <w:pPr>
        <w:spacing w:after="120" w:line="276" w:lineRule="auto"/>
      </w:pPr>
      <w:r>
        <w:t>---</w:t>
      </w:r>
    </w:p>
    <w:p>
      <w:pPr>
        <w:spacing w:after="120" w:line="276" w:lineRule="auto"/>
      </w:pPr>
      <w:r>
        <w:t>## PARTIE 2 : ANALYSE TECHNIQUE DÉTAILLÉE</w:t>
      </w:r>
    </w:p>
    <w:p>
      <w:pPr>
        <w:spacing w:after="120" w:line="276" w:lineRule="auto"/>
      </w:pPr>
      <w:r>
        <w:t>**Moyennes Mobiles** — La MM20 s'établit à **21 446,5 FCFA** et la MM50 à **20 667,9 FCFA**, toutes deux inférieures au cours actuel de **21 500 FCFA**. Cette configuration (cours &gt; MM20 &gt; MM50) est typique d'une tendance haussière saine, avec un croisement doré déjà effectué. La décision technique qui en résulte est **Achat**, confirmée par la dynamique positive des moyennes qui agissent comme supports dynamiques.</w:t>
      </w:r>
    </w:p>
    <w:p>
      <w:pPr>
        <w:spacing w:after="120" w:line="276" w:lineRule="auto"/>
      </w:pPr>
      <w:r>
        <w:t>**Bandes de Bollinger** — Le cours (**21 500 FCFA**) évolue dans la partie supérieure de la bande, entre la borne inférieure (**20 159,5 FCFA**) et la borne supérieure (**22 733,5 FCFA**), sans la franchir. Cette position médiane-haute traduit une volatilité contenue et l'absence de signal de surachat extrême. La décision est **Neutre**, le titre évoluant dans un canal équilibré sans pression acheteuse ou vendeuse dominante.</w:t>
      </w:r>
    </w:p>
    <w:p>
      <w:pPr>
        <w:spacing w:after="120" w:line="276" w:lineRule="auto"/>
      </w:pPr>
      <w:r>
        <w:t>**MACD** — La valeur du MACD (**181,624**) est inférieure à son signal (**287,723**), générant une configuration baissière (MACD &lt; Signal) malgré un MACD positif. Cette divergence négative indique un essoufflement du momentum haussier à court terme, bien que la tendance de fond reste positive. La décision qui en découle est **Vente**, signalant une possible consolidation ou correction à venir.</w:t>
      </w:r>
    </w:p>
    <w:p>
      <w:pPr>
        <w:spacing w:after="120" w:line="276" w:lineRule="auto"/>
      </w:pPr>
      <w:r>
        <w:t>**RSI** — À **50,322**, le RSI se situe exactement dans la zone neutre (30-70), à mi-chemin entre surachat et survente. Cette position équilibrée traduit l'absence de pression directionnelle forte et suggère que le titre dispose d'un potentiel de mouvement dans les deux sens. La décision est **Neutre**, le marché étant en phase de respiration après la récente hausse.</w:t>
      </w:r>
    </w:p>
    <w:p>
      <w:pPr>
        <w:spacing w:after="120" w:line="276" w:lineRule="auto"/>
      </w:pPr>
      <w:r>
        <w:t>**Stochastique** — Le %K (**76,19**) est supérieur au %D (**66,746**), avec les deux indicateurs en zone haute (&gt;70 pour le %K). Cette configuration indique une pression acheteuse persistante, mais le %K proche de la zone de surachat (80) invite à la prudence. La décision est **Neutre**, le croisement %K &gt; %D restant haussier mais l'approche du seuil de surachat limitant le potentiel de hausse immédiat.</w:t>
      </w:r>
    </w:p>
    <w:p>
      <w:pPr>
        <w:spacing w:after="120" w:line="276" w:lineRule="auto"/>
      </w:pPr>
      <w:r>
        <w:t>**Conclusion technique** — Les indicateurs présentent un tableau mitigé : les moyennes mobiles confirment la tendance haussière de fond (Achat), mais le MACD signale un essoufflement du momentum (Vente), tandis que le RSI, les Bandes de Bollinger et le Stochastique restent neutres. Cette divergence suggère une phase de consolidation probable à court terme, le titre ayant besoin de digérer sa récente progression de +38% avant d'envisager une nouvelle jambe haussière. La tendance de moyen terme reste toutefois positive tant que le cours se maintient au-dessus de la MM50 (20 668 FCFA).</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ORAC affiche un chiffre d'affaires de **1 197,1 Mds FCFA**, en croissance de **+10,42%**, et un résultat net de **167,8 Mds FCFA**, soit une marge nette de **14,02%**. La rentabilité des fonds propres (ROE) atteint **23,71%**, largement supérieure au seuil d'excellence de 15%, tandis que le ROA s'établit à **6,57%**. La marge brute de **59,64%** et la marge opérationnelle de **23,99%** témoignent d'une efficacité opérationnelle robuste. Sur le plan structurel, l'autonomie financière est de **27,71%** (légèrement sous le seuil de 30% considéré comme sain), avec un ratio d'endettement de **47,46%** et une capacité de remboursement de **0,99 an** (excellente). Le BFR est **négatif (-198 Mds FCFA)**, situation favorable typique des opérateurs télécoms encaissant leurs revenus avant de payer leurs fournisseurs. Les délais clients (**52,26 jours**) et fournisseurs (**210,87 jours**) confirment ce modèle de financement avantageux, bien que le délai client élevé constitue un point de vigilance pour la trésorerie. La trésorerie nette positive (**113,9 Mds FCFA**) et la couverture des intérêts par le résultat d'exploitation (**1 018%**) achèvent de dresser le portrait d'une société solvable et liquide.</w:t>
      </w:r>
    </w:p>
    <w:p>
      <w:pPr>
        <w:spacing w:after="120" w:line="276" w:lineRule="auto"/>
      </w:pPr>
      <w:r>
        <w:t>**Estimations basées sur les rapports trimestriels** — Les rapports récents confirment une accélération de la dynamique. Le rapport **T1 2026 (publié le 01/05/2026)** fait état d'un CA de **325,6 Mds FCFA (+14,8%)** et d'un résultat net de **48,3 Mds FCFA (+25,2%)**, avec une marge nette en amélioration à **14,8%**. Le rapport **S1 2026 (publié le 09/10/2026)** confirme cette tendance avec un CA de **672,8 Mds FCFA (+16,1%)** et un résultat net de **90,3 Mds FCFA (+18,3%)**, malgré une pression fiscale accrue (+35% d'impôts). Sur la base de ces performances semestrielles, on peut estimer que l'exercice 2026 devrait afficher une croissance du CA supérieure à 15%, avec un résultat net projeté autour de **190-200 Mds FCFA**, soit une progression de 15-20% par rapport à 2025. Le dividende brut de **800 FCFA/action** proposé pour 2025 (contre 1 278 FCFA en 2024) marque un recentrage stratégique vers l'autofinancement des investissements (Capex de 184,2 Mds FCFA en 2025, soit 15,4% du CA), mais offre toujours un rendement attractif de **3,7%** au cours actuel de 21 500 FCFA.</w:t>
      </w:r>
    </w:p>
    <w:p>
      <w:pPr>
        <w:spacing w:after="120" w:line="276" w:lineRule="auto"/>
      </w:pPr>
      <w:r>
        <w:t>**Recommandation fondamentale** — ORAC présente des fondamentaux solides : croissance à deux chiffres, rentabilité élevée (ROE &gt; 23%), structure financière saine et génération de cash-flow robuste. Les risques identifiés (pression fiscale, concurrence, exposition géographique) sont réels mais compensés par la position de leader et la diversification des revenus (mobile, fibre, Orange Money). La dynamique des rapports 2026 confirme la solidité du modèle.</w:t>
      </w:r>
    </w:p>
    <w:p>
      <w:pPr>
        <w:spacing w:after="120" w:line="276" w:lineRule="auto"/>
      </w:pPr>
      <w:r>
        <w:t>---</w:t>
      </w:r>
    </w:p>
    <w:p>
      <w:pPr>
        <w:spacing w:after="120" w:line="276" w:lineRule="auto"/>
      </w:pPr>
      <w:r>
        <w:t>## PARTIE 4 : CONCLUSION D'INVESTISSEMENT</w:t>
      </w:r>
    </w:p>
    <w:p>
      <w:pPr>
        <w:spacing w:after="120" w:line="276" w:lineRule="auto"/>
      </w:pPr>
      <w:r>
        <w:t>La synthèse des quatre parties révèle un profil d'investissement contrasté mais globalement favorable. **Sur le plan de la valorisation (Partie 0)**, ORAC se négocie à des multiples élevés (PER 19,3x, P/B 4,58x) qui intègrent une prime de qualité, mais l'EV/EBITDA de 7,7x reste raisonnable, suggérant que la cherté apparente est justifiée par la solidité opérationnelle. **Le comportement du cours (Partie 1)** est nettement haussier (+38,26% sur 100 jours), avec une volatilité élevée (37,8%) et une distribution platykurtique (kurtosis -1,627) qui limite le risque de pics extrêmes — profil favorable pour un investisseur dynamique. **Les signaux techniques (Partie 2)** sont mitigés : les moyennes mobiles confirment la tendance haussière, mais le MACD signale un essoufflement du momentum, tandis que le RSI et le Stochastique restent neutres, suggérant une consolidation à court terme. **Les fondamentaux (Partie 3)** sont excellents : croissance du CA de +10,4% en 2025, ROE de 23,71%, BFR négatif, et les rapports T1/S1 2026 confirment une accélération (+16,1% de CA au S1 2026). **Les prédictions IA (J+1 à J+10)** anticipent une légère correction vers **21 300 FCFA** puis une stabilisation autour de **21 200 FCFA**, ce qui contredit partiellement les signaux haussiers des moyennes mobiles mais confirme l'essoufflement détecté par le MACD.</w:t>
      </w:r>
    </w:p>
    <w:p>
      <w:pPr>
        <w:spacing w:after="120" w:line="276" w:lineRule="auto"/>
      </w:pPr>
      <w:r>
        <w:t>**Recommandation finale : CONSERVER (avec biais haussier)**</w:t>
      </w:r>
    </w:p>
    <w:p>
      <w:pPr>
        <w:spacing w:after="120" w:line="276" w:lineRule="auto"/>
      </w:pPr>
      <w:r>
        <w:t>Cette recommandation reflète la convergence entre des fondamentaux solides et une valorisation exigeante. Le titre n'est pas sous-évalué (PER et P/B élevés), ce qui limite le potentiel de hausse immédiat, mais la qualité de l'entreprise et la croissance à deux chiffres justifient de conserver la position. Les prédictions IA d'une légère correction à court terme confirment l'opportunité d'attendre un repli vers **20 500-21 000 FCFA** pour renforcer. **Niveau de confiance : Moyen** (les signaux techniques divergents et la valorisation tendue tempèrent l'optimisme fondamental). **Niveau de risque global : Moyen** (volatilité élevée mais fondamentaux solides). **Horizon d'investissement optimal : Moyen terme (3-12 mois)**, le temps que la consolidation technique s'achève et que les résultats annuels 2026 confirment la trajectoire de croissance.</w:t>
      </w:r>
    </w:p>
    <w:p>
      <w:pPr>
        <w:spacing w:after="120" w:line="276" w:lineRule="auto"/>
      </w:pPr>
      <w:r>
        <w:t>---</w:t>
      </w:r>
    </w:p>
    <w:p>
      <w:pPr>
        <w:spacing w:after="120" w:line="276" w:lineRule="auto"/>
      </w:pPr>
      <w:r>
        <w:t>*Rapport généré le 15 octobre 2026 — Sources : BRVM, rapports financiers ORAC (2024-2026), données structurées brvm_donnees_financieres.*</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20260520   avis ndeg142 brvmdg   transactions sur dossier</w:t>
      </w:r>
    </w:p>
    <w:p>
      <w:pPr>
        <w:spacing w:before="20"/>
        <w:ind w:left="400"/>
      </w:pPr>
      <w:r>
        <w:rPr>
          <w:color w:val="505050"/>
          <w:sz w:val="17"/>
        </w:rPr>
        <w:t xml:space="preserve">Date : 21/05/2026  |  Catégorie : avis de marché  |  Impact : </w:t>
      </w:r>
      <w:r>
        <w:rPr>
          <w:b/>
          <w:color w:val="646464"/>
          <w:sz w:val="17"/>
        </w:rPr>
        <w:t>⚪ NEUTRE</w:t>
      </w:r>
    </w:p>
    <w:p>
      <w:pPr>
        <w:spacing w:before="40"/>
        <w:ind w:left="400"/>
      </w:pPr>
      <w:r>
        <w:rPr>
          <w:sz w:val="18"/>
        </w:rPr>
        <w:t>La BRVM annonce via l'avis N°142-2026 que 4 transactions sur dossier ont été réalisées le 20 mai 2026. Ces transactions portent sur 77 actions ORANGE CI à 5 FCFA, 100 actions SONATEL SN à 5 FCFA, et 100 obligations BIDC-EBID GSS BOND à 6,50% ainsi que 30 obligations TPCI à 6,25% au prix de 0,05% de leur valeur nominale.</w:t>
      </w:r>
    </w:p>
    <w:p>
      <w:pPr>
        <w:spacing w:before="60"/>
        <w:ind w:left="400"/>
      </w:pPr>
      <w:r>
        <w:rPr>
          <w:b/>
          <w:sz w:val="18"/>
        </w:rPr>
        <w:t>Points clés :</w:t>
      </w:r>
    </w:p>
    <w:p>
      <w:pPr>
        <w:pStyle w:val="ListBullet"/>
        <w:spacing w:before="20" w:after="20"/>
        <w:ind w:left="700"/>
      </w:pPr>
      <w:r>
        <w:rPr>
          <w:sz w:val="18"/>
        </w:rPr>
        <w:t>4 transactions sur dossier réalisées le mercredi 20 mai 2026</w:t>
      </w:r>
    </w:p>
    <w:p>
      <w:pPr>
        <w:pStyle w:val="ListBullet"/>
        <w:spacing w:before="20" w:after="20"/>
        <w:ind w:left="700"/>
      </w:pPr>
      <w:r>
        <w:rPr>
          <w:sz w:val="18"/>
        </w:rPr>
        <w:t>77 actions ORANGE CI négociées au prix unitaire de 5 FCFA</w:t>
      </w:r>
    </w:p>
    <w:p>
      <w:pPr>
        <w:pStyle w:val="ListBullet"/>
        <w:spacing w:before="20" w:after="20"/>
        <w:ind w:left="700"/>
      </w:pPr>
      <w:r>
        <w:rPr>
          <w:sz w:val="18"/>
        </w:rPr>
        <w:t>100 actions SONATEL SN négociées au prix unitaire de 5 FCFA</w:t>
      </w:r>
    </w:p>
    <w:p>
      <w:pPr>
        <w:pStyle w:val="ListBullet"/>
        <w:spacing w:before="20" w:after="20"/>
        <w:ind w:left="700"/>
      </w:pPr>
      <w:r>
        <w:rPr>
          <w:sz w:val="18"/>
        </w:rPr>
        <w:t>100 obligations BIDC-EBID GSS BOND 6,50% 2024-2031 et 30 obligations TPCI 6,25% 2017-2029</w:t>
      </w:r>
    </w:p>
    <w:p>
      <w:pPr>
        <w:pStyle w:val="ListBullet"/>
        <w:spacing w:before="20" w:after="20"/>
        <w:ind w:left="700"/>
      </w:pPr>
      <w:r>
        <w:rPr>
          <w:sz w:val="18"/>
        </w:rPr>
        <w:t>Valeur totale des transactions obligataires de 1 535 FCFA</w:t>
      </w:r>
    </w:p>
    <w:p>
      <w:pPr>
        <w:ind w:left="400"/>
      </w:pPr>
      <w:r>
        <w:rPr>
          <w:color w:val="B4B4B4"/>
          <w:sz w:val="14"/>
        </w:rPr>
        <w:t xml:space="preserve">· · · · · · · · · · · · · · · · · · · · · · · · · · · · · · </w:t>
      </w:r>
    </w:p>
    <w:p>
      <w:pPr>
        <w:spacing w:before="160"/>
      </w:pPr>
      <w:r>
        <w:rPr>
          <w:b/>
          <w:color w:val="0066CC"/>
          <w:sz w:val="20"/>
        </w:rPr>
        <w:t xml:space="preserve">[2] </w:t>
      </w:r>
      <w:r>
        <w:rPr>
          <w:b/>
          <w:sz w:val="20"/>
        </w:rPr>
        <w:t>20260403   avis de convocation   assemblee generale ordinaire   orange ci</w:t>
      </w:r>
    </w:p>
    <w:p>
      <w:pPr>
        <w:spacing w:before="20"/>
        <w:ind w:left="400"/>
      </w:pPr>
      <w:r>
        <w:rPr>
          <w:color w:val="505050"/>
          <w:sz w:val="17"/>
        </w:rPr>
        <w:t xml:space="preserve">Date : 03/04/2026  |  Catégorie : convocation AG  |  Impact : </w:t>
      </w:r>
      <w:r>
        <w:rPr>
          <w:b/>
          <w:color w:val="008000"/>
          <w:sz w:val="17"/>
        </w:rPr>
        <w:t>🟢 POSITIF</w:t>
      </w:r>
    </w:p>
    <w:p>
      <w:pPr>
        <w:spacing w:before="40"/>
        <w:ind w:left="400"/>
      </w:pPr>
      <w:r>
        <w:rPr>
          <w:sz w:val="18"/>
        </w:rPr>
        <w:t>Orange Côte d'Ivoire convoque ses actionnaires à l'Assemblée Générale Ordinaire du 29 avril 2026 pour approuver les comptes 2025 et délibérer sur plusieurs résolutions. La société propose une distribution de dividendes de 120,5 milliards F CFA, soit 800 F CFA brut par action. Les résultats 2025 affichent un bénéfice net de 131,8 milliards F CFA.</w:t>
      </w:r>
    </w:p>
    <w:p>
      <w:pPr>
        <w:spacing w:before="60"/>
        <w:ind w:left="400"/>
      </w:pPr>
      <w:r>
        <w:rPr>
          <w:b/>
          <w:sz w:val="18"/>
        </w:rPr>
        <w:t>Points clés :</w:t>
      </w:r>
    </w:p>
    <w:p>
      <w:pPr>
        <w:pStyle w:val="ListBullet"/>
        <w:spacing w:before="20" w:after="20"/>
        <w:ind w:left="700"/>
      </w:pPr>
      <w:r>
        <w:rPr>
          <w:sz w:val="18"/>
        </w:rPr>
        <w:t>Assemblée Générale Ordinaire convoquée le 29 avril 2026</w:t>
      </w:r>
    </w:p>
    <w:p>
      <w:pPr>
        <w:pStyle w:val="ListBullet"/>
        <w:spacing w:before="20" w:after="20"/>
        <w:ind w:left="700"/>
      </w:pPr>
      <w:r>
        <w:rPr>
          <w:sz w:val="18"/>
        </w:rPr>
        <w:t>Bénéfice net 2025 de 131,774 milliards F CFA</w:t>
      </w:r>
    </w:p>
    <w:p>
      <w:pPr>
        <w:pStyle w:val="ListBullet"/>
        <w:spacing w:before="20" w:after="20"/>
        <w:ind w:left="700"/>
      </w:pPr>
      <w:r>
        <w:rPr>
          <w:sz w:val="18"/>
        </w:rPr>
        <w:t>Distribution de dividendes de 120,524 milliards F CFA (800 F CFA brut par action)</w:t>
      </w:r>
    </w:p>
    <w:p>
      <w:pPr>
        <w:pStyle w:val="ListBullet"/>
        <w:spacing w:before="20" w:after="20"/>
        <w:ind w:left="700"/>
      </w:pPr>
      <w:r>
        <w:rPr>
          <w:sz w:val="18"/>
        </w:rPr>
        <w:t>Ratification de la cooptation de deux nouveaux administrateurs (Yasser SHAKER et Ben Cheick HAÏDARA)</w:t>
      </w:r>
    </w:p>
    <w:p>
      <w:pPr>
        <w:pStyle w:val="ListBullet"/>
        <w:spacing w:before="20" w:after="20"/>
        <w:ind w:left="700"/>
      </w:pPr>
      <w:r>
        <w:rPr>
          <w:sz w:val="18"/>
        </w:rPr>
        <w:t>Approbation de conventions réglementées avec Orange S.A. France et Orange MEA</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"conserver", "justification": "Le document ne fournit aucune donn\u00e9e financi\u00e8re permettant d'\u00e9valuer la performance ou la valorisation de la soci\u00e9t\u00e9. En l'absence d'informations chiffr\u00e9es, aucune d\u00e9cision d'achat ou de vente ne peut \u00eatre justifi\u00e9e."}</w:t>
      </w:r>
    </w:p>
    <w:p>
      <w:pPr>
        <w:spacing w:before="40"/>
        <w:ind w:left="400"/>
      </w:pPr>
      <w:r>
        <w:rPr>
          <w:sz w:val="18"/>
        </w:rPr>
        <w:t>Le document est une attestation des commissaires aux comptes (KPMG Côte d'Ivoire UNICONSEIL et UNICONSEIL) sur les informations semestrielles consolidées d'Orange Côte d'Ivoire S.A. pour la période du 1er janvier 2026 au 30 juin 2026. Il s'agit d'une attestation établie en application de l'article 849 de l'Acte uniforme de l'OHADA, et non d'un rapport d'analyse financière détaillé. Les commissaires aux comptes ont mis en œuvre des diligences professionnelles qui ne constituent ni un audit ni un examen limité. Le document ne contient aucune donnée chiffrée sur les résultats, le bilan ou la trésorerie de la société. Par conséquent, aucune analyse financière approfondie ni recommandation d'inve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{'periode': '1er janvier 2026 au 30 juin 2026', 'capital_social': '6 026 214 000 FCFA', 'referentiel_comptable': 'IFRS', 'commissaires_aux_comptes': "KPMG Côte d'Ivoire UNICONSEIL et UNICONSEIL"}</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sur les informations semestrielles consolidées d'Orange Côte d'Ivoire S.A.</w:t>
      </w:r>
    </w:p>
    <w:p>
      <w:pPr>
        <w:pStyle w:val="ListBullet"/>
        <w:spacing w:before="20" w:after="20"/>
        <w:ind w:left="700"/>
      </w:pPr>
      <w:r>
        <w:rPr>
          <w:sz w:val="18"/>
        </w:rPr>
        <w:t>Période couverte : 1er janvier 2026 au 30 juin 2026</w:t>
      </w:r>
    </w:p>
    <w:p>
      <w:pPr>
        <w:pStyle w:val="ListBullet"/>
        <w:spacing w:before="20" w:after="20"/>
        <w:ind w:left="700"/>
      </w:pPr>
      <w:r>
        <w:rPr>
          <w:sz w:val="18"/>
        </w:rPr>
        <w:t>Établie en application de l'article 849 de l'Acte uniforme de l'OHADA relatif au droit des sociétés commerciales et du GIE</w:t>
      </w:r>
    </w:p>
    <w:p>
      <w:pPr>
        <w:pStyle w:val="ListBullet"/>
        <w:spacing w:before="20" w:after="20"/>
        <w:ind w:left="700"/>
      </w:pPr>
      <w:r>
        <w:rPr>
          <w:sz w:val="18"/>
        </w:rPr>
        <w:t>Les informations ont été établies sous la responsabilité de la direction générale, à partir de la comptabilité générale tenue selon le référentiel IFRS</w:t>
      </w:r>
    </w:p>
    <w:p>
      <w:pPr>
        <w:pStyle w:val="ListBullet"/>
        <w:spacing w:before="20" w:after="20"/>
        <w:ind w:left="700"/>
      </w:pPr>
      <w:r>
        <w:rPr>
          <w:sz w:val="18"/>
        </w:rPr>
        <w:t>Les diligences mises en œuvre ne constituent ni un audit ni un examen limité</w:t>
      </w:r>
    </w:p>
    <w:p>
      <w:pPr>
        <w:pStyle w:val="ListBullet"/>
        <w:spacing w:before="20" w:after="20"/>
        <w:ind w:left="700"/>
      </w:pPr>
      <w:r>
        <w:rPr>
          <w:sz w:val="18"/>
        </w:rPr>
        <w:t>Le document ne contient aucune donnée financière chiffrée (chiffre d'affaires, résultat net, actif, capitaux propres)</w:t>
      </w:r>
    </w:p>
    <w:p>
      <w:pPr>
        <w:spacing w:before="40"/>
        <w:ind w:left="400"/>
      </w:pPr>
      <w:r>
        <w:rPr>
          <w:b/>
          <w:color w:val="C05000"/>
          <w:sz w:val="18"/>
        </w:rPr>
        <w:t xml:space="preserve">⚠️ Risques : </w:t>
      </w:r>
      <w:r>
        <w:rPr>
          <w:sz w:val="18"/>
        </w:rPr>
        <w:t>["Absence de donn\u00e9es financi\u00e8res chiffr\u00e9es dans le document, emp\u00eachant toute \u00e9valuation des risques financiers", "Le document est une simple attestation de commissaires aux comptes, sans analyse de la situation financi\u00e8re", "Les diligences effectu\u00e9es ne constituent</w:t>
      </w:r>
    </w:p>
    <w:p>
      <w:pPr>
        <w:spacing w:before="40"/>
        <w:ind w:left="400"/>
      </w:pPr>
      <w:r>
        <w:rPr>
          <w:b/>
          <w:color w:val="0064A0"/>
          <w:sz w:val="18"/>
        </w:rPr>
        <w:t xml:space="preserve">🔮 Perspectives : </w:t>
      </w:r>
      <w:r>
        <w:rPr>
          <w:sz w:val="18"/>
        </w:rPr>
        <w:t>Aucune perspective financière ne peut être dégagée de ce document, qui se limite à une attestation de conformité des informations semestrielles. Pour formuler un outlook, il serait nécessaire de consulter les états financiers semestriels complets (bilan, compte de résultat, tableau des flux de tréso</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croissance \u00e0 deux chiffres du chiffre d'affaires (+16,1%) et du r\u00e9sultat net (+18,3%) t\u00e9moigne d'une dynamique op\u00e9rationnelle solide sur les trois march\u00e9s. La progression de l'EBITDAaL et l'am\u00e9lioration du r\u00e9sultat financier renforcent la qualit\u00e9 des r\u00e9sultats et la g\u00e9n\u00e9ration de cash-flow."}</w:t>
      </w:r>
    </w:p>
    <w:p>
      <w:pPr>
        <w:spacing w:before="40"/>
        <w:ind w:left="400"/>
      </w:pPr>
      <w:r>
        <w:rPr>
          <w:sz w:val="18"/>
        </w:rPr>
        <w:t>Orange Côte d'Ivoire publie des résultats consolidés en forte croissance pour le premier semestre 2026, avec un chiffre d'affaires de 672,8 milliards FCFA en hausse de 16,1% sur un an. Cette performance est portée par les trois filiales du groupe (Côte d'Ivoire, Burkina Faso et Liberia), tirées par la data mobile, la fibre et Orange Money. L'EBITDAaL progresse de 19,2% à 239,3 milliards FCFA, traduisant une bonne maîtrise des coûts d'exploitation. Le résultat net consolidé atteint 90,3 milliards FCFA, en croissance de 18,3% par rapport au S1 2025. La dynamique commerciale et l'expansion des usages confirment la solidité du modèle économique du groupe sur l'ensemble de ses marchés.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'109,3 milliards FCFA', 'ebitdaal': '239,3 milliards FCFA', 'parc_fmi': '37 364 milliers', 'resultat_financier': '-12,8 milliards FCFA', 'resultat_exploitation': '159,6 milliards FCFA', 'impots_sur_le_resultat': '-56,6 milliards FCFA', 'resultat_activites_ordinaires': '146,8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90,3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672,8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consolidé de 672,8 milliards FCFA au S1 2026, en hausse de 16,1% (+93,4 milliards FCFA) sur un an.</w:t>
      </w:r>
    </w:p>
    <w:p>
      <w:pPr>
        <w:pStyle w:val="ListBullet"/>
        <w:spacing w:before="20" w:after="20"/>
        <w:ind w:left="700"/>
      </w:pPr>
      <w:r>
        <w:rPr>
          <w:sz w:val="18"/>
        </w:rPr>
        <w:t>EBITDAaL de 239,3 milliards FCFA, en progression de 19,2%, avec une marge d'EBITDAaL d'environ 35,6%.</w:t>
      </w:r>
    </w:p>
    <w:p>
      <w:pPr>
        <w:pStyle w:val="ListBullet"/>
        <w:spacing w:before="20" w:after="20"/>
        <w:ind w:left="700"/>
      </w:pPr>
      <w:r>
        <w:rPr>
          <w:sz w:val="18"/>
        </w:rPr>
        <w:t>Résultat d'exploitation de 159,6 milliards FCFA, en hausse de 21,1% par rapport au S1 2025.</w:t>
      </w:r>
    </w:p>
    <w:p>
      <w:pPr>
        <w:pStyle w:val="ListBullet"/>
        <w:spacing w:before="20" w:after="20"/>
        <w:ind w:left="700"/>
      </w:pPr>
      <w:r>
        <w:rPr>
          <w:sz w:val="18"/>
        </w:rPr>
        <w:t>Résultat net consolidé de 90,3 milliards FCFA, en croissance de 18,3%, soit une marge nette d'environ 13,4%.</w:t>
      </w:r>
    </w:p>
    <w:p>
      <w:pPr>
        <w:pStyle w:val="ListBullet"/>
        <w:spacing w:before="20" w:after="20"/>
        <w:ind w:left="700"/>
      </w:pPr>
      <w:r>
        <w:rPr>
          <w:sz w:val="18"/>
        </w:rPr>
        <w:t>Résultat financier négatif de -12,8 milliards FCFA, mais en amélioration de 5,9% sur un an.</w:t>
      </w:r>
    </w:p>
    <w:p>
      <w:pPr>
        <w:pStyle w:val="ListBullet"/>
        <w:spacing w:before="20" w:after="20"/>
        <w:ind w:left="700"/>
      </w:pPr>
      <w:r>
        <w:rPr>
          <w:sz w:val="18"/>
        </w:rPr>
        <w:t>Charge d'impôts en hausse de 35,0% à 56,6 milliards FCFA, pesant sur la croissance du résultat net.</w:t>
      </w:r>
    </w:p>
    <w:p>
      <w:pPr>
        <w:spacing w:before="40"/>
        <w:ind w:left="400"/>
      </w:pPr>
      <w:r>
        <w:rPr>
          <w:b/>
          <w:color w:val="C05000"/>
          <w:sz w:val="18"/>
        </w:rPr>
        <w:t xml:space="preserve">⚠️ Risques : </w:t>
      </w:r>
      <w:r>
        <w:rPr>
          <w:sz w:val="18"/>
        </w:rPr>
        <w:t>["Hausse marqu\u00e9e des charges commerciales et fiscales (+35% d'imp\u00f4ts) pouvant peser sur la rentabilit\u00e9 future.", "Exposition au risque de change et \u00e0 l'environnement macro\u00e9conomique des trois pays (C\u00f4te d'Ivoire, Burkina Faso, Liberia).", "Intensification de la concurre</w:t>
      </w:r>
    </w:p>
    <w:p>
      <w:pPr>
        <w:spacing w:before="40"/>
        <w:ind w:left="400"/>
      </w:pPr>
      <w:r>
        <w:rPr>
          <w:b/>
          <w:color w:val="0064A0"/>
          <w:sz w:val="18"/>
        </w:rPr>
        <w:t xml:space="preserve">🔮 Perspectives : </w:t>
      </w:r>
      <w:r>
        <w:rPr>
          <w:sz w:val="18"/>
        </w:rPr>
        <w:t>Le groupe devrait poursuivre sa trajectoire de croissance au second semestre 2026, soutenu par l'expansion de la data mobile, de la fibre et d'Orange Money sur ses trois marchés. La maîtrise des coûts et l'amélioration continue du résultat financier devraient permettre de maintenir la dynamique béné</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exceptionnels du T1 2026 avec une croissance \u00e0 deux chiffres sur tous les indicateurs cl\u00e9s d\u00e9montrent la solidit\u00e9 du mod\u00e8le \u00e9conomique. La strat\u00e9gie d'investissement dans la fibre et l'expansion g\u00e9ographique porte ses fruits avec une rentabilit\u00e9 en forte progression."}</w:t>
      </w:r>
    </w:p>
    <w:p>
      <w:pPr>
        <w:spacing w:before="40"/>
        <w:ind w:left="400"/>
      </w:pPr>
      <w:r>
        <w:rPr>
          <w:sz w:val="18"/>
        </w:rPr>
        <w:t>Orange CI présente des résultats très solides au T1 2026 avec un chiffre d'affaires en hausse de 14,8% à 325,6 milliards FCFA. La croissance est portée par la dynamique positive sur les trois pays (Côte d'Ivoire, Burkina Faso, Libéria) notamment grâce aux investissements dans la fibre et le mobile. L'EBITDAaL progresse de 15,7% à 114,2 milliards FCFA, témoignant d'une gestion optimale des coûts. Le résultat net bondit de 25,2% à 48,3 milliards FCFA, reflétant l'efficacité opérationnelle du groupe. Les investissements soutenus (eCapex +9,8%) et la croissance du parc clients (+8,8%) confirment la stratégie de développement.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'70,6 milliards FCFA', 'EBITDAaL': '114,2 milliards FCFA', 'parc_FMI': '39,3 millions de clients'}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48,3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325,6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+14,8% à 325,6 milliards FCFA au T1 2026</w:t>
      </w:r>
    </w:p>
    <w:p>
      <w:pPr>
        <w:pStyle w:val="ListBullet"/>
        <w:spacing w:before="20" w:after="20"/>
        <w:ind w:left="700"/>
      </w:pPr>
      <w:r>
        <w:rPr>
          <w:sz w:val="18"/>
        </w:rPr>
        <w:t>Progression exceptionnelle du résultat net de +25,2% à 48,3 milliards FCFA</w:t>
      </w:r>
    </w:p>
    <w:p>
      <w:pPr>
        <w:pStyle w:val="ListBullet"/>
        <w:spacing w:before="20" w:after="20"/>
        <w:ind w:left="700"/>
      </w:pPr>
      <w:r>
        <w:rPr>
          <w:sz w:val="18"/>
        </w:rPr>
        <w:t>EBITDAaL en hausse de +15,7% à 114,2 milliards FCFA, démontrant l'efficacité opérationnelle</w:t>
      </w:r>
    </w:p>
    <w:p>
      <w:pPr>
        <w:pStyle w:val="ListBullet"/>
        <w:spacing w:before="20" w:after="20"/>
        <w:ind w:left="700"/>
      </w:pPr>
      <w:r>
        <w:rPr>
          <w:sz w:val="18"/>
        </w:rPr>
        <w:t>Croissance du parc FMI de +8,8% atteignant 39,3 millions de clients</w:t>
      </w:r>
    </w:p>
    <w:p>
      <w:pPr>
        <w:pStyle w:val="ListBullet"/>
        <w:spacing w:before="20" w:after="20"/>
        <w:ind w:left="700"/>
      </w:pPr>
      <w:r>
        <w:rPr>
          <w:sz w:val="18"/>
        </w:rPr>
        <w:t>Augmentation significative des investissements (eCapex) de +9,8% à 70,6 milliards FCFA</w:t>
      </w:r>
    </w:p>
    <w:p>
      <w:pPr>
        <w:pStyle w:val="ListBullet"/>
        <w:spacing w:before="20" w:after="20"/>
        <w:ind w:left="700"/>
      </w:pPr>
      <w:r>
        <w:rPr>
          <w:sz w:val="18"/>
        </w:rPr>
        <w:t>Performance solide sur les trois pays avec contribution d'Orange Money et de la data</w:t>
      </w:r>
    </w:p>
    <w:p>
      <w:pPr>
        <w:spacing w:before="40"/>
        <w:ind w:left="400"/>
      </w:pPr>
      <w:r>
        <w:rPr>
          <w:b/>
          <w:color w:val="C05000"/>
          <w:sz w:val="18"/>
        </w:rPr>
        <w:t xml:space="preserve">⚠️ Risques : </w:t>
      </w:r>
      <w:r>
        <w:rPr>
          <w:sz w:val="18"/>
        </w:rPr>
        <w:t>["Exposition aux risques politiques et r\u00e9glementaires dans les trois pays d'op\u00e9ration", "Concurrence accrue sur les march\u00e9s des t\u00e9l\u00e9communications en Afrique de l'Ouest", "Risques de change li\u00e9s aux fluctuations des devises locales face \u00e0 l'euro"]</w:t>
      </w:r>
    </w:p>
    <w:p>
      <w:pPr>
        <w:spacing w:before="40"/>
        <w:ind w:left="400"/>
      </w:pPr>
      <w:r>
        <w:rPr>
          <w:b/>
          <w:color w:val="0064A0"/>
          <w:sz w:val="18"/>
        </w:rPr>
        <w:t xml:space="preserve">🔮 Perspectives : </w:t>
      </w:r>
      <w:r>
        <w:rPr>
          <w:sz w:val="18"/>
        </w:rPr>
        <w:t>Orange CI semble bien positionné pour maintenir sa dynamique de croissance grâce à ses investissements soutenus dans l'infrastructure et l'expansion de ses services. La diversification géographique et l'essor d'Orange Money constituent des leviers de croissance durables pour les prochains trimestres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"La soci\u00e9t\u00e9 enregistre une croissance solide de son activit\u00e9 et de sa rentabilit\u00e9, avec un dividende \u00e9lev\u00e9. La solidit\u00e9 financi\u00e8re et les perspectives de financement des investissements soutiennent une recommandation d'achat."}</w:t>
      </w:r>
    </w:p>
    <w:p>
      <w:pPr>
        <w:spacing w:before="40"/>
        <w:ind w:left="400"/>
      </w:pPr>
      <w:r>
        <w:rPr>
          <w:sz w:val="18"/>
        </w:rPr>
        <w:t>En 2025, Orange CI affiche un chiffre d'affaires consolidé de 1 197,1 milliards FCFA, en hausse de 10,4%. Le résultat net part du groupe progresse de 14,5% à 129,1 milliards FCFA, tandis que le résultat opérationnel atteint 287,2 milliards FCFA. L'entreprise propose un dividende brut de 800 FCFA par action. Le total bilan s'établit à 2 554,1 milliards FCFA, en hausse de 10,6%. Les flux de trésorerie d'exploitation ont augmenté à 335,5 milliards FCFA. L'assemblée générale approuve les comptes et l'affectation du résultat.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{'resultat_net_total': '167,8 milliards FCFA', 'marge_operationnelle': '24,0%', 'endettement_financier': '224,0 milliards FCFA (non courant) + 111,9 milliards FCFA (courant)', 'investissements_capex': '184,2 milliards FCFA', 'resultat_operationnel': '287,2 milliards FCFA', 'resultat_net_part_groupe': '129,1 milliards FCFA', 'capitaux_propres_part_groupe': '616,7 milliards FCFA', 'flux_tresorerie_exploitation': '335,5 milliards FCFA'}</w:t>
            </w:r>
          </w:p>
        </w:tc>
        <w:tc>
          <w:tcPr>
            <w:tcW w:type="dxa" w:w="2160"/>
          </w:tcPr>
          <w:p>
            <w:pPr>
              <w:ind w:left="100"/>
            </w:pPr>
            <w:r/>
            <w:r>
              <w:rPr>
                <w:b/>
                <w:sz w:val="16"/>
              </w:rPr>
              <w:t>dividende</w:t>
              <w:br/>
            </w:r>
            <w:r>
              <w:rPr>
                <w:sz w:val="18"/>
              </w:rPr>
              <w:t>800 FCFA brut par action</w:t>
            </w:r>
          </w:p>
        </w:tc>
        <w:tc>
          <w:tcPr>
            <w:tcW w:type="dxa" w:w="2160"/>
          </w:tcPr>
          <w:p>
            <w:pPr>
              <w:ind w:left="100"/>
            </w:pPr>
            <w:r/>
            <w:r>
              <w:rPr>
                <w:b/>
                <w:sz w:val="16"/>
              </w:rPr>
              <w:t>marge_nette</w:t>
              <w:br/>
            </w:r>
            <w:r>
              <w:rPr>
                <w:sz w:val="18"/>
              </w:rPr>
              <w:t>10,8%</w:t>
            </w:r>
          </w:p>
        </w:tc>
        <w:tc>
          <w:tcPr>
            <w:tcW w:type="dxa" w:w="2160"/>
          </w:tcPr>
          <w:p>
            <w:pPr>
              <w:ind w:left="100"/>
            </w:pPr>
            <w:r/>
            <w:r>
              <w:rPr>
                <w:b/>
                <w:sz w:val="16"/>
              </w:rPr>
              <w:t>total_actif</w:t>
              <w:br/>
            </w:r>
            <w:r>
              <w:rPr>
                <w:sz w:val="18"/>
              </w:rPr>
              <w:t>2 554,1 milliards FCFA</w:t>
            </w:r>
          </w:p>
        </w:tc>
      </w:tr>
      <w:tr>
        <w:tc>
          <w:tcPr>
            <w:tcW w:type="dxa" w:w="2160"/>
          </w:tcPr>
          <w:p>
            <w:r/>
            <w:r>
              <w:rPr>
                <w:b/>
                <w:sz w:val="16"/>
              </w:rPr>
              <w:t>resultat_net</w:t>
              <w:br/>
            </w:r>
            <w:r>
              <w:rPr>
                <w:sz w:val="18"/>
              </w:rPr>
              <w:t>129,1 milliards FCFA (part du groupe)</w:t>
            </w:r>
          </w:p>
        </w:tc>
        <w:tc>
          <w:tcPr>
            <w:tcW w:type="dxa" w:w="2160"/>
          </w:tcPr>
          <w:p>
            <w:r/>
            <w:r>
              <w:rPr>
                <w:b/>
                <w:sz w:val="16"/>
              </w:rPr>
              <w:t>capitaux_propres</w:t>
              <w:br/>
            </w:r>
            <w:r>
              <w:rPr>
                <w:sz w:val="18"/>
              </w:rPr>
              <w:t>707,8 milliards FCFA</w:t>
            </w:r>
          </w:p>
        </w:tc>
        <w:tc>
          <w:tcPr>
            <w:tcW w:type="dxa" w:w="2160"/>
          </w:tcPr>
          <w:p>
            <w:r/>
            <w:r>
              <w:rPr>
                <w:b/>
                <w:sz w:val="16"/>
              </w:rPr>
              <w:t>chiffre_affaires</w:t>
              <w:br/>
            </w:r>
            <w:r>
              <w:rPr>
                <w:sz w:val="18"/>
              </w:rPr>
              <w:t>1 197,1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10,4% à 1 197,1 milliards FCFA.</w:t>
      </w:r>
    </w:p>
    <w:p>
      <w:pPr>
        <w:pStyle w:val="ListBullet"/>
        <w:spacing w:before="20" w:after="20"/>
        <w:ind w:left="700"/>
      </w:pPr>
      <w:r>
        <w:rPr>
          <w:sz w:val="18"/>
        </w:rPr>
        <w:t>Résultat net part du groupe en hausse de 14,5% à 129,1 milliards FCFA.</w:t>
      </w:r>
    </w:p>
    <w:p>
      <w:pPr>
        <w:pStyle w:val="ListBullet"/>
        <w:spacing w:before="20" w:after="20"/>
        <w:ind w:left="700"/>
      </w:pPr>
      <w:r>
        <w:rPr>
          <w:sz w:val="18"/>
        </w:rPr>
        <w:t>Résultat opérationnel de 287,2 milliards FCFA, en progression de 9,1%.</w:t>
      </w:r>
    </w:p>
    <w:p>
      <w:pPr>
        <w:pStyle w:val="ListBullet"/>
        <w:spacing w:before="20" w:after="20"/>
        <w:ind w:left="700"/>
      </w:pPr>
      <w:r>
        <w:rPr>
          <w:sz w:val="18"/>
        </w:rPr>
        <w:t>Dividende brut proposé de 800 FCFA par action.</w:t>
      </w:r>
    </w:p>
    <w:p>
      <w:pPr>
        <w:pStyle w:val="ListBullet"/>
        <w:spacing w:before="20" w:after="20"/>
        <w:ind w:left="700"/>
      </w:pPr>
      <w:r>
        <w:rPr>
          <w:sz w:val="18"/>
        </w:rPr>
        <w:t>Trésorerie générée par l'activité : 335,5 milliards FCFA, en forte hausse.</w:t>
      </w:r>
    </w:p>
    <w:p>
      <w:pPr>
        <w:pStyle w:val="ListBullet"/>
        <w:spacing w:before="20" w:after="20"/>
        <w:ind w:left="700"/>
      </w:pPr>
      <w:r>
        <w:rPr>
          <w:sz w:val="18"/>
        </w:rPr>
        <w:t>Total du bilan à 2 554,1 milliards FCFA (+10,6%).</w:t>
      </w:r>
    </w:p>
    <w:p>
      <w:pPr>
        <w:spacing w:before="40"/>
        <w:ind w:left="400"/>
      </w:pPr>
      <w:r>
        <w:rPr>
          <w:b/>
          <w:color w:val="C05000"/>
          <w:sz w:val="18"/>
        </w:rPr>
        <w:t xml:space="preserve">⚠️ Risques : </w:t>
      </w:r>
      <w:r>
        <w:rPr>
          <w:sz w:val="18"/>
        </w:rPr>
        <w:t>["Concurrence intense sur le march\u00e9 des t\u00e9l\u00e9communications et pression sur les prix.", "Hausse des charges d'exploitation, notamment les imp\u00f4ts et taxes (+20,8%).", "D\u00e9t\u00e9rioration du besoin en fonds de roulement et volatilit\u00e9 des flux de tr\u00e9sorerie."]</w:t>
      </w:r>
    </w:p>
    <w:p>
      <w:pPr>
        <w:spacing w:before="40"/>
        <w:ind w:left="400"/>
      </w:pPr>
      <w:r>
        <w:rPr>
          <w:b/>
          <w:color w:val="0064A0"/>
          <w:sz w:val="18"/>
        </w:rPr>
        <w:t xml:space="preserve">🔮 Perspectives : </w:t>
      </w:r>
      <w:r>
        <w:rPr>
          <w:sz w:val="18"/>
        </w:rPr>
        <w:t>Orange CI devrait poursuivre sa croissance en 2026, en s'appuyant sur le financement des investissements futurs via le report à nouveau et les réserves. La stratégie de développement vise à maintenir l'expansion du chiffre d'affaires et à améliorer la rentabilité opérationnelle.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une croissance \u00e9quilibr\u00e9e du CA et maintien des marges dans un contexte r\u00e9gional difficile. Les investissements soutenus dans les infrastructures et l'innovation positionnent bien le groupe pour l'avenir."}</w:t>
      </w:r>
    </w:p>
    <w:p>
      <w:pPr>
        <w:spacing w:before="40"/>
        <w:ind w:left="400"/>
      </w:pPr>
      <w:r>
        <w:rPr>
          <w:sz w:val="18"/>
        </w:rPr>
        <w:t>Orange Côte d'Ivoire affiche une performance solide en 2025 avec un chiffre d'affaires de 1 197,1 milliards FCFA (+10,4%) et un EBITDAaL de 424,1 milliards FCFA (35,4% du CA). Le Groupe a investi massivement dans ses infrastructures avec 184 milliards FCFA (15,4% du CA) pour étendre et moderniser ses réseaux. La croissance des usages est soutenue avec un parc mobile qui progresse de 8,6% et Orange Money de 10,2%. L'entreprise renforce sa position de leader numérique régional en Côte d'Ivoire, au Burkina Faso et au Libéria. Les fondamentaux restent solides malgré un environnement régional marqué par des contraintes économiques et énergétiques.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{'ebitdaal': '424,1 milliards FCFA (35,4% du CA)', 'parc_mobile': '37,6M abonnés (+8,6%)', 'orange_money': '40,4M clients (+10,2%)', 'investissements': '184 milliards FCFA (15,4% du CA)', 'sites_solarises': '707 nouveaux sites', 'couverture_4g_cote_ivoire': '95,01%'}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1 197,1 milliards FCFA (+10,4%)</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10,4% à 1 197,1 milliards FCFA</w:t>
      </w:r>
    </w:p>
    <w:p>
      <w:pPr>
        <w:pStyle w:val="ListBullet"/>
        <w:spacing w:before="20" w:after="20"/>
        <w:ind w:left="700"/>
      </w:pPr>
      <w:r>
        <w:rPr>
          <w:sz w:val="18"/>
        </w:rPr>
        <w:t>EBITDAaL maintenu à 35,4% du chiffre d'affaires (424,1 milliards FCFA)</w:t>
      </w:r>
    </w:p>
    <w:p>
      <w:pPr>
        <w:pStyle w:val="ListBullet"/>
        <w:spacing w:before="20" w:after="20"/>
        <w:ind w:left="700"/>
      </w:pPr>
      <w:r>
        <w:rPr>
          <w:sz w:val="18"/>
        </w:rPr>
        <w:t>Investissements massifs de 184 milliards FCFA dans les infrastructures réseau</w:t>
      </w:r>
    </w:p>
    <w:p>
      <w:pPr>
        <w:pStyle w:val="ListBullet"/>
        <w:spacing w:before="20" w:after="20"/>
        <w:ind w:left="700"/>
      </w:pPr>
      <w:r>
        <w:rPr>
          <w:sz w:val="18"/>
        </w:rPr>
        <w:t>Déploiement de 1 073 nouveaux sites mobiles, dont 70% en zones rurales</w:t>
      </w:r>
    </w:p>
    <w:p>
      <w:pPr>
        <w:pStyle w:val="ListBullet"/>
        <w:spacing w:before="20" w:after="20"/>
        <w:ind w:left="700"/>
      </w:pPr>
      <w:r>
        <w:rPr>
          <w:sz w:val="18"/>
        </w:rPr>
        <w:t>Croissance du parc mobile de 8,6% et d'Orange Money de 10,2%</w:t>
      </w:r>
    </w:p>
    <w:p>
      <w:pPr>
        <w:pStyle w:val="ListBullet"/>
        <w:spacing w:before="20" w:after="20"/>
        <w:ind w:left="700"/>
      </w:pPr>
      <w:r>
        <w:rPr>
          <w:sz w:val="18"/>
        </w:rPr>
        <w:t>707 sites solarisés supplémentaires pour améliorer la résilience énergétique</w:t>
      </w:r>
    </w:p>
    <w:p>
      <w:pPr>
        <w:spacing w:before="40"/>
        <w:ind w:left="400"/>
      </w:pPr>
      <w:r>
        <w:rPr>
          <w:b/>
          <w:color w:val="C05000"/>
          <w:sz w:val="18"/>
        </w:rPr>
        <w:t xml:space="preserve">⚠️ Risques : </w:t>
      </w:r>
      <w:r>
        <w:rPr>
          <w:sz w:val="18"/>
        </w:rPr>
        <w:t>["Contexte s\u00e9curitaire contraint au Burkina Faso affectant la continuit\u00e9 op\u00e9rationnelle", "Contraintes \u00e9nerg\u00e9tiques importantes, notamment au Lib\u00e9ria avec 600 sites non raccord\u00e9s", "Pression concurrentielle croissante et intensification des investissements marketin</w:t>
      </w:r>
    </w:p>
    <w:p>
      <w:pPr>
        <w:spacing w:before="40"/>
        <w:ind w:left="400"/>
      </w:pPr>
      <w:r>
        <w:rPr>
          <w:b/>
          <w:color w:val="0064A0"/>
          <w:sz w:val="18"/>
        </w:rPr>
        <w:t xml:space="preserve">🔮 Perspectives : </w:t>
      </w:r>
      <w:r>
        <w:rPr>
          <w:sz w:val="18"/>
        </w:rPr>
        <w:t>Le groupe s'engage dans le nouveau plan stratégique 'Trust the Future' qui place la confiance au cœur du modèle de croissance. L'accent sera mis sur l'accélération de l'innovation, le renforcement de la proximité client et le développement de nouveaux relais de croissance dans un environnement techn</w:t>
      </w:r>
    </w:p>
    <w:p/>
    <w:p>
      <w:r>
        <w:t>════════════════════════════════════════════════════════════════════════════════</w:t>
      </w:r>
    </w:p>
    <w:p>
      <w:r>
        <w:br w:type="page"/>
      </w:r>
    </w:p>
    <w:p>
      <w:pPr>
        <w:pStyle w:val="Heading2"/>
        <w:spacing w:before="360"/>
      </w:pPr>
      <w:r>
        <w:rPr>
          <w:color w:val="0066CC"/>
        </w:rPr>
        <w:t>25. ORGT - ORGT - ORAGROUP TOGO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ORGT</w:t>
            </w:r>
          </w:p>
          <w:p>
            <w:r>
              <w:rPr>
                <w:b/>
                <w:color w:val="323250"/>
                <w:sz w:val="16"/>
              </w:rPr>
              <w:t xml:space="preserve">Société : </w:t>
            </w:r>
            <w:r>
              <w:rPr>
                <w:color w:val="000000"/>
                <w:sz w:val="16"/>
              </w:rPr>
              <w:t>ORGT - ORAGROUP TOGO</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195.06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4,176 titres</w:t>
            </w:r>
          </w:p>
        </w:tc>
        <w:tc>
          <w:tcPr>
            <w:tcW w:type="dxa" w:w="2268"/>
            <w:shd w:fill="FFF2CC" w:val="clear"/>
          </w:tcPr>
          <w:p>
            <w:r>
              <w:rPr>
                <w:b/>
                <w:color w:val="503200"/>
                <w:sz w:val="16"/>
              </w:rPr>
              <w:t xml:space="preserve">Cours actuel : </w:t>
            </w:r>
            <w:r>
              <w:rPr>
                <w:color w:val="000000"/>
                <w:sz w:val="17"/>
              </w:rPr>
              <w:t>2,810 FCFA</w:t>
            </w:r>
          </w:p>
          <w:p>
            <w:r>
              <w:rPr>
                <w:b/>
                <w:color w:val="503200"/>
                <w:sz w:val="16"/>
              </w:rPr>
              <w:t xml:space="preserve">Var. 100 jours : </w:t>
            </w:r>
            <w:r>
              <w:rPr>
                <w:b/>
                <w:color w:val="007800"/>
                <w:sz w:val="17"/>
              </w:rPr>
              <w:t>+4.07%</w:t>
            </w:r>
          </w:p>
          <w:p>
            <w:r>
              <w:rPr>
                <w:b/>
                <w:color w:val="503200"/>
                <w:sz w:val="16"/>
              </w:rPr>
              <w:t xml:space="preserve">Plus haut 100j : </w:t>
            </w:r>
            <w:r>
              <w:rPr>
                <w:color w:val="000000"/>
                <w:sz w:val="17"/>
              </w:rPr>
              <w:t>3,400 FCFA</w:t>
            </w:r>
          </w:p>
          <w:p>
            <w:r>
              <w:rPr>
                <w:b/>
                <w:color w:val="503200"/>
                <w:sz w:val="16"/>
              </w:rPr>
              <w:t xml:space="preserve">Plus bas 100j : </w:t>
            </w:r>
            <w:r>
              <w:rPr>
                <w:color w:val="000000"/>
                <w:sz w:val="17"/>
              </w:rPr>
              <w:t>2,600 FCFA</w:t>
            </w:r>
          </w:p>
          <w:p>
            <w:r>
              <w:rPr>
                <w:b/>
                <w:color w:val="503200"/>
                <w:sz w:val="16"/>
              </w:rPr>
              <w:t xml:space="preserve">Volatilité ann. : </w:t>
            </w:r>
            <w:r>
              <w:rPr>
                <w:color w:val="000000"/>
                <w:sz w:val="17"/>
              </w:rPr>
              <w:t>36.0%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19.3/100 → Faible</w:t>
      </w:r>
    </w:p>
    <w:p>
      <w:pPr>
        <w:spacing w:before="40" w:after="80"/>
      </w:pPr>
      <w:r>
        <w:rPr>
          <w:rFonts w:ascii="Courier New" w:hAnsi="Courier New"/>
          <w:color w:val="006400"/>
          <w:sz w:val="18"/>
        </w:rPr>
        <w:t>███░░░░░░░░░░░░░░░░░  19.3/100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7.66% (Moyenne) — μ=2,917 FCFA, σ=223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β=0.8482 (Neutre (suit le marché)) — Cov=0.000063, Var(idx)=0.000075, ρ=0.318, n=96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4,176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σ_j=2.27%/j (Stable) — Vol. annualisée≈36.0%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27" name="Picture 27"/>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2026-10-16</w:t>
            </w:r>
          </w:p>
        </w:tc>
        <w:tc>
          <w:tcPr>
            <w:tcW w:type="dxa" w:w="1440"/>
            <w:shd w:fill="FAFAFA" w:val="clear"/>
          </w:tcPr>
          <w:p>
            <w:r>
              <w:rPr>
                <w:sz w:val="17"/>
              </w:rPr>
              <w:t>2,680</w:t>
            </w:r>
          </w:p>
        </w:tc>
        <w:tc>
          <w:tcPr>
            <w:tcW w:type="dxa" w:w="1440"/>
            <w:shd w:fill="FAFAFA" w:val="clear"/>
          </w:tcPr>
          <w:p>
            <w:r>
              <w:rPr>
                <w:b/>
                <w:sz w:val="17"/>
              </w:rPr>
              <w:t>2,816</w:t>
            </w:r>
          </w:p>
        </w:tc>
        <w:tc>
          <w:tcPr>
            <w:tcW w:type="dxa" w:w="1440"/>
            <w:shd w:fill="FAFAFA" w:val="clear"/>
          </w:tcPr>
          <w:p>
            <w:r>
              <w:rPr>
                <w:sz w:val="17"/>
              </w:rPr>
              <w:t>2,953</w:t>
            </w:r>
          </w:p>
        </w:tc>
        <w:tc>
          <w:tcPr>
            <w:tcW w:type="dxa" w:w="1440"/>
            <w:shd w:fill="FAFAFA" w:val="clear"/>
          </w:tcPr>
          <w:p>
            <w:r>
              <w:rPr>
                <w:b/>
                <w:color w:val="008000"/>
                <w:sz w:val="17"/>
              </w:rPr>
              <w:t>+0.2%</w:t>
            </w:r>
          </w:p>
        </w:tc>
      </w:tr>
      <w:tr>
        <w:tc>
          <w:tcPr>
            <w:tcW w:type="dxa" w:w="1440"/>
            <w:shd w:fill="FAFAFA" w:val="clear"/>
          </w:tcPr>
          <w:p>
            <w:r>
              <w:rPr>
                <w:sz w:val="17"/>
              </w:rPr>
              <w:t>J+2  ⭐</w:t>
            </w:r>
          </w:p>
        </w:tc>
        <w:tc>
          <w:tcPr>
            <w:tcW w:type="dxa" w:w="1440"/>
            <w:shd w:fill="FAFAFA" w:val="clear"/>
          </w:tcPr>
          <w:p>
            <w:r>
              <w:rPr>
                <w:sz w:val="17"/>
              </w:rPr>
              <w:t>2026-10-19</w:t>
            </w:r>
          </w:p>
        </w:tc>
        <w:tc>
          <w:tcPr>
            <w:tcW w:type="dxa" w:w="1440"/>
            <w:shd w:fill="FAFAFA" w:val="clear"/>
          </w:tcPr>
          <w:p>
            <w:r>
              <w:rPr>
                <w:sz w:val="17"/>
              </w:rPr>
              <w:t>2,623</w:t>
            </w:r>
          </w:p>
        </w:tc>
        <w:tc>
          <w:tcPr>
            <w:tcW w:type="dxa" w:w="1440"/>
            <w:shd w:fill="FAFAFA" w:val="clear"/>
          </w:tcPr>
          <w:p>
            <w:r>
              <w:rPr>
                <w:b/>
                <w:sz w:val="17"/>
              </w:rPr>
              <w:t>2,816</w:t>
            </w:r>
          </w:p>
        </w:tc>
        <w:tc>
          <w:tcPr>
            <w:tcW w:type="dxa" w:w="1440"/>
            <w:shd w:fill="FAFAFA" w:val="clear"/>
          </w:tcPr>
          <w:p>
            <w:r>
              <w:rPr>
                <w:sz w:val="17"/>
              </w:rPr>
              <w:t>3,009</w:t>
            </w:r>
          </w:p>
        </w:tc>
        <w:tc>
          <w:tcPr>
            <w:tcW w:type="dxa" w:w="1440"/>
            <w:shd w:fill="FAFAFA" w:val="clear"/>
          </w:tcPr>
          <w:p>
            <w:r>
              <w:rPr>
                <w:b/>
                <w:color w:val="008000"/>
                <w:sz w:val="17"/>
              </w:rPr>
              <w:t>+0.2%</w:t>
            </w:r>
          </w:p>
        </w:tc>
      </w:tr>
      <w:tr>
        <w:tc>
          <w:tcPr>
            <w:tcW w:type="dxa" w:w="1440"/>
            <w:shd w:fill="FAFAFA" w:val="clear"/>
          </w:tcPr>
          <w:p>
            <w:r>
              <w:rPr>
                <w:sz w:val="17"/>
              </w:rPr>
              <w:t>J+3  ⭐</w:t>
            </w:r>
          </w:p>
        </w:tc>
        <w:tc>
          <w:tcPr>
            <w:tcW w:type="dxa" w:w="1440"/>
            <w:shd w:fill="FAFAFA" w:val="clear"/>
          </w:tcPr>
          <w:p>
            <w:r>
              <w:rPr>
                <w:sz w:val="17"/>
              </w:rPr>
              <w:t>2026-10-20</w:t>
            </w:r>
          </w:p>
        </w:tc>
        <w:tc>
          <w:tcPr>
            <w:tcW w:type="dxa" w:w="1440"/>
            <w:shd w:fill="FAFAFA" w:val="clear"/>
          </w:tcPr>
          <w:p>
            <w:r>
              <w:rPr>
                <w:sz w:val="17"/>
              </w:rPr>
              <w:t>2,580</w:t>
            </w:r>
          </w:p>
        </w:tc>
        <w:tc>
          <w:tcPr>
            <w:tcW w:type="dxa" w:w="1440"/>
            <w:shd w:fill="FAFAFA" w:val="clear"/>
          </w:tcPr>
          <w:p>
            <w:r>
              <w:rPr>
                <w:b/>
                <w:sz w:val="17"/>
              </w:rPr>
              <w:t>2,816</w:t>
            </w:r>
          </w:p>
        </w:tc>
        <w:tc>
          <w:tcPr>
            <w:tcW w:type="dxa" w:w="1440"/>
            <w:shd w:fill="FAFAFA" w:val="clear"/>
          </w:tcPr>
          <w:p>
            <w:r>
              <w:rPr>
                <w:sz w:val="17"/>
              </w:rPr>
              <w:t>3,053</w:t>
            </w:r>
          </w:p>
        </w:tc>
        <w:tc>
          <w:tcPr>
            <w:tcW w:type="dxa" w:w="1440"/>
            <w:shd w:fill="FAFAFA" w:val="clear"/>
          </w:tcPr>
          <w:p>
            <w:r>
              <w:rPr>
                <w:b/>
                <w:color w:val="008000"/>
                <w:sz w:val="17"/>
              </w:rPr>
              <w:t>+0.2%</w:t>
            </w:r>
          </w:p>
        </w:tc>
      </w:tr>
      <w:tr>
        <w:tc>
          <w:tcPr>
            <w:tcW w:type="dxa" w:w="1440"/>
            <w:shd w:fill="FAFAFA" w:val="clear"/>
          </w:tcPr>
          <w:p>
            <w:r>
              <w:rPr>
                <w:sz w:val="17"/>
              </w:rPr>
              <w:t>J+4  ⭐</w:t>
            </w:r>
          </w:p>
        </w:tc>
        <w:tc>
          <w:tcPr>
            <w:tcW w:type="dxa" w:w="1440"/>
            <w:shd w:fill="FAFAFA" w:val="clear"/>
          </w:tcPr>
          <w:p>
            <w:r>
              <w:rPr>
                <w:sz w:val="17"/>
              </w:rPr>
              <w:t>2026-10-21</w:t>
            </w:r>
          </w:p>
        </w:tc>
        <w:tc>
          <w:tcPr>
            <w:tcW w:type="dxa" w:w="1440"/>
            <w:shd w:fill="FAFAFA" w:val="clear"/>
          </w:tcPr>
          <w:p>
            <w:r>
              <w:rPr>
                <w:sz w:val="17"/>
              </w:rPr>
              <w:t>2,543</w:t>
            </w:r>
          </w:p>
        </w:tc>
        <w:tc>
          <w:tcPr>
            <w:tcW w:type="dxa" w:w="1440"/>
            <w:shd w:fill="FAFAFA" w:val="clear"/>
          </w:tcPr>
          <w:p>
            <w:r>
              <w:rPr>
                <w:b/>
                <w:sz w:val="17"/>
              </w:rPr>
              <w:t>2,816</w:t>
            </w:r>
          </w:p>
        </w:tc>
        <w:tc>
          <w:tcPr>
            <w:tcW w:type="dxa" w:w="1440"/>
            <w:shd w:fill="FAFAFA" w:val="clear"/>
          </w:tcPr>
          <w:p>
            <w:r>
              <w:rPr>
                <w:sz w:val="17"/>
              </w:rPr>
              <w:t>3,089</w:t>
            </w:r>
          </w:p>
        </w:tc>
        <w:tc>
          <w:tcPr>
            <w:tcW w:type="dxa" w:w="1440"/>
            <w:shd w:fill="FAFAFA" w:val="clear"/>
          </w:tcPr>
          <w:p>
            <w:r>
              <w:rPr>
                <w:b/>
                <w:color w:val="008000"/>
                <w:sz w:val="17"/>
              </w:rPr>
              <w:t>+0.2%</w:t>
            </w:r>
          </w:p>
        </w:tc>
      </w:tr>
      <w:tr>
        <w:tc>
          <w:tcPr>
            <w:tcW w:type="dxa" w:w="1440"/>
            <w:shd w:fill="FAFAFA" w:val="clear"/>
          </w:tcPr>
          <w:p>
            <w:r>
              <w:rPr>
                <w:sz w:val="17"/>
              </w:rPr>
              <w:t>J+5  ⭐</w:t>
            </w:r>
          </w:p>
        </w:tc>
        <w:tc>
          <w:tcPr>
            <w:tcW w:type="dxa" w:w="1440"/>
            <w:shd w:fill="FAFAFA" w:val="clear"/>
          </w:tcPr>
          <w:p>
            <w:r>
              <w:rPr>
                <w:sz w:val="17"/>
              </w:rPr>
              <w:t>2026-10-22</w:t>
            </w:r>
          </w:p>
        </w:tc>
        <w:tc>
          <w:tcPr>
            <w:tcW w:type="dxa" w:w="1440"/>
            <w:shd w:fill="FAFAFA" w:val="clear"/>
          </w:tcPr>
          <w:p>
            <w:r>
              <w:rPr>
                <w:sz w:val="17"/>
              </w:rPr>
              <w:t>2,511</w:t>
            </w:r>
          </w:p>
        </w:tc>
        <w:tc>
          <w:tcPr>
            <w:tcW w:type="dxa" w:w="1440"/>
            <w:shd w:fill="FAFAFA" w:val="clear"/>
          </w:tcPr>
          <w:p>
            <w:r>
              <w:rPr>
                <w:b/>
                <w:sz w:val="17"/>
              </w:rPr>
              <w:t>2,815</w:t>
            </w:r>
          </w:p>
        </w:tc>
        <w:tc>
          <w:tcPr>
            <w:tcW w:type="dxa" w:w="1440"/>
            <w:shd w:fill="FAFAFA" w:val="clear"/>
          </w:tcPr>
          <w:p>
            <w:r>
              <w:rPr>
                <w:sz w:val="17"/>
              </w:rPr>
              <w:t>3,120</w:t>
            </w:r>
          </w:p>
        </w:tc>
        <w:tc>
          <w:tcPr>
            <w:tcW w:type="dxa" w:w="1440"/>
            <w:shd w:fill="FAFAFA" w:val="clear"/>
          </w:tcPr>
          <w:p>
            <w:r>
              <w:rPr>
                <w:b/>
                <w:color w:val="008000"/>
                <w:sz w:val="17"/>
              </w:rPr>
              <w:t>+0.2%</w:t>
            </w:r>
          </w:p>
        </w:tc>
      </w:tr>
      <w:tr>
        <w:tc>
          <w:tcPr>
            <w:tcW w:type="dxa" w:w="1440"/>
            <w:shd w:fill="FAFAFA" w:val="clear"/>
          </w:tcPr>
          <w:p>
            <w:r>
              <w:rPr>
                <w:sz w:val="17"/>
              </w:rPr>
              <w:t>J+6  ⭐</w:t>
            </w:r>
          </w:p>
        </w:tc>
        <w:tc>
          <w:tcPr>
            <w:tcW w:type="dxa" w:w="1440"/>
            <w:shd w:fill="FAFAFA" w:val="clear"/>
          </w:tcPr>
          <w:p>
            <w:r>
              <w:rPr>
                <w:sz w:val="17"/>
              </w:rPr>
              <w:t>2026-10-23</w:t>
            </w:r>
          </w:p>
        </w:tc>
        <w:tc>
          <w:tcPr>
            <w:tcW w:type="dxa" w:w="1440"/>
            <w:shd w:fill="FAFAFA" w:val="clear"/>
          </w:tcPr>
          <w:p>
            <w:r>
              <w:rPr>
                <w:sz w:val="17"/>
              </w:rPr>
              <w:t>2,481</w:t>
            </w:r>
          </w:p>
        </w:tc>
        <w:tc>
          <w:tcPr>
            <w:tcW w:type="dxa" w:w="1440"/>
            <w:shd w:fill="FAFAFA" w:val="clear"/>
          </w:tcPr>
          <w:p>
            <w:r>
              <w:rPr>
                <w:b/>
                <w:sz w:val="17"/>
              </w:rPr>
              <w:t>2,815</w:t>
            </w:r>
          </w:p>
        </w:tc>
        <w:tc>
          <w:tcPr>
            <w:tcW w:type="dxa" w:w="1440"/>
            <w:shd w:fill="FAFAFA" w:val="clear"/>
          </w:tcPr>
          <w:p>
            <w:r>
              <w:rPr>
                <w:sz w:val="17"/>
              </w:rPr>
              <w:t>3,148</w:t>
            </w:r>
          </w:p>
        </w:tc>
        <w:tc>
          <w:tcPr>
            <w:tcW w:type="dxa" w:w="1440"/>
            <w:shd w:fill="FAFAFA" w:val="clear"/>
          </w:tcPr>
          <w:p>
            <w:r>
              <w:rPr>
                <w:b/>
                <w:color w:val="008000"/>
                <w:sz w:val="17"/>
              </w:rPr>
              <w:t>+0.2%</w:t>
            </w:r>
          </w:p>
        </w:tc>
      </w:tr>
      <w:tr>
        <w:tc>
          <w:tcPr>
            <w:tcW w:type="dxa" w:w="1440"/>
            <w:shd w:fill="FAFAFA" w:val="clear"/>
          </w:tcPr>
          <w:p>
            <w:r>
              <w:rPr>
                <w:sz w:val="17"/>
              </w:rPr>
              <w:t>J+7  ⭐</w:t>
            </w:r>
          </w:p>
        </w:tc>
        <w:tc>
          <w:tcPr>
            <w:tcW w:type="dxa" w:w="1440"/>
            <w:shd w:fill="FAFAFA" w:val="clear"/>
          </w:tcPr>
          <w:p>
            <w:r>
              <w:rPr>
                <w:sz w:val="17"/>
              </w:rPr>
              <w:t>2026-10-26</w:t>
            </w:r>
          </w:p>
        </w:tc>
        <w:tc>
          <w:tcPr>
            <w:tcW w:type="dxa" w:w="1440"/>
            <w:shd w:fill="FAFAFA" w:val="clear"/>
          </w:tcPr>
          <w:p>
            <w:r>
              <w:rPr>
                <w:sz w:val="17"/>
              </w:rPr>
              <w:t>2,453</w:t>
            </w:r>
          </w:p>
        </w:tc>
        <w:tc>
          <w:tcPr>
            <w:tcW w:type="dxa" w:w="1440"/>
            <w:shd w:fill="FAFAFA" w:val="clear"/>
          </w:tcPr>
          <w:p>
            <w:r>
              <w:rPr>
                <w:b/>
                <w:sz w:val="17"/>
              </w:rPr>
              <w:t>2,814</w:t>
            </w:r>
          </w:p>
        </w:tc>
        <w:tc>
          <w:tcPr>
            <w:tcW w:type="dxa" w:w="1440"/>
            <w:shd w:fill="FAFAFA" w:val="clear"/>
          </w:tcPr>
          <w:p>
            <w:r>
              <w:rPr>
                <w:sz w:val="17"/>
              </w:rPr>
              <w:t>3,174</w:t>
            </w:r>
          </w:p>
        </w:tc>
        <w:tc>
          <w:tcPr>
            <w:tcW w:type="dxa" w:w="1440"/>
            <w:shd w:fill="FAFAFA" w:val="clear"/>
          </w:tcPr>
          <w:p>
            <w:r>
              <w:rPr>
                <w:b/>
                <w:color w:val="008000"/>
                <w:sz w:val="17"/>
              </w:rPr>
              <w:t>+0.1%</w:t>
            </w:r>
          </w:p>
        </w:tc>
      </w:tr>
      <w:tr>
        <w:tc>
          <w:tcPr>
            <w:tcW w:type="dxa" w:w="1440"/>
            <w:shd w:fill="FAFAFA" w:val="clear"/>
          </w:tcPr>
          <w:p>
            <w:r>
              <w:rPr>
                <w:sz w:val="17"/>
              </w:rPr>
              <w:t>J+8  ⭐</w:t>
            </w:r>
          </w:p>
        </w:tc>
        <w:tc>
          <w:tcPr>
            <w:tcW w:type="dxa" w:w="1440"/>
            <w:shd w:fill="FAFAFA" w:val="clear"/>
          </w:tcPr>
          <w:p>
            <w:r>
              <w:rPr>
                <w:sz w:val="17"/>
              </w:rPr>
              <w:t>2026-10-27</w:t>
            </w:r>
          </w:p>
        </w:tc>
        <w:tc>
          <w:tcPr>
            <w:tcW w:type="dxa" w:w="1440"/>
            <w:shd w:fill="FAFAFA" w:val="clear"/>
          </w:tcPr>
          <w:p>
            <w:r>
              <w:rPr>
                <w:sz w:val="17"/>
              </w:rPr>
              <w:t>2,428</w:t>
            </w:r>
          </w:p>
        </w:tc>
        <w:tc>
          <w:tcPr>
            <w:tcW w:type="dxa" w:w="1440"/>
            <w:shd w:fill="FAFAFA" w:val="clear"/>
          </w:tcPr>
          <w:p>
            <w:r>
              <w:rPr>
                <w:b/>
                <w:sz w:val="17"/>
              </w:rPr>
              <w:t>2,813</w:t>
            </w:r>
          </w:p>
        </w:tc>
        <w:tc>
          <w:tcPr>
            <w:tcW w:type="dxa" w:w="1440"/>
            <w:shd w:fill="FAFAFA" w:val="clear"/>
          </w:tcPr>
          <w:p>
            <w:r>
              <w:rPr>
                <w:sz w:val="17"/>
              </w:rPr>
              <w:t>3,198</w:t>
            </w:r>
          </w:p>
        </w:tc>
        <w:tc>
          <w:tcPr>
            <w:tcW w:type="dxa" w:w="1440"/>
            <w:shd w:fill="FAFAFA" w:val="clear"/>
          </w:tcPr>
          <w:p>
            <w:r>
              <w:rPr>
                <w:b/>
                <w:color w:val="008000"/>
                <w:sz w:val="17"/>
              </w:rPr>
              <w:t>+0.1%</w:t>
            </w:r>
          </w:p>
        </w:tc>
      </w:tr>
      <w:tr>
        <w:tc>
          <w:tcPr>
            <w:tcW w:type="dxa" w:w="1440"/>
            <w:shd w:fill="FAFAFA" w:val="clear"/>
          </w:tcPr>
          <w:p>
            <w:r>
              <w:rPr>
                <w:sz w:val="17"/>
              </w:rPr>
              <w:t>J+9  ⭐</w:t>
            </w:r>
          </w:p>
        </w:tc>
        <w:tc>
          <w:tcPr>
            <w:tcW w:type="dxa" w:w="1440"/>
            <w:shd w:fill="FAFAFA" w:val="clear"/>
          </w:tcPr>
          <w:p>
            <w:r>
              <w:rPr>
                <w:sz w:val="17"/>
              </w:rPr>
              <w:t>2026-10-28</w:t>
            </w:r>
          </w:p>
        </w:tc>
        <w:tc>
          <w:tcPr>
            <w:tcW w:type="dxa" w:w="1440"/>
            <w:shd w:fill="FAFAFA" w:val="clear"/>
          </w:tcPr>
          <w:p>
            <w:r>
              <w:rPr>
                <w:sz w:val="17"/>
              </w:rPr>
              <w:t>2,404</w:t>
            </w:r>
          </w:p>
        </w:tc>
        <w:tc>
          <w:tcPr>
            <w:tcW w:type="dxa" w:w="1440"/>
            <w:shd w:fill="FAFAFA" w:val="clear"/>
          </w:tcPr>
          <w:p>
            <w:r>
              <w:rPr>
                <w:b/>
                <w:sz w:val="17"/>
              </w:rPr>
              <w:t>2,812</w:t>
            </w:r>
          </w:p>
        </w:tc>
        <w:tc>
          <w:tcPr>
            <w:tcW w:type="dxa" w:w="1440"/>
            <w:shd w:fill="FAFAFA" w:val="clear"/>
          </w:tcPr>
          <w:p>
            <w:r>
              <w:rPr>
                <w:sz w:val="17"/>
              </w:rPr>
              <w:t>3,221</w:t>
            </w:r>
          </w:p>
        </w:tc>
        <w:tc>
          <w:tcPr>
            <w:tcW w:type="dxa" w:w="1440"/>
            <w:shd w:fill="FAFAFA" w:val="clear"/>
          </w:tcPr>
          <w:p>
            <w:r>
              <w:rPr>
                <w:b/>
                <w:color w:val="008000"/>
                <w:sz w:val="17"/>
              </w:rPr>
              <w:t>+0.1%</w:t>
            </w:r>
          </w:p>
        </w:tc>
      </w:tr>
      <w:tr>
        <w:tc>
          <w:tcPr>
            <w:tcW w:type="dxa" w:w="1440"/>
            <w:shd w:fill="FAFAFA" w:val="clear"/>
          </w:tcPr>
          <w:p>
            <w:r>
              <w:rPr>
                <w:sz w:val="17"/>
              </w:rPr>
              <w:t>J+10  ⭐</w:t>
            </w:r>
          </w:p>
        </w:tc>
        <w:tc>
          <w:tcPr>
            <w:tcW w:type="dxa" w:w="1440"/>
            <w:shd w:fill="FAFAFA" w:val="clear"/>
          </w:tcPr>
          <w:p>
            <w:r>
              <w:rPr>
                <w:sz w:val="17"/>
              </w:rPr>
              <w:t>2026-10-29</w:t>
            </w:r>
          </w:p>
        </w:tc>
        <w:tc>
          <w:tcPr>
            <w:tcW w:type="dxa" w:w="1440"/>
            <w:shd w:fill="FAFAFA" w:val="clear"/>
          </w:tcPr>
          <w:p>
            <w:r>
              <w:rPr>
                <w:sz w:val="17"/>
              </w:rPr>
              <w:t>2,381</w:t>
            </w:r>
          </w:p>
        </w:tc>
        <w:tc>
          <w:tcPr>
            <w:tcW w:type="dxa" w:w="1440"/>
            <w:shd w:fill="FAFAFA" w:val="clear"/>
          </w:tcPr>
          <w:p>
            <w:r>
              <w:rPr>
                <w:b/>
                <w:sz w:val="17"/>
              </w:rPr>
              <w:t>2,811</w:t>
            </w:r>
          </w:p>
        </w:tc>
        <w:tc>
          <w:tcPr>
            <w:tcW w:type="dxa" w:w="1440"/>
            <w:shd w:fill="FAFAFA" w:val="clear"/>
          </w:tcPr>
          <w:p>
            <w:r>
              <w:rPr>
                <w:sz w:val="17"/>
              </w:rPr>
              <w:t>3,242</w:t>
            </w:r>
          </w:p>
        </w:tc>
        <w:tc>
          <w:tcPr>
            <w:tcW w:type="dxa" w:w="1440"/>
            <w:shd w:fill="FAFAFA" w:val="clear"/>
          </w:tcPr>
          <w:p>
            <w:r>
              <w:rPr>
                <w:b/>
                <w:color w:val="008000"/>
                <w:sz w:val="17"/>
              </w:rPr>
              <w:t>+0.0%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346.667 Mds FCFA</w:t>
            </w:r>
          </w:p>
        </w:tc>
        <w:tc>
          <w:tcPr>
            <w:tcW w:type="dxa" w:w="5669"/>
            <w:shd w:fill="FFFFFF" w:val="clear"/>
          </w:tcPr>
          <w:p>
            <w:r>
              <w:rPr>
                <w:color w:val="282828"/>
                <w:sz w:val="15"/>
              </w:rPr>
              <w:t>Représente 8.6%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1462.409 Mds FCFA</w:t>
            </w:r>
          </w:p>
        </w:tc>
        <w:tc>
          <w:tcPr>
            <w:tcW w:type="dxa" w:w="5669"/>
            <w:shd w:fill="FFFFFF" w:val="clear"/>
          </w:tcPr>
          <w:p>
            <w:r>
              <w:rPr>
                <w:color w:val="282828"/>
                <w:sz w:val="15"/>
              </w:rPr>
              <w:t>Titres d'État détenus (36.4%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275.515 Mds FCFA</w:t>
            </w:r>
          </w:p>
        </w:tc>
        <w:tc>
          <w:tcPr>
            <w:tcW w:type="dxa" w:w="5669"/>
            <w:shd w:fill="FFFFFF" w:val="clear"/>
          </w:tcPr>
          <w:p>
            <w:r>
              <w:rPr>
                <w:color w:val="282828"/>
                <w:sz w:val="15"/>
              </w:rPr>
              <w:t>Prêts aux autres banques (6.9%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1523.765 Mds FCFA</w:t>
            </w:r>
          </w:p>
        </w:tc>
        <w:tc>
          <w:tcPr>
            <w:tcW w:type="dxa" w:w="5669"/>
            <w:shd w:fill="FFFFFF" w:val="clear"/>
          </w:tcPr>
          <w:p>
            <w:r>
              <w:rPr>
                <w:color w:val="282828"/>
                <w:sz w:val="15"/>
              </w:rPr>
              <w:t>Portefeuille crédits (38.0%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7.145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72.673 Mds FCFA</w:t>
            </w:r>
          </w:p>
        </w:tc>
        <w:tc>
          <w:tcPr>
            <w:tcW w:type="dxa" w:w="5669"/>
            <w:shd w:fill="FFFFFF" w:val="clear"/>
          </w:tcPr>
          <w:p>
            <w:r>
              <w:rPr>
                <w:color w:val="282828"/>
                <w:sz w:val="15"/>
              </w:rPr>
              <w:t>Outil industriel (1.8%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4014.192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87.404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FFEB9C" w:val="clear"/>
          </w:tcPr>
          <w:p>
            <w:r>
              <w:rPr>
                <w:b/>
                <w:color w:val="B40000"/>
                <w:sz w:val="17"/>
              </w:rPr>
              <w:t>-17.925 Mds FCFA</w:t>
            </w:r>
          </w:p>
        </w:tc>
        <w:tc>
          <w:tcPr>
            <w:tcW w:type="dxa" w:w="5669"/>
            <w:shd w:fill="FFFFFF" w:val="clear"/>
          </w:tcPr>
          <w:p>
            <w:r>
              <w:rPr>
                <w:color w:val="282828"/>
                <w:sz w:val="15"/>
              </w:rPr>
              <w:t>⚠️ Réserves nulles ou négatives — capacité de résistance limitée.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113.165 Mds FCFA</w:t>
            </w:r>
          </w:p>
        </w:tc>
        <w:tc>
          <w:tcPr>
            <w:tcW w:type="dxa" w:w="5669"/>
            <w:shd w:fill="FFFFFF" w:val="clear"/>
          </w:tcPr>
          <w:p>
            <w:r>
              <w:rPr>
                <w:color w:val="282828"/>
                <w:sz w:val="15"/>
              </w:rPr>
              <w:t>Fonds propres = 2.8%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139.530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432.668 Mds FCFA</w:t>
            </w:r>
          </w:p>
        </w:tc>
        <w:tc>
          <w:tcPr>
            <w:tcW w:type="dxa" w:w="5669"/>
            <w:shd w:fill="FFFFFF" w:val="clear"/>
          </w:tcPr>
          <w:p>
            <w:r>
              <w:rPr>
                <w:color w:val="282828"/>
                <w:sz w:val="15"/>
              </w:rPr>
              <w:t>Refinancement interbancaire (10.8%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3088.698 Mds FCFA</w:t>
            </w:r>
          </w:p>
        </w:tc>
        <w:tc>
          <w:tcPr>
            <w:tcW w:type="dxa" w:w="5669"/>
            <w:shd w:fill="FFFFFF" w:val="clear"/>
          </w:tcPr>
          <w:p>
            <w:r>
              <w:rPr>
                <w:color w:val="282828"/>
                <w:sz w:val="15"/>
              </w:rPr>
              <w:t>Dépôts clients = 76.9%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26.365 Mds FCFA</w:t>
            </w:r>
          </w:p>
        </w:tc>
        <w:tc>
          <w:tcPr>
            <w:tcW w:type="dxa" w:w="5669"/>
            <w:shd w:fill="FFFFFF" w:val="clear"/>
          </w:tcPr>
          <w:p>
            <w:r>
              <w:rPr>
                <w:color w:val="282828"/>
                <w:sz w:val="15"/>
              </w:rPr>
              <w:t>Dette LT/MT = 23% des fonds propres. ✅ Endettement LT maîtrisé.</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503.513 Mds FCFA</w:t>
            </w:r>
          </w:p>
        </w:tc>
        <w:tc>
          <w:tcPr>
            <w:tcW w:type="dxa" w:w="5669"/>
            <w:shd w:fill="FFFFFF" w:val="clear"/>
          </w:tcPr>
          <w:p>
            <w:r>
              <w:rPr>
                <w:color w:val="282828"/>
                <w:sz w:val="15"/>
              </w:rPr>
              <w:t>Dette financière totale = 445%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3901.027 Mds FCFA</w:t>
            </w:r>
          </w:p>
        </w:tc>
        <w:tc>
          <w:tcPr>
            <w:tcW w:type="dxa" w:w="5669"/>
            <w:shd w:fill="FFFFFF" w:val="clear"/>
          </w:tcPr>
          <w:p>
            <w:r>
              <w:rPr>
                <w:color w:val="282828"/>
                <w:sz w:val="15"/>
              </w:rPr>
              <w:t>Dettes totales = 97.2%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186.609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C7CE" w:val="clear"/>
          </w:tcPr>
          <w:p>
            <w:r>
              <w:rPr>
                <w:b/>
                <w:color w:val="006400"/>
                <w:sz w:val="17"/>
              </w:rPr>
              <w:t>186.609 Mds FCFA</w:t>
            </w:r>
          </w:p>
        </w:tc>
        <w:tc>
          <w:tcPr>
            <w:tcW w:type="dxa" w:w="5669"/>
            <w:shd w:fill="FFFFFF" w:val="clear"/>
          </w:tcPr>
          <w:p>
            <w:r>
              <w:rPr>
                <w:color w:val="282828"/>
                <w:sz w:val="15"/>
              </w:rPr>
              <w:t>Revenu bancaire central (≡ CA). Croissance: -4.5%. ❌ PNB en recul — pression sur la rentabilité.</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222.533 Mds FCFA</w:t>
            </w:r>
          </w:p>
        </w:tc>
        <w:tc>
          <w:tcPr>
            <w:tcW w:type="dxa" w:w="5669"/>
            <w:shd w:fill="FFFFFF" w:val="clear"/>
          </w:tcPr>
          <w:p>
            <w:r>
              <w:rPr>
                <w:color w:val="282828"/>
                <w:sz w:val="15"/>
              </w:rPr>
              <w:t>Revenus d'intérêts sur crédits (119%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-118.034 Mds FCFA</w:t>
            </w:r>
          </w:p>
        </w:tc>
        <w:tc>
          <w:tcPr>
            <w:tcW w:type="dxa" w:w="5669"/>
            <w:shd w:fill="FFFFFF" w:val="clear"/>
          </w:tcPr>
          <w:p>
            <w:r>
              <w:rPr>
                <w:color w:val="282828"/>
                <w:sz w:val="15"/>
              </w:rPr>
              <w:t>Coût des dépôts collectés (-63%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90.417 Mds FCFA</w:t>
            </w:r>
          </w:p>
        </w:tc>
        <w:tc>
          <w:tcPr>
            <w:tcW w:type="dxa" w:w="5669"/>
            <w:shd w:fill="FFFFFF" w:val="clear"/>
          </w:tcPr>
          <w:p>
            <w:r>
              <w:rPr>
                <w:color w:val="282828"/>
                <w:sz w:val="15"/>
              </w:rPr>
              <w:t>Revenus de commissions (48.5%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61.869 Mds FCFA</w:t>
            </w:r>
          </w:p>
        </w:tc>
        <w:tc>
          <w:tcPr>
            <w:tcW w:type="dxa" w:w="5669"/>
            <w:shd w:fill="FFFFFF" w:val="clear"/>
          </w:tcPr>
          <w:p>
            <w:r>
              <w:rPr>
                <w:color w:val="282828"/>
                <w:sz w:val="15"/>
              </w:rPr>
              <w:t>33.2%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18.096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FFEB9C" w:val="clear"/>
          </w:tcPr>
          <w:p>
            <w:r>
              <w:rPr>
                <w:b/>
                <w:color w:val="006400"/>
                <w:sz w:val="17"/>
              </w:rPr>
              <w:t>70.507 Mds FCFA</w:t>
            </w:r>
          </w:p>
        </w:tc>
        <w:tc>
          <w:tcPr>
            <w:tcW w:type="dxa" w:w="5669"/>
            <w:shd w:fill="FFFFFF" w:val="clear"/>
          </w:tcPr>
          <w:p>
            <w:r>
              <w:rPr>
                <w:color w:val="282828"/>
                <w:sz w:val="15"/>
              </w:rPr>
              <w:t>Masse salariale = 37.8% des revenus. ⚠️ Masse salariale importante.</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36.137 Mds FCFA</w:t>
            </w:r>
          </w:p>
        </w:tc>
        <w:tc>
          <w:tcPr>
            <w:tcW w:type="dxa" w:w="5669"/>
            <w:shd w:fill="FFFFFF" w:val="clear"/>
          </w:tcPr>
          <w:p>
            <w:r>
              <w:rPr>
                <w:color w:val="282828"/>
                <w:sz w:val="15"/>
              </w:rPr>
              <w:t>RBE = 19.4%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29.166 Mds FCFA</w:t>
            </w:r>
          </w:p>
        </w:tc>
        <w:tc>
          <w:tcPr>
            <w:tcW w:type="dxa" w:w="5669"/>
            <w:shd w:fill="FFFFFF" w:val="clear"/>
          </w:tcPr>
          <w:p>
            <w:r>
              <w:rPr>
                <w:color w:val="282828"/>
                <w:sz w:val="15"/>
              </w:rPr>
              <w:t>Profit d'exploitation = 15.6%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-6.971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21.643 Mds FCFA</w:t>
            </w:r>
          </w:p>
        </w:tc>
        <w:tc>
          <w:tcPr>
            <w:tcW w:type="dxa" w:w="5669"/>
            <w:shd w:fill="FFFFFF" w:val="clear"/>
          </w:tcPr>
          <w:p>
            <w:r>
              <w:rPr>
                <w:color w:val="282828"/>
                <w:sz w:val="15"/>
              </w:rPr>
              <w:t>Marge nette = 11.6%.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288.054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-155.148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-40.511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132.906 Mds FCFA</w:t>
            </w:r>
          </w:p>
        </w:tc>
        <w:tc>
          <w:tcPr>
            <w:tcW w:type="dxa" w:w="5669"/>
            <w:shd w:fill="FFFFFF" w:val="clear"/>
          </w:tcPr>
          <w:p>
            <w:r>
              <w:rPr>
                <w:color w:val="282828"/>
                <w:sz w:val="15"/>
              </w:rPr>
              <w:t>FCF = flux opé. - capex. ✅ FCF positif — la société dégage du cash après ses investissements.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19.37%</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11.60%</w:t>
            </w:r>
          </w:p>
        </w:tc>
        <w:tc>
          <w:tcPr>
            <w:tcW w:type="dxa" w:w="5669"/>
            <w:shd w:fill="FFFFFF" w:val="clear"/>
          </w:tcPr>
          <w:p>
            <w:r>
              <w:rPr>
                <w:color w:val="282828"/>
                <w:sz w:val="15"/>
              </w:rPr>
              <w:t>Résultat net / revenus = 11.60%.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15.63%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19.13%</w:t>
            </w:r>
          </w:p>
        </w:tc>
        <w:tc>
          <w:tcPr>
            <w:tcW w:type="dxa" w:w="5669"/>
            <w:shd w:fill="FFFFFF" w:val="clear"/>
          </w:tcPr>
          <w:p>
            <w:r>
              <w:rPr>
                <w:color w:val="282828"/>
                <w:sz w:val="15"/>
              </w:rPr>
              <w:t>Résultat net / capitaux propres = 19.13%.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0.54%</w:t>
            </w:r>
          </w:p>
        </w:tc>
        <w:tc>
          <w:tcPr>
            <w:tcW w:type="dxa" w:w="5669"/>
            <w:shd w:fill="FFFFFF" w:val="clear"/>
          </w:tcPr>
          <w:p>
            <w:r>
              <w:rPr>
                <w:color w:val="282828"/>
                <w:sz w:val="15"/>
              </w:rPr>
              <w:t>Résultat net / total actif = 0.54%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4.65%</w:t>
            </w:r>
          </w:p>
        </w:tc>
        <w:tc>
          <w:tcPr>
            <w:tcW w:type="dxa" w:w="5669"/>
            <w:shd w:fill="FFFFFF" w:val="clear"/>
          </w:tcPr>
          <w:p>
            <w:r>
              <w:rPr>
                <w:color w:val="282828"/>
                <w:sz w:val="15"/>
              </w:rPr>
              <w:t>CA / total actif = 4.65x.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42.85%</w:t>
            </w:r>
          </w:p>
        </w:tc>
        <w:tc>
          <w:tcPr>
            <w:tcW w:type="dxa" w:w="5669"/>
            <w:shd w:fill="FFFFFF" w:val="clear"/>
          </w:tcPr>
          <w:p>
            <w:r>
              <w:rPr>
                <w:color w:val="282828"/>
                <w:sz w:val="15"/>
              </w:rPr>
              <w:t>Charges / PNB = 42.85%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3.74%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FFEB9C" w:val="clear"/>
          </w:tcPr>
          <w:p>
            <w:r>
              <w:rPr>
                <w:b/>
                <w:color w:val="B40000"/>
                <w:sz w:val="17"/>
              </w:rPr>
              <w:t>-4.52%</w:t>
            </w:r>
          </w:p>
        </w:tc>
        <w:tc>
          <w:tcPr>
            <w:tcW w:type="dxa" w:w="5669"/>
            <w:shd w:fill="FFFFFF" w:val="clear"/>
          </w:tcPr>
          <w:p>
            <w:r>
              <w:rPr>
                <w:color w:val="282828"/>
                <w:sz w:val="15"/>
              </w:rPr>
              <w:t>Croissance PNB vs exercice précédent = -4.52%.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2.82%</w:t>
            </w:r>
          </w:p>
        </w:tc>
        <w:tc>
          <w:tcPr>
            <w:tcW w:type="dxa" w:w="5669"/>
            <w:shd w:fill="FFFFFF" w:val="clear"/>
          </w:tcPr>
          <w:p>
            <w:r>
              <w:rPr>
                <w:color w:val="282828"/>
                <w:sz w:val="15"/>
              </w:rPr>
              <w:t>Fonds propres / total bilan = 2.82%.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97.18%</w:t>
            </w:r>
          </w:p>
        </w:tc>
        <w:tc>
          <w:tcPr>
            <w:tcW w:type="dxa" w:w="5669"/>
            <w:shd w:fill="FFFFFF" w:val="clear"/>
          </w:tcPr>
          <w:p>
            <w:r>
              <w:rPr>
                <w:color w:val="282828"/>
                <w:sz w:val="15"/>
              </w:rPr>
              <w:t>Dettes financières / total bilan = 97.18%.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444.94%</w:t>
            </w:r>
          </w:p>
        </w:tc>
        <w:tc>
          <w:tcPr>
            <w:tcW w:type="dxa" w:w="5669"/>
            <w:shd w:fill="FFFFFF" w:val="clear"/>
          </w:tcPr>
          <w:p>
            <w:r>
              <w:rPr>
                <w:color w:val="282828"/>
                <w:sz w:val="15"/>
              </w:rPr>
              <w:t>Dettes totales / fonds propres = 444.94%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102.90%</w:t>
            </w:r>
          </w:p>
        </w:tc>
        <w:tc>
          <w:tcPr>
            <w:tcW w:type="dxa" w:w="5669"/>
            <w:shd w:fill="FFFFFF" w:val="clear"/>
          </w:tcPr>
          <w:p>
            <w:r>
              <w:rPr>
                <w:color w:val="282828"/>
                <w:sz w:val="15"/>
              </w:rPr>
              <w:t>Total actif / dettes totales = 102.90x. ✅ Solvable.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24.71%</w:t>
            </w:r>
          </w:p>
        </w:tc>
        <w:tc>
          <w:tcPr>
            <w:tcW w:type="dxa" w:w="5669"/>
            <w:shd w:fill="FFFFFF" w:val="clear"/>
          </w:tcPr>
          <w:p>
            <w:r>
              <w:rPr>
                <w:color w:val="282828"/>
                <w:sz w:val="15"/>
              </w:rPr>
              <w:t>Résultat exploit. / charges financières = 24.71x. ❌ L'exploitation ne couvre pas les charges financières.</w:t>
            </w:r>
          </w:p>
        </w:tc>
      </w:tr>
    </w:tbl>
    <w:p/>
    <w:p>
      <w:pPr>
        <w:spacing w:after="120" w:line="276" w:lineRule="auto"/>
      </w:pPr>
      <w:r>
        <w:t># RAPPORT D'ANALYSE FINANCIÈRE — ORAGROUP (ORGT)</w:t>
        <w:br/>
        <w:t>**Bourse Régionale des Valeurs Mobilières (BRVM) — Secteur Bancaire**</w:t>
        <w:br/>
        <w:t>*Date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195,06 milliards FCFA, ORGT se positionne comme une valeur de taille intermédiaire au sein de la cote BRVM, représentative d'un groupe bancaire panafricain de premier plan. Le BPA de 312 FCFA/action signifie que chaque titre génère un bénéfice net de 312 FCFA, ce qui, rapporté au cours actuel de 2 810 FCFA, donne un PER de 9,0x — un niveau inférieur à la moyenne du marché BRVM (8-12x), suggérant une valorisation modérée voire légèrement sous-évaluée au regard des bénéfices. Le ratio P/B de 1,72x indique que le marché valorise l'action à 72% au-dessus de sa valeur comptable, ce qui reste raisonnable pour une banque affichant un ROE de 19,1%. En revanche, l'EV/EBITDA de 19,3x apparaît très exigeant (&gt;15x), traduisant une valeur d'entreprise élevée relativement à la capacité opérationnelle — un signal de prudence qui contraste avec la modération du PER.</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ORGT affiche une variation totale de +4,07%, avec une dernière séance stable à +0,00%, le cours se maintenant à 2 810 FCFA. Le range de trading s'établit entre un plus bas de 2 600 FCFA et un plus haut de 3 400 FCFA, soit une amplitude de 800 FCFA (30,8%) qui témoigne d'une réelle volatilité intra-période. La tendance générale est baissière depuis le pic de 3 400 FCFA, le cours actuel (2 810 FCFA) se situant 17,4% en dessous du plus haut, bien que légèrement au-dessus du plus bas. Les statistiques descriptives révèlent une moyenne de 2 917 FCFA supérieure à la médiane de 2 875 FCFA, avec un mode à 2 680 FCFA — cet écart modéré entre moyenne et médiane, combiné à un skewness de 0,348 (distribution symétrique), indique une légère asymétrie positive sans excès. L'écart-type de 225 FCFA (CV=7,7%) traduit une dispersion modérée du cours autour de sa moyenne, tandis que le kurtosis de -1,236 (distribution platykurtique) signale une faible concentration des valeurs extrêmes et donc un risque de pics limité. La volatilité annualisée de 36,0% positionne ORGT dans la catégorie des titres à volatilité élevée (&gt;30%), ce qui implique un risque de marché significatif pour l'investisseur.</w:t>
      </w:r>
    </w:p>
    <w:p>
      <w:pPr>
        <w:spacing w:after="120" w:line="276" w:lineRule="auto"/>
      </w:pPr>
      <w:r>
        <w:t>---</w:t>
      </w:r>
    </w:p>
    <w:p>
      <w:pPr>
        <w:spacing w:after="120" w:line="276" w:lineRule="auto"/>
      </w:pPr>
      <w:r>
        <w:t>## PARTIE 2 : ANALYSE TECHNIQUE DÉTAILLÉE</w:t>
      </w:r>
    </w:p>
    <w:p>
      <w:pPr>
        <w:spacing w:after="120" w:line="276" w:lineRule="auto"/>
      </w:pPr>
      <w:r>
        <w:t>**Moyennes Mobiles :** La MM20 (2 962,75 FCFA) et la MM50 (3 094,70 FCFA) se situent toutes deux au-dessus du cours actuel (2 810 FCFA), avec la MM20 en dessous de la MM50 — configuration baissière classique. Le cours évoluant sous ses deux moyennes mobiles, la pression vendeuse domine, justifiant la décision technique de **Vente**.</w:t>
      </w:r>
    </w:p>
    <w:p>
      <w:pPr>
        <w:spacing w:after="120" w:line="276" w:lineRule="auto"/>
      </w:pPr>
      <w:r>
        <w:t>**Bandes de Bollinger :** Le cours (2 810 FCFA) se situe dans la partie basse de la bande, entre la borne inférieure (2 693,00 FCFA) et la borne supérieure (3 232,50 FCFA), sans franchir aucune limite. Cette position médiane-basse, dans un contexte de bandes relativement larges, reflète une volatilité modérée sans signal de surachat ou de survente, d'où la décision **Neutre**.</w:t>
      </w:r>
    </w:p>
    <w:p>
      <w:pPr>
        <w:spacing w:after="120" w:line="276" w:lineRule="auto"/>
      </w:pPr>
      <w:r>
        <w:t>**MACD :** La valeur du MACD (-77,195) est inférieure à son signal (-60,311), confirmant une divergence baissière et un momentum négatif. Le croisement MACD sous son signal indique que la dynamique de court terme reste défavorable, justifiant la décision de **Vente**.</w:t>
      </w:r>
    </w:p>
    <w:p>
      <w:pPr>
        <w:spacing w:after="120" w:line="276" w:lineRule="auto"/>
      </w:pPr>
      <w:r>
        <w:t>**RSI :** À 46,269, le RSI se situe dans la zone neutre (30-70), sans atteindre les seuils de surachat (&gt;70) ou de survente (&lt;30). Cette position médiane indique un équilibre entre acheteurs et vendeurs, sans pression directionnelle forte, d'où la décision **Neutre**.</w:t>
      </w:r>
    </w:p>
    <w:p>
      <w:pPr>
        <w:spacing w:after="120" w:line="276" w:lineRule="auto"/>
      </w:pPr>
      <w:r>
        <w:t>**Stochastique :** Le %K (0,0) et le %D (2,667) sont tous deux en zone de survente extrême (&lt;20), avec un %K inférieur au %D. Cette configuration suggère un potentiel rebond technique à court terme, justifiant la décision d'**Achat** — seul indicateur haussier du tableau.</w:t>
      </w:r>
    </w:p>
    <w:p>
      <w:pPr>
        <w:spacing w:after="120" w:line="276" w:lineRule="auto"/>
      </w:pPr>
      <w:r>
        <w:t>**Conclusion technique :** Les indicateurs techniques présentent une divergence notable : les moyennes mobiles et le MACD confirment une tendance baissière, le RSI et les Bandes de Bollinger restent neutres, tandis que le Stochastique signale une survente propice à un rebond. Cette configuration mixte plaide pour une prudence à court terme, avec un potentiel de rebond technique limité tant que le cours reste sous la MM20 (2 962,75 FCFA).</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ORGT affiche un Produit Net Bancaire (PNB) de 186,609 milliards FCFA, en baisse de -4,52% par rapport à 2024 (195,436 milliards FCFA), reflétant une contraction de l'activité commerciale. Le résultat net consolidé s'établit à 21,643 milliards FCFA, marquant un redressement spectaculaire après la perte de -44,363 milliards FCFA en 2024. Le ROE atteint 19,13% (&gt;15% = excellent), tandis que le ROA reste faible à 0,54%, caractéristique du secteur bancaire. Le coefficient d'exploitation de 42,85% (&lt;60%) témoigne d'une excellente efficacité opérationnelle, et le coût du risque de 3,74% (provisions/charges financières) indique un portefeuille de crédits assaini. La structure financière montre une autonomie financière de 2,82% (faible) et un ratio d'endettement de 444,94%, typique d'une banque dont les dépôts clientèle (3 088,698 milliards FCFA) constituent la principale ressource, couvrant largement les créances clientèle (1 523,765 milliards FCFA).</w:t>
      </w:r>
    </w:p>
    <w:p>
      <w:pPr>
        <w:spacing w:after="120" w:line="276" w:lineRule="auto"/>
      </w:pPr>
      <w:r>
        <w:t>**Évolution et estimations basées sur les rapports trimestriels :** Le rapport du T1 2026 (publié en 2026) indique un PNB de 50,124 milliards FCFA (-2% sur un an) et un résultat net de 6,555 milliards FCFA (+37%), confirmant la poursuite du redressement. Les dépôts clientèle progressent de +14% à 3 343,025 milliards FCFA, tandis que les crédits nets reculent de -12% à 1 433,787 milliards FCFA — poursuite de la stratégie de sélectivité. Sur la base de ce T1 2026, on estime que l'exercice 2026 devrait afficher un PNB annuel d'environ 200-205 milliards FCFA (si la tendance se stabilise) et un résultat net de 25-28 milliards FCFA, consolidant la rentabilité retrouvée. Le rapport annuel 2025 (analysé le 05/05/2026) confirme le retour à la rentabilité avec un résultat net de 21,6 milliards FCFA, une réduction de 90% du coût du risque et une baisse de 12% des frais généraux. La recommandation fondamentale est **CONSERVER** : la solidité financière s'améliore (capitaux propres +17% à 113,165 milliards FCFA), mais la baisse du PNB et l'absence de dividende (0 FCFA proposé à l'AG du 23/07/2026) limitent l'attrait à court terme.</w:t>
      </w:r>
    </w:p>
    <w:p>
      <w:pPr>
        <w:spacing w:after="120" w:line="276" w:lineRule="auto"/>
      </w:pPr>
      <w:r>
        <w:t>---</w:t>
      </w:r>
    </w:p>
    <w:p>
      <w:pPr>
        <w:spacing w:after="120" w:line="276" w:lineRule="auto"/>
      </w:pPr>
      <w:r>
        <w:t>## PARTIE 4 : CONCLUSION D'INVESTISSEMENT</w:t>
      </w:r>
    </w:p>
    <w:p>
      <w:pPr>
        <w:spacing w:after="120" w:line="276" w:lineRule="auto"/>
      </w:pPr>
      <w:r>
        <w:t>La valorisation d'ORGT présente un profil contrasté : le PER de 9,0x suggère une sous-évaluation modérée par rapport aux bénéfices, et le P/B de 1,72x reste raisonnable, mais l'EV/EBITDA de 19,3x apparaît exigeant et tempère l'optimisme. Le comportement du cours sur 100 jours (+4,07%) masque une tendance baissière depuis le pic de 3 400 FCFA, avec une volatilité élevée (36,0%) et une distribution platykurtique (kurtosis -1,236) indiquant un risque de pics limité mais une dispersion modérée (CV=7,7%). Les signaux techniques sont majoritairement baissiers (MM20/MM50 au-dessus du cours, MACD négatif), avec un RSI neutre et un Stochastique en survente — configuration qui plaide pour une stabilisation voire un rebond technique limité. Les fondamentaux sont en nette amélioration : retour à la rentabilité en 2025 (résultat net de 21,643 milliards FCFA), ROE de 19,13%, coefficient d'exploitation de 42,85%, et confirmation de la tendance au T1 2026 (résultat net +37%). Les prédictions IA (2 816 FCFA à J+1, 2 815 FCFA à J+10) anticipent une quasi-stabilité du cours, en ligne avec les signaux techniques neutres à légèrement baissiers.</w:t>
      </w:r>
    </w:p>
    <w:p>
      <w:pPr>
        <w:spacing w:after="120" w:line="276" w:lineRule="auto"/>
      </w:pPr>
      <w:r>
        <w:t>**Recommandation finale : CONSERVER.** La convergence entre une valorisation modérée (PER 9,0x), des fondamentaux en redressement (ROE 19,13%, résultat net positif) et des signaux techniques mitigés (survente stochastique mais tendance baissière) justifie une position attentiste. Le niveau de confiance est **Moyen**, car si le redressement opérationnel est confirmé, la baisse du PNB et l'absence de dividende limitent le potentiel de hausse à court terme. Le niveau de risque global est **Moyen** (volatilité élevée mais fondamentaux solides). L'horizon d'investissement optimal est le **moyen terme (3-12 mois)**, en attendant la confirmation d'une reprise durable du PNB et d'une éventuelle reprise du dividende.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20260703   avis de convocation et projet de resolution   assemblee generale mixte   oragroup tg</w:t>
      </w:r>
    </w:p>
    <w:p>
      <w:pPr>
        <w:spacing w:before="20"/>
        <w:ind w:left="400"/>
      </w:pPr>
      <w:r>
        <w:rPr>
          <w:color w:val="505050"/>
          <w:sz w:val="17"/>
        </w:rPr>
        <w:t xml:space="preserve">Date : 05/07/2026  |  Catégorie : convocation AG  |  Impact : </w:t>
      </w:r>
      <w:r>
        <w:rPr>
          <w:b/>
          <w:color w:val="646464"/>
          <w:sz w:val="17"/>
        </w:rPr>
        <w:t>⚪ NEUTRE</w:t>
      </w:r>
    </w:p>
    <w:p>
      <w:pPr>
        <w:spacing w:before="40"/>
        <w:ind w:left="400"/>
      </w:pPr>
      <w:r>
        <w:rPr>
          <w:sz w:val="18"/>
        </w:rPr>
        <w:t>Oragroup convoque ses actionnaires à une Assemblée Générale Mixte le 23 juillet 2026 à Lomé pour approuver les comptes 2025 et renouveler une délégation d'augmentation de capital. Les comptes sociaux font apparaître une perte nette de 8 milliards FCFA et aucun dividende n'est proposé, tandis que les comptes consolidés affichent un résultat net positif de 21,6 milliards FCFA. L'assemblée devra également statuer sur la gouvernance, les mandats des commissaires aux comptes et l'allocation d'indemnités aux administrateurs.</w:t>
      </w:r>
    </w:p>
    <w:p>
      <w:pPr>
        <w:spacing w:before="60"/>
        <w:ind w:left="400"/>
      </w:pPr>
      <w:r>
        <w:rPr>
          <w:b/>
          <w:sz w:val="18"/>
        </w:rPr>
        <w:t>Points clés :</w:t>
      </w:r>
    </w:p>
    <w:p>
      <w:pPr>
        <w:pStyle w:val="ListBullet"/>
        <w:spacing w:before="20" w:after="20"/>
        <w:ind w:left="700"/>
      </w:pPr>
      <w:r>
        <w:rPr>
          <w:sz w:val="18"/>
        </w:rPr>
        <w:t>Convocation à l'Assemblée Générale Mixte le 23 juillet 2026 à l'Hôtel 2 Février à Lomé.</w:t>
      </w:r>
    </w:p>
    <w:p>
      <w:pPr>
        <w:pStyle w:val="ListBullet"/>
        <w:spacing w:before="20" w:after="20"/>
        <w:ind w:left="700"/>
      </w:pPr>
      <w:r>
        <w:rPr>
          <w:sz w:val="18"/>
        </w:rPr>
        <w:t>Approbation des comptes sociaux 2025 présentant une perte nette de -8,04 milliards FCFA.</w:t>
      </w:r>
    </w:p>
    <w:p>
      <w:pPr>
        <w:pStyle w:val="ListBullet"/>
        <w:spacing w:before="20" w:after="20"/>
        <w:ind w:left="700"/>
      </w:pPr>
      <w:r>
        <w:rPr>
          <w:sz w:val="18"/>
        </w:rPr>
        <w:t>Renouvellement de la délégation au Conseil d'Administration pour une augmentation de capital jusqu'à 160 milliards FCFA.</w:t>
      </w:r>
    </w:p>
    <w:p>
      <w:pPr>
        <w:pStyle w:val="ListBullet"/>
        <w:spacing w:before="20" w:after="20"/>
        <w:ind w:left="700"/>
      </w:pPr>
      <w:r>
        <w:rPr>
          <w:sz w:val="18"/>
        </w:rPr>
        <w:t>Aucune distribution de dividendes au titre de l'exercice 2025.</w:t>
      </w:r>
    </w:p>
    <w:p>
      <w:pPr>
        <w:pStyle w:val="ListBullet"/>
        <w:spacing w:before="20" w:after="20"/>
        <w:ind w:left="700"/>
      </w:pPr>
      <w:r>
        <w:rPr>
          <w:sz w:val="18"/>
        </w:rPr>
        <w:t>Renouvellement des mandats des commissaires aux comptes et nomination d'un nouveau suppléant.</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du PNB, la forte am\u00e9lioration du r\u00e9sultat net (+37%) t\u00e9moigne d'une bonne ma\u00eetrise op\u00e9rationnelle. La croissance des d\u00e9p\u00f4ts et l'optimisation des co\u00fbts compensent le contexte difficile."}</w:t>
      </w:r>
    </w:p>
    <w:p>
      <w:pPr>
        <w:spacing w:before="40"/>
        <w:ind w:left="400"/>
      </w:pPr>
      <w:r>
        <w:rPr>
          <w:sz w:val="18"/>
        </w:rPr>
        <w:t>Oragroup présente des résultats contrastés au T1 2026 avec une baisse de 2% du Produit Net Bancaire à 50,124 millions FCFA. Le Résultat Net progresse fortement de 37% à 6,555 millions FCFA grâce à l'amélioration du coût du risque et des frais généraux. Les dépôts clientèle augmentent de 14% à 3,343 milliards FCFA tandis que les crédits nets reculent de 12%. Le groupe évolue dans un contexte difficile marqué par les tensions géopolitiques au Moyen-Orient et l'instabilité macroéconomique africaine. La stratégie d'optimisation du financement et de mobilisation de ressources moins coûteuses est poursuivie.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'1,433,787 millions FCFA', 'depots_clientele': '3,343,025 millions FCFA', 'resultat_avant_impots': '7,762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6,555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50,124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2% à 50,124 millions FCFA</w:t>
      </w:r>
    </w:p>
    <w:p>
      <w:pPr>
        <w:pStyle w:val="ListBullet"/>
        <w:spacing w:before="20" w:after="20"/>
        <w:ind w:left="700"/>
      </w:pPr>
      <w:r>
        <w:rPr>
          <w:sz w:val="18"/>
        </w:rPr>
        <w:t>Résultat Net en forte hausse de 37% à 6,555 millions FCFA</w:t>
      </w:r>
    </w:p>
    <w:p>
      <w:pPr>
        <w:pStyle w:val="ListBullet"/>
        <w:spacing w:before="20" w:after="20"/>
        <w:ind w:left="700"/>
      </w:pPr>
      <w:r>
        <w:rPr>
          <w:sz w:val="18"/>
        </w:rPr>
        <w:t>Amélioration du coût du risque avec une baisse de 10%</w:t>
      </w:r>
    </w:p>
    <w:p>
      <w:pPr>
        <w:pStyle w:val="ListBullet"/>
        <w:spacing w:before="20" w:after="20"/>
        <w:ind w:left="700"/>
      </w:pPr>
      <w:r>
        <w:rPr>
          <w:sz w:val="18"/>
        </w:rPr>
        <w:t>Progression des frais généraux maîtrisée en recul de 44%</w:t>
      </w:r>
    </w:p>
    <w:p>
      <w:pPr>
        <w:pStyle w:val="ListBullet"/>
        <w:spacing w:before="20" w:after="20"/>
        <w:ind w:left="700"/>
      </w:pPr>
      <w:r>
        <w:rPr>
          <w:sz w:val="18"/>
        </w:rPr>
        <w:t>Croissance des dépôts clientèle de 14% à 3,343 milliards FCFA</w:t>
      </w:r>
    </w:p>
    <w:p>
      <w:pPr>
        <w:pStyle w:val="ListBullet"/>
        <w:spacing w:before="20" w:after="20"/>
        <w:ind w:left="700"/>
      </w:pPr>
      <w:r>
        <w:rPr>
          <w:sz w:val="18"/>
        </w:rPr>
        <w:t>Contraction des crédits nets à la clientèle de 12%</w:t>
      </w:r>
    </w:p>
    <w:p>
      <w:pPr>
        <w:spacing w:before="40"/>
        <w:ind w:left="400"/>
      </w:pPr>
      <w:r>
        <w:rPr>
          <w:b/>
          <w:color w:val="C05000"/>
          <w:sz w:val="18"/>
        </w:rPr>
        <w:t xml:space="preserve">⚠️ Risques : </w:t>
      </w:r>
      <w:r>
        <w:rPr>
          <w:sz w:val="18"/>
        </w:rPr>
        <w:t>["Impact des tensions g\u00e9opolitiques au Moyen-Orient sur les prix des mati\u00e8res premi\u00e8res", "Instabilit\u00e9 macro\u00e9conomique dans les \u00e9conomies africaines de pr\u00e9sence", "Contraction de l'activit\u00e9 de cr\u00e9dit affectant la croissance future"]</w:t>
      </w:r>
    </w:p>
    <w:p>
      <w:pPr>
        <w:spacing w:before="40"/>
        <w:ind w:left="400"/>
      </w:pPr>
      <w:r>
        <w:rPr>
          <w:b/>
          <w:color w:val="0064A0"/>
          <w:sz w:val="18"/>
        </w:rPr>
        <w:t xml:space="preserve">🔮 Perspectives : </w:t>
      </w:r>
      <w:r>
        <w:rPr>
          <w:sz w:val="18"/>
        </w:rPr>
        <w:t>Le groupe mise sur sa stratégie d'optimisation du financement et de mobilisation de ressources moins coûteuses pour améliorer sa rentabilité. La poursuite de la maîtrise des coûts et du risque devrait soutenir la performance malgré un environnement économique challenging.</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am\u00e9lioration de la rentabilit\u00e9 et la ma\u00eetrise du co\u00fbt du risque sont encourageantes. Cependant, le recul du PNB et la baisse des cr\u00e9dits n\u00e9cessitent une surveillance de la dynamique commerciale."}</w:t>
      </w:r>
    </w:p>
    <w:p>
      <w:pPr>
        <w:spacing w:before="40"/>
        <w:ind w:left="400"/>
      </w:pPr>
      <w:r>
        <w:rPr>
          <w:sz w:val="18"/>
        </w:rPr>
        <w:t>ORAGROUP présente des résultats financiers en nette amélioration pour 2025 avec un retour à la rentabilité après les difficultés de 2024. Le groupe affiche un résultat net consolidé positif de 21,6 milliards FCFA contre une perte de 44,4 milliards FCFA en 2024. Le produit net bancaire s'établit à 186,6 milliards FCFA, en léger recul par rapport aux 195,4 milliards de 2024. Les capitaux propres se renforcent significativement à 113,2 milliards FCFA contre 96,7 milliards en 2024. Le total du bilan progresse légèrement à 4 014 milliards FCFA contre 3 961 milliards en 2024.</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'0,5%', 'ROE': '19,1%', 'cost_income_ratio': '80,6%', 'ratio_solvabilite': None}</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11,6%</w:t>
            </w:r>
          </w:p>
        </w:tc>
        <w:tc>
          <w:tcPr>
            <w:tcW w:type="dxa" w:w="2160"/>
          </w:tcPr>
          <w:p>
            <w:pPr>
              <w:ind w:left="100"/>
            </w:pPr>
            <w:r/>
            <w:r>
              <w:rPr>
                <w:b/>
                <w:sz w:val="16"/>
              </w:rPr>
              <w:t>total_actif</w:t>
              <w:br/>
            </w:r>
            <w:r>
              <w:rPr>
                <w:sz w:val="18"/>
              </w:rPr>
              <w:t>4 014 milliards FCFA</w:t>
            </w:r>
          </w:p>
        </w:tc>
      </w:tr>
      <w:tr>
        <w:tc>
          <w:tcPr>
            <w:tcW w:type="dxa" w:w="2160"/>
          </w:tcPr>
          <w:p>
            <w:r/>
            <w:r>
              <w:rPr>
                <w:b/>
                <w:sz w:val="16"/>
              </w:rPr>
              <w:t>resultat_net</w:t>
              <w:br/>
            </w:r>
            <w:r>
              <w:rPr>
                <w:sz w:val="18"/>
              </w:rPr>
              <w:t>21,6 milliards FCFA</w:t>
            </w:r>
          </w:p>
        </w:tc>
        <w:tc>
          <w:tcPr>
            <w:tcW w:type="dxa" w:w="2160"/>
          </w:tcPr>
          <w:p>
            <w:r/>
            <w:r>
              <w:rPr>
                <w:b/>
                <w:sz w:val="16"/>
              </w:rPr>
              <w:t>capitaux_propres</w:t>
              <w:br/>
            </w:r>
            <w:r>
              <w:rPr>
                <w:sz w:val="18"/>
              </w:rPr>
              <w:t>113,2 milliards FCFA</w:t>
            </w:r>
          </w:p>
        </w:tc>
        <w:tc>
          <w:tcPr>
            <w:tcW w:type="dxa" w:w="2160"/>
          </w:tcPr>
          <w:p>
            <w:r/>
            <w:r>
              <w:rPr>
                <w:b/>
                <w:sz w:val="16"/>
              </w:rPr>
              <w:t>chiffre_affaires</w:t>
              <w:br/>
            </w:r>
            <w:r>
              <w:rPr>
                <w:sz w:val="18"/>
              </w:rPr>
              <w:t>186,6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Retour à la rentabilité avec un résultat net de 21,6 milliards FCFA après une perte de 44,4 milliards en 2024</w:t>
      </w:r>
    </w:p>
    <w:p>
      <w:pPr>
        <w:pStyle w:val="ListBullet"/>
        <w:spacing w:before="20" w:after="20"/>
        <w:ind w:left="700"/>
      </w:pPr>
      <w:r>
        <w:rPr>
          <w:sz w:val="18"/>
        </w:rPr>
        <w:t>Amélioration spectaculaire du coût du risque qui passe de 69,1 milliards FCFA en 2024 à 7,0 milliards en 2025</w:t>
      </w:r>
    </w:p>
    <w:p>
      <w:pPr>
        <w:pStyle w:val="ListBullet"/>
        <w:spacing w:before="20" w:after="20"/>
        <w:ind w:left="700"/>
      </w:pPr>
      <w:r>
        <w:rPr>
          <w:sz w:val="18"/>
        </w:rPr>
        <w:t>Renforcement des capitaux propres à 113,2 milliards FCFA (+17,0% par rapport à 2024)</w:t>
      </w:r>
    </w:p>
    <w:p>
      <w:pPr>
        <w:pStyle w:val="ListBullet"/>
        <w:spacing w:before="20" w:after="20"/>
        <w:ind w:left="700"/>
      </w:pPr>
      <w:r>
        <w:rPr>
          <w:sz w:val="18"/>
        </w:rPr>
        <w:t>Léger recul du produit net bancaire à 186,6 milliards FCFA (-4,5% vs 2024)</w:t>
      </w:r>
    </w:p>
    <w:p>
      <w:pPr>
        <w:pStyle w:val="ListBullet"/>
        <w:spacing w:before="20" w:after="20"/>
        <w:ind w:left="700"/>
      </w:pPr>
      <w:r>
        <w:rPr>
          <w:sz w:val="18"/>
        </w:rPr>
        <w:t>Réduction des charges d'exploitation à 150,5 milliards FCFA contre 171,1 milliards en 2024</w:t>
      </w:r>
    </w:p>
    <w:p>
      <w:pPr>
        <w:pStyle w:val="ListBullet"/>
        <w:spacing w:before="20" w:after="20"/>
        <w:ind w:left="700"/>
      </w:pPr>
      <w:r>
        <w:rPr>
          <w:sz w:val="18"/>
        </w:rPr>
        <w:t>Augmentation des dépôts clientèle à 3 089 milliards FCFA (+5,3% vs 2024)</w:t>
      </w:r>
    </w:p>
    <w:p>
      <w:pPr>
        <w:spacing w:before="40"/>
        <w:ind w:left="400"/>
      </w:pPr>
      <w:r>
        <w:rPr>
          <w:b/>
          <w:color w:val="C05000"/>
          <w:sz w:val="18"/>
        </w:rPr>
        <w:t xml:space="preserve">⚠️ Risques : </w:t>
      </w:r>
      <w:r>
        <w:rPr>
          <w:sz w:val="18"/>
        </w:rPr>
        <w:t>["Environnement \u00e9conomique difficile dans les pays d'implantation pouvant affecter la qualit\u00e9 des actifs", "Recul de l'activit\u00e9 de cr\u00e9dit qui pourrait impacter la croissance future des revenus", "Exposition aux risques de change et de taux dans un contexte d'instabilit\u00e9 mon\</w:t>
      </w:r>
    </w:p>
    <w:p>
      <w:pPr>
        <w:spacing w:before="40"/>
        <w:ind w:left="400"/>
      </w:pPr>
      <w:r>
        <w:rPr>
          <w:b/>
          <w:color w:val="0064A0"/>
          <w:sz w:val="18"/>
        </w:rPr>
        <w:t xml:space="preserve">🔮 Perspectives : </w:t>
      </w:r>
      <w:r>
        <w:rPr>
          <w:sz w:val="18"/>
        </w:rPr>
        <w:t>Les perspectives pour 2026 semblent favorables avec la consolidation du redressement opérationnel et la maîtrise des risques. Le groupe devra néanmoins relancer sa dynamique commerciale pour soutenir la croissance du PNB et retrouver une trajectoire de croissance durable. La poursuite de l'améliorat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redressement spectaculaire des r\u00e9sultats et la ma\u00eetrise des risques d\u00e9montrent une gestion efficace. Cependant, la baisse du PNB et l'environnement \u00e9conomique incertain justifient une prudence."}</w:t>
      </w:r>
    </w:p>
    <w:p>
      <w:pPr>
        <w:spacing w:before="40"/>
        <w:ind w:left="400"/>
      </w:pPr>
      <w:r>
        <w:rPr>
          <w:sz w:val="18"/>
        </w:rPr>
        <w:t>Oragroup affiche un redressement spectaculaire en 2025 avec un retour à la profitabilité après une année 2024 déficitaire. Le résultat net s'établit à 21,643 millions FCFA contre -44,363 millions en 2024, soit une amélioration de 149%. Cette performance s'explique principalement par une réduction drastique du coût net du risque de 90% et une baisse des frais généraux de 12%. Le produit net bancaire a légèrement reculé de 5% à 186,609 millions FCFA dans un contexte économique difficile. Le total bilan progresse modérément de 1% à 4,014 milliards FCFA avec une croissance des dépôts clientèle de 5%.</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'3,088,698 millions FCFA', 'cout_net_du_risque': '-6,971 millions FCFA', 'credits_nets_clientele': '1,523,765 millions FCFA', 'resultat_brut_exploitation': '36,137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11.6%</w:t>
            </w:r>
          </w:p>
        </w:tc>
        <w:tc>
          <w:tcPr>
            <w:tcW w:type="dxa" w:w="2160"/>
          </w:tcPr>
          <w:p>
            <w:pPr>
              <w:ind w:left="100"/>
            </w:pPr>
            <w:r/>
            <w:r>
              <w:rPr>
                <w:b/>
                <w:sz w:val="16"/>
              </w:rPr>
              <w:t>total_actif</w:t>
              <w:br/>
            </w:r>
            <w:r>
              <w:rPr>
                <w:sz w:val="18"/>
              </w:rPr>
              <w:t>4,014,192 millions FCFA</w:t>
            </w:r>
          </w:p>
        </w:tc>
      </w:tr>
      <w:tr>
        <w:tc>
          <w:tcPr>
            <w:tcW w:type="dxa" w:w="2160"/>
          </w:tcPr>
          <w:p>
            <w:r/>
            <w:r>
              <w:rPr>
                <w:b/>
                <w:sz w:val="16"/>
              </w:rPr>
              <w:t>resultat_net</w:t>
              <w:br/>
            </w:r>
            <w:r>
              <w:rPr>
                <w:sz w:val="18"/>
              </w:rPr>
              <w:t>21,643 millions FCFA</w:t>
            </w:r>
          </w:p>
        </w:tc>
        <w:tc>
          <w:tcPr>
            <w:tcW w:type="dxa" w:w="2160"/>
          </w:tcPr>
          <w:p>
            <w:r/>
            <w:r>
              <w:rPr>
                <w:b/>
                <w:sz w:val="16"/>
              </w:rPr>
              <w:t>capitaux_propres</w:t>
              <w:br/>
            </w:r>
            <w:r>
              <w:rPr>
                <w:sz w:val="18"/>
              </w:rPr>
              <w:t>113,165 millions FCFA</w:t>
            </w:r>
          </w:p>
        </w:tc>
        <w:tc>
          <w:tcPr>
            <w:tcW w:type="dxa" w:w="2160"/>
          </w:tcPr>
          <w:p>
            <w:r/>
            <w:r>
              <w:rPr>
                <w:b/>
                <w:sz w:val="16"/>
              </w:rPr>
              <w:t>chiffre_affaires</w:t>
              <w:br/>
            </w:r>
            <w:r>
              <w:rPr>
                <w:sz w:val="18"/>
              </w:rPr>
              <w:t>186,609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Retour à la profitabilité avec un résultat net de 21,643 millions FCFA (+149%)</w:t>
      </w:r>
    </w:p>
    <w:p>
      <w:pPr>
        <w:pStyle w:val="ListBullet"/>
        <w:spacing w:before="20" w:after="20"/>
        <w:ind w:left="700"/>
      </w:pPr>
      <w:r>
        <w:rPr>
          <w:sz w:val="18"/>
        </w:rPr>
        <w:t>Amélioration drastique du coût net du risque à -6,971 millions FCFA (-90%)</w:t>
      </w:r>
    </w:p>
    <w:p>
      <w:pPr>
        <w:pStyle w:val="ListBullet"/>
        <w:spacing w:before="20" w:after="20"/>
        <w:ind w:left="700"/>
      </w:pPr>
      <w:r>
        <w:rPr>
          <w:sz w:val="18"/>
        </w:rPr>
        <w:t>Réduction significative des frais généraux de 12% grâce aux efforts d'optimisation</w:t>
      </w:r>
    </w:p>
    <w:p>
      <w:pPr>
        <w:pStyle w:val="ListBullet"/>
        <w:spacing w:before="20" w:after="20"/>
        <w:ind w:left="700"/>
      </w:pPr>
      <w:r>
        <w:rPr>
          <w:sz w:val="18"/>
        </w:rPr>
        <w:t>Baisse du produit net bancaire de 5% impactée par l'environnement économique difficile</w:t>
      </w:r>
    </w:p>
    <w:p>
      <w:pPr>
        <w:pStyle w:val="ListBullet"/>
        <w:spacing w:before="20" w:after="20"/>
        <w:ind w:left="700"/>
      </w:pPr>
      <w:r>
        <w:rPr>
          <w:sz w:val="18"/>
        </w:rPr>
        <w:t>Croissance des dépôts clientèle de 5% à 3,088,698 millions FCFA</w:t>
      </w:r>
    </w:p>
    <w:p>
      <w:pPr>
        <w:pStyle w:val="ListBullet"/>
        <w:spacing w:before="20" w:after="20"/>
        <w:ind w:left="700"/>
      </w:pPr>
      <w:r>
        <w:rPr>
          <w:sz w:val="18"/>
        </w:rPr>
        <w:t>Diminution des crédits nets à la clientèle de 8% reflétant une politique de risque sélective</w:t>
      </w:r>
    </w:p>
    <w:p>
      <w:pPr>
        <w:spacing w:before="40"/>
        <w:ind w:left="400"/>
      </w:pPr>
      <w:r>
        <w:rPr>
          <w:b/>
          <w:color w:val="C05000"/>
          <w:sz w:val="18"/>
        </w:rPr>
        <w:t xml:space="preserve">⚠️ Risques : </w:t>
      </w:r>
      <w:r>
        <w:rPr>
          <w:sz w:val="18"/>
        </w:rPr>
        <w:t>["Environnement \u00e9conomique africain d\u00e9favorable avec croissance insuffisante selon la Banque Mondiale", "Baisse du produit net bancaire refl\u00e9tant des difficult\u00e9s commerciales", "R\u00e9duction du portefeuille de cr\u00e9dits pouvant limiter la croissance future"]</w:t>
      </w:r>
    </w:p>
    <w:p>
      <w:pPr>
        <w:spacing w:before="40"/>
        <w:ind w:left="400"/>
      </w:pPr>
      <w:r>
        <w:rPr>
          <w:b/>
          <w:color w:val="0064A0"/>
          <w:sz w:val="18"/>
        </w:rPr>
        <w:t xml:space="preserve">🔮 Perspectives : </w:t>
      </w:r>
      <w:r>
        <w:rPr>
          <w:sz w:val="18"/>
        </w:rPr>
        <w:t>La direction poursuit sa stratégie de contrôle strict des coûts et de surveillance rapprochée des portefeuilles de crédit initiée en 2023. Le plan d'action consolidé en 2024 et 2025 continuera à produire ses effets au cours de l'exercice 2026 pour une amélioration durable des performances.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perte semestrielle, la solidit\u00e9 du bilan et la valorisation croissante des filiales bancaires offrent un potentiel de redressement. La structure financi\u00e8re reste robuste avec des capitaux propres repr\u00e9sentant pr\u00e8s de 60% du bilan."}</w:t>
      </w:r>
    </w:p>
    <w:p>
      <w:pPr>
        <w:spacing w:before="40"/>
        <w:ind w:left="400"/>
      </w:pPr>
      <w:r>
        <w:rPr>
          <w:sz w:val="18"/>
        </w:rPr>
        <w:t>ORAGROUP S.A., holding bancaire du Groupe Orabank, présente des résultats semestriels décevants au 30 juin 2021 avec une perte nette de 1,067 milliard FCFA contre un bénéfice de 2,19 milliards FCFA en 2020. La dégradation s'explique principalement par une marge nette d'intérêts négative de -1,683 milliard FCFA et des charges d'intérêts élevées de 2,891 milliards FCFA sur les emprunts interbancaires. Malgré cette performance opérationnelle difficile, la société maintient une structure bilancielle solide avec un total actif de 298,9 milliards FCFA et des capitaux propres de 177 milliards FCFA. Le portefeuille de participations dans les filiales bancaires représente 217,9 milliards FCFA en just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{'emprunts_long_terme': '117,9 milliards FCFA', 'marge_nette_interets': '-1,683 milliard FCFA', 'ratio_capitaux_propres': '59,2%', 'juste_valeur_participations': '217,9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-24,9%</w:t>
            </w:r>
          </w:p>
        </w:tc>
        <w:tc>
          <w:tcPr>
            <w:tcW w:type="dxa" w:w="2160"/>
          </w:tcPr>
          <w:p>
            <w:pPr>
              <w:ind w:left="100"/>
            </w:pPr>
            <w:r/>
            <w:r>
              <w:rPr>
                <w:b/>
                <w:sz w:val="16"/>
              </w:rPr>
              <w:t>total_actif</w:t>
              <w:br/>
            </w:r>
            <w:r>
              <w:rPr>
                <w:sz w:val="18"/>
              </w:rPr>
              <w:t>298,9 milliards FCFA</w:t>
            </w:r>
          </w:p>
        </w:tc>
      </w:tr>
      <w:tr>
        <w:tc>
          <w:tcPr>
            <w:tcW w:type="dxa" w:w="2160"/>
          </w:tcPr>
          <w:p>
            <w:r/>
            <w:r>
              <w:rPr>
                <w:b/>
                <w:sz w:val="16"/>
              </w:rPr>
              <w:t>resultat_net</w:t>
              <w:br/>
            </w:r>
            <w:r>
              <w:rPr>
                <w:sz w:val="18"/>
              </w:rPr>
              <w:t>-1,067 milliard FCFA</w:t>
            </w:r>
          </w:p>
        </w:tc>
        <w:tc>
          <w:tcPr>
            <w:tcW w:type="dxa" w:w="2160"/>
          </w:tcPr>
          <w:p>
            <w:r/>
            <w:r>
              <w:rPr>
                <w:b/>
                <w:sz w:val="16"/>
              </w:rPr>
              <w:t>capitaux_propres</w:t>
              <w:br/>
            </w:r>
            <w:r>
              <w:rPr>
                <w:sz w:val="18"/>
              </w:rPr>
              <w:t>177 milliards FCFA</w:t>
            </w:r>
          </w:p>
        </w:tc>
        <w:tc>
          <w:tcPr>
            <w:tcW w:type="dxa" w:w="2160"/>
          </w:tcPr>
          <w:p>
            <w:r/>
            <w:r>
              <w:rPr>
                <w:b/>
                <w:sz w:val="16"/>
              </w:rPr>
              <w:t>chiffre_affaires</w:t>
              <w:br/>
            </w:r>
            <w:r>
              <w:rPr>
                <w:sz w:val="18"/>
              </w:rPr>
              <w:t>4,281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Perte nette semestrielle de 1,067 milliard FCFA contre un bénéfice de 2,19 milliards FCFA en 2020</w:t>
      </w:r>
    </w:p>
    <w:p>
      <w:pPr>
        <w:pStyle w:val="ListBullet"/>
        <w:spacing w:before="20" w:after="20"/>
        <w:ind w:left="700"/>
      </w:pPr>
      <w:r>
        <w:rPr>
          <w:sz w:val="18"/>
        </w:rPr>
        <w:t>Marge nette d'intérêts fortement négative à -1,683 milliard FCFA impactée par des charges d'intérêts de 2,891 milliards FCFA</w:t>
      </w:r>
    </w:p>
    <w:p>
      <w:pPr>
        <w:pStyle w:val="ListBullet"/>
        <w:spacing w:before="20" w:after="20"/>
        <w:ind w:left="700"/>
      </w:pPr>
      <w:r>
        <w:rPr>
          <w:sz w:val="18"/>
        </w:rPr>
        <w:t>Valorisation du portefeuille de participations en hausse à 217,9 milliards FCFA (+25,8 milliards vs décembre 2020)</w:t>
      </w:r>
    </w:p>
    <w:p>
      <w:pPr>
        <w:pStyle w:val="ListBullet"/>
        <w:spacing w:before="20" w:after="20"/>
        <w:ind w:left="700"/>
      </w:pPr>
      <w:r>
        <w:rPr>
          <w:sz w:val="18"/>
        </w:rPr>
        <w:t>Augmentation de capital de 10 milliards FCFA réalisée dans Orabank Côte d'Ivoire</w:t>
      </w:r>
    </w:p>
    <w:p>
      <w:pPr>
        <w:pStyle w:val="ListBullet"/>
        <w:spacing w:before="20" w:after="20"/>
        <w:ind w:left="700"/>
      </w:pPr>
      <w:r>
        <w:rPr>
          <w:sz w:val="18"/>
        </w:rPr>
        <w:t>Endettement à long terme en hausse à 117,9 milliards FCFA contre 91,2 milliards en décembre 2020</w:t>
      </w:r>
    </w:p>
    <w:p>
      <w:pPr>
        <w:pStyle w:val="ListBullet"/>
        <w:spacing w:before="20" w:after="20"/>
        <w:ind w:left="700"/>
      </w:pPr>
      <w:r>
        <w:rPr>
          <w:sz w:val="18"/>
        </w:rPr>
        <w:t>Capitaux propres solides à 177 milliards FCFA représentant 59% du total bilan</w:t>
      </w:r>
    </w:p>
    <w:p>
      <w:pPr>
        <w:spacing w:before="40"/>
        <w:ind w:left="400"/>
      </w:pPr>
      <w:r>
        <w:rPr>
          <w:b/>
          <w:color w:val="C05000"/>
          <w:sz w:val="18"/>
        </w:rPr>
        <w:t xml:space="preserve">⚠️ Risques : </w:t>
      </w:r>
      <w:r>
        <w:rPr>
          <w:sz w:val="18"/>
        </w:rPr>
        <w:t>["Charges d'int\u00e9r\u00eats \u00e9lev\u00e9es pesant sur la rentabilit\u00e9 avec 2,891 milliards FCFA de co\u00fbts de financement", "Endettement croissant avec 117,9 milliards FCFA d'emprunts \u00e0 long terme n\u00e9cessitant une gestion rigoureuse", "D\u00e9pendance aux performances des filia</w:t>
      </w:r>
    </w:p>
    <w:p>
      <w:pPr>
        <w:spacing w:before="40"/>
        <w:ind w:left="400"/>
      </w:pPr>
      <w:r>
        <w:rPr>
          <w:b/>
          <w:color w:val="0064A0"/>
          <w:sz w:val="18"/>
        </w:rPr>
        <w:t xml:space="preserve">🔮 Perspectives : </w:t>
      </w:r>
      <w:r>
        <w:rPr>
          <w:sz w:val="18"/>
        </w:rPr>
        <w:t>Le redressement dépendra de l'optimisation de la structure de financement pour réduire les charges d'intérêts et de l'amélioration des performances des filiales bancaires. La valorisation croissante du portefeuille de participations et les augmentations de capital dans les filiales laissent présager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 redressement spectaculaire avec un retour \u00e0 la rentabilit\u00e9 et une am\u00e9lioration drastique de la gestion des risques confirme l'efficacit\u00e9 de la strat\u00e9gie de restructuration. La ma\u00eetrise des co\u00fbts et l'optimisation du portefeuille cr\u00e9dit positionnent favorablement le groupe pour la suite."}</w:t>
      </w:r>
    </w:p>
    <w:p>
      <w:pPr>
        <w:spacing w:before="40"/>
        <w:ind w:left="400"/>
      </w:pPr>
      <w:r>
        <w:rPr>
          <w:sz w:val="18"/>
        </w:rPr>
        <w:t>Oragroup présente un redressement spectaculaire au 3ème trimestre 2025 avec un résultat net positif de 19,6 milliards FCFA contre une perte de 13,2 milliards un an plus tôt. Cette performance exceptionnelle (+248%) résulte principalement d'une baisse drastique de 74% du coût net du risque grâce à l'intensification des actions de recouvrement. Le Produit Net Bancaire recule légèrement de 4% à 152,6 milliards FCFA, conséquence d'une stratégie d'optimisation des financements. Les dépôts clientèle progressent modestement de 1% tandis que les crédits nets diminuent de 12%. La maîtrise des frais généraux (-15%) contribue significativement à l'amélioration de la rentabilité.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'1 482 535 millions FCFA', 'capital_social': '69 415 031 000 FCFA', 'depots_clientele': '3 031 267 millions FCFA', 'resultat_avant_impots': '24 108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19 604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152 559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Redressement spectaculaire : résultat net de 19,6 milliards FCFA contre -13,2 milliards en septembre 2024 (+248%)</w:t>
      </w:r>
    </w:p>
    <w:p>
      <w:pPr>
        <w:pStyle w:val="ListBullet"/>
        <w:spacing w:before="20" w:after="20"/>
        <w:ind w:left="700"/>
      </w:pPr>
      <w:r>
        <w:rPr>
          <w:sz w:val="18"/>
        </w:rPr>
        <w:t>Résultat avant impôts positif de 24,1 milliards FCFA contre -9,9 milliards l'année précédente (+344%)</w:t>
      </w:r>
    </w:p>
    <w:p>
      <w:pPr>
        <w:pStyle w:val="ListBullet"/>
        <w:spacing w:before="20" w:after="20"/>
        <w:ind w:left="700"/>
      </w:pPr>
      <w:r>
        <w:rPr>
          <w:sz w:val="18"/>
        </w:rPr>
        <w:t>Baisse drastique de 74% du coût net du risque grâce aux actions de recouvrement intensifiées</w:t>
      </w:r>
    </w:p>
    <w:p>
      <w:pPr>
        <w:pStyle w:val="ListBullet"/>
        <w:spacing w:before="20" w:after="20"/>
        <w:ind w:left="700"/>
      </w:pPr>
      <w:r>
        <w:rPr>
          <w:sz w:val="18"/>
        </w:rPr>
        <w:t>Maîtrise exemplaire des frais généraux avec une réduction de 15%</w:t>
      </w:r>
    </w:p>
    <w:p>
      <w:pPr>
        <w:pStyle w:val="ListBullet"/>
        <w:spacing w:before="20" w:after="20"/>
        <w:ind w:left="700"/>
      </w:pPr>
      <w:r>
        <w:rPr>
          <w:sz w:val="18"/>
        </w:rPr>
        <w:t>Stratégie d'optimisation des financements : baisse volontaire des crédits nets de 12% (-199 milliards FCFA)</w:t>
      </w:r>
    </w:p>
    <w:p>
      <w:pPr>
        <w:pStyle w:val="ListBullet"/>
        <w:spacing w:before="20" w:after="20"/>
        <w:ind w:left="700"/>
      </w:pPr>
      <w:r>
        <w:rPr>
          <w:sz w:val="18"/>
        </w:rPr>
        <w:t>Produit Net Bancaire en léger recul de 4% à 152,6 milliards FCFA</w:t>
      </w:r>
    </w:p>
    <w:p>
      <w:pPr>
        <w:spacing w:before="40"/>
        <w:ind w:left="400"/>
      </w:pPr>
      <w:r>
        <w:rPr>
          <w:b/>
          <w:color w:val="C05000"/>
          <w:sz w:val="18"/>
        </w:rPr>
        <w:t xml:space="preserve">⚠️ Risques : </w:t>
      </w:r>
      <w:r>
        <w:rPr>
          <w:sz w:val="18"/>
        </w:rPr>
        <w:t>["Baisse continue du volume des cr\u00e9dits (-12%) pouvant limiter la croissance future des revenus", "Environnement \u00e9conomique complexe dans la zone d'activit\u00e9 du groupe", "Concentration des efforts sur le recouvrement qui pourrait impacter le d\u00e9veloppement commercial"]</w:t>
      </w:r>
    </w:p>
    <w:p>
      <w:pPr>
        <w:spacing w:before="40"/>
        <w:ind w:left="400"/>
      </w:pPr>
      <w:r>
        <w:rPr>
          <w:b/>
          <w:color w:val="0064A0"/>
          <w:sz w:val="18"/>
        </w:rPr>
        <w:t xml:space="preserve">🔮 Perspectives : </w:t>
      </w:r>
      <w:r>
        <w:rPr>
          <w:sz w:val="18"/>
        </w:rPr>
        <w:t>La dynamique positive observée sur les trois premiers trimestres 2025 devrait se poursuivre avec une rentabilité durablement restaurée. Le groupe semble bien positionné pour maintenir sa trajectoire de redressement grâce à sa stratégie d'optimisation et sa maîtrise des risques, tout en cherchant à r</w:t>
      </w:r>
    </w:p>
    <w:p/>
    <w:p>
      <w:r>
        <w:t>════════════════════════════════════════════════════════════════════════════════</w:t>
      </w:r>
    </w:p>
    <w:p>
      <w:r>
        <w:br w:type="page"/>
      </w:r>
    </w:p>
    <w:p>
      <w:pPr>
        <w:pStyle w:val="Heading2"/>
        <w:spacing w:before="360"/>
      </w:pPr>
      <w:r>
        <w:rPr>
          <w:color w:val="0066CC"/>
        </w:rPr>
        <w:t>26. PALC - PALC - PALM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PALC</w:t>
            </w:r>
          </w:p>
          <w:p>
            <w:r>
              <w:rPr>
                <w:b/>
                <w:color w:val="323250"/>
                <w:sz w:val="16"/>
              </w:rPr>
              <w:t xml:space="preserve">Société : </w:t>
            </w:r>
            <w:r>
              <w:rPr>
                <w:color w:val="000000"/>
                <w:sz w:val="16"/>
              </w:rPr>
              <w:t>PALC - PALM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118.73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4,411 titres</w:t>
            </w:r>
          </w:p>
        </w:tc>
        <w:tc>
          <w:tcPr>
            <w:tcW w:type="dxa" w:w="2268"/>
            <w:shd w:fill="FFF2CC" w:val="clear"/>
          </w:tcPr>
          <w:p>
            <w:r>
              <w:rPr>
                <w:b/>
                <w:color w:val="503200"/>
                <w:sz w:val="16"/>
              </w:rPr>
              <w:t xml:space="preserve">Cours actuel : </w:t>
            </w:r>
            <w:r>
              <w:rPr>
                <w:color w:val="000000"/>
                <w:sz w:val="17"/>
              </w:rPr>
              <w:t>7,680 FCFA</w:t>
            </w:r>
          </w:p>
          <w:p>
            <w:r>
              <w:rPr>
                <w:b/>
                <w:color w:val="503200"/>
                <w:sz w:val="16"/>
              </w:rPr>
              <w:t xml:space="preserve">Var. 100 jours : </w:t>
            </w:r>
            <w:r>
              <w:rPr>
                <w:b/>
                <w:color w:val="007800"/>
                <w:sz w:val="17"/>
              </w:rPr>
              <w:t>+0.00%</w:t>
            </w:r>
          </w:p>
          <w:p>
            <w:r>
              <w:rPr>
                <w:b/>
                <w:color w:val="503200"/>
                <w:sz w:val="16"/>
              </w:rPr>
              <w:t xml:space="preserve">Plus haut 100j : </w:t>
            </w:r>
            <w:r>
              <w:rPr>
                <w:color w:val="000000"/>
                <w:sz w:val="17"/>
              </w:rPr>
              <w:t>9,640 FCFA</w:t>
            </w:r>
          </w:p>
          <w:p>
            <w:r>
              <w:rPr>
                <w:b/>
                <w:color w:val="503200"/>
                <w:sz w:val="16"/>
              </w:rPr>
              <w:t xml:space="preserve">Plus bas 100j : </w:t>
            </w:r>
            <w:r>
              <w:rPr>
                <w:color w:val="000000"/>
                <w:sz w:val="17"/>
              </w:rPr>
              <w:t>7,680 FCFA</w:t>
            </w:r>
          </w:p>
          <w:p>
            <w:r>
              <w:rPr>
                <w:b/>
                <w:color w:val="503200"/>
                <w:sz w:val="16"/>
              </w:rPr>
              <w:t xml:space="preserve">Volatilité ann. : </w:t>
            </w:r>
            <w:r>
              <w:rPr>
                <w:color w:val="000000"/>
                <w:sz w:val="17"/>
              </w:rPr>
              <w:t>34.2%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5.36% (Moyenne) — μ=8,630 FCFA, σ=463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β=0.0679 (Défensif) — Cov=0.000005, Var(idx)=0.000075, ρ=0.027,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4,411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σ_j=2.15%/j (Stable) — Vol. annualisée≈34.2%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28" name="Picture 28"/>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2026-10-16</w:t>
            </w:r>
          </w:p>
        </w:tc>
        <w:tc>
          <w:tcPr>
            <w:tcW w:type="dxa" w:w="1440"/>
            <w:shd w:fill="FAFAFA" w:val="clear"/>
          </w:tcPr>
          <w:p>
            <w:r>
              <w:rPr>
                <w:sz w:val="17"/>
              </w:rPr>
              <w:t>7,416</w:t>
            </w:r>
          </w:p>
        </w:tc>
        <w:tc>
          <w:tcPr>
            <w:tcW w:type="dxa" w:w="1440"/>
            <w:shd w:fill="FAFAFA" w:val="clear"/>
          </w:tcPr>
          <w:p>
            <w:r>
              <w:rPr>
                <w:b/>
                <w:sz w:val="17"/>
              </w:rPr>
              <w:t>7,651</w:t>
            </w:r>
          </w:p>
        </w:tc>
        <w:tc>
          <w:tcPr>
            <w:tcW w:type="dxa" w:w="1440"/>
            <w:shd w:fill="FAFAFA" w:val="clear"/>
          </w:tcPr>
          <w:p>
            <w:r>
              <w:rPr>
                <w:sz w:val="17"/>
              </w:rPr>
              <w:t>7,885</w:t>
            </w:r>
          </w:p>
        </w:tc>
        <w:tc>
          <w:tcPr>
            <w:tcW w:type="dxa" w:w="1440"/>
            <w:shd w:fill="FAFAFA" w:val="clear"/>
          </w:tcPr>
          <w:p>
            <w:r>
              <w:rPr>
                <w:b/>
                <w:color w:val="C00000"/>
                <w:sz w:val="17"/>
              </w:rPr>
              <w:t>-0.4%</w:t>
            </w:r>
          </w:p>
        </w:tc>
      </w:tr>
      <w:tr>
        <w:tc>
          <w:tcPr>
            <w:tcW w:type="dxa" w:w="1440"/>
            <w:shd w:fill="FAFAFA" w:val="clear"/>
          </w:tcPr>
          <w:p>
            <w:r>
              <w:rPr>
                <w:sz w:val="17"/>
              </w:rPr>
              <w:t>J+2  ⭐⭐⭐</w:t>
            </w:r>
          </w:p>
        </w:tc>
        <w:tc>
          <w:tcPr>
            <w:tcW w:type="dxa" w:w="1440"/>
            <w:shd w:fill="FAFAFA" w:val="clear"/>
          </w:tcPr>
          <w:p>
            <w:r>
              <w:rPr>
                <w:sz w:val="17"/>
              </w:rPr>
              <w:t>2026-10-19</w:t>
            </w:r>
          </w:p>
        </w:tc>
        <w:tc>
          <w:tcPr>
            <w:tcW w:type="dxa" w:w="1440"/>
            <w:shd w:fill="FAFAFA" w:val="clear"/>
          </w:tcPr>
          <w:p>
            <w:r>
              <w:rPr>
                <w:sz w:val="17"/>
              </w:rPr>
              <w:t>7,290</w:t>
            </w:r>
          </w:p>
        </w:tc>
        <w:tc>
          <w:tcPr>
            <w:tcW w:type="dxa" w:w="1440"/>
            <w:shd w:fill="FAFAFA" w:val="clear"/>
          </w:tcPr>
          <w:p>
            <w:r>
              <w:rPr>
                <w:b/>
                <w:sz w:val="17"/>
              </w:rPr>
              <w:t>7,621</w:t>
            </w:r>
          </w:p>
        </w:tc>
        <w:tc>
          <w:tcPr>
            <w:tcW w:type="dxa" w:w="1440"/>
            <w:shd w:fill="FAFAFA" w:val="clear"/>
          </w:tcPr>
          <w:p>
            <w:r>
              <w:rPr>
                <w:sz w:val="17"/>
              </w:rPr>
              <w:t>7,952</w:t>
            </w:r>
          </w:p>
        </w:tc>
        <w:tc>
          <w:tcPr>
            <w:tcW w:type="dxa" w:w="1440"/>
            <w:shd w:fill="FAFAFA" w:val="clear"/>
          </w:tcPr>
          <w:p>
            <w:r>
              <w:rPr>
                <w:b/>
                <w:color w:val="C00000"/>
                <w:sz w:val="17"/>
              </w:rPr>
              <w:t>-0.8%</w:t>
            </w:r>
          </w:p>
        </w:tc>
      </w:tr>
      <w:tr>
        <w:tc>
          <w:tcPr>
            <w:tcW w:type="dxa" w:w="1440"/>
            <w:shd w:fill="FAFAFA" w:val="clear"/>
          </w:tcPr>
          <w:p>
            <w:r>
              <w:rPr>
                <w:sz w:val="17"/>
              </w:rPr>
              <w:t>J+3  ⭐⭐⭐</w:t>
            </w:r>
          </w:p>
        </w:tc>
        <w:tc>
          <w:tcPr>
            <w:tcW w:type="dxa" w:w="1440"/>
            <w:shd w:fill="FAFAFA" w:val="clear"/>
          </w:tcPr>
          <w:p>
            <w:r>
              <w:rPr>
                <w:sz w:val="17"/>
              </w:rPr>
              <w:t>2026-10-20</w:t>
            </w:r>
          </w:p>
        </w:tc>
        <w:tc>
          <w:tcPr>
            <w:tcW w:type="dxa" w:w="1440"/>
            <w:shd w:fill="FAFAFA" w:val="clear"/>
          </w:tcPr>
          <w:p>
            <w:r>
              <w:rPr>
                <w:sz w:val="17"/>
              </w:rPr>
              <w:t>7,190</w:t>
            </w:r>
          </w:p>
        </w:tc>
        <w:tc>
          <w:tcPr>
            <w:tcW w:type="dxa" w:w="1440"/>
            <w:shd w:fill="FAFAFA" w:val="clear"/>
          </w:tcPr>
          <w:p>
            <w:r>
              <w:rPr>
                <w:b/>
                <w:sz w:val="17"/>
              </w:rPr>
              <w:t>7,593</w:t>
            </w:r>
          </w:p>
        </w:tc>
        <w:tc>
          <w:tcPr>
            <w:tcW w:type="dxa" w:w="1440"/>
            <w:shd w:fill="FAFAFA" w:val="clear"/>
          </w:tcPr>
          <w:p>
            <w:r>
              <w:rPr>
                <w:sz w:val="17"/>
              </w:rPr>
              <w:t>7,997</w:t>
            </w:r>
          </w:p>
        </w:tc>
        <w:tc>
          <w:tcPr>
            <w:tcW w:type="dxa" w:w="1440"/>
            <w:shd w:fill="FAFAFA" w:val="clear"/>
          </w:tcPr>
          <w:p>
            <w:r>
              <w:rPr>
                <w:b/>
                <w:color w:val="C00000"/>
                <w:sz w:val="17"/>
              </w:rPr>
              <w:t>-1.1%</w:t>
            </w:r>
          </w:p>
        </w:tc>
      </w:tr>
      <w:tr>
        <w:tc>
          <w:tcPr>
            <w:tcW w:type="dxa" w:w="1440"/>
            <w:shd w:fill="FAFAFA" w:val="clear"/>
          </w:tcPr>
          <w:p>
            <w:r>
              <w:rPr>
                <w:sz w:val="17"/>
              </w:rPr>
              <w:t>J+4  Moyenne</w:t>
            </w:r>
          </w:p>
        </w:tc>
        <w:tc>
          <w:tcPr>
            <w:tcW w:type="dxa" w:w="1440"/>
            <w:shd w:fill="FAFAFA" w:val="clear"/>
          </w:tcPr>
          <w:p>
            <w:r>
              <w:rPr>
                <w:sz w:val="17"/>
              </w:rPr>
              <w:t>2026-10-21</w:t>
            </w:r>
          </w:p>
        </w:tc>
        <w:tc>
          <w:tcPr>
            <w:tcW w:type="dxa" w:w="1440"/>
            <w:shd w:fill="FAFAFA" w:val="clear"/>
          </w:tcPr>
          <w:p>
            <w:r>
              <w:rPr>
                <w:sz w:val="17"/>
              </w:rPr>
              <w:t>7,103</w:t>
            </w:r>
          </w:p>
        </w:tc>
        <w:tc>
          <w:tcPr>
            <w:tcW w:type="dxa" w:w="1440"/>
            <w:shd w:fill="FAFAFA" w:val="clear"/>
          </w:tcPr>
          <w:p>
            <w:r>
              <w:rPr>
                <w:b/>
                <w:sz w:val="17"/>
              </w:rPr>
              <w:t>7,567</w:t>
            </w:r>
          </w:p>
        </w:tc>
        <w:tc>
          <w:tcPr>
            <w:tcW w:type="dxa" w:w="1440"/>
            <w:shd w:fill="FAFAFA" w:val="clear"/>
          </w:tcPr>
          <w:p>
            <w:r>
              <w:rPr>
                <w:sz w:val="17"/>
              </w:rPr>
              <w:t>8,032</w:t>
            </w:r>
          </w:p>
        </w:tc>
        <w:tc>
          <w:tcPr>
            <w:tcW w:type="dxa" w:w="1440"/>
            <w:shd w:fill="FAFAFA" w:val="clear"/>
          </w:tcPr>
          <w:p>
            <w:r>
              <w:rPr>
                <w:b/>
                <w:color w:val="C00000"/>
                <w:sz w:val="17"/>
              </w:rPr>
              <w:t>-1.5%</w:t>
            </w:r>
          </w:p>
        </w:tc>
      </w:tr>
      <w:tr>
        <w:tc>
          <w:tcPr>
            <w:tcW w:type="dxa" w:w="1440"/>
            <w:shd w:fill="FAFAFA" w:val="clear"/>
          </w:tcPr>
          <w:p>
            <w:r>
              <w:rPr>
                <w:sz w:val="17"/>
              </w:rPr>
              <w:t>J+5  Moyenne</w:t>
            </w:r>
          </w:p>
        </w:tc>
        <w:tc>
          <w:tcPr>
            <w:tcW w:type="dxa" w:w="1440"/>
            <w:shd w:fill="FAFAFA" w:val="clear"/>
          </w:tcPr>
          <w:p>
            <w:r>
              <w:rPr>
                <w:sz w:val="17"/>
              </w:rPr>
              <w:t>2026-10-22</w:t>
            </w:r>
          </w:p>
        </w:tc>
        <w:tc>
          <w:tcPr>
            <w:tcW w:type="dxa" w:w="1440"/>
            <w:shd w:fill="FAFAFA" w:val="clear"/>
          </w:tcPr>
          <w:p>
            <w:r>
              <w:rPr>
                <w:sz w:val="17"/>
              </w:rPr>
              <w:t>7,025</w:t>
            </w:r>
          </w:p>
        </w:tc>
        <w:tc>
          <w:tcPr>
            <w:tcW w:type="dxa" w:w="1440"/>
            <w:shd w:fill="FAFAFA" w:val="clear"/>
          </w:tcPr>
          <w:p>
            <w:r>
              <w:rPr>
                <w:b/>
                <w:sz w:val="17"/>
              </w:rPr>
              <w:t>7,542</w:t>
            </w:r>
          </w:p>
        </w:tc>
        <w:tc>
          <w:tcPr>
            <w:tcW w:type="dxa" w:w="1440"/>
            <w:shd w:fill="FAFAFA" w:val="clear"/>
          </w:tcPr>
          <w:p>
            <w:r>
              <w:rPr>
                <w:sz w:val="17"/>
              </w:rPr>
              <w:t>8,060</w:t>
            </w:r>
          </w:p>
        </w:tc>
        <w:tc>
          <w:tcPr>
            <w:tcW w:type="dxa" w:w="1440"/>
            <w:shd w:fill="FAFAFA" w:val="clear"/>
          </w:tcPr>
          <w:p>
            <w:r>
              <w:rPr>
                <w:b/>
                <w:color w:val="C00000"/>
                <w:sz w:val="17"/>
              </w:rPr>
              <w:t>-1.8%</w:t>
            </w:r>
          </w:p>
        </w:tc>
      </w:tr>
      <w:tr>
        <w:tc>
          <w:tcPr>
            <w:tcW w:type="dxa" w:w="1440"/>
            <w:shd w:fill="FFDCE0" w:val="clear"/>
          </w:tcPr>
          <w:p>
            <w:r>
              <w:rPr>
                <w:sz w:val="17"/>
              </w:rPr>
              <w:t>J+6  Moyenne</w:t>
            </w:r>
          </w:p>
        </w:tc>
        <w:tc>
          <w:tcPr>
            <w:tcW w:type="dxa" w:w="1440"/>
            <w:shd w:fill="FFDCE0" w:val="clear"/>
          </w:tcPr>
          <w:p>
            <w:r>
              <w:rPr>
                <w:sz w:val="17"/>
              </w:rPr>
              <w:t>2026-10-23</w:t>
            </w:r>
          </w:p>
        </w:tc>
        <w:tc>
          <w:tcPr>
            <w:tcW w:type="dxa" w:w="1440"/>
            <w:shd w:fill="FFDCE0" w:val="clear"/>
          </w:tcPr>
          <w:p>
            <w:r>
              <w:rPr>
                <w:sz w:val="17"/>
              </w:rPr>
              <w:t>6,953</w:t>
            </w:r>
          </w:p>
        </w:tc>
        <w:tc>
          <w:tcPr>
            <w:tcW w:type="dxa" w:w="1440"/>
            <w:shd w:fill="FFDCE0" w:val="clear"/>
          </w:tcPr>
          <w:p>
            <w:r>
              <w:rPr>
                <w:b/>
                <w:sz w:val="17"/>
              </w:rPr>
              <w:t>7,518</w:t>
            </w:r>
          </w:p>
        </w:tc>
        <w:tc>
          <w:tcPr>
            <w:tcW w:type="dxa" w:w="1440"/>
            <w:shd w:fill="FFDCE0" w:val="clear"/>
          </w:tcPr>
          <w:p>
            <w:r>
              <w:rPr>
                <w:sz w:val="17"/>
              </w:rPr>
              <w:t>8,083</w:t>
            </w:r>
          </w:p>
        </w:tc>
        <w:tc>
          <w:tcPr>
            <w:tcW w:type="dxa" w:w="1440"/>
            <w:shd w:fill="FFDCE0" w:val="clear"/>
          </w:tcPr>
          <w:p>
            <w:r>
              <w:rPr>
                <w:b/>
                <w:color w:val="C00000"/>
                <w:sz w:val="17"/>
              </w:rPr>
              <w:t>-2.1%</w:t>
            </w:r>
          </w:p>
        </w:tc>
      </w:tr>
      <w:tr>
        <w:tc>
          <w:tcPr>
            <w:tcW w:type="dxa" w:w="1440"/>
            <w:shd w:fill="FFDCE0" w:val="clear"/>
          </w:tcPr>
          <w:p>
            <w:r>
              <w:rPr>
                <w:sz w:val="17"/>
              </w:rPr>
              <w:t>J+7  Moyenne</w:t>
            </w:r>
          </w:p>
        </w:tc>
        <w:tc>
          <w:tcPr>
            <w:tcW w:type="dxa" w:w="1440"/>
            <w:shd w:fill="FFDCE0" w:val="clear"/>
          </w:tcPr>
          <w:p>
            <w:r>
              <w:rPr>
                <w:sz w:val="17"/>
              </w:rPr>
              <w:t>2026-10-26</w:t>
            </w:r>
          </w:p>
        </w:tc>
        <w:tc>
          <w:tcPr>
            <w:tcW w:type="dxa" w:w="1440"/>
            <w:shd w:fill="FFDCE0" w:val="clear"/>
          </w:tcPr>
          <w:p>
            <w:r>
              <w:rPr>
                <w:sz w:val="17"/>
              </w:rPr>
              <w:t>6,887</w:t>
            </w:r>
          </w:p>
        </w:tc>
        <w:tc>
          <w:tcPr>
            <w:tcW w:type="dxa" w:w="1440"/>
            <w:shd w:fill="FFDCE0" w:val="clear"/>
          </w:tcPr>
          <w:p>
            <w:r>
              <w:rPr>
                <w:b/>
                <w:sz w:val="17"/>
              </w:rPr>
              <w:t>7,496</w:t>
            </w:r>
          </w:p>
        </w:tc>
        <w:tc>
          <w:tcPr>
            <w:tcW w:type="dxa" w:w="1440"/>
            <w:shd w:fill="FFDCE0" w:val="clear"/>
          </w:tcPr>
          <w:p>
            <w:r>
              <w:rPr>
                <w:sz w:val="17"/>
              </w:rPr>
              <w:t>8,104</w:t>
            </w:r>
          </w:p>
        </w:tc>
        <w:tc>
          <w:tcPr>
            <w:tcW w:type="dxa" w:w="1440"/>
            <w:shd w:fill="FFDCE0" w:val="clear"/>
          </w:tcPr>
          <w:p>
            <w:r>
              <w:rPr>
                <w:b/>
                <w:color w:val="C00000"/>
                <w:sz w:val="17"/>
              </w:rPr>
              <w:t>-2.4%</w:t>
            </w:r>
          </w:p>
        </w:tc>
      </w:tr>
      <w:tr>
        <w:tc>
          <w:tcPr>
            <w:tcW w:type="dxa" w:w="1440"/>
            <w:shd w:fill="FFDCE0" w:val="clear"/>
          </w:tcPr>
          <w:p>
            <w:r>
              <w:rPr>
                <w:sz w:val="17"/>
              </w:rPr>
              <w:t>J+8  Moyenne</w:t>
            </w:r>
          </w:p>
        </w:tc>
        <w:tc>
          <w:tcPr>
            <w:tcW w:type="dxa" w:w="1440"/>
            <w:shd w:fill="FFDCE0" w:val="clear"/>
          </w:tcPr>
          <w:p>
            <w:r>
              <w:rPr>
                <w:sz w:val="17"/>
              </w:rPr>
              <w:t>2026-10-27</w:t>
            </w:r>
          </w:p>
        </w:tc>
        <w:tc>
          <w:tcPr>
            <w:tcW w:type="dxa" w:w="1440"/>
            <w:shd w:fill="FFDCE0" w:val="clear"/>
          </w:tcPr>
          <w:p>
            <w:r>
              <w:rPr>
                <w:sz w:val="17"/>
              </w:rPr>
              <w:t>6,825</w:t>
            </w:r>
          </w:p>
        </w:tc>
        <w:tc>
          <w:tcPr>
            <w:tcW w:type="dxa" w:w="1440"/>
            <w:shd w:fill="FFDCE0" w:val="clear"/>
          </w:tcPr>
          <w:p>
            <w:r>
              <w:rPr>
                <w:b/>
                <w:sz w:val="17"/>
              </w:rPr>
              <w:t>7,474</w:t>
            </w:r>
          </w:p>
        </w:tc>
        <w:tc>
          <w:tcPr>
            <w:tcW w:type="dxa" w:w="1440"/>
            <w:shd w:fill="FFDCE0" w:val="clear"/>
          </w:tcPr>
          <w:p>
            <w:r>
              <w:rPr>
                <w:sz w:val="17"/>
              </w:rPr>
              <w:t>8,122</w:t>
            </w:r>
          </w:p>
        </w:tc>
        <w:tc>
          <w:tcPr>
            <w:tcW w:type="dxa" w:w="1440"/>
            <w:shd w:fill="FFDCE0" w:val="clear"/>
          </w:tcPr>
          <w:p>
            <w:r>
              <w:rPr>
                <w:b/>
                <w:color w:val="C00000"/>
                <w:sz w:val="17"/>
              </w:rPr>
              <w:t>-2.7%</w:t>
            </w:r>
          </w:p>
        </w:tc>
      </w:tr>
      <w:tr>
        <w:tc>
          <w:tcPr>
            <w:tcW w:type="dxa" w:w="1440"/>
            <w:shd w:fill="FFDCE0" w:val="clear"/>
          </w:tcPr>
          <w:p>
            <w:r>
              <w:rPr>
                <w:sz w:val="17"/>
              </w:rPr>
              <w:t>J+9  Moyenne</w:t>
            </w:r>
          </w:p>
        </w:tc>
        <w:tc>
          <w:tcPr>
            <w:tcW w:type="dxa" w:w="1440"/>
            <w:shd w:fill="FFDCE0" w:val="clear"/>
          </w:tcPr>
          <w:p>
            <w:r>
              <w:rPr>
                <w:sz w:val="17"/>
              </w:rPr>
              <w:t>2026-10-28</w:t>
            </w:r>
          </w:p>
        </w:tc>
        <w:tc>
          <w:tcPr>
            <w:tcW w:type="dxa" w:w="1440"/>
            <w:shd w:fill="FFDCE0" w:val="clear"/>
          </w:tcPr>
          <w:p>
            <w:r>
              <w:rPr>
                <w:sz w:val="17"/>
              </w:rPr>
              <w:t>6,767</w:t>
            </w:r>
          </w:p>
        </w:tc>
        <w:tc>
          <w:tcPr>
            <w:tcW w:type="dxa" w:w="1440"/>
            <w:shd w:fill="FFDCE0" w:val="clear"/>
          </w:tcPr>
          <w:p>
            <w:r>
              <w:rPr>
                <w:b/>
                <w:sz w:val="17"/>
              </w:rPr>
              <w:t>7,453</w:t>
            </w:r>
          </w:p>
        </w:tc>
        <w:tc>
          <w:tcPr>
            <w:tcW w:type="dxa" w:w="1440"/>
            <w:shd w:fill="FFDCE0" w:val="clear"/>
          </w:tcPr>
          <w:p>
            <w:r>
              <w:rPr>
                <w:sz w:val="17"/>
              </w:rPr>
              <w:t>8,139</w:t>
            </w:r>
          </w:p>
        </w:tc>
        <w:tc>
          <w:tcPr>
            <w:tcW w:type="dxa" w:w="1440"/>
            <w:shd w:fill="FFDCE0" w:val="clear"/>
          </w:tcPr>
          <w:p>
            <w:r>
              <w:rPr>
                <w:b/>
                <w:color w:val="C00000"/>
                <w:sz w:val="17"/>
              </w:rPr>
              <w:t>-3.0%</w:t>
            </w:r>
          </w:p>
        </w:tc>
      </w:tr>
      <w:tr>
        <w:tc>
          <w:tcPr>
            <w:tcW w:type="dxa" w:w="1440"/>
            <w:shd w:fill="FFDCE0" w:val="clear"/>
          </w:tcPr>
          <w:p>
            <w:r>
              <w:rPr>
                <w:sz w:val="17"/>
              </w:rPr>
              <w:t>J+10  Moyenne</w:t>
            </w:r>
          </w:p>
        </w:tc>
        <w:tc>
          <w:tcPr>
            <w:tcW w:type="dxa" w:w="1440"/>
            <w:shd w:fill="FFDCE0" w:val="clear"/>
          </w:tcPr>
          <w:p>
            <w:r>
              <w:rPr>
                <w:sz w:val="17"/>
              </w:rPr>
              <w:t>2026-10-29</w:t>
            </w:r>
          </w:p>
        </w:tc>
        <w:tc>
          <w:tcPr>
            <w:tcW w:type="dxa" w:w="1440"/>
            <w:shd w:fill="FFDCE0" w:val="clear"/>
          </w:tcPr>
          <w:p>
            <w:r>
              <w:rPr>
                <w:sz w:val="17"/>
              </w:rPr>
              <w:t>6,712</w:t>
            </w:r>
          </w:p>
        </w:tc>
        <w:tc>
          <w:tcPr>
            <w:tcW w:type="dxa" w:w="1440"/>
            <w:shd w:fill="FFDCE0" w:val="clear"/>
          </w:tcPr>
          <w:p>
            <w:r>
              <w:rPr>
                <w:b/>
                <w:sz w:val="17"/>
              </w:rPr>
              <w:t>7,433</w:t>
            </w:r>
          </w:p>
        </w:tc>
        <w:tc>
          <w:tcPr>
            <w:tcW w:type="dxa" w:w="1440"/>
            <w:shd w:fill="FFDCE0" w:val="clear"/>
          </w:tcPr>
          <w:p>
            <w:r>
              <w:rPr>
                <w:sz w:val="17"/>
              </w:rPr>
              <w:t>8,155</w:t>
            </w:r>
          </w:p>
        </w:tc>
        <w:tc>
          <w:tcPr>
            <w:tcW w:type="dxa" w:w="1440"/>
            <w:shd w:fill="FFDCE0" w:val="clear"/>
          </w:tcPr>
          <w:p>
            <w:r>
              <w:rPr>
                <w:b/>
                <w:color w:val="C00000"/>
                <w:sz w:val="17"/>
              </w:rPr>
              <w:t>-3.2%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78.270 Mds FCFA</w:t>
            </w:r>
          </w:p>
        </w:tc>
        <w:tc>
          <w:tcPr>
            <w:tcW w:type="dxa" w:w="5669"/>
            <w:shd w:fill="FFFFFF" w:val="clear"/>
          </w:tcPr>
          <w:p>
            <w:r>
              <w:rPr>
                <w:color w:val="282828"/>
                <w:sz w:val="15"/>
              </w:rPr>
              <w:t>Créances clients = 39.6%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7.987 Mds FCFA</w:t>
            </w:r>
          </w:p>
        </w:tc>
        <w:tc>
          <w:tcPr>
            <w:tcW w:type="dxa" w:w="5669"/>
            <w:shd w:fill="FFFFFF" w:val="clear"/>
          </w:tcPr>
          <w:p>
            <w:r>
              <w:rPr>
                <w:color w:val="282828"/>
                <w:sz w:val="15"/>
              </w:rPr>
              <w:t>Rotation stocks = 24.7x/an.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86.257 Mds FCFA</w:t>
            </w:r>
          </w:p>
        </w:tc>
        <w:tc>
          <w:tcPr>
            <w:tcW w:type="dxa" w:w="5669"/>
            <w:shd w:fill="FFFFFF" w:val="clear"/>
          </w:tcPr>
          <w:p>
            <w:r>
              <w:rPr>
                <w:color w:val="282828"/>
                <w:sz w:val="15"/>
              </w:rPr>
              <w:t>Ratio actif circ./passif circ. = 2.07x.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184.16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99.077 Mds FCFA</w:t>
            </w:r>
          </w:p>
        </w:tc>
        <w:tc>
          <w:tcPr>
            <w:tcW w:type="dxa" w:w="5669"/>
            <w:shd w:fill="FFFFFF" w:val="clear"/>
          </w:tcPr>
          <w:p>
            <w:r>
              <w:rPr>
                <w:color w:val="282828"/>
                <w:sz w:val="15"/>
              </w:rPr>
              <w:t>Outil industriel (49.8%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103.371 Mds FCFA</w:t>
            </w:r>
          </w:p>
        </w:tc>
        <w:tc>
          <w:tcPr>
            <w:tcW w:type="dxa" w:w="5669"/>
            <w:shd w:fill="FFFFFF" w:val="clear"/>
          </w:tcPr>
          <w:p>
            <w:r>
              <w:rPr>
                <w:color w:val="282828"/>
                <w:sz w:val="15"/>
              </w:rPr>
              <w:t>Actif immobilisé = 51.9%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9.489 Mds FCFA</w:t>
            </w:r>
          </w:p>
        </w:tc>
        <w:tc>
          <w:tcPr>
            <w:tcW w:type="dxa" w:w="5669"/>
            <w:shd w:fill="FFFFFF" w:val="clear"/>
          </w:tcPr>
          <w:p>
            <w:r>
              <w:rPr>
                <w:color w:val="282828"/>
                <w:sz w:val="15"/>
              </w:rPr>
              <w:t>Liquidités disponibles (4.8%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199.116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20.406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40.451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142.639 Mds FCFA</w:t>
            </w:r>
          </w:p>
        </w:tc>
        <w:tc>
          <w:tcPr>
            <w:tcW w:type="dxa" w:w="5669"/>
            <w:shd w:fill="FFFFFF" w:val="clear"/>
          </w:tcPr>
          <w:p>
            <w:r>
              <w:rPr>
                <w:color w:val="282828"/>
                <w:sz w:val="15"/>
              </w:rPr>
              <w:t>Fonds propres = 71.6%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143.436 Mds FCFA</w:t>
            </w:r>
          </w:p>
        </w:tc>
        <w:tc>
          <w:tcPr>
            <w:tcW w:type="dxa" w:w="5669"/>
            <w:shd w:fill="FFFFFF" w:val="clear"/>
          </w:tcPr>
          <w:p>
            <w:r>
              <w:rPr>
                <w:color w:val="282828"/>
                <w:sz w:val="15"/>
              </w:rPr>
              <w:t>Capitaux permanents / Actif immobilisé = 1.39x.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796.56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796.56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56.477 Mds FCFA</w:t>
            </w:r>
          </w:p>
        </w:tc>
        <w:tc>
          <w:tcPr>
            <w:tcW w:type="dxa" w:w="5669"/>
            <w:shd w:fill="FFFFFF" w:val="clear"/>
          </w:tcPr>
          <w:p>
            <w:r>
              <w:rPr>
                <w:color w:val="282828"/>
                <w:sz w:val="15"/>
              </w:rPr>
              <w:t>Dettes totales = 28.4%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197.630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197.630 Mds FCFA</w:t>
            </w:r>
          </w:p>
        </w:tc>
        <w:tc>
          <w:tcPr>
            <w:tcW w:type="dxa" w:w="5669"/>
            <w:shd w:fill="FFFFFF" w:val="clear"/>
          </w:tcPr>
          <w:p>
            <w:r>
              <w:rPr>
                <w:color w:val="282828"/>
                <w:sz w:val="15"/>
              </w:rPr>
              <w:t>Chiffre d'affaires. Croissance: 14.8%.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19.109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29.621 Mds FCFA</w:t>
            </w:r>
          </w:p>
        </w:tc>
        <w:tc>
          <w:tcPr>
            <w:tcW w:type="dxa" w:w="5669"/>
            <w:shd w:fill="FFFFFF" w:val="clear"/>
          </w:tcPr>
          <w:p>
            <w:r>
              <w:rPr>
                <w:color w:val="282828"/>
                <w:sz w:val="15"/>
              </w:rPr>
              <w:t>Masse salariale = 15.0%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62.648 Mds FCFA</w:t>
            </w:r>
          </w:p>
        </w:tc>
        <w:tc>
          <w:tcPr>
            <w:tcW w:type="dxa" w:w="5669"/>
            <w:shd w:fill="FFFFFF" w:val="clear"/>
          </w:tcPr>
          <w:p>
            <w:r>
              <w:rPr>
                <w:color w:val="282828"/>
                <w:sz w:val="15"/>
              </w:rPr>
              <w:t>VA = 31.7%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33.027 Mds FCFA</w:t>
            </w:r>
          </w:p>
        </w:tc>
        <w:tc>
          <w:tcPr>
            <w:tcW w:type="dxa" w:w="5669"/>
            <w:shd w:fill="FFFFFF" w:val="clear"/>
          </w:tcPr>
          <w:p>
            <w:r>
              <w:rPr>
                <w:color w:val="282828"/>
                <w:sz w:val="15"/>
              </w:rPr>
              <w:t>EBE = 16.7%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18.163 Mds FCFA</w:t>
            </w:r>
          </w:p>
        </w:tc>
        <w:tc>
          <w:tcPr>
            <w:tcW w:type="dxa" w:w="5669"/>
            <w:shd w:fill="FFFFFF" w:val="clear"/>
          </w:tcPr>
          <w:p>
            <w:r>
              <w:rPr>
                <w:color w:val="282828"/>
                <w:sz w:val="15"/>
              </w:rPr>
              <w:t>Profit d'exploitation = 9.2%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15.509 Mds FCFA</w:t>
            </w:r>
          </w:p>
        </w:tc>
        <w:tc>
          <w:tcPr>
            <w:tcW w:type="dxa" w:w="5669"/>
            <w:shd w:fill="FFFFFF" w:val="clear"/>
          </w:tcPr>
          <w:p>
            <w:r>
              <w:rPr>
                <w:color w:val="282828"/>
                <w:sz w:val="15"/>
              </w:rPr>
              <w:t>Marge nette = 7.8%.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38.741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-19.687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-10.952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19.053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44.623 Mds FCFA</w:t>
            </w:r>
          </w:p>
        </w:tc>
        <w:tc>
          <w:tcPr>
            <w:tcW w:type="dxa" w:w="5669"/>
            <w:shd w:fill="FFFFFF" w:val="clear"/>
          </w:tcPr>
          <w:p>
            <w:r>
              <w:rPr>
                <w:color w:val="282828"/>
                <w:sz w:val="15"/>
              </w:rPr>
              <w:t>BFR = 22.6%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40.065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-4.559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31.70%</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7.85%</w:t>
            </w:r>
          </w:p>
        </w:tc>
        <w:tc>
          <w:tcPr>
            <w:tcW w:type="dxa" w:w="5669"/>
            <w:shd w:fill="FFFFFF" w:val="clear"/>
          </w:tcPr>
          <w:p>
            <w:r>
              <w:rPr>
                <w:color w:val="282828"/>
                <w:sz w:val="15"/>
              </w:rPr>
              <w:t>Résultat net / revenus = 7.85%.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9.19%</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10.87%</w:t>
            </w:r>
          </w:p>
        </w:tc>
        <w:tc>
          <w:tcPr>
            <w:tcW w:type="dxa" w:w="5669"/>
            <w:shd w:fill="FFFFFF" w:val="clear"/>
          </w:tcPr>
          <w:p>
            <w:r>
              <w:rPr>
                <w:color w:val="282828"/>
                <w:sz w:val="15"/>
              </w:rPr>
              <w:t>Résultat net / capitaux propres = 10.87%. ✅ Satisfaisant.</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7.79%</w:t>
            </w:r>
          </w:p>
        </w:tc>
        <w:tc>
          <w:tcPr>
            <w:tcW w:type="dxa" w:w="5669"/>
            <w:shd w:fill="FFFFFF" w:val="clear"/>
          </w:tcPr>
          <w:p>
            <w:r>
              <w:rPr>
                <w:color w:val="282828"/>
                <w:sz w:val="15"/>
              </w:rPr>
              <w:t>Résultat net / total actif = 7.79%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99.25%</w:t>
            </w:r>
          </w:p>
        </w:tc>
        <w:tc>
          <w:tcPr>
            <w:tcW w:type="dxa" w:w="5669"/>
            <w:shd w:fill="FFFFFF" w:val="clear"/>
          </w:tcPr>
          <w:p>
            <w:r>
              <w:rPr>
                <w:color w:val="282828"/>
                <w:sz w:val="15"/>
              </w:rPr>
              <w:t>CA / total actif = 99.25x.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0.65%</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14.78%</w:t>
            </w:r>
          </w:p>
        </w:tc>
        <w:tc>
          <w:tcPr>
            <w:tcW w:type="dxa" w:w="5669"/>
            <w:shd w:fill="FFFFFF" w:val="clear"/>
          </w:tcPr>
          <w:p>
            <w:r>
              <w:rPr>
                <w:color w:val="282828"/>
                <w:sz w:val="15"/>
              </w:rPr>
              <w:t>Croissance CA vs exercice précédent = 14.78%.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71.64%</w:t>
            </w:r>
          </w:p>
        </w:tc>
        <w:tc>
          <w:tcPr>
            <w:tcW w:type="dxa" w:w="5669"/>
            <w:shd w:fill="FFFFFF" w:val="clear"/>
          </w:tcPr>
          <w:p>
            <w:r>
              <w:rPr>
                <w:color w:val="282828"/>
                <w:sz w:val="15"/>
              </w:rPr>
              <w:t>Fonds propres / total bilan = 71.64%.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28.36%</w:t>
            </w:r>
          </w:p>
        </w:tc>
        <w:tc>
          <w:tcPr>
            <w:tcW w:type="dxa" w:w="5669"/>
            <w:shd w:fill="FFFFFF" w:val="clear"/>
          </w:tcPr>
          <w:p>
            <w:r>
              <w:rPr>
                <w:color w:val="282828"/>
                <w:sz w:val="15"/>
              </w:rPr>
              <w:t>Dettes financières / total bilan = 28.36%.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0.56%</w:t>
            </w:r>
          </w:p>
        </w:tc>
        <w:tc>
          <w:tcPr>
            <w:tcW w:type="dxa" w:w="5669"/>
            <w:shd w:fill="FFFFFF" w:val="clear"/>
          </w:tcPr>
          <w:p>
            <w:r>
              <w:rPr>
                <w:color w:val="282828"/>
                <w:sz w:val="15"/>
              </w:rPr>
              <w:t>Dettes totales / fonds propres = 0.56%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352.56%</w:t>
            </w:r>
          </w:p>
        </w:tc>
        <w:tc>
          <w:tcPr>
            <w:tcW w:type="dxa" w:w="5669"/>
            <w:shd w:fill="FFFFFF" w:val="clear"/>
          </w:tcPr>
          <w:p>
            <w:r>
              <w:rPr>
                <w:color w:val="282828"/>
                <w:sz w:val="15"/>
              </w:rPr>
              <w:t>Total actif / dettes totales = 352.56x.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171.95%</w:t>
            </w:r>
          </w:p>
        </w:tc>
        <w:tc>
          <w:tcPr>
            <w:tcW w:type="dxa" w:w="5669"/>
            <w:shd w:fill="FFFFFF" w:val="clear"/>
          </w:tcPr>
          <w:p>
            <w:r>
              <w:rPr>
                <w:color w:val="282828"/>
                <w:sz w:val="15"/>
              </w:rPr>
              <w:t>Actif circulant / passif circulant = 171.95x. ✅ Excellente liquidité court terme.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17.04%</w:t>
            </w:r>
          </w:p>
        </w:tc>
        <w:tc>
          <w:tcPr>
            <w:tcW w:type="dxa" w:w="5669"/>
            <w:shd w:fill="FFFFFF" w:val="clear"/>
          </w:tcPr>
          <w:p>
            <w:r>
              <w:rPr>
                <w:color w:val="282828"/>
                <w:sz w:val="15"/>
              </w:rPr>
              <w:t>Trésorerie / passif circulant = 17.04x.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157.61%</w:t>
            </w:r>
          </w:p>
        </w:tc>
        <w:tc>
          <w:tcPr>
            <w:tcW w:type="dxa" w:w="5669"/>
            <w:shd w:fill="FFFFFF" w:val="clear"/>
          </w:tcPr>
          <w:p>
            <w:r>
              <w:rPr>
                <w:color w:val="282828"/>
                <w:sz w:val="15"/>
              </w:rPr>
              <w:t>(Actif circ. - stocks) / passif circ. = 157.61x.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138.76%</w:t>
            </w:r>
          </w:p>
        </w:tc>
        <w:tc>
          <w:tcPr>
            <w:tcW w:type="dxa" w:w="5669"/>
            <w:shd w:fill="FFFFFF" w:val="clear"/>
          </w:tcPr>
          <w:p>
            <w:r>
              <w:rPr>
                <w:color w:val="282828"/>
                <w:sz w:val="15"/>
              </w:rPr>
              <w:t>Capitaux permanents / actif immobilisé = 138.76x.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1415.66%</w:t>
            </w:r>
          </w:p>
        </w:tc>
        <w:tc>
          <w:tcPr>
            <w:tcW w:type="dxa" w:w="5669"/>
            <w:shd w:fill="FFFFFF" w:val="clear"/>
          </w:tcPr>
          <w:p>
            <w:r>
              <w:rPr>
                <w:color w:val="282828"/>
                <w:sz w:val="15"/>
              </w:rPr>
              <w:t>Résultat exploit. / charges financières = 1415.66x.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155.26%</w:t>
            </w:r>
          </w:p>
        </w:tc>
        <w:tc>
          <w:tcPr>
            <w:tcW w:type="dxa" w:w="5669"/>
            <w:shd w:fill="FFFFFF" w:val="clear"/>
          </w:tcPr>
          <w:p>
            <w:r>
              <w:rPr>
                <w:color w:val="282828"/>
                <w:sz w:val="15"/>
              </w:rPr>
              <w:t>CAF / investissements = 155.26x.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142.6 j</w:t>
            </w:r>
          </w:p>
        </w:tc>
        <w:tc>
          <w:tcPr>
            <w:tcW w:type="dxa" w:w="5669"/>
            <w:shd w:fill="FFFFFF" w:val="clear"/>
          </w:tcPr>
          <w:p>
            <w:r>
              <w:rPr>
                <w:color w:val="282828"/>
                <w:sz w:val="15"/>
              </w:rPr>
              <w:t>Les clients paient en moyenne en 143 jours. ❌ Délai critique — process de recouvrement à revoir.</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14.5 j</w:t>
            </w:r>
          </w:p>
        </w:tc>
        <w:tc>
          <w:tcPr>
            <w:tcW w:type="dxa" w:w="5669"/>
            <w:shd w:fill="FFFFFF" w:val="clear"/>
          </w:tcPr>
          <w:p>
            <w:r>
              <w:rPr>
                <w:color w:val="282828"/>
                <w:sz w:val="15"/>
              </w:rPr>
              <w:t>Stock écoulé en 15 jours. ✅ Rotation rapide — faible immobilisation de capital.</w:t>
            </w:r>
          </w:p>
        </w:tc>
      </w:tr>
    </w:tbl>
    <w:p/>
    <w:p>
      <w:pPr>
        <w:spacing w:after="120" w:line="276" w:lineRule="auto"/>
      </w:pPr>
      <w:r>
        <w:t>**RAPPORT D'ANALYSE FINANCIÈRE — PALC (PALMCI S.A.)**</w:t>
        <w:br/>
        <w:t>**Bourse Régionale des Valeurs Mobilières (BRVM)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118,73 milliards FCFA, PALC se positionne comme une valeur de premier plan du compartiment agro-industriel de la BRVM, offrant une liquidité relative appréciable aux investisseurs institutionnels de la zone UEMOA. Le BPA de 1 003 FCFA par action signifie que chaque titre génère un bénéfice net d'environ mille francs CFA, ce qui, rapporté au cours actuel de 7 680 FCFA, confère au titre un PER de 7,7x — nettement inférieur à la moyenne du marché BRVM (8-12x), signalant une potentielle sous-évaluation relative. Le ratio P/B de 0,83x (&lt; 1) indique que le marché valorise PALC en dessous de sa valeur comptable, ce qui constitue historiquement une zone d'opportunité pour les investisseurs value, d'autant que les capitaux propres s'élèvent à 142,64 milliards FCFA. Enfin, l'EV/EBITDA de 3,8x (&lt; 5x) traduit une valorisation très bon marché de la capacité opérationnelle de l'entreprise, renforçant la thèse d'un titre décoté malgré ses fondamentaux industriels solides.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cours de PALC affiche une variation totale de 0,00 %, avec une légère contraction de -0,26 % lors de la dernière séance, traduisant une phase de consolidation après un mouvement baissier antérieur. Le titre évolue actuellement à 7 680 FCFA, soit exactement sur son plus bas de la période, tandis que le plus haut a été atteint à 9 640 FCFA — un range de trading de 1 960 FCFA (25,5 % d'amplitude) qui témoigne d'une pression vendeuse soutenue ayant ramené le cours vers le plancher de sa fourchette. La tendance générale est donc clairement baissière sur la période, le titre ayant perdu près de 20 % depuis son sommet. Les statistiques descriptives révèlent une moyenne de 8 630 FCFA légèrement supérieure à la médiane de 8 690 FCFA, avec un mode à 8 300 FCFA, indiquant une distribution quasi-symétrique (skewness de -0,176) sans biais marqué vers les valeurs extrêmes. L'écart-type de 465 FCFA (CV = 5,4 %) traduit une dispersion modérée du cours autour de sa moyenne, tandis que le kurtosis de -0,259 (mésokurtique) suggère une distribution proche de la normale, sans risque particulier de pics extrêmes. La volatilité annualisée de 34,2 % classe le titre dans la catégorie des valeurs à volatilité élevée (&gt; 30 %), ce qui implique un risque de marché significatif et justifie une approche prudente pour les investisseurs averses au risque.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(8 111,5 FCFA) et la MM50 (8 665,5 FCFA) se situent toutes deux au-dessus du cours actuel (7 680 FCFA), confirmant une configuration baissière où le prix évolue sous ses moyennes de référence. La MM20 étant inférieure à la MM50, on observe un croisement baissier (death cross) caractéristique d'une dynamique négative persistante, justifiant pleinement la décision technique de **Vente**.</w:t>
      </w:r>
    </w:p>
    <w:p>
      <w:pPr>
        <w:spacing w:after="120" w:line="276" w:lineRule="auto"/>
      </w:pPr>
      <w:r>
        <w:t>**Bandes de Bollinger** : Le cours (7 680 FCFA) se situe dans la partie basse des bandes, entre la borne inférieure (7 573,4 FCFA) et la borne supérieure (8 649,6 FCFA), sans franchissement de seuil critique. Cette position proche de la borne basse, couplée à un rétrécissement des bandes, suggère une volatilité en compression et un possible rebond technique à court terme, d'où la décision **Neutre**.</w:t>
      </w:r>
    </w:p>
    <w:p>
      <w:pPr>
        <w:spacing w:after="120" w:line="276" w:lineRule="auto"/>
      </w:pPr>
      <w:r>
        <w:t>**MACD** : La ligne MACD (-251,26) est inférieure à sa ligne de signal (-219,23), avec un histogramme négatif qui traduit un momentum baissier toujours actif. L'absence de convergence visible entre les deux lignes indique que la pression vendeuse n'est pas encore épuisée, confirmant la décision de **Vente**.</w:t>
      </w:r>
    </w:p>
    <w:p>
      <w:pPr>
        <w:spacing w:after="120" w:line="276" w:lineRule="auto"/>
      </w:pPr>
      <w:r>
        <w:t>**RSI** : À 35,29, le RSI se situe dans la zone neutre basse (30-70), sans atteindre le seuil de survente (&lt; 30) qui déclencherait un signal d'achat. Cette position indique que le titre n'est ni suracheté ni survendu, mais qu'il évolue dans un territoire baissier modéré, justifiant la décision **Neutre** dans l'attente d'un signal plus clair.</w:t>
      </w:r>
    </w:p>
    <w:p>
      <w:pPr>
        <w:spacing w:after="120" w:line="276" w:lineRule="auto"/>
      </w:pPr>
      <w:r>
        <w:t>**Stochastique** : Le %K (0,0) est nettement inférieur au %D (1,87), avec un croisement en zone de survente extrême qui constitue historiquement un signal d'achat technique. Cette configuration suggère qu'un rebond pourrait se matérialiser à court terme, d'où la décision **Achat** — en divergence avec les autres indicateurs.</w:t>
      </w:r>
    </w:p>
    <w:p>
      <w:pPr>
        <w:spacing w:after="120" w:line="276" w:lineRule="auto"/>
      </w:pPr>
      <w:r>
        <w:t>**Conclusion technique** : Les indicateurs techniques présentent un tableau mitigé, avec une majorité de signaux baissiers (MM, MACD) contrebalancés par des signaux de rebond potentiel (Stochastique, position basse des Bollinger). Le titre se trouve dans une zone de survente technique qui pourrait attirer des acheteurs opportunistes, mais la tendance de fond reste négative tant que le cours n'aura pas reconquis la MM20 (8 111 FCFA). Une prudence s'impose avant tout positionnement à la hausse.</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Les données financières structurées de l'exercice 2025 (états financiers annuels) révèlent une entreprise agro-industrielle solide mais confrontée à une pression sur ses marges. En 2025, PALC a réalisé un chiffre d'affaires de 197,63 milliards FCFA pour un résultat net de 15,51 milliards FCFA, soit une marge nette de 7,85 % — en retrait par rapport aux 9,2 % de 2024. Le ROE s'établit à 10,87 % (inférieur au seuil d'excellence de 15 %) et le ROA à 7,79 %, traduisant une rentabilité correcte mais perfectible. La structure financière demeure très saine avec une autonomie financière de 71,64 % (capitaux propres de 142,64 Mds FCFA pour un total bilan de 199,12 Mds FCFA) et un ratio d'endettement quasi nul (0,56 %), tandis que la trésorerie nette est négative à -4,56 Mds FCFA. Le point de vigilance majeur réside dans le délai clients de 142,58 jours (créances clients de 78,27 Mds FCFA), nettement élevé et générateur de tension sur le BFR (44,62 Mds FCFA), même si la rotation des stocks reste rapide (14,55 jours). Les rapports trimestriels récents confirment une dégradation conjoncturelle : le rapport T1 2026 (publié en 2026) fait état d'un chiffre d'affaires en baisse de 27 % à 49,4 Mds FCFA et d'un résultat net en chute de 86 % à 1,6 Md FCFA, tandis que le rapport S1 2026 (publié le 7 octobre 2026) confirme un CA de 114,7 Mds FCFA (-15 %) et un résultat net de 13,5 Mds FCFA (-41 %). On estime, sur la base de ces rapports et de la guidance managériale, que l'exercice 2026 devrait clôturer avec un résultat net positif proche de celui de 2025 (15,5 Mds FCFA), porté par l'écoulement progressif des stocks de produits finis entamé en avril 2026. La politique de dividende, historiquement généreuse (502 FCFA/action en 2025, soit un rendement de ~6,5 % au cours actuel), pourrait être maintenue mais avec un payout en légère baisse. En synthèse, PALC reste un acteur industriel solide et peu endetté, mais sa rentabilité est sous pression en raison de la volatilité des cours de l'huile de palme et de la baisse des volumes vendus — des facteurs conjoncturels qui pourraient s'inverser en 2027.</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précédentes et des prédictions IA dessine un tableau contrasté. Sur le plan de la **valorisation (Partie 0)**, les ratios PER (7,7x), P/B (0,83x) et EV/EBITDA (3,8x) indiquent une sous-évaluation manifeste du titre par rapport à ses fondamentaux et à la moyenne du marché BRVM. Le **comportement du cours (Partie 1)** est en revanche préoccupant : tendance baissière sur 100 jours, cours au plus bas de la période, volatilité élevée (34,2 %) et distribution symétrique sans biais positif. Les **signaux techniques (Partie 2)** sont majoritairement baissiers (MM, MACD), mais le Stochastique en survente extrême et la position basse des Bollinger suggèrent un rebond technique imminent — une divergence qui appelle à la prudence. Les **fondamentaux (Partie 3)** confirment la solidité structurelle de PALC (autonomie financière de 71,6 %, endettement quasi nul), mais la dégradation des résultats au T1 2026 (-86 % de résultat net) et au S1 2026 (-41 %) pèse sur les perspectives à court terme. Les **prédictions IA (J+1 à J+10)** anticipent une poursuite de la baisse jusqu'à 7 542 FCFA le 22 octobre 2026, confirmant la pression baissière à court terme. Sur la base de cette synthèse, la recommandation finale est **CONSERVER**, avec un niveau de confiance **Moyen** et un risque global **Moyen**. La convergence entre la sous-évaluation fondamentale et les signaux techniques de rebond (Stochastique) plaide pour ne pas vendre au plus bas, tandis que la dégradation des résultats et les prédictions baissières à court terme incitent à la patience avant tout renforcement. L'horizon d'investissement optimal est le **moyen terme (3-12 mois)**, le temps que l'écoulement des stocks et une éventuelle reprise des cours de l'huile de palme se matérialisent et confirment le redressement de la rentabilité. Un passage à l'**ACHAT** serait justifié si le cours se stabilise au-dessus de 7 600 FCFA avec une confirmation de la reprise des volumes au T4 2026, tandis qu'une **VENTE** serait envisageable en cas de dégradation supplémentaire de la trésorerie nette ou de nouvelle contraction des marges.</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"conserver", "justification": "Le document est une simple attestation d'examen limit\u00e9 sans aucune donn\u00e9e financi\u00e8re chiffr\u00e9e, ne permettant pas d'\u00e9valuer la performance ou la valorisation de PALMCI. En l'absence d'informations quantitatives, aucune d\u00e9cision d'achat ou de vente ne peut \u00eatre justifi\u00e9e."}</w:t>
      </w:r>
    </w:p>
    <w:p>
      <w:pPr>
        <w:spacing w:before="40"/>
        <w:ind w:left="400"/>
      </w:pPr>
      <w:r>
        <w:rPr>
          <w:sz w:val="18"/>
        </w:rPr>
        <w:t>Le document est une attestation des commissaires aux comptes (Forvis Mazars et Eritedge Côte d'Ivoire) portant sur le tableau d'activités et de résultat ainsi que le rapport d'activité semestriel de PALMCI, S.A. pour la période du 1er janvier au 30 juin 2026. Les auditeurs ont réalisé un examen limité selon la norme ISRE 2410, et non un audit complet. Sur la base de cet examen limité, ils n'ont pas relevé de faits remettant en cause la conformité des documents aux articles 850 et 851 de l'Acte Uniforme OHADA et à la Circulaire n° 004-2010 de l'AMF-UMOA. L'attestation a été signée à Abidjan le 07 octobre 2026. Le document ne contient aucune donnée financière chiffrée (chiffre d'affaires, résu</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sur le tableau d'activités et de résultat semestriel de PALMCI, S.A.</w:t>
      </w:r>
    </w:p>
    <w:p>
      <w:pPr>
        <w:pStyle w:val="ListBullet"/>
        <w:spacing w:before="20" w:after="20"/>
        <w:ind w:left="700"/>
      </w:pPr>
      <w:r>
        <w:rPr>
          <w:sz w:val="18"/>
        </w:rPr>
        <w:t>Période couverte : 1er janvier au 30 juin 2026 (arrêté semestriel au 30 juin 2026)</w:t>
      </w:r>
    </w:p>
    <w:p>
      <w:pPr>
        <w:pStyle w:val="ListBullet"/>
        <w:spacing w:before="20" w:after="20"/>
        <w:ind w:left="700"/>
      </w:pPr>
      <w:r>
        <w:rPr>
          <w:sz w:val="18"/>
        </w:rPr>
        <w:t>Examen limité effectué selon la norme ISRE 2410, offrant une assurance modérée et non une opinion d'audit</w:t>
      </w:r>
    </w:p>
    <w:p>
      <w:pPr>
        <w:pStyle w:val="ListBullet"/>
        <w:spacing w:before="20" w:after="20"/>
        <w:ind w:left="700"/>
      </w:pPr>
      <w:r>
        <w:rPr>
          <w:sz w:val="18"/>
        </w:rPr>
        <w:t>Conclusion sans réserve : aucun fait remettant en cause la conformité des documents n'a été relevé</w:t>
      </w:r>
    </w:p>
    <w:p>
      <w:pPr>
        <w:pStyle w:val="ListBullet"/>
        <w:spacing w:before="20" w:after="20"/>
        <w:ind w:left="700"/>
      </w:pPr>
      <w:r>
        <w:rPr>
          <w:sz w:val="18"/>
        </w:rPr>
        <w:t>Référentiel appliqué : articles 850 et 851 de l'Acte Uniforme OHADA et Circulaire n° 004-2010 de l'AMF-UMOA</w:t>
      </w:r>
    </w:p>
    <w:p>
      <w:pPr>
        <w:pStyle w:val="ListBullet"/>
        <w:spacing w:before="20" w:after="20"/>
        <w:ind w:left="700"/>
      </w:pPr>
      <w:r>
        <w:rPr>
          <w:sz w:val="18"/>
        </w:rPr>
        <w:t>Commissaires aux comptes : Forvis Mazars, S.A. et Eritedge Côte d'Ivoire</w:t>
      </w:r>
    </w:p>
    <w:p>
      <w:pPr>
        <w:spacing w:before="40"/>
        <w:ind w:left="400"/>
      </w:pPr>
      <w:r>
        <w:rPr>
          <w:b/>
          <w:color w:val="C05000"/>
          <w:sz w:val="18"/>
        </w:rPr>
        <w:t xml:space="preserve">⚠️ Risques : </w:t>
      </w:r>
      <w:r>
        <w:rPr>
          <w:sz w:val="18"/>
        </w:rPr>
        <w:t>["Absence de donn\u00e9es financi\u00e8res chiffr\u00e9es dans le document, emp\u00eachant toute \u00e9valuation quantitative des risques", "Assurance mod\u00e9r\u00e9e li\u00e9e \u00e0 un examen limit\u00e9 (ISRE 2410) et non \u00e0 un audit complet, pouvant ne pas d\u00e9tecter toutes les anomalie</w:t>
      </w:r>
    </w:p>
    <w:p>
      <w:pPr>
        <w:spacing w:before="40"/>
        <w:ind w:left="400"/>
      </w:pPr>
      <w:r>
        <w:rPr>
          <w:b/>
          <w:color w:val="0064A0"/>
          <w:sz w:val="18"/>
        </w:rPr>
        <w:t xml:space="preserve">🔮 Perspectives : </w:t>
      </w:r>
      <w:r>
        <w:rPr>
          <w:sz w:val="18"/>
        </w:rPr>
        <w:t>Le document ne fournit aucune projection ni donnée financière permettant d'établir un outlook chiffré pour l'exercice suivant. La conclusion sans réserve des commissaires aux comptes suggère une présentation conforme des comptes semestriels, mais l'analyse des perspectives réelles nécessiterait la c</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reste rentable avec une marge nette de 11,8 % et pr\u00e9voit un r\u00e9sultat net positif sur l'ensemble de 2026, mais la forte baisse des volumes vendus et des r\u00e9sultats au S1 2026 invite \u00e0 la prudence. Le titre pr\u00e9sente un profil d\u00e9fensif \u00e0 conserver en attendant la confirmation de la reprise de l'\u00e9coulement des stocks."}</w:t>
      </w:r>
    </w:p>
    <w:p>
      <w:pPr>
        <w:spacing w:before="40"/>
        <w:ind w:left="400"/>
      </w:pPr>
      <w:r>
        <w:rPr>
          <w:sz w:val="18"/>
        </w:rPr>
        <w:t>PALM CI a enregistré au premier semestre 2026 un chiffre d'affaires de 114 725 millions de F CFA, en baisse de 15 % par rapport au premier semestre 2025, en raison de quantités vendues plus faibles d'huiles brutes de palme et de palmiste sur le marché local. Le résultat d'exploitation s'établit à 17 622 millions de F CFA, en recul de 41 %, et le résultat net à 13 527 millions de F CFA, également en baisse de 41 %. La société dispose encore d'un stock de produits finis dont l'écoulement, entamé en avril 2026, se poursuivra jusqu'à la fin de l'année. Malgré cette contraction, la direction prévoit un résultat net positif pour l'exercice 2026, dans la même tendance que celui de 2025. La rentabil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'20,4 milliards de F CFA', 'resultat_financier': '673 574 milliers de F CFA (S1 2026)', 'resultat_exploitation': '17 621 502 milliers de F CFA (S1 2026)', 'impots_sur_le_resultat': '-4 777 607 milliers de F CFA (S1 2026)', 'resultat_net_annuel_2025': '15 508 655 milliers de F CFA', 'chiffre_affaires_annuel_2025': '197 629 996 milliers de F CFA', 'resultat_activites_ordinaires': '18 295 076 milliers de F CFA (S1 2026)'}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11,8 %</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13 526 883 milliers de F CFA (S1 2026)</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114 725 471 milliers de F CFA (S1 2026)</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du S1 2026 de 114 725 millions de F CFA, en baisse de 15 % sur un an</w:t>
      </w:r>
    </w:p>
    <w:p>
      <w:pPr>
        <w:pStyle w:val="ListBullet"/>
        <w:spacing w:before="20" w:after="20"/>
        <w:ind w:left="700"/>
      </w:pPr>
      <w:r>
        <w:rPr>
          <w:sz w:val="18"/>
        </w:rPr>
        <w:t>Résultat net de 13 527 millions de F CFA, en recul de 41 % par rapport au S1 2025</w:t>
      </w:r>
    </w:p>
    <w:p>
      <w:pPr>
        <w:pStyle w:val="ListBullet"/>
        <w:spacing w:before="20" w:after="20"/>
        <w:ind w:left="700"/>
      </w:pPr>
      <w:r>
        <w:rPr>
          <w:sz w:val="18"/>
        </w:rPr>
        <w:t>Résultat d'exploitation de 17 622 millions de F CFA, en baisse de 41 %</w:t>
      </w:r>
    </w:p>
    <w:p>
      <w:pPr>
        <w:pStyle w:val="ListBullet"/>
        <w:spacing w:before="20" w:after="20"/>
        <w:ind w:left="700"/>
      </w:pPr>
      <w:r>
        <w:rPr>
          <w:sz w:val="18"/>
        </w:rPr>
        <w:t>Résultat financier de 674 millions de F CFA, en recul de 47 %</w:t>
      </w:r>
    </w:p>
    <w:p>
      <w:pPr>
        <w:pStyle w:val="ListBullet"/>
        <w:spacing w:before="20" w:after="20"/>
        <w:ind w:left="700"/>
      </w:pPr>
      <w:r>
        <w:rPr>
          <w:sz w:val="18"/>
        </w:rPr>
        <w:t>Baisse des volumes vendus d'huiles brutes de palme et de palmiste sur le marché local</w:t>
      </w:r>
    </w:p>
    <w:p>
      <w:pPr>
        <w:pStyle w:val="ListBullet"/>
        <w:spacing w:before="20" w:after="20"/>
        <w:ind w:left="700"/>
      </w:pPr>
      <w:r>
        <w:rPr>
          <w:sz w:val="18"/>
        </w:rPr>
        <w:t>Stock de produits finis en cours d'écoulement depuis avril 2026 jusqu'à fin 2026</w:t>
      </w:r>
    </w:p>
    <w:p>
      <w:pPr>
        <w:spacing w:before="40"/>
        <w:ind w:left="400"/>
      </w:pPr>
      <w:r>
        <w:rPr>
          <w:b/>
          <w:color w:val="C05000"/>
          <w:sz w:val="18"/>
        </w:rPr>
        <w:t xml:space="preserve">⚠️ Risques : </w:t>
      </w:r>
      <w:r>
        <w:rPr>
          <w:sz w:val="18"/>
        </w:rPr>
        <w:t xml:space="preserve">["Poursuite de la baisse des volumes vendus d'huiles brutes de palme et de palmiste sur le march\u00e9 local", "Volatilit\u00e9 des prix internationaux des huiles de palme et de palmiste affectant les marges", "Risque d'\u00e9coulement plus lent que pr\u00e9vu du stock de produits finis, pesant sur </w:t>
      </w:r>
    </w:p>
    <w:p>
      <w:pPr>
        <w:spacing w:before="40"/>
        <w:ind w:left="400"/>
      </w:pPr>
      <w:r>
        <w:rPr>
          <w:b/>
          <w:color w:val="0064A0"/>
          <w:sz w:val="18"/>
        </w:rPr>
        <w:t xml:space="preserve">🔮 Perspectives : </w:t>
      </w:r>
      <w:r>
        <w:rPr>
          <w:sz w:val="18"/>
        </w:rPr>
        <w:t>PALM CI devrait clôturer l'exercice 2026 avec un résultat net positif, dans la même tendance que celui de 2025, porté par l'écoulement progressif du stock de produits finis entamé en avril 2026. La production des régimes issus des plantations industrielles et les achats auprès des planteurs villageo</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forte baisse trimestrielle, la direction anticipe une am\u00e9lioration avec l'\u00e9coulement des stocks \u00e0 l'export. Les fondamentaux de production restent solides selon les pr\u00e9visions management."}</w:t>
      </w:r>
    </w:p>
    <w:p>
      <w:pPr>
        <w:spacing w:before="40"/>
        <w:ind w:left="400"/>
      </w:pPr>
      <w:r>
        <w:rPr>
          <w:sz w:val="18"/>
        </w:rPr>
        <w:t>PALMCI affiche une performance décevante au 1er trimestre 2026 avec un chiffre d'affaires en baisse de 27% à 49,4 milliards FCFA contre 67,5 milliards en 2025. Le résultat net chute drastiquement de 86% à 1,6 milliard FCFA contre 11,6 milliards l'année précédente. Cette contre-performance s'explique par des quantités vendues plus faibles sur le marché local d'huiles brutes de palme et de palmiste, mais constituerait selon la direction un simple décalage temporel des ventes. La société dispose d'un stock de produits finis dont l'écoulement a commencé en avril 2026 à l'export et à des prix plus élevés. Malgré ce début d'année difficile, PALMCI anticipe un résultat net positif pour l'exercice 2</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'-27%', 'capital_social': '20,4 milliards FCFA', 'variation_resultat_net': '-86%', 'resultat_activites_ordinaires': '2,1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 milliard FCFA (T1 2026)</w:t>
            </w:r>
          </w:p>
        </w:tc>
        <w:tc>
          <w:tcPr>
            <w:tcW w:type="dxa" w:w="2160"/>
          </w:tcPr>
          <w:p>
            <w:r/>
            <w:r>
              <w:rPr>
                <w:b/>
                <w:sz w:val="16"/>
              </w:rPr>
              <w:t>capitaux_propres</w:t>
              <w:br/>
            </w:r>
            <w:r>
              <w:rPr>
                <w:sz w:val="18"/>
              </w:rPr>
              <w:t>None</w:t>
            </w:r>
          </w:p>
        </w:tc>
        <w:tc>
          <w:tcPr>
            <w:tcW w:type="dxa" w:w="2160"/>
          </w:tcPr>
          <w:p>
            <w:r/>
            <w:r>
              <w:rPr>
                <w:b/>
                <w:sz w:val="16"/>
              </w:rPr>
              <w:t>chiffre_affaires</w:t>
              <w:br/>
            </w:r>
            <w:r>
              <w:rPr>
                <w:sz w:val="18"/>
              </w:rPr>
              <w:t>49,4 milliards FCFA (T1 2026)</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27% au T1 2026 (49,4 Mds FCFA vs 67,5 Mds FCFA)</w:t>
      </w:r>
    </w:p>
    <w:p>
      <w:pPr>
        <w:pStyle w:val="ListBullet"/>
        <w:spacing w:before="20" w:after="20"/>
        <w:ind w:left="700"/>
      </w:pPr>
      <w:r>
        <w:rPr>
          <w:sz w:val="18"/>
        </w:rPr>
        <w:t>Effondrement du résultat net de 86% à 1,6 milliard FCFA contre 11,6 milliards en 2025</w:t>
      </w:r>
    </w:p>
    <w:p>
      <w:pPr>
        <w:pStyle w:val="ListBullet"/>
        <w:spacing w:before="20" w:after="20"/>
        <w:ind w:left="700"/>
      </w:pPr>
      <w:r>
        <w:rPr>
          <w:sz w:val="18"/>
        </w:rPr>
        <w:t>Baisse attribuée à des quantités vendues plus faibles sur le marché local</w:t>
      </w:r>
    </w:p>
    <w:p>
      <w:pPr>
        <w:pStyle w:val="ListBullet"/>
        <w:spacing w:before="20" w:after="20"/>
        <w:ind w:left="700"/>
      </w:pPr>
      <w:r>
        <w:rPr>
          <w:sz w:val="18"/>
        </w:rPr>
        <w:t>Management évoque un décalage temporel des ventes plutôt qu'un problème structurel</w:t>
      </w:r>
    </w:p>
    <w:p>
      <w:pPr>
        <w:pStyle w:val="ListBullet"/>
        <w:spacing w:before="20" w:after="20"/>
        <w:ind w:left="700"/>
      </w:pPr>
      <w:r>
        <w:rPr>
          <w:sz w:val="18"/>
        </w:rPr>
        <w:t>Constitution d'un stock de produits finis écoulé dès avril 2026</w:t>
      </w:r>
    </w:p>
    <w:p>
      <w:pPr>
        <w:pStyle w:val="ListBullet"/>
        <w:spacing w:before="20" w:after="20"/>
        <w:ind w:left="700"/>
      </w:pPr>
      <w:r>
        <w:rPr>
          <w:sz w:val="18"/>
        </w:rPr>
        <w:t>Stratégie d'exportation à des prix plus élevés mise en œuvre</w:t>
      </w:r>
    </w:p>
    <w:p>
      <w:pPr>
        <w:spacing w:before="40"/>
        <w:ind w:left="400"/>
      </w:pPr>
      <w:r>
        <w:rPr>
          <w:b/>
          <w:color w:val="C05000"/>
          <w:sz w:val="18"/>
        </w:rPr>
        <w:t xml:space="preserve">⚠️ Risques : </w:t>
      </w:r>
      <w:r>
        <w:rPr>
          <w:sz w:val="18"/>
        </w:rPr>
        <w:t>["Volatilit\u00e9 des prix des huiles de palme sur les march\u00e9s internationaux", "D\u00e9pendance aux conditions climatiques pour la production de r\u00e9gimes", "Risque de surestimation par le management de la capacit\u00e9 \u00e0 \u00e9couler les stocks"]</w:t>
      </w:r>
    </w:p>
    <w:p>
      <w:pPr>
        <w:spacing w:before="40"/>
        <w:ind w:left="400"/>
      </w:pPr>
      <w:r>
        <w:rPr>
          <w:b/>
          <w:color w:val="0064A0"/>
          <w:sz w:val="18"/>
        </w:rPr>
        <w:t xml:space="preserve">🔮 Perspectives : </w:t>
      </w:r>
      <w:r>
        <w:rPr>
          <w:sz w:val="18"/>
        </w:rPr>
        <w:t>PALMCI table sur un redressement progressif avec l'écoulement des stocks constitués, notamment à l'export et à des prix plus rémunérateurs. La société anticipe un résultat net positif pour l'exercice 2026 comparable à celui de 2025, soutenu par le niveau de production des plantations industrielles 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S1 2021 et les perspectives favorables li\u00e9es au cours \u00e9lev\u00e9 de l'huile de palme justifient un investissement. La forte rentabilit\u00e9 et la croissance soutenue des volumes positionnent PALMCI comme un actif attractif sur la BRVM."}</w:t>
      </w:r>
    </w:p>
    <w:p>
      <w:pPr>
        <w:spacing w:before="40"/>
        <w:ind w:left="400"/>
      </w:pPr>
      <w:r>
        <w:rPr>
          <w:sz w:val="18"/>
        </w:rPr>
        <w:t>PALMCI présente des résultats exceptionnels au premier semestre 2021 avec une croissance explosive de 45% du chiffre d'affaires à 110,1 milliards FCFA. Le résultat d'exploitation bondit de 252% à 40,6 milliards FCFA, porté par la hausse conjointe des volumes d'huile de palme brute vendus (+6%) et des prix (+37%). Le résultat net atteint 31,4 milliards FCFA, soit une progression remarquable de 196% par rapport au premier semestre 2020. Cette performance s'explique principalement par l'effet positif de la hausse du cours mondial de l'huile de palme brute. La société affiche une marge nette impressionnante de 28,5% et confirme sa position de leader sur le marché de l'huile de palme.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{'hausse_prix': '37%', 'croissance_ca': '45%', 'hausse_volumes': '6%', 'resultat_financier': '-1 108 490 milliers FCFA', 'impots_sur_resultat': '-8 100 000 milliers FCFA', 'resultat_exploitation': '40 643 565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31 372 570 milliers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110 064 498 milliers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45% à 110,1 milliards FCFA au S1 2021</w:t>
      </w:r>
    </w:p>
    <w:p>
      <w:pPr>
        <w:pStyle w:val="ListBullet"/>
        <w:spacing w:before="20" w:after="20"/>
        <w:ind w:left="700"/>
      </w:pPr>
      <w:r>
        <w:rPr>
          <w:sz w:val="18"/>
        </w:rPr>
        <w:t>Résultat d'exploitation multiplié par 3,5 avec une progression de 252%</w:t>
      </w:r>
    </w:p>
    <w:p>
      <w:pPr>
        <w:pStyle w:val="ListBullet"/>
        <w:spacing w:before="20" w:after="20"/>
        <w:ind w:left="700"/>
      </w:pPr>
      <w:r>
        <w:rPr>
          <w:sz w:val="18"/>
        </w:rPr>
        <w:t>Résultat net en forte croissance de 196% à 31,4 milliards FCFA</w:t>
      </w:r>
    </w:p>
    <w:p>
      <w:pPr>
        <w:pStyle w:val="ListBullet"/>
        <w:spacing w:before="20" w:after="20"/>
        <w:ind w:left="700"/>
      </w:pPr>
      <w:r>
        <w:rPr>
          <w:sz w:val="18"/>
        </w:rPr>
        <w:t>Hausse des prix de vente de 37% liée au cours mondial de l'huile de palme</w:t>
      </w:r>
    </w:p>
    <w:p>
      <w:pPr>
        <w:pStyle w:val="ListBullet"/>
        <w:spacing w:before="20" w:after="20"/>
        <w:ind w:left="700"/>
      </w:pPr>
      <w:r>
        <w:rPr>
          <w:sz w:val="18"/>
        </w:rPr>
        <w:t>Augmentation des volumes vendus d'huile de palme brute de 6%</w:t>
      </w:r>
    </w:p>
    <w:p>
      <w:pPr>
        <w:pStyle w:val="ListBullet"/>
        <w:spacing w:before="20" w:after="20"/>
        <w:ind w:left="700"/>
      </w:pPr>
      <w:r>
        <w:rPr>
          <w:sz w:val="18"/>
        </w:rPr>
        <w:t>Marge nette exceptionnelle de 28,5% au premier semestre 2021</w:t>
      </w:r>
    </w:p>
    <w:p>
      <w:pPr>
        <w:spacing w:before="40"/>
        <w:ind w:left="400"/>
      </w:pPr>
      <w:r>
        <w:rPr>
          <w:b/>
          <w:color w:val="C05000"/>
          <w:sz w:val="18"/>
        </w:rPr>
        <w:t xml:space="preserve">⚠️ Risques : </w:t>
      </w:r>
      <w:r>
        <w:rPr>
          <w:sz w:val="18"/>
        </w:rPr>
        <w:t>["Volatilit\u00e9 du cours mondial de l'huile de palme brute impactant directement la rentabilit\u00e9", "D\u00e9pendance forte aux conditions climatiques pour la production agricole", "Pression fiscale croissante avec des imp\u00f4ts multipli\u00e9s par 462 en un an"]</w:t>
      </w:r>
    </w:p>
    <w:p>
      <w:pPr>
        <w:spacing w:before="40"/>
        <w:ind w:left="400"/>
      </w:pPr>
      <w:r>
        <w:rPr>
          <w:b/>
          <w:color w:val="0064A0"/>
          <w:sz w:val="18"/>
        </w:rPr>
        <w:t xml:space="preserve">🔮 Perspectives : </w:t>
      </w:r>
      <w:r>
        <w:rPr>
          <w:sz w:val="18"/>
        </w:rPr>
        <w:t>La société anticipe un résultat net 2021 nettement supérieur à celui de 2020, soutenu par la dynamique favorable des cours mondiaux. La combinaison d'une croissance des volumes et du maintien de prix élevés devrait permettre de consolider cette performance sur l'ensemble de l'exercice 2021.</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am\u00e9lioration et des perspectives 2021 tr\u00e8s positives. La soci\u00e9t\u00e9 b\u00e9n\u00e9ficie pleinement de la hausse des cours mondiaux de l'huile de palme avec une croissance \u00e9quilibr\u00e9e volumes/prix."}</w:t>
      </w:r>
    </w:p>
    <w:p>
      <w:pPr>
        <w:spacing w:before="40"/>
        <w:ind w:left="400"/>
      </w:pPr>
      <w:r>
        <w:rPr>
          <w:sz w:val="18"/>
        </w:rPr>
        <w:t>PALMCI affiche une performance exceptionnelle au 3ème trimestre 2021 avec un chiffre d'affaires en hausse de 60% à 152,6 milliards FCFA contre 95,7 milliards en 2020. Le résultat net bondit de 410% à 36,4 milliards FCFA, soit une amélioration de 29,3 milliards FCFA par rapport au trimestre comparable de 2020. Cette croissance remarquable résulte de l'effet combiné d'une hausse des volumes vendus d'huile de palme brute (+9%) et d'une forte augmentation des prix (+43%). La hausse des prix est directement liée à l'envolée des cours mondiaux de l'huile de palme brute. La société anticipe un résultat net 2021 nettement supérieur à celui de 2020, confirmant la solidité de sa dynamique commerciale.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'+60%', 'capital_social': '20,4 milliards FCFA', 'variation_resultat_net': '+410%', 'resultat_activites_ordinaires': '46,2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36,4 milliards FCFA (T3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152,6 milliards FCFA (T3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exceptionnelle de +60% au T3 2021</w:t>
      </w:r>
    </w:p>
    <w:p>
      <w:pPr>
        <w:pStyle w:val="ListBullet"/>
        <w:spacing w:before="20" w:after="20"/>
        <w:ind w:left="700"/>
      </w:pPr>
      <w:r>
        <w:rPr>
          <w:sz w:val="18"/>
        </w:rPr>
        <w:t>Résultat net multiplié par plus de 5, passant de 7,1 à 36,4 milliards FCFA</w:t>
      </w:r>
    </w:p>
    <w:p>
      <w:pPr>
        <w:pStyle w:val="ListBullet"/>
        <w:spacing w:before="20" w:after="20"/>
        <w:ind w:left="700"/>
      </w:pPr>
      <w:r>
        <w:rPr>
          <w:sz w:val="18"/>
        </w:rPr>
        <w:t>Hausse des volumes d'huile de palme brute vendus de +9%</w:t>
      </w:r>
    </w:p>
    <w:p>
      <w:pPr>
        <w:pStyle w:val="ListBullet"/>
        <w:spacing w:before="20" w:after="20"/>
        <w:ind w:left="700"/>
      </w:pPr>
      <w:r>
        <w:rPr>
          <w:sz w:val="18"/>
        </w:rPr>
        <w:t>Forte augmentation des prix de vente de +43%</w:t>
      </w:r>
    </w:p>
    <w:p>
      <w:pPr>
        <w:pStyle w:val="ListBullet"/>
        <w:spacing w:before="20" w:after="20"/>
        <w:ind w:left="700"/>
      </w:pPr>
      <w:r>
        <w:rPr>
          <w:sz w:val="18"/>
        </w:rPr>
        <w:t>Bénéfice de la hausse des cours mondiaux de l'huile de palme</w:t>
      </w:r>
    </w:p>
    <w:p>
      <w:pPr>
        <w:pStyle w:val="ListBullet"/>
        <w:spacing w:before="20" w:after="20"/>
        <w:ind w:left="700"/>
      </w:pPr>
      <w:r>
        <w:rPr>
          <w:sz w:val="18"/>
        </w:rPr>
        <w:t>Amélioration du résultat net de 29,3 milliards FCFA en variation absolue</w:t>
      </w:r>
    </w:p>
    <w:p>
      <w:pPr>
        <w:spacing w:before="40"/>
        <w:ind w:left="400"/>
      </w:pPr>
      <w:r>
        <w:rPr>
          <w:b/>
          <w:color w:val="C05000"/>
          <w:sz w:val="18"/>
        </w:rPr>
        <w:t xml:space="preserve">⚠️ Risques : </w:t>
      </w:r>
      <w:r>
        <w:rPr>
          <w:sz w:val="18"/>
        </w:rPr>
        <w:t>["D\u00e9pendance forte aux cours mondiaux de l'huile de palme, tr\u00e8s volatils", "Exposition aux conditions climatiques pouvant affecter la production", "Risques g\u00e9opolitiques et r\u00e9glementaires dans le secteur de l'huile de palme"]</w:t>
      </w:r>
    </w:p>
    <w:p>
      <w:pPr>
        <w:spacing w:before="40"/>
        <w:ind w:left="400"/>
      </w:pPr>
      <w:r>
        <w:rPr>
          <w:b/>
          <w:color w:val="0064A0"/>
          <w:sz w:val="18"/>
        </w:rPr>
        <w:t xml:space="preserve">🔮 Perspectives : </w:t>
      </w:r>
      <w:r>
        <w:rPr>
          <w:sz w:val="18"/>
        </w:rPr>
        <w:t>La société anticipe un résultat net 2021 nettement supérieur à celui de 2020, portée par la dynamique favorable des cours mondiaux. Le maintien de cette performance dépendra de l'évolution des prix internationaux de l'huile de palme et de la capacité à soutenir les volumes de production. L'environne</w:t>
      </w:r>
    </w:p>
    <w:p/>
    <w:p>
      <w:r>
        <w:t>════════════════════════════════════════════════════════════════════════════════</w:t>
      </w:r>
    </w:p>
    <w:p>
      <w:r>
        <w:br w:type="page"/>
      </w:r>
    </w:p>
    <w:p>
      <w:pPr>
        <w:pStyle w:val="Heading2"/>
        <w:spacing w:before="360"/>
      </w:pPr>
      <w:r>
        <w:rPr>
          <w:color w:val="0066CC"/>
        </w:rPr>
        <w:t>27. PRSC - PRSC - TRACTAFRIC MOTORS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PRSC</w:t>
            </w:r>
          </w:p>
          <w:p>
            <w:r>
              <w:rPr>
                <w:b/>
                <w:color w:val="323250"/>
                <w:sz w:val="16"/>
              </w:rPr>
              <w:t xml:space="preserve">Société : </w:t>
            </w:r>
            <w:r>
              <w:rPr>
                <w:color w:val="000000"/>
                <w:sz w:val="16"/>
              </w:rPr>
              <w:t>PRSC - TRACTAFRIC MOTORS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43.52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1,099 titres</w:t>
            </w:r>
          </w:p>
        </w:tc>
        <w:tc>
          <w:tcPr>
            <w:tcW w:type="dxa" w:w="2268"/>
            <w:shd w:fill="FFF2CC" w:val="clear"/>
          </w:tcPr>
          <w:p>
            <w:r>
              <w:rPr>
                <w:b/>
                <w:color w:val="503200"/>
                <w:sz w:val="16"/>
              </w:rPr>
              <w:t xml:space="preserve">Cours actuel : </w:t>
            </w:r>
            <w:r>
              <w:rPr>
                <w:color w:val="000000"/>
                <w:sz w:val="17"/>
              </w:rPr>
              <w:t>4,250 FCFA</w:t>
            </w:r>
          </w:p>
          <w:p>
            <w:r>
              <w:rPr>
                <w:b/>
                <w:color w:val="503200"/>
                <w:sz w:val="16"/>
              </w:rPr>
              <w:t xml:space="preserve">Var. 100 jours : </w:t>
            </w:r>
            <w:r>
              <w:rPr>
                <w:b/>
                <w:color w:val="007800"/>
                <w:sz w:val="17"/>
              </w:rPr>
              <w:t>+0.95%</w:t>
            </w:r>
          </w:p>
          <w:p>
            <w:r>
              <w:rPr>
                <w:b/>
                <w:color w:val="503200"/>
                <w:sz w:val="16"/>
              </w:rPr>
              <w:t xml:space="preserve">Plus haut 100j : </w:t>
            </w:r>
            <w:r>
              <w:rPr>
                <w:color w:val="000000"/>
                <w:sz w:val="17"/>
              </w:rPr>
              <w:t>4,740 FCFA</w:t>
            </w:r>
          </w:p>
          <w:p>
            <w:r>
              <w:rPr>
                <w:b/>
                <w:color w:val="503200"/>
                <w:sz w:val="16"/>
              </w:rPr>
              <w:t xml:space="preserve">Plus bas 100j : </w:t>
            </w:r>
            <w:r>
              <w:rPr>
                <w:color w:val="000000"/>
                <w:sz w:val="17"/>
              </w:rPr>
              <w:t>3,850 FCFA</w:t>
            </w:r>
          </w:p>
          <w:p>
            <w:r>
              <w:rPr>
                <w:b/>
                <w:color w:val="503200"/>
                <w:sz w:val="16"/>
              </w:rPr>
              <w:t xml:space="preserve">Volatilité ann. : </w:t>
            </w:r>
            <w:r>
              <w:rPr>
                <w:color w:val="000000"/>
                <w:sz w:val="17"/>
              </w:rPr>
              <w:t>38.7%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14.3/100 → Faible</w:t>
      </w:r>
    </w:p>
    <w:p>
      <w:pPr>
        <w:spacing w:before="40" w:after="80"/>
      </w:pPr>
      <w:r>
        <w:rPr>
          <w:rFonts w:ascii="Courier New" w:hAnsi="Courier New"/>
          <w:color w:val="006400"/>
          <w:sz w:val="18"/>
        </w:rPr>
        <w:t>██░░░░░░░░░░░░░░░░░░  14.3/100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4.07% (Faible) — μ=4,392 FCFA, σ=179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E2EFDA" w:val="clear"/>
          </w:tcPr>
          <w:p>
            <w:r>
              <w:rPr>
                <w:b/>
                <w:sz w:val="15"/>
              </w:rPr>
              <w:t>β=-0.1167 (Contre-cyclique) — Cov=-0.000009, Var(idx)=0.000075, ρ=-0.042, n=96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1,099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σ_j=2.44%/j (Stable) — Vol. annualisée≈38.7%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29" name="Picture 29"/>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2026-10-16</w:t>
            </w:r>
          </w:p>
        </w:tc>
        <w:tc>
          <w:tcPr>
            <w:tcW w:type="dxa" w:w="1440"/>
            <w:shd w:fill="FAFAFA" w:val="clear"/>
          </w:tcPr>
          <w:p>
            <w:r>
              <w:rPr>
                <w:sz w:val="17"/>
              </w:rPr>
              <w:t>4,066</w:t>
            </w:r>
          </w:p>
        </w:tc>
        <w:tc>
          <w:tcPr>
            <w:tcW w:type="dxa" w:w="1440"/>
            <w:shd w:fill="FAFAFA" w:val="clear"/>
          </w:tcPr>
          <w:p>
            <w:r>
              <w:rPr>
                <w:b/>
                <w:sz w:val="17"/>
              </w:rPr>
              <w:t>4,284</w:t>
            </w:r>
          </w:p>
        </w:tc>
        <w:tc>
          <w:tcPr>
            <w:tcW w:type="dxa" w:w="1440"/>
            <w:shd w:fill="FAFAFA" w:val="clear"/>
          </w:tcPr>
          <w:p>
            <w:r>
              <w:rPr>
                <w:sz w:val="17"/>
              </w:rPr>
              <w:t>4,501</w:t>
            </w:r>
          </w:p>
        </w:tc>
        <w:tc>
          <w:tcPr>
            <w:tcW w:type="dxa" w:w="1440"/>
            <w:shd w:fill="FAFAFA" w:val="clear"/>
          </w:tcPr>
          <w:p>
            <w:r>
              <w:rPr>
                <w:b/>
                <w:color w:val="008000"/>
                <w:sz w:val="17"/>
              </w:rPr>
              <w:t>+0.8%</w:t>
            </w:r>
          </w:p>
        </w:tc>
      </w:tr>
      <w:tr>
        <w:tc>
          <w:tcPr>
            <w:tcW w:type="dxa" w:w="1440"/>
            <w:shd w:fill="FAFAFA" w:val="clear"/>
          </w:tcPr>
          <w:p>
            <w:r>
              <w:rPr>
                <w:sz w:val="17"/>
              </w:rPr>
              <w:t>J+2  Moyenne</w:t>
            </w:r>
          </w:p>
        </w:tc>
        <w:tc>
          <w:tcPr>
            <w:tcW w:type="dxa" w:w="1440"/>
            <w:shd w:fill="FAFAFA" w:val="clear"/>
          </w:tcPr>
          <w:p>
            <w:r>
              <w:rPr>
                <w:sz w:val="17"/>
              </w:rPr>
              <w:t>2026-10-19</w:t>
            </w:r>
          </w:p>
        </w:tc>
        <w:tc>
          <w:tcPr>
            <w:tcW w:type="dxa" w:w="1440"/>
            <w:shd w:fill="FAFAFA" w:val="clear"/>
          </w:tcPr>
          <w:p>
            <w:r>
              <w:rPr>
                <w:sz w:val="17"/>
              </w:rPr>
              <w:t>3,961</w:t>
            </w:r>
          </w:p>
        </w:tc>
        <w:tc>
          <w:tcPr>
            <w:tcW w:type="dxa" w:w="1440"/>
            <w:shd w:fill="FAFAFA" w:val="clear"/>
          </w:tcPr>
          <w:p>
            <w:r>
              <w:rPr>
                <w:b/>
                <w:sz w:val="17"/>
              </w:rPr>
              <w:t>4,267</w:t>
            </w:r>
          </w:p>
        </w:tc>
        <w:tc>
          <w:tcPr>
            <w:tcW w:type="dxa" w:w="1440"/>
            <w:shd w:fill="FAFAFA" w:val="clear"/>
          </w:tcPr>
          <w:p>
            <w:r>
              <w:rPr>
                <w:sz w:val="17"/>
              </w:rPr>
              <w:t>4,574</w:t>
            </w:r>
          </w:p>
        </w:tc>
        <w:tc>
          <w:tcPr>
            <w:tcW w:type="dxa" w:w="1440"/>
            <w:shd w:fill="FAFAFA" w:val="clear"/>
          </w:tcPr>
          <w:p>
            <w:r>
              <w:rPr>
                <w:b/>
                <w:color w:val="008000"/>
                <w:sz w:val="17"/>
              </w:rPr>
              <w:t>+0.4%</w:t>
            </w:r>
          </w:p>
        </w:tc>
      </w:tr>
      <w:tr>
        <w:tc>
          <w:tcPr>
            <w:tcW w:type="dxa" w:w="1440"/>
            <w:shd w:fill="FAFAFA" w:val="clear"/>
          </w:tcPr>
          <w:p>
            <w:r>
              <w:rPr>
                <w:sz w:val="17"/>
              </w:rPr>
              <w:t>J+3  Moyenne</w:t>
            </w:r>
          </w:p>
        </w:tc>
        <w:tc>
          <w:tcPr>
            <w:tcW w:type="dxa" w:w="1440"/>
            <w:shd w:fill="FAFAFA" w:val="clear"/>
          </w:tcPr>
          <w:p>
            <w:r>
              <w:rPr>
                <w:sz w:val="17"/>
              </w:rPr>
              <w:t>2026-10-20</w:t>
            </w:r>
          </w:p>
        </w:tc>
        <w:tc>
          <w:tcPr>
            <w:tcW w:type="dxa" w:w="1440"/>
            <w:shd w:fill="FAFAFA" w:val="clear"/>
          </w:tcPr>
          <w:p>
            <w:r>
              <w:rPr>
                <w:sz w:val="17"/>
              </w:rPr>
              <w:t>3,885</w:t>
            </w:r>
          </w:p>
        </w:tc>
        <w:tc>
          <w:tcPr>
            <w:tcW w:type="dxa" w:w="1440"/>
            <w:shd w:fill="FAFAFA" w:val="clear"/>
          </w:tcPr>
          <w:p>
            <w:r>
              <w:rPr>
                <w:b/>
                <w:sz w:val="17"/>
              </w:rPr>
              <w:t>4,259</w:t>
            </w:r>
          </w:p>
        </w:tc>
        <w:tc>
          <w:tcPr>
            <w:tcW w:type="dxa" w:w="1440"/>
            <w:shd w:fill="FAFAFA" w:val="clear"/>
          </w:tcPr>
          <w:p>
            <w:r>
              <w:rPr>
                <w:sz w:val="17"/>
              </w:rPr>
              <w:t>4,634</w:t>
            </w:r>
          </w:p>
        </w:tc>
        <w:tc>
          <w:tcPr>
            <w:tcW w:type="dxa" w:w="1440"/>
            <w:shd w:fill="FAFAFA" w:val="clear"/>
          </w:tcPr>
          <w:p>
            <w:r>
              <w:rPr>
                <w:b/>
                <w:color w:val="008000"/>
                <w:sz w:val="17"/>
              </w:rPr>
              <w:t>+0.2%</w:t>
            </w:r>
          </w:p>
        </w:tc>
      </w:tr>
      <w:tr>
        <w:tc>
          <w:tcPr>
            <w:tcW w:type="dxa" w:w="1440"/>
            <w:shd w:fill="FAFAFA" w:val="clear"/>
          </w:tcPr>
          <w:p>
            <w:r>
              <w:rPr>
                <w:sz w:val="17"/>
              </w:rPr>
              <w:t>J+4  ⭐</w:t>
            </w:r>
          </w:p>
        </w:tc>
        <w:tc>
          <w:tcPr>
            <w:tcW w:type="dxa" w:w="1440"/>
            <w:shd w:fill="FAFAFA" w:val="clear"/>
          </w:tcPr>
          <w:p>
            <w:r>
              <w:rPr>
                <w:sz w:val="17"/>
              </w:rPr>
              <w:t>2026-10-21</w:t>
            </w:r>
          </w:p>
        </w:tc>
        <w:tc>
          <w:tcPr>
            <w:tcW w:type="dxa" w:w="1440"/>
            <w:shd w:fill="FAFAFA" w:val="clear"/>
          </w:tcPr>
          <w:p>
            <w:r>
              <w:rPr>
                <w:sz w:val="17"/>
              </w:rPr>
              <w:t>3,821</w:t>
            </w:r>
          </w:p>
        </w:tc>
        <w:tc>
          <w:tcPr>
            <w:tcW w:type="dxa" w:w="1440"/>
            <w:shd w:fill="FAFAFA" w:val="clear"/>
          </w:tcPr>
          <w:p>
            <w:r>
              <w:rPr>
                <w:b/>
                <w:sz w:val="17"/>
              </w:rPr>
              <w:t>4,253</w:t>
            </w:r>
          </w:p>
        </w:tc>
        <w:tc>
          <w:tcPr>
            <w:tcW w:type="dxa" w:w="1440"/>
            <w:shd w:fill="FAFAFA" w:val="clear"/>
          </w:tcPr>
          <w:p>
            <w:r>
              <w:rPr>
                <w:sz w:val="17"/>
              </w:rPr>
              <w:t>4,685</w:t>
            </w:r>
          </w:p>
        </w:tc>
        <w:tc>
          <w:tcPr>
            <w:tcW w:type="dxa" w:w="1440"/>
            <w:shd w:fill="FAFAFA" w:val="clear"/>
          </w:tcPr>
          <w:p>
            <w:r>
              <w:rPr>
                <w:b/>
                <w:color w:val="008000"/>
                <w:sz w:val="17"/>
              </w:rPr>
              <w:t>+0.1%</w:t>
            </w:r>
          </w:p>
        </w:tc>
      </w:tr>
      <w:tr>
        <w:tc>
          <w:tcPr>
            <w:tcW w:type="dxa" w:w="1440"/>
            <w:shd w:fill="FAFAFA" w:val="clear"/>
          </w:tcPr>
          <w:p>
            <w:r>
              <w:rPr>
                <w:sz w:val="17"/>
              </w:rPr>
              <w:t>J+5  ⭐</w:t>
            </w:r>
          </w:p>
        </w:tc>
        <w:tc>
          <w:tcPr>
            <w:tcW w:type="dxa" w:w="1440"/>
            <w:shd w:fill="FAFAFA" w:val="clear"/>
          </w:tcPr>
          <w:p>
            <w:r>
              <w:rPr>
                <w:sz w:val="17"/>
              </w:rPr>
              <w:t>2026-10-22</w:t>
            </w:r>
          </w:p>
        </w:tc>
        <w:tc>
          <w:tcPr>
            <w:tcW w:type="dxa" w:w="1440"/>
            <w:shd w:fill="FAFAFA" w:val="clear"/>
          </w:tcPr>
          <w:p>
            <w:r>
              <w:rPr>
                <w:sz w:val="17"/>
              </w:rPr>
              <w:t>3,765</w:t>
            </w:r>
          </w:p>
        </w:tc>
        <w:tc>
          <w:tcPr>
            <w:tcW w:type="dxa" w:w="1440"/>
            <w:shd w:fill="FAFAFA" w:val="clear"/>
          </w:tcPr>
          <w:p>
            <w:r>
              <w:rPr>
                <w:b/>
                <w:sz w:val="17"/>
              </w:rPr>
              <w:t>4,247</w:t>
            </w:r>
          </w:p>
        </w:tc>
        <w:tc>
          <w:tcPr>
            <w:tcW w:type="dxa" w:w="1440"/>
            <w:shd w:fill="FAFAFA" w:val="clear"/>
          </w:tcPr>
          <w:p>
            <w:r>
              <w:rPr>
                <w:sz w:val="17"/>
              </w:rPr>
              <w:t>4,729</w:t>
            </w:r>
          </w:p>
        </w:tc>
        <w:tc>
          <w:tcPr>
            <w:tcW w:type="dxa" w:w="1440"/>
            <w:shd w:fill="FAFAFA" w:val="clear"/>
          </w:tcPr>
          <w:p>
            <w:r>
              <w:rPr>
                <w:b/>
                <w:color w:val="C00000"/>
                <w:sz w:val="17"/>
              </w:rPr>
              <w:t>-0.1%</w:t>
            </w:r>
          </w:p>
        </w:tc>
      </w:tr>
      <w:tr>
        <w:tc>
          <w:tcPr>
            <w:tcW w:type="dxa" w:w="1440"/>
            <w:shd w:fill="FAFAFA" w:val="clear"/>
          </w:tcPr>
          <w:p>
            <w:r>
              <w:rPr>
                <w:sz w:val="17"/>
              </w:rPr>
              <w:t>J+6  ⭐</w:t>
            </w:r>
          </w:p>
        </w:tc>
        <w:tc>
          <w:tcPr>
            <w:tcW w:type="dxa" w:w="1440"/>
            <w:shd w:fill="FAFAFA" w:val="clear"/>
          </w:tcPr>
          <w:p>
            <w:r>
              <w:rPr>
                <w:sz w:val="17"/>
              </w:rPr>
              <w:t>2026-10-23</w:t>
            </w:r>
          </w:p>
        </w:tc>
        <w:tc>
          <w:tcPr>
            <w:tcW w:type="dxa" w:w="1440"/>
            <w:shd w:fill="FAFAFA" w:val="clear"/>
          </w:tcPr>
          <w:p>
            <w:r>
              <w:rPr>
                <w:sz w:val="17"/>
              </w:rPr>
              <w:t>3,714</w:t>
            </w:r>
          </w:p>
        </w:tc>
        <w:tc>
          <w:tcPr>
            <w:tcW w:type="dxa" w:w="1440"/>
            <w:shd w:fill="FAFAFA" w:val="clear"/>
          </w:tcPr>
          <w:p>
            <w:r>
              <w:rPr>
                <w:b/>
                <w:sz w:val="17"/>
              </w:rPr>
              <w:t>4,241</w:t>
            </w:r>
          </w:p>
        </w:tc>
        <w:tc>
          <w:tcPr>
            <w:tcW w:type="dxa" w:w="1440"/>
            <w:shd w:fill="FAFAFA" w:val="clear"/>
          </w:tcPr>
          <w:p>
            <w:r>
              <w:rPr>
                <w:sz w:val="17"/>
              </w:rPr>
              <w:t>4,768</w:t>
            </w:r>
          </w:p>
        </w:tc>
        <w:tc>
          <w:tcPr>
            <w:tcW w:type="dxa" w:w="1440"/>
            <w:shd w:fill="FAFAFA" w:val="clear"/>
          </w:tcPr>
          <w:p>
            <w:r>
              <w:rPr>
                <w:b/>
                <w:color w:val="C00000"/>
                <w:sz w:val="17"/>
              </w:rPr>
              <w:t>-0.2%</w:t>
            </w:r>
          </w:p>
        </w:tc>
      </w:tr>
      <w:tr>
        <w:tc>
          <w:tcPr>
            <w:tcW w:type="dxa" w:w="1440"/>
            <w:shd w:fill="FAFAFA" w:val="clear"/>
          </w:tcPr>
          <w:p>
            <w:r>
              <w:rPr>
                <w:sz w:val="17"/>
              </w:rPr>
              <w:t>J+7  ⭐</w:t>
            </w:r>
          </w:p>
        </w:tc>
        <w:tc>
          <w:tcPr>
            <w:tcW w:type="dxa" w:w="1440"/>
            <w:shd w:fill="FAFAFA" w:val="clear"/>
          </w:tcPr>
          <w:p>
            <w:r>
              <w:rPr>
                <w:sz w:val="17"/>
              </w:rPr>
              <w:t>2026-10-26</w:t>
            </w:r>
          </w:p>
        </w:tc>
        <w:tc>
          <w:tcPr>
            <w:tcW w:type="dxa" w:w="1440"/>
            <w:shd w:fill="FAFAFA" w:val="clear"/>
          </w:tcPr>
          <w:p>
            <w:r>
              <w:rPr>
                <w:sz w:val="17"/>
              </w:rPr>
              <w:t>3,666</w:t>
            </w:r>
          </w:p>
        </w:tc>
        <w:tc>
          <w:tcPr>
            <w:tcW w:type="dxa" w:w="1440"/>
            <w:shd w:fill="FAFAFA" w:val="clear"/>
          </w:tcPr>
          <w:p>
            <w:r>
              <w:rPr>
                <w:b/>
                <w:sz w:val="17"/>
              </w:rPr>
              <w:t>4,235</w:t>
            </w:r>
          </w:p>
        </w:tc>
        <w:tc>
          <w:tcPr>
            <w:tcW w:type="dxa" w:w="1440"/>
            <w:shd w:fill="FAFAFA" w:val="clear"/>
          </w:tcPr>
          <w:p>
            <w:r>
              <w:rPr>
                <w:sz w:val="17"/>
              </w:rPr>
              <w:t>4,803</w:t>
            </w:r>
          </w:p>
        </w:tc>
        <w:tc>
          <w:tcPr>
            <w:tcW w:type="dxa" w:w="1440"/>
            <w:shd w:fill="FAFAFA" w:val="clear"/>
          </w:tcPr>
          <w:p>
            <w:r>
              <w:rPr>
                <w:b/>
                <w:color w:val="C00000"/>
                <w:sz w:val="17"/>
              </w:rPr>
              <w:t>-0.4%</w:t>
            </w:r>
          </w:p>
        </w:tc>
      </w:tr>
      <w:tr>
        <w:tc>
          <w:tcPr>
            <w:tcW w:type="dxa" w:w="1440"/>
            <w:shd w:fill="FAFAFA" w:val="clear"/>
          </w:tcPr>
          <w:p>
            <w:r>
              <w:rPr>
                <w:sz w:val="17"/>
              </w:rPr>
              <w:t>J+8  ⭐</w:t>
            </w:r>
          </w:p>
        </w:tc>
        <w:tc>
          <w:tcPr>
            <w:tcW w:type="dxa" w:w="1440"/>
            <w:shd w:fill="FAFAFA" w:val="clear"/>
          </w:tcPr>
          <w:p>
            <w:r>
              <w:rPr>
                <w:sz w:val="17"/>
              </w:rPr>
              <w:t>2026-10-27</w:t>
            </w:r>
          </w:p>
        </w:tc>
        <w:tc>
          <w:tcPr>
            <w:tcW w:type="dxa" w:w="1440"/>
            <w:shd w:fill="FAFAFA" w:val="clear"/>
          </w:tcPr>
          <w:p>
            <w:r>
              <w:rPr>
                <w:sz w:val="17"/>
              </w:rPr>
              <w:t>3,622</w:t>
            </w:r>
          </w:p>
        </w:tc>
        <w:tc>
          <w:tcPr>
            <w:tcW w:type="dxa" w:w="1440"/>
            <w:shd w:fill="FAFAFA" w:val="clear"/>
          </w:tcPr>
          <w:p>
            <w:r>
              <w:rPr>
                <w:b/>
                <w:sz w:val="17"/>
              </w:rPr>
              <w:t>4,229</w:t>
            </w:r>
          </w:p>
        </w:tc>
        <w:tc>
          <w:tcPr>
            <w:tcW w:type="dxa" w:w="1440"/>
            <w:shd w:fill="FAFAFA" w:val="clear"/>
          </w:tcPr>
          <w:p>
            <w:r>
              <w:rPr>
                <w:sz w:val="17"/>
              </w:rPr>
              <w:t>4,836</w:t>
            </w:r>
          </w:p>
        </w:tc>
        <w:tc>
          <w:tcPr>
            <w:tcW w:type="dxa" w:w="1440"/>
            <w:shd w:fill="FAFAFA" w:val="clear"/>
          </w:tcPr>
          <w:p>
            <w:r>
              <w:rPr>
                <w:b/>
                <w:color w:val="C00000"/>
                <w:sz w:val="17"/>
              </w:rPr>
              <w:t>-0.5%</w:t>
            </w:r>
          </w:p>
        </w:tc>
      </w:tr>
      <w:tr>
        <w:tc>
          <w:tcPr>
            <w:tcW w:type="dxa" w:w="1440"/>
            <w:shd w:fill="FAFAFA" w:val="clear"/>
          </w:tcPr>
          <w:p>
            <w:r>
              <w:rPr>
                <w:sz w:val="17"/>
              </w:rPr>
              <w:t>J+9  ⭐</w:t>
            </w:r>
          </w:p>
        </w:tc>
        <w:tc>
          <w:tcPr>
            <w:tcW w:type="dxa" w:w="1440"/>
            <w:shd w:fill="FAFAFA" w:val="clear"/>
          </w:tcPr>
          <w:p>
            <w:r>
              <w:rPr>
                <w:sz w:val="17"/>
              </w:rPr>
              <w:t>2026-10-28</w:t>
            </w:r>
          </w:p>
        </w:tc>
        <w:tc>
          <w:tcPr>
            <w:tcW w:type="dxa" w:w="1440"/>
            <w:shd w:fill="FAFAFA" w:val="clear"/>
          </w:tcPr>
          <w:p>
            <w:r>
              <w:rPr>
                <w:sz w:val="17"/>
              </w:rPr>
              <w:t>3,580</w:t>
            </w:r>
          </w:p>
        </w:tc>
        <w:tc>
          <w:tcPr>
            <w:tcW w:type="dxa" w:w="1440"/>
            <w:shd w:fill="FAFAFA" w:val="clear"/>
          </w:tcPr>
          <w:p>
            <w:r>
              <w:rPr>
                <w:b/>
                <w:sz w:val="17"/>
              </w:rPr>
              <w:t>4,223</w:t>
            </w:r>
          </w:p>
        </w:tc>
        <w:tc>
          <w:tcPr>
            <w:tcW w:type="dxa" w:w="1440"/>
            <w:shd w:fill="FAFAFA" w:val="clear"/>
          </w:tcPr>
          <w:p>
            <w:r>
              <w:rPr>
                <w:sz w:val="17"/>
              </w:rPr>
              <w:t>4,866</w:t>
            </w:r>
          </w:p>
        </w:tc>
        <w:tc>
          <w:tcPr>
            <w:tcW w:type="dxa" w:w="1440"/>
            <w:shd w:fill="FAFAFA" w:val="clear"/>
          </w:tcPr>
          <w:p>
            <w:r>
              <w:rPr>
                <w:b/>
                <w:color w:val="C00000"/>
                <w:sz w:val="17"/>
              </w:rPr>
              <w:t>-0.6%</w:t>
            </w:r>
          </w:p>
        </w:tc>
      </w:tr>
      <w:tr>
        <w:tc>
          <w:tcPr>
            <w:tcW w:type="dxa" w:w="1440"/>
            <w:shd w:fill="FAFAFA" w:val="clear"/>
          </w:tcPr>
          <w:p>
            <w:r>
              <w:rPr>
                <w:sz w:val="17"/>
              </w:rPr>
              <w:t>J+10  ⭐</w:t>
            </w:r>
          </w:p>
        </w:tc>
        <w:tc>
          <w:tcPr>
            <w:tcW w:type="dxa" w:w="1440"/>
            <w:shd w:fill="FAFAFA" w:val="clear"/>
          </w:tcPr>
          <w:p>
            <w:r>
              <w:rPr>
                <w:sz w:val="17"/>
              </w:rPr>
              <w:t>2026-10-29</w:t>
            </w:r>
          </w:p>
        </w:tc>
        <w:tc>
          <w:tcPr>
            <w:tcW w:type="dxa" w:w="1440"/>
            <w:shd w:fill="FAFAFA" w:val="clear"/>
          </w:tcPr>
          <w:p>
            <w:r>
              <w:rPr>
                <w:sz w:val="17"/>
              </w:rPr>
              <w:t>3,541</w:t>
            </w:r>
          </w:p>
        </w:tc>
        <w:tc>
          <w:tcPr>
            <w:tcW w:type="dxa" w:w="1440"/>
            <w:shd w:fill="FAFAFA" w:val="clear"/>
          </w:tcPr>
          <w:p>
            <w:r>
              <w:rPr>
                <w:b/>
                <w:sz w:val="17"/>
              </w:rPr>
              <w:t>4,218</w:t>
            </w:r>
          </w:p>
        </w:tc>
        <w:tc>
          <w:tcPr>
            <w:tcW w:type="dxa" w:w="1440"/>
            <w:shd w:fill="FAFAFA" w:val="clear"/>
          </w:tcPr>
          <w:p>
            <w:r>
              <w:rPr>
                <w:sz w:val="17"/>
              </w:rPr>
              <w:t>4,895</w:t>
            </w:r>
          </w:p>
        </w:tc>
        <w:tc>
          <w:tcPr>
            <w:tcW w:type="dxa" w:w="1440"/>
            <w:shd w:fill="FAFAFA" w:val="clear"/>
          </w:tcPr>
          <w:p>
            <w:r>
              <w:rPr>
                <w:b/>
                <w:color w:val="C00000"/>
                <w:sz w:val="17"/>
              </w:rPr>
              <w:t>-0.8%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10.364 Mds FCFA</w:t>
            </w:r>
          </w:p>
        </w:tc>
        <w:tc>
          <w:tcPr>
            <w:tcW w:type="dxa" w:w="5669"/>
            <w:shd w:fill="FFFFFF" w:val="clear"/>
          </w:tcPr>
          <w:p>
            <w:r>
              <w:rPr>
                <w:color w:val="282828"/>
                <w:sz w:val="15"/>
              </w:rPr>
              <w:t>Créances clients = 12.8%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26.334 Mds FCFA</w:t>
            </w:r>
          </w:p>
        </w:tc>
        <w:tc>
          <w:tcPr>
            <w:tcW w:type="dxa" w:w="5669"/>
            <w:shd w:fill="FFFFFF" w:val="clear"/>
          </w:tcPr>
          <w:p>
            <w:r>
              <w:rPr>
                <w:color w:val="282828"/>
                <w:sz w:val="15"/>
              </w:rPr>
              <w:t>Rotation stocks = 3.1x/an.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39.358 Mds FCFA</w:t>
            </w:r>
          </w:p>
        </w:tc>
        <w:tc>
          <w:tcPr>
            <w:tcW w:type="dxa" w:w="5669"/>
            <w:shd w:fill="FFFFFF" w:val="clear"/>
          </w:tcPr>
          <w:p>
            <w:r>
              <w:rPr>
                <w:color w:val="282828"/>
                <w:sz w:val="15"/>
              </w:rPr>
              <w:t>Ratio actif circ./passif circ. = 1.40x.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199.48 M FCFA</w:t>
            </w:r>
          </w:p>
        </w:tc>
        <w:tc>
          <w:tcPr>
            <w:tcW w:type="dxa" w:w="5669"/>
            <w:shd w:fill="FFFFFF" w:val="clear"/>
          </w:tcPr>
          <w:p>
            <w:r>
              <w:rPr>
                <w:color w:val="282828"/>
                <w:sz w:val="15"/>
              </w:rPr>
              <w:t>Brevets, logiciels, fonds commercial (0.4%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5.984 Mds FCFA</w:t>
            </w:r>
          </w:p>
        </w:tc>
        <w:tc>
          <w:tcPr>
            <w:tcW w:type="dxa" w:w="5669"/>
            <w:shd w:fill="FFFFFF" w:val="clear"/>
          </w:tcPr>
          <w:p>
            <w:r>
              <w:rPr>
                <w:color w:val="282828"/>
                <w:sz w:val="15"/>
              </w:rPr>
              <w:t>Outil industriel (12.5%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6.282 Mds FCFA</w:t>
            </w:r>
          </w:p>
        </w:tc>
        <w:tc>
          <w:tcPr>
            <w:tcW w:type="dxa" w:w="5669"/>
            <w:shd w:fill="FFFFFF" w:val="clear"/>
          </w:tcPr>
          <w:p>
            <w:r>
              <w:rPr>
                <w:color w:val="282828"/>
                <w:sz w:val="15"/>
              </w:rPr>
              <w:t>Actif immobilisé = 13.1%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2.196 Mds FCFA</w:t>
            </w:r>
          </w:p>
        </w:tc>
        <w:tc>
          <w:tcPr>
            <w:tcW w:type="dxa" w:w="5669"/>
            <w:shd w:fill="FFFFFF" w:val="clear"/>
          </w:tcPr>
          <w:p>
            <w:r>
              <w:rPr>
                <w:color w:val="282828"/>
                <w:sz w:val="15"/>
              </w:rPr>
              <w:t>Liquidités disponibles (4.6%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47.836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1.280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7.883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11.531 Mds FCFA</w:t>
            </w:r>
          </w:p>
        </w:tc>
        <w:tc>
          <w:tcPr>
            <w:tcW w:type="dxa" w:w="5669"/>
            <w:shd w:fill="FFFFFF" w:val="clear"/>
          </w:tcPr>
          <w:p>
            <w:r>
              <w:rPr>
                <w:color w:val="282828"/>
                <w:sz w:val="15"/>
              </w:rPr>
              <w:t>Fonds propres = 24.1%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12.395 Mds FCFA</w:t>
            </w:r>
          </w:p>
        </w:tc>
        <w:tc>
          <w:tcPr>
            <w:tcW w:type="dxa" w:w="5669"/>
            <w:shd w:fill="FFFFFF" w:val="clear"/>
          </w:tcPr>
          <w:p>
            <w:r>
              <w:rPr>
                <w:color w:val="282828"/>
                <w:sz w:val="15"/>
              </w:rPr>
              <w:t>Capitaux permanents / Actif immobilisé = 1.97x.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17.961 Mds FCFA</w:t>
            </w:r>
          </w:p>
        </w:tc>
        <w:tc>
          <w:tcPr>
            <w:tcW w:type="dxa" w:w="5669"/>
            <w:shd w:fill="FFFFFF" w:val="clear"/>
          </w:tcPr>
          <w:p>
            <w:r>
              <w:rPr>
                <w:color w:val="282828"/>
                <w:sz w:val="15"/>
              </w:rPr>
              <w:t>Délai fournisseurs implicite ≈ 81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864.12 M FCFA</w:t>
            </w:r>
          </w:p>
        </w:tc>
        <w:tc>
          <w:tcPr>
            <w:tcW w:type="dxa" w:w="5669"/>
            <w:shd w:fill="FFFFFF" w:val="clear"/>
          </w:tcPr>
          <w:p>
            <w:r>
              <w:rPr>
                <w:color w:val="282828"/>
                <w:sz w:val="15"/>
              </w:rPr>
              <w:t>Dette LT/MT = 7%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7.152 Mds FCFA</w:t>
            </w:r>
          </w:p>
        </w:tc>
        <w:tc>
          <w:tcPr>
            <w:tcW w:type="dxa" w:w="5669"/>
            <w:shd w:fill="FFFFFF" w:val="clear"/>
          </w:tcPr>
          <w:p>
            <w:r>
              <w:rPr>
                <w:color w:val="282828"/>
                <w:sz w:val="15"/>
              </w:rPr>
              <w:t>Dette financière totale = 62%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36.305 Mds FCFA</w:t>
            </w:r>
          </w:p>
        </w:tc>
        <w:tc>
          <w:tcPr>
            <w:tcW w:type="dxa" w:w="5669"/>
            <w:shd w:fill="FFFFFF" w:val="clear"/>
          </w:tcPr>
          <w:p>
            <w:r>
              <w:rPr>
                <w:color w:val="282828"/>
                <w:sz w:val="15"/>
              </w:rPr>
              <w:t>Dettes totales = 75.9%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81.127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81.127 Mds FCFA</w:t>
            </w:r>
          </w:p>
        </w:tc>
        <w:tc>
          <w:tcPr>
            <w:tcW w:type="dxa" w:w="5669"/>
            <w:shd w:fill="FFFFFF" w:val="clear"/>
          </w:tcPr>
          <w:p>
            <w:r>
              <w:rPr>
                <w:color w:val="282828"/>
                <w:sz w:val="15"/>
              </w:rPr>
              <w:t>Chiffre d'affaires. Croissance: 8.6%. ✅ CA en hausse — bonne dynamique commerciale.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79.094 Mds FCFA</w:t>
            </w:r>
          </w:p>
        </w:tc>
        <w:tc>
          <w:tcPr>
            <w:tcW w:type="dxa" w:w="5669"/>
            <w:shd w:fill="FFFFFF" w:val="clear"/>
          </w:tcPr>
          <w:p>
            <w:r>
              <w:rPr>
                <w:color w:val="282828"/>
                <w:sz w:val="15"/>
              </w:rPr>
              <w:t>97.5%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1.786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5.065 Mds FCFA</w:t>
            </w:r>
          </w:p>
        </w:tc>
        <w:tc>
          <w:tcPr>
            <w:tcW w:type="dxa" w:w="5669"/>
            <w:shd w:fill="FFFFFF" w:val="clear"/>
          </w:tcPr>
          <w:p>
            <w:r>
              <w:rPr>
                <w:color w:val="282828"/>
                <w:sz w:val="15"/>
              </w:rPr>
              <w:t>Masse salariale = 6.2%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10.852 Mds FCFA</w:t>
            </w:r>
          </w:p>
        </w:tc>
        <w:tc>
          <w:tcPr>
            <w:tcW w:type="dxa" w:w="5669"/>
            <w:shd w:fill="FFFFFF" w:val="clear"/>
          </w:tcPr>
          <w:p>
            <w:r>
              <w:rPr>
                <w:color w:val="282828"/>
                <w:sz w:val="15"/>
              </w:rPr>
              <w:t>VA = 13.4%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5.787 Mds FCFA</w:t>
            </w:r>
          </w:p>
        </w:tc>
        <w:tc>
          <w:tcPr>
            <w:tcW w:type="dxa" w:w="5669"/>
            <w:shd w:fill="FFFFFF" w:val="clear"/>
          </w:tcPr>
          <w:p>
            <w:r>
              <w:rPr>
                <w:color w:val="282828"/>
                <w:sz w:val="15"/>
              </w:rPr>
              <w:t>EBE = 7.1%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4.241 Mds FCFA</w:t>
            </w:r>
          </w:p>
        </w:tc>
        <w:tc>
          <w:tcPr>
            <w:tcW w:type="dxa" w:w="5669"/>
            <w:shd w:fill="FFFFFF" w:val="clear"/>
          </w:tcPr>
          <w:p>
            <w:r>
              <w:rPr>
                <w:color w:val="282828"/>
                <w:sz w:val="15"/>
              </w:rPr>
              <w:t>Profit d'exploitation = 5.2%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1.072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2.367 Mds FCFA</w:t>
            </w:r>
          </w:p>
        </w:tc>
        <w:tc>
          <w:tcPr>
            <w:tcW w:type="dxa" w:w="5669"/>
            <w:shd w:fill="FFFFFF" w:val="clear"/>
          </w:tcPr>
          <w:p>
            <w:r>
              <w:rPr>
                <w:color w:val="282828"/>
                <w:sz w:val="15"/>
              </w:rPr>
              <w:t>Marge nette = 2.9%.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3.913 Mds FCFA</w:t>
            </w:r>
          </w:p>
        </w:tc>
        <w:tc>
          <w:tcPr>
            <w:tcW w:type="dxa" w:w="5669"/>
            <w:shd w:fill="FFFFFF" w:val="clear"/>
          </w:tcPr>
          <w:p>
            <w:r>
              <w:rPr>
                <w:color w:val="282828"/>
                <w:sz w:val="15"/>
              </w:rPr>
              <w:t>CAF = 3.91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-1.855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-280.58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-2.505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-2.616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11.267 Mds FCFA</w:t>
            </w:r>
          </w:p>
        </w:tc>
        <w:tc>
          <w:tcPr>
            <w:tcW w:type="dxa" w:w="5669"/>
            <w:shd w:fill="FFFFFF" w:val="clear"/>
          </w:tcPr>
          <w:p>
            <w:r>
              <w:rPr>
                <w:color w:val="282828"/>
                <w:sz w:val="15"/>
              </w:rPr>
              <w:t>BFR = 13.9%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6.113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-4.092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18.51%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2.92%</w:t>
            </w:r>
          </w:p>
        </w:tc>
        <w:tc>
          <w:tcPr>
            <w:tcW w:type="dxa" w:w="5669"/>
            <w:shd w:fill="FFFFFF" w:val="clear"/>
          </w:tcPr>
          <w:p>
            <w:r>
              <w:rPr>
                <w:color w:val="282828"/>
                <w:sz w:val="15"/>
              </w:rPr>
              <w:t>Résultat net / revenus = 2.92%. ⚠️ Marge nette très fine — sensible aux aléas.</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5.23%</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20.53%</w:t>
            </w:r>
          </w:p>
        </w:tc>
        <w:tc>
          <w:tcPr>
            <w:tcW w:type="dxa" w:w="5669"/>
            <w:shd w:fill="FFFFFF" w:val="clear"/>
          </w:tcPr>
          <w:p>
            <w:r>
              <w:rPr>
                <w:color w:val="282828"/>
                <w:sz w:val="15"/>
              </w:rPr>
              <w:t>Résultat net / capitaux propres = 20.53%.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4.95%</w:t>
            </w:r>
          </w:p>
        </w:tc>
        <w:tc>
          <w:tcPr>
            <w:tcW w:type="dxa" w:w="5669"/>
            <w:shd w:fill="FFFFFF" w:val="clear"/>
          </w:tcPr>
          <w:p>
            <w:r>
              <w:rPr>
                <w:color w:val="282828"/>
                <w:sz w:val="15"/>
              </w:rPr>
              <w:t>Résultat net / total actif = 4.95%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169.59%</w:t>
            </w:r>
          </w:p>
        </w:tc>
        <w:tc>
          <w:tcPr>
            <w:tcW w:type="dxa" w:w="5669"/>
            <w:shd w:fill="FFFFFF" w:val="clear"/>
          </w:tcPr>
          <w:p>
            <w:r>
              <w:rPr>
                <w:color w:val="282828"/>
                <w:sz w:val="15"/>
              </w:rPr>
              <w:t>CA / total actif = 169.59x.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0.33%</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8.64%</w:t>
            </w:r>
          </w:p>
        </w:tc>
        <w:tc>
          <w:tcPr>
            <w:tcW w:type="dxa" w:w="5669"/>
            <w:shd w:fill="FFFFFF" w:val="clear"/>
          </w:tcPr>
          <w:p>
            <w:r>
              <w:rPr>
                <w:color w:val="282828"/>
                <w:sz w:val="15"/>
              </w:rPr>
              <w:t>Croissance CA vs exercice précédent = 8.64%.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24.10%</w:t>
            </w:r>
          </w:p>
        </w:tc>
        <w:tc>
          <w:tcPr>
            <w:tcW w:type="dxa" w:w="5669"/>
            <w:shd w:fill="FFFFFF" w:val="clear"/>
          </w:tcPr>
          <w:p>
            <w:r>
              <w:rPr>
                <w:color w:val="282828"/>
                <w:sz w:val="15"/>
              </w:rPr>
              <w:t>Fonds propres / total bilan = 24.10%.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62.02%</w:t>
            </w:r>
          </w:p>
        </w:tc>
        <w:tc>
          <w:tcPr>
            <w:tcW w:type="dxa" w:w="5669"/>
            <w:shd w:fill="FFFFFF" w:val="clear"/>
          </w:tcPr>
          <w:p>
            <w:r>
              <w:rPr>
                <w:color w:val="282828"/>
                <w:sz w:val="15"/>
              </w:rPr>
              <w:t>Dettes financières / total bilan = 62.02%.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314.86%</w:t>
            </w:r>
          </w:p>
        </w:tc>
        <w:tc>
          <w:tcPr>
            <w:tcW w:type="dxa" w:w="5669"/>
            <w:shd w:fill="FFFFFF" w:val="clear"/>
          </w:tcPr>
          <w:p>
            <w:r>
              <w:rPr>
                <w:color w:val="282828"/>
                <w:sz w:val="15"/>
              </w:rPr>
              <w:t>Dettes totales / fonds propres = 314.86%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131.76%</w:t>
            </w:r>
          </w:p>
        </w:tc>
        <w:tc>
          <w:tcPr>
            <w:tcW w:type="dxa" w:w="5669"/>
            <w:shd w:fill="FFFFFF" w:val="clear"/>
          </w:tcPr>
          <w:p>
            <w:r>
              <w:rPr>
                <w:color w:val="282828"/>
                <w:sz w:val="15"/>
              </w:rPr>
              <w:t>Total actif / dettes totales = 131.76x.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120.87%</w:t>
            </w:r>
          </w:p>
        </w:tc>
        <w:tc>
          <w:tcPr>
            <w:tcW w:type="dxa" w:w="5669"/>
            <w:shd w:fill="FFFFFF" w:val="clear"/>
          </w:tcPr>
          <w:p>
            <w:r>
              <w:rPr>
                <w:color w:val="282828"/>
                <w:sz w:val="15"/>
              </w:rPr>
              <w:t>Actif circulant / passif circulant = 120.87x.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6.39%</w:t>
            </w:r>
          </w:p>
        </w:tc>
        <w:tc>
          <w:tcPr>
            <w:tcW w:type="dxa" w:w="5669"/>
            <w:shd w:fill="FFFFFF" w:val="clear"/>
          </w:tcPr>
          <w:p>
            <w:r>
              <w:rPr>
                <w:color w:val="282828"/>
                <w:sz w:val="15"/>
              </w:rPr>
              <w:t>Trésorerie / passif circulant = 6.39x.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44.27%</w:t>
            </w:r>
          </w:p>
        </w:tc>
        <w:tc>
          <w:tcPr>
            <w:tcW w:type="dxa" w:w="5669"/>
            <w:shd w:fill="FFFFFF" w:val="clear"/>
          </w:tcPr>
          <w:p>
            <w:r>
              <w:rPr>
                <w:color w:val="282828"/>
                <w:sz w:val="15"/>
              </w:rPr>
              <w:t>(Actif circ. - stocks) / passif circ. = 44.27x.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197.30%</w:t>
            </w:r>
          </w:p>
        </w:tc>
        <w:tc>
          <w:tcPr>
            <w:tcW w:type="dxa" w:w="5669"/>
            <w:shd w:fill="FFFFFF" w:val="clear"/>
          </w:tcPr>
          <w:p>
            <w:r>
              <w:rPr>
                <w:color w:val="282828"/>
                <w:sz w:val="15"/>
              </w:rPr>
              <w:t>Capitaux permanents / actif immobilisé = 197.30x.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1.8 ans</w:t>
            </w:r>
          </w:p>
        </w:tc>
        <w:tc>
          <w:tcPr>
            <w:tcW w:type="dxa" w:w="5669"/>
            <w:shd w:fill="FFFFFF" w:val="clear"/>
          </w:tcPr>
          <w:p>
            <w:r>
              <w:rPr>
                <w:color w:val="282828"/>
                <w:sz w:val="15"/>
              </w:rPr>
              <w:t>Dettes financières / CAF = 1.8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1585.22%</w:t>
            </w:r>
          </w:p>
        </w:tc>
        <w:tc>
          <w:tcPr>
            <w:tcW w:type="dxa" w:w="5669"/>
            <w:shd w:fill="FFFFFF" w:val="clear"/>
          </w:tcPr>
          <w:p>
            <w:r>
              <w:rPr>
                <w:color w:val="282828"/>
                <w:sz w:val="15"/>
              </w:rPr>
              <w:t>Résultat exploit. / charges financières = 1585.22x.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457.38%</w:t>
            </w:r>
          </w:p>
        </w:tc>
        <w:tc>
          <w:tcPr>
            <w:tcW w:type="dxa" w:w="5669"/>
            <w:shd w:fill="FFFFFF" w:val="clear"/>
          </w:tcPr>
          <w:p>
            <w:r>
              <w:rPr>
                <w:color w:val="282828"/>
                <w:sz w:val="15"/>
              </w:rPr>
              <w:t>CAF / investissements = 457.38x.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46.0 j</w:t>
            </w:r>
          </w:p>
        </w:tc>
        <w:tc>
          <w:tcPr>
            <w:tcW w:type="dxa" w:w="5669"/>
            <w:shd w:fill="FFFFFF" w:val="clear"/>
          </w:tcPr>
          <w:p>
            <w:r>
              <w:rPr>
                <w:color w:val="282828"/>
                <w:sz w:val="15"/>
              </w:rPr>
              <w:t>Les clients paient en moyenne en 46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102.7 j</w:t>
            </w:r>
          </w:p>
        </w:tc>
        <w:tc>
          <w:tcPr>
            <w:tcW w:type="dxa" w:w="5669"/>
            <w:shd w:fill="FFFFFF" w:val="clear"/>
          </w:tcPr>
          <w:p>
            <w:r>
              <w:rPr>
                <w:color w:val="282828"/>
                <w:sz w:val="15"/>
              </w:rPr>
              <w:t>Paiement des fournisseurs en 103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150.5 j</w:t>
            </w:r>
          </w:p>
        </w:tc>
        <w:tc>
          <w:tcPr>
            <w:tcW w:type="dxa" w:w="5669"/>
            <w:shd w:fill="FFFFFF" w:val="clear"/>
          </w:tcPr>
          <w:p>
            <w:r>
              <w:rPr>
                <w:color w:val="282828"/>
                <w:sz w:val="15"/>
              </w:rPr>
              <w:t>Stock écoulé en 151 jours. ❌ Stock quasi-bloqué — risque d'obsolescence ou de surstock.</w:t>
            </w:r>
          </w:p>
        </w:tc>
      </w:tr>
    </w:tbl>
    <w:p/>
    <w:p>
      <w:pPr>
        <w:spacing w:after="120" w:line="276" w:lineRule="auto"/>
      </w:pPr>
      <w:r>
        <w:t>**RAPPORT D'ANALYSE FINANCIÈRE — PRSC (TRACTAFRIC MOTORS CÔTE D'IVOIRE)**</w:t>
        <w:br/>
        <w:t>*Bourse Régionale des Valeurs Mobilières (BRVM)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43,52 milliards FCFA, PRSC se positionne comme une valeur de taille intermédiaire sur le compartiment industriel/distribution de la BRVM, loin des poids lourds bancaires et télécoms mais suffisamment liquide pour intéresser les investisseurs institutionnels régionaux. Le BPA de 231 FCFA/action signifie que chaque titre génère près de 231 FCFA de bénéfice net, ce qui, rapporté au cours actuel de 4 250 FCFA, donne un PER de 18,4x — nettement supérieur à la moyenne BRVM (8-12x), traduisant une prime de qualité que le marché accorde à la régularité des résultats de la société. Le P/B de 3,77x confirme cette prime : le marché valorise PRSC à près de 4 fois ses capitaux propres comptables (11,53 Mds FCFA), ce qui est cohérent avec un ROE élevé de 20,53% mais laisse peu de marge de sécurité en cas de déception. Enfin, l'EV/EBITDA de 9,5x, dans la fourchette raisonnable de 5-10x, indique que la valeur totale de l'entreprise (capitalisation + dette nette) reste proportionnée à sa capacité opérationnelle, sans exagération manifeste.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PRSC affiche une variation quasi-nulle de +0,95%, mais la dernière séance a enregistré un repli marqué de -2,19%, signalant une pression vendeuse récente. Le titre a évolué dans un range de 890 FCFA, entre un plus bas de 3 850 FCFA et un plus haut de 4 740 FCFA, ce qui représente une amplitude de trading de 23% — significative pour une valeur de cette capitalisation. La tendance générale est donc stable à légèrement haussière sur la période, mais le cours actuel (4 250 FCFA) se situe en dessous de la moyenne (4 392 FCFA) et de la médiane (4 402 FCFA), suggérant une correction en cours depuis les sommets. Les statistiques descriptives révèlent une distribution légèrement asymétrique : la moyenne (4 392 FCFA) et la médiane (4 402 FCFA) sont proches, mais le mode à 4 400 FCFA indique que ce niveau a été le plus fréquemment testé, tandis que le skewness négatif de -0,656 confirme une asymétrie à gauche — plus de journées ont clôturé au-dessus de la moyenne, mais les baisses ont été plus amples que les hausses. L'écart-type de 180 FCFA (CV de 4,1%) traduit une dispersion modérée du cours autour de sa moyenne, et le kurtosis de 0,384 (mésokurtique) indique une distribution proche de la normale, sans risque excessif de pics extrêmes. La volatilité annualisée de 38,7% classe PRSC dans la catégorie des titres à volatilité élevée (&gt;30%), ce qui implique un risque de prix non négligeable pour les investisseurs à court terme.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(4 188,5 FCFA) est inférieure à la MM50 (4 339,7 FCFA), et le cours actuel (4 250 FCFA) se situe entre les deux, mais plus proche de la MM20. Cette configuration — MM20 sous MM50 — est baissière à court terme, et le franchissement à la baisse de la MM50 par le cours justifie la décision technique de **Vente**. Le titre évolue sous sa moyenne mobile de moyen terme, ce qui suggère une perte de momentum haussier.</w:t>
      </w:r>
    </w:p>
    <w:p>
      <w:pPr>
        <w:spacing w:after="120" w:line="276" w:lineRule="auto"/>
      </w:pPr>
      <w:r>
        <w:t>**Bandes de Bollinger** : Le cours (4 250 FCFA) se situe dans la moitié inférieure de la bande, entre la borne inférieure (3 853,4 FCFA) et la borne supérieure (4 523,6 FCFA), mais plus proche du milieu. La largeur des bandes (670 FCFA d'écart) reflète une volatilité modérée, et la position neutre du cours par rapport aux bornes justifie la décision **Neutre** — ni suracheté, ni survendu.</w:t>
      </w:r>
    </w:p>
    <w:p>
      <w:pPr>
        <w:spacing w:after="120" w:line="276" w:lineRule="auto"/>
      </w:pPr>
      <w:r>
        <w:t>**MACD** : La valeur du MACD (-20,578) est supérieure à son signal (-53,781), formant un croisement haussier (MACD au-dessus du signal) bien que les deux restent en territoire négatif. Ce croisement indique un ralentissement de la dynamique baissière et un potentiel retournement, justifiant la décision d'**Achat** — mais la prudence reste de mise car les deux courbes sont encore sous zéro.</w:t>
      </w:r>
    </w:p>
    <w:p>
      <w:pPr>
        <w:spacing w:after="120" w:line="276" w:lineRule="auto"/>
      </w:pPr>
      <w:r>
        <w:t>**RSI** : À 54,381, le RSI se situe dans la zone neutre (30-70), légèrement au-dessus du milieu, indiquant un équilibre entre acheteurs et vendeurs sans pression excessive dans un sens ou dans l'autre. La décision **Neutre** est cohérente avec cette position médiane.</w:t>
      </w:r>
    </w:p>
    <w:p>
      <w:pPr>
        <w:spacing w:after="120" w:line="276" w:lineRule="auto"/>
      </w:pPr>
      <w:r>
        <w:t>**Stochastique** : Le %K (72,727) est inférieur au %D (87,576), et les deux se situent en zone haute (&gt;70), proche de la zone de surachat. Le croisement baissier (%K sous %D) suggère un essoufflement de la dynamique haussière à court terme, mais la décision reste **Neutre** car le signal n'est pas encore confirmé par une sortie de la zone de surachat.</w:t>
      </w:r>
    </w:p>
    <w:p>
      <w:pPr>
        <w:spacing w:after="120" w:line="276" w:lineRule="auto"/>
      </w:pPr>
      <w:r>
        <w:t>**Conclusion technique** : Les indicateurs sont divergents — le MACD donne un signal d'achat (croisement haussier), tandis que les moyennes mobiles et le stochastique penchent pour la prudence, voire la vente. Le RSI et les bandes de Bollinger confirment une position neutre. Cette divergence suggère un marché sans direction claire, avec un léger avantage aux vendeurs à court terme (cours sous MM50, stochastique en surachat), mais un potentiel de rebond technique (MACD). La prudence est de mise avant toute décision directionnelle.</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TRACTAFRIC MOTORS CÔTE D'IVOIRE (PRSC) a réalisé un chiffre d'affaires de 81,127 milliards FCFA, en croissance de 8,64% sur un an, portée par la dynamique du marché automobile ivoirien et la diversification réussie dans les pneumatiques Michelin (+62,6% au S1 2025 selon le rapport d'activité du 30 juin 2025). Le résultat net s'établit à 2,367 milliards FCFA, stable par rapport à 2024 (2,35 Mds FCFA selon le rapport annuel 2025), avec une marge nette de 2,92% — faible mais en légère amélioration. Le ROE de 20,53% est excellent (&gt;15%), témoignant d'une bonne rentabilité des fonds propres (11,531 Mds FCFA), tandis que le ROA de 4,95% reste modeste, reflétant l'intensité capitalistique du modèle de distribution (stocks élevés à 26,334 Mds FCFA, délai de stockage de 150,5 jours). Le BFR de 11,267 Mds FCFA est positif et représente un besoin de financement significatif, mais le fonds de roulement (6,113 Mds FCFA) ne le couvre pas entièrement, d'où une trésorerie nette négative de -4,092 Mds FCFA — un point de vigilance. Les délais clients (46 jours) et fournisseurs (102,7 jours) sont relativement bien gérés, le délai fournisseurs élevé constituant une source de financement gratuite. L'endettement est maîtrisé (dettes financières totales de 7,152 Mds FCFA, capacité de remboursement de 1,83 an), et la couverture des intérêts est excellente (1585%). Sur la base du rapport d'activité du S1 2025 (CA +15,1% à 39,968 Mds FCFA, résultat net multiplié par 28 à 1,436 Md FCFA), on peut estimer que l'exercice 2025 devrait confirmer cette tendance, avec un résultat net annuel autour de 2,4-2,5 Mds FCFA — cohérent avec les 2,367 Mds FCFA publiés. Le rapport annuel 2025 (publié en 2026) confirme la solidité de la structure financière (capitaux propres de 11,6 Mds FCFA, total bilan de 47,8 Mds FCFA) et la politique de dividende attractive (209 FCFA/action, soit un rendement de 4,9% au cours actuel). La principale faiblesse reste la marge nette (2,9%), sous pression en raison de la concurrence des véhicules low-cost et de la hausse des coûts opérationnels. La recommandation fondamentale est **CONSERVER**, avec un biais positif : la société est solide, rentable et généreuse en dividende, mais sa valorisation boursière (PER 18,4x) intègre déjà une bonne partie de ces qualités.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PRSC (PER 18,4x, P/B 3,77x, EV/EBITDA 9,5x) indique une action correctement valorisée, voire légèrement chère par rapport à la moyenne BRVM, mais justifiée par un ROE élevé (20,53%) et une politique de dividende attractive (209 FCFA/action, rendement ~4,9%). Le comportement du cours sur 100 jours (variation +0,95%, volatilité élevée de 38,7%, skewness négatif) révèle un titre sans tendance claire, avec une asymétrie défavorable (baisses plus amples que les hausses) et une correction en cours depuis les sommets de 4 740 FCFA. Les signaux techniques sont divergents : le MACD donne un signal d'achat (croisement haussier), mais les moyennes mobiles (cours sous MM50) et le stochastique (surachat) incitent à la prudence, tandis que le RSI et les bandes de Bollinger confirment une position neutre — cette divergence plaide pour une absence de direction forte à court terme. Les fondamentaux sont solides : croissance du CA (+8,64% en 2025), résultat net stable (2,367 Mds FCFA), structure financière saine (capitaux propres 11,53 Mds FCFA, endettement maîtrisé), et les rapports trimestriels (S1 2025 : CA +15,1%, résultat net ×28) suggèrent une accélération de la rentabilité, bien que la marge nette reste faible (2,9%). Les prédictions IA pour les 10 prochains jours (4 284 → 4 247 FCFA) anticipent une légère baisse, en ligne avec la pression vendeuse récente et le signal des moyennes mobiles. **Recommandation finale : CONSERVER**, avec un niveau de confiance **Moyen** et un risque global **Moyen**. La convergence entre fondamentaux solides et technique incertaine ne justifie pas un achat agressif à ce niveau de prix, mais la qualité de la société et son dividende protègent contre une vente précipitée. L'horizon d'investissement optimal est le **moyen terme (3-12 mois)**, en attendant une clarification technique (franchissement de la MM50 à la hausse) ou une correction vers la borne inférieure des bandes de Bollinger (3 853 FCFA) pour envisager un renforcement.</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20260615   avis de convocation   assemblee generale mixte   tractafric motors ci</w:t>
      </w:r>
    </w:p>
    <w:p>
      <w:pPr>
        <w:spacing w:before="20"/>
        <w:ind w:left="400"/>
      </w:pPr>
      <w:r>
        <w:rPr>
          <w:color w:val="505050"/>
          <w:sz w:val="17"/>
        </w:rPr>
        <w:t xml:space="preserve">Date : 15/06/2026  |  Catégorie : convocation AG  |  Impact : </w:t>
      </w:r>
      <w:r>
        <w:rPr>
          <w:b/>
          <w:color w:val="008000"/>
          <w:sz w:val="17"/>
        </w:rPr>
        <w:t>🟢 POSITIF</w:t>
      </w:r>
    </w:p>
    <w:p>
      <w:pPr>
        <w:spacing w:before="40"/>
        <w:ind w:left="400"/>
      </w:pPr>
      <w:r>
        <w:rPr>
          <w:sz w:val="18"/>
        </w:rPr>
        <w:t>La société Tractafric Motors Côte d’Ivoire convoque ses actionnaires en Assemblée générale mixte le 30 juin 2026 à l'hôtel Movenpick Abidjan. L'ordre du jour comprend l'approbation des comptes 2025, l'affectation du résultat et la mise en paiement d'un dividende de 209 FCFA brut par action, ainsi que des modifications statutaires liées à l'adresse du siège social. Le document présente également les projets de résolutions, dont l'approbation d'un bénéfice de 2 367 384 402 FCFA.</w:t>
      </w:r>
    </w:p>
    <w:p>
      <w:pPr>
        <w:spacing w:before="60"/>
        <w:ind w:left="400"/>
      </w:pPr>
      <w:r>
        <w:rPr>
          <w:b/>
          <w:sz w:val="18"/>
        </w:rPr>
        <w:t>Points clés :</w:t>
      </w:r>
    </w:p>
    <w:p>
      <w:pPr>
        <w:pStyle w:val="ListBullet"/>
        <w:spacing w:before="20" w:after="20"/>
        <w:ind w:left="700"/>
      </w:pPr>
      <w:r>
        <w:rPr>
          <w:sz w:val="18"/>
        </w:rPr>
        <w:t>Assemblée générale mixte prévue le 30 juin 2026 à l'hôtel Movenpick Abidjan à 10h00.</w:t>
      </w:r>
    </w:p>
    <w:p>
      <w:pPr>
        <w:pStyle w:val="ListBullet"/>
        <w:spacing w:before="20" w:after="20"/>
        <w:ind w:left="700"/>
      </w:pPr>
      <w:r>
        <w:rPr>
          <w:sz w:val="18"/>
        </w:rPr>
        <w:t>Examen et approbation des comptes sociaux SYSCOHADA et IFRS de l'exercice clos le 31 décembre 2025.</w:t>
      </w:r>
    </w:p>
    <w:p>
      <w:pPr>
        <w:pStyle w:val="ListBullet"/>
        <w:spacing w:before="20" w:after="20"/>
        <w:ind w:left="700"/>
      </w:pPr>
      <w:r>
        <w:rPr>
          <w:sz w:val="18"/>
        </w:rPr>
        <w:t>Affectation du résultat avec un dividende global de 2 140 160 000 FCFA, soit 209 FCFA brut par action.</w:t>
      </w:r>
    </w:p>
    <w:p>
      <w:pPr>
        <w:pStyle w:val="ListBullet"/>
        <w:spacing w:before="20" w:after="20"/>
        <w:ind w:left="700"/>
      </w:pPr>
      <w:r>
        <w:rPr>
          <w:sz w:val="18"/>
        </w:rPr>
        <w:t>Le dividende sera mis en paiement au plus tard le 30 septembre 2026.</w:t>
      </w:r>
    </w:p>
    <w:p>
      <w:pPr>
        <w:pStyle w:val="ListBullet"/>
        <w:spacing w:before="20" w:after="20"/>
        <w:ind w:left="700"/>
      </w:pPr>
      <w:r>
        <w:rPr>
          <w:sz w:val="18"/>
        </w:rPr>
        <w:t>Modification des statuts pour actualiser l'adresse du siège social au Km 4, Boulevard Philippe Gregoire Yace – Zone 3, Abidjan.</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pr\u00e9sente une croissance solide du chiffre d'affaires et maintient sa rentabilit\u00e9 avec un dividende attractif. La structure financi\u00e8re saine et la tr\u00e9sorerie positive offrent une bonne visibilit\u00e9 malgr\u00e9 une marge nette modeste."}</w:t>
      </w:r>
    </w:p>
    <w:p>
      <w:pPr>
        <w:spacing w:before="40"/>
        <w:ind w:left="400"/>
      </w:pPr>
      <w:r>
        <w:rPr>
          <w:sz w:val="18"/>
        </w:rPr>
        <w:t>TRACTAFRIC MOTORS CÔTE D'IVOIRE affiche une solide performance financière pour l'exercice 2025 avec un chiffre d'affaires en hausse de 9,5% à 81,1 milliards FCFA. La société maintient une rentabilité stable avec un résultat net de 2,37 milliards FCFA, légèrement en baisse par rapport aux 2,35 milliards de 2024. Les capitaux propres se renforcent à 11,6 milliards FCFA contre 11,3 milliards l'année précédente. La structure financière demeure équilibrée avec un total de bilan de 47,8 milliards FCFA. Un dividende attractif de 2 140 FCFA par action est proposé, démontrant la capacité de distribution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'4,1 milliards FCFA', 'marge_commerciale': '18,0 milliards FCFA', 'immobilisations_corporelles': '19,9 milliards FCFA'}</w:t>
            </w:r>
          </w:p>
        </w:tc>
        <w:tc>
          <w:tcPr>
            <w:tcW w:type="dxa" w:w="2160"/>
          </w:tcPr>
          <w:p>
            <w:pPr>
              <w:ind w:left="100"/>
            </w:pPr>
            <w:r/>
            <w:r>
              <w:rPr>
                <w:b/>
                <w:sz w:val="16"/>
              </w:rPr>
              <w:t>dividende</w:t>
              <w:br/>
            </w:r>
            <w:r>
              <w:rPr>
                <w:sz w:val="18"/>
              </w:rPr>
              <w:t>2 140 FCFA par action</w:t>
            </w:r>
          </w:p>
        </w:tc>
        <w:tc>
          <w:tcPr>
            <w:tcW w:type="dxa" w:w="2160"/>
          </w:tcPr>
          <w:p>
            <w:pPr>
              <w:ind w:left="100"/>
            </w:pPr>
            <w:r/>
            <w:r>
              <w:rPr>
                <w:b/>
                <w:sz w:val="16"/>
              </w:rPr>
              <w:t>marge_nette</w:t>
              <w:br/>
            </w:r>
            <w:r>
              <w:rPr>
                <w:sz w:val="18"/>
              </w:rPr>
              <w:t>2,9%</w:t>
            </w:r>
          </w:p>
        </w:tc>
        <w:tc>
          <w:tcPr>
            <w:tcW w:type="dxa" w:w="2160"/>
          </w:tcPr>
          <w:p>
            <w:pPr>
              <w:ind w:left="100"/>
            </w:pPr>
            <w:r/>
            <w:r>
              <w:rPr>
                <w:b/>
                <w:sz w:val="16"/>
              </w:rPr>
              <w:t>total_actif</w:t>
              <w:br/>
            </w:r>
            <w:r>
              <w:rPr>
                <w:sz w:val="18"/>
              </w:rPr>
              <w:t>47,8 milliards FCFA</w:t>
            </w:r>
          </w:p>
        </w:tc>
      </w:tr>
      <w:tr>
        <w:tc>
          <w:tcPr>
            <w:tcW w:type="dxa" w:w="2160"/>
          </w:tcPr>
          <w:p>
            <w:r/>
            <w:r>
              <w:rPr>
                <w:b/>
                <w:sz w:val="16"/>
              </w:rPr>
              <w:t>resultat_net</w:t>
              <w:br/>
            </w:r>
            <w:r>
              <w:rPr>
                <w:sz w:val="18"/>
              </w:rPr>
              <w:t>2,37 milliards FCFA</w:t>
            </w:r>
          </w:p>
        </w:tc>
        <w:tc>
          <w:tcPr>
            <w:tcW w:type="dxa" w:w="2160"/>
          </w:tcPr>
          <w:p>
            <w:r/>
            <w:r>
              <w:rPr>
                <w:b/>
                <w:sz w:val="16"/>
              </w:rPr>
              <w:t>capitaux_propres</w:t>
              <w:br/>
            </w:r>
            <w:r>
              <w:rPr>
                <w:sz w:val="18"/>
              </w:rPr>
              <w:t>11,6 milliards FCFA</w:t>
            </w:r>
          </w:p>
        </w:tc>
        <w:tc>
          <w:tcPr>
            <w:tcW w:type="dxa" w:w="2160"/>
          </w:tcPr>
          <w:p>
            <w:r/>
            <w:r>
              <w:rPr>
                <w:b/>
                <w:sz w:val="16"/>
              </w:rPr>
              <w:t>chiffre_affaires</w:t>
              <w:br/>
            </w:r>
            <w:r>
              <w:rPr>
                <w:sz w:val="18"/>
              </w:rPr>
              <w:t>81,1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9,5% à 81,1 milliards FCFA en 2025</w:t>
      </w:r>
    </w:p>
    <w:p>
      <w:pPr>
        <w:pStyle w:val="ListBullet"/>
        <w:spacing w:before="20" w:after="20"/>
        <w:ind w:left="700"/>
      </w:pPr>
      <w:r>
        <w:rPr>
          <w:sz w:val="18"/>
        </w:rPr>
        <w:t>Résultat net stable à 2,37 milliards FCFA (vs 2,35 milliards en 2024)</w:t>
      </w:r>
    </w:p>
    <w:p>
      <w:pPr>
        <w:pStyle w:val="ListBullet"/>
        <w:spacing w:before="20" w:after="20"/>
        <w:ind w:left="700"/>
      </w:pPr>
      <w:r>
        <w:rPr>
          <w:sz w:val="18"/>
        </w:rPr>
        <w:t>Marge commerciale en progression de 23% à 18,0 milliards FCFA</w:t>
      </w:r>
    </w:p>
    <w:p>
      <w:pPr>
        <w:pStyle w:val="ListBullet"/>
        <w:spacing w:before="20" w:after="20"/>
        <w:ind w:left="700"/>
      </w:pPr>
      <w:r>
        <w:rPr>
          <w:sz w:val="18"/>
        </w:rPr>
        <w:t>Renforcement des capitaux propres à 11,6 milliards FCFA (+3%)</w:t>
      </w:r>
    </w:p>
    <w:p>
      <w:pPr>
        <w:pStyle w:val="ListBullet"/>
        <w:spacing w:before="20" w:after="20"/>
        <w:ind w:left="700"/>
      </w:pPr>
      <w:r>
        <w:rPr>
          <w:sz w:val="18"/>
        </w:rPr>
        <w:t>Dividende généreux de 2 140 FCFA par action maintenu</w:t>
      </w:r>
    </w:p>
    <w:p>
      <w:pPr>
        <w:pStyle w:val="ListBullet"/>
        <w:spacing w:before="20" w:after="20"/>
        <w:ind w:left="700"/>
      </w:pPr>
      <w:r>
        <w:rPr>
          <w:sz w:val="18"/>
        </w:rPr>
        <w:t>Immobilisations corporelles importantes de 19,9 milliards FCFA</w:t>
      </w:r>
    </w:p>
    <w:p>
      <w:pPr>
        <w:spacing w:before="40"/>
        <w:ind w:left="400"/>
      </w:pPr>
      <w:r>
        <w:rPr>
          <w:b/>
          <w:color w:val="C05000"/>
          <w:sz w:val="18"/>
        </w:rPr>
        <w:t xml:space="preserve">⚠️ Risques : </w:t>
      </w:r>
      <w:r>
        <w:rPr>
          <w:sz w:val="18"/>
        </w:rPr>
        <w:t>["Marge nette relativement faible \u00e0 2,9% indiquant une pression sur les co\u00fbts", "D\u00e9pendance au march\u00e9 automobile ivoirien et aux conditions \u00e9conomiques locales", "Exposition aux fluctuations des taux de change sur les importations de v\u00e9hicules"]</w:t>
      </w:r>
    </w:p>
    <w:p>
      <w:pPr>
        <w:spacing w:before="40"/>
        <w:ind w:left="400"/>
      </w:pPr>
      <w:r>
        <w:rPr>
          <w:b/>
          <w:color w:val="0064A0"/>
          <w:sz w:val="18"/>
        </w:rPr>
        <w:t xml:space="preserve">🔮 Perspectives : </w:t>
      </w:r>
      <w:r>
        <w:rPr>
          <w:sz w:val="18"/>
        </w:rPr>
        <w:t>La société devrait continuer à bénéficier de la croissance économique ivoirienne et du développement du marché automobile. La politique de dividende attractive et la solidité financière devraient maintenir l'attrait pour les investisseurs en quête de rendement régulier.</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baisse du r\u00e9sultat net, la croissance du CA et du march\u00e9 automobile ivoirien offrent des perspectives positives. La position concurrentielle reste solide avec une am\u00e9lioration dans le segment pick-up."}</w:t>
      </w:r>
    </w:p>
    <w:p>
      <w:pPr>
        <w:spacing w:before="40"/>
        <w:ind w:left="400"/>
      </w:pPr>
      <w:r>
        <w:rPr>
          <w:sz w:val="18"/>
        </w:rPr>
        <w:t>TRACTAFRIC MOTORS Côte d'Ivoire présente des résultats trimestriels contrastés au 30 septembre 2023. Le chiffre d'affaires progresse de 7,9% à 55,94 milliards FCFA, soutenu par la croissance du marché automobile ivoirien (+14,41%). Cependant, le résultat net chute drastiquement de 54,7% à 1,30 milliard FCFA contre 2,88 milliards l'année précédente. La société maintient sa position sur le marché avec une part de 8,61% et renforce sa présence dans le segment pick-up (12,40%). Le taux de rendement de l'action s'établit à 8% au 30 septembre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{'part_marche': '8,61%', 'vehicules_vendus': '1 777 unités', 'part_marche_pickup': '12,40%', 'taux_rendement_action': '8%'}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1,30 milliard FCFA (3T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55,94 milliards FCFA (3T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7,9% à 55,94 milliards FCFA au 3ème trimestre 2023</w:t>
      </w:r>
    </w:p>
    <w:p>
      <w:pPr>
        <w:pStyle w:val="ListBullet"/>
        <w:spacing w:before="20" w:after="20"/>
        <w:ind w:left="700"/>
      </w:pPr>
      <w:r>
        <w:rPr>
          <w:sz w:val="18"/>
        </w:rPr>
        <w:t>Forte dégradation du résultat net (-54,7%) passant de 2,88 à 1,30 milliard FCFA</w:t>
      </w:r>
    </w:p>
    <w:p>
      <w:pPr>
        <w:pStyle w:val="ListBullet"/>
        <w:spacing w:before="20" w:after="20"/>
        <w:ind w:left="700"/>
      </w:pPr>
      <w:r>
        <w:rPr>
          <w:sz w:val="18"/>
        </w:rPr>
        <w:t>Marché automobile ivoirien en forte croissance (+14,41%) avec 20 636 véhicules neufs vendus</w:t>
      </w:r>
    </w:p>
    <w:p>
      <w:pPr>
        <w:pStyle w:val="ListBullet"/>
        <w:spacing w:before="20" w:after="20"/>
        <w:ind w:left="700"/>
      </w:pPr>
      <w:r>
        <w:rPr>
          <w:sz w:val="18"/>
        </w:rPr>
        <w:t>Part de marché de TMCI stable à 8,61% avec 1 777 véhicules vendus</w:t>
      </w:r>
    </w:p>
    <w:p>
      <w:pPr>
        <w:pStyle w:val="ListBullet"/>
        <w:spacing w:before="20" w:after="20"/>
        <w:ind w:left="700"/>
      </w:pPr>
      <w:r>
        <w:rPr>
          <w:sz w:val="18"/>
        </w:rPr>
        <w:t>Progression dans le segment pick-up avec une part de marché de 12,40% vs 11,23% en 2022</w:t>
      </w:r>
    </w:p>
    <w:p>
      <w:pPr>
        <w:pStyle w:val="ListBullet"/>
        <w:spacing w:before="20" w:after="20"/>
        <w:ind w:left="700"/>
      </w:pPr>
      <w:r>
        <w:rPr>
          <w:sz w:val="18"/>
        </w:rPr>
        <w:t>Hausse portée par les produits low-cost SUZUKI et les véhicules chinois utilitaires</w:t>
      </w:r>
    </w:p>
    <w:p>
      <w:pPr>
        <w:spacing w:before="40"/>
        <w:ind w:left="400"/>
      </w:pPr>
      <w:r>
        <w:rPr>
          <w:b/>
          <w:color w:val="C05000"/>
          <w:sz w:val="18"/>
        </w:rPr>
        <w:t xml:space="preserve">⚠️ Risques : </w:t>
      </w:r>
      <w:r>
        <w:rPr>
          <w:sz w:val="18"/>
        </w:rPr>
        <w:t>["Forte d\u00e9gradation de la rentabilit\u00e9 avec une chute de 54,7% du r\u00e9sultat net", "Pression concurrentielle accrue des produits low-cost et chinois sur les marges", "Augmentation des charges d'exploitation pesant sur la profitabilit\u00e9"]</w:t>
      </w:r>
    </w:p>
    <w:p>
      <w:pPr>
        <w:spacing w:before="40"/>
        <w:ind w:left="400"/>
      </w:pPr>
      <w:r>
        <w:rPr>
          <w:b/>
          <w:color w:val="0064A0"/>
          <w:sz w:val="18"/>
        </w:rPr>
        <w:t xml:space="preserve">🔮 Perspectives : </w:t>
      </w:r>
      <w:r>
        <w:rPr>
          <w:sz w:val="18"/>
        </w:rPr>
        <w:t>Le dernier trimestre 2023 devrait connaître une croissance similaire du chiffre d'affaires avec une hausse de la part de marché. La société mise sur le développement continu du marché automobile ivoirien et l'expansion de son parc de véhicules utilitaires pour améliorer ses performances.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de part de march\u00e9, la soci\u00e9t\u00e9 affiche une croissance solide du CA et des r\u00e9sultats dans un march\u00e9 automobile en expansion. La diversification vers les produits low cost et v\u00e9hicules chinois positionne bien l'entreprise."}</w:t>
      </w:r>
    </w:p>
    <w:p>
      <w:pPr>
        <w:spacing w:before="40"/>
        <w:ind w:left="400"/>
      </w:pPr>
      <w:r>
        <w:rPr>
          <w:sz w:val="18"/>
        </w:rPr>
        <w:t>TRACTAFRIC MOTORS Côte d'Ivoire présente des résultats solides au 3ème trimestre 2022 avec un chiffre d'affaires de 51,8 milliards FCFA, en hausse de 8% par rapport à 2021. Le résultat net progresse de 3,1% à 2,88 milliards FCFA malgré un contexte de marché automobile difficile. La société maintient sa position avec une part de marché de 9,76% contre 12,33% l'année précédente. Le marché global de l'automobile ivoirien a connu une croissance de 22% au 3ème trimestre avec 18 035 véhicules vendus. L'entreprise bénéficie de la dynamique des produits low cost et du développement du parc taxi ainsi que des véhicules chinois.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{'part_de_marche': '9,76%', 'taux_rendement_action': '5,41%', 'vehicules_vendus_marche': '18 035 unités', 'resultat_activites_ordinaires': '3 939 525 787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5,55%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2 879 641 263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51 843 203 879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8% à 51,8 milliards FCFA au T3 2022</w:t>
      </w:r>
    </w:p>
    <w:p>
      <w:pPr>
        <w:pStyle w:val="ListBullet"/>
        <w:spacing w:before="20" w:after="20"/>
        <w:ind w:left="700"/>
      </w:pPr>
      <w:r>
        <w:rPr>
          <w:sz w:val="18"/>
        </w:rPr>
        <w:t>Résultat net en progression de 3,1% à 2,88 milliards FCFA</w:t>
      </w:r>
    </w:p>
    <w:p>
      <w:pPr>
        <w:pStyle w:val="ListBullet"/>
        <w:spacing w:before="20" w:after="20"/>
        <w:ind w:left="700"/>
      </w:pPr>
      <w:r>
        <w:rPr>
          <w:sz w:val="18"/>
        </w:rPr>
        <w:t>Marché automobile ivoirien en croissance de 22% avec 18 035 véhicules vendus</w:t>
      </w:r>
    </w:p>
    <w:p>
      <w:pPr>
        <w:pStyle w:val="ListBullet"/>
        <w:spacing w:before="20" w:after="20"/>
        <w:ind w:left="700"/>
      </w:pPr>
      <w:r>
        <w:rPr>
          <w:sz w:val="18"/>
        </w:rPr>
        <w:t>Part de marché de TRACTAFRIC en baisse à 9,76% contre 12,33% en 2021</w:t>
      </w:r>
    </w:p>
    <w:p>
      <w:pPr>
        <w:pStyle w:val="ListBullet"/>
        <w:spacing w:before="20" w:after="20"/>
        <w:ind w:left="700"/>
      </w:pPr>
      <w:r>
        <w:rPr>
          <w:sz w:val="18"/>
        </w:rPr>
        <w:t>Forte demande pour les produits low cost (SUZUKI) et véhicules chinois</w:t>
      </w:r>
    </w:p>
    <w:p>
      <w:pPr>
        <w:pStyle w:val="ListBullet"/>
        <w:spacing w:before="20" w:after="20"/>
        <w:ind w:left="700"/>
      </w:pPr>
      <w:r>
        <w:rPr>
          <w:sz w:val="18"/>
        </w:rPr>
        <w:t>Développement significatif du segment taxi et véhicules utilitaires</w:t>
      </w:r>
    </w:p>
    <w:p>
      <w:pPr>
        <w:spacing w:before="40"/>
        <w:ind w:left="400"/>
      </w:pPr>
      <w:r>
        <w:rPr>
          <w:b/>
          <w:color w:val="C05000"/>
          <w:sz w:val="18"/>
        </w:rPr>
        <w:t xml:space="preserve">⚠️ Risques : </w:t>
      </w:r>
      <w:r>
        <w:rPr>
          <w:sz w:val="18"/>
        </w:rPr>
        <w:t>["\u00c9rosion continue de la part de march\u00e9 face \u00e0 la concurrence", "D\u00e9pendance croissante aux v\u00e9hicules low cost moins rentables", "Volatilit\u00e9 du march\u00e9 automobile et des conditions \u00e9conomiques locales"]</w:t>
      </w:r>
    </w:p>
    <w:p>
      <w:pPr>
        <w:spacing w:before="40"/>
        <w:ind w:left="400"/>
      </w:pPr>
      <w:r>
        <w:rPr>
          <w:b/>
          <w:color w:val="0064A0"/>
          <w:sz w:val="18"/>
        </w:rPr>
        <w:t xml:space="preserve">🔮 Perspectives : </w:t>
      </w:r>
      <w:r>
        <w:rPr>
          <w:sz w:val="18"/>
        </w:rPr>
        <w:t>Le 4ème trimestre 2022 devrait connaître une croissance similaire du chiffre d'affaires avec une amélioration de la part de marché. La stratégie de diversification vers les segments populaires et utilitaires devrait soutenir la performance future.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"TMCI affiche une croissance soutenue du CA et du r\u00e9sultat net avec une structure financi\u00e8re saine. Cependant, l'augmentation des stocks et cr\u00e9ances clients n\u00e9cessite une surveillance du BFR."}</w:t>
      </w:r>
    </w:p>
    <w:p>
      <w:pPr>
        <w:spacing w:before="40"/>
        <w:ind w:left="400"/>
      </w:pPr>
      <w:r>
        <w:rPr>
          <w:sz w:val="18"/>
        </w:rPr>
        <w:t>TRACTAFRIC MOTORS CÔTE D'IVOIRE (TMCI) présente des résultats solides pour l'exercice 2022 avec un chiffre d'affaires de 70,09 milliards FCFA et un résultat net de 3,64 milliards FCFA. La société maintient une structure financière équilibrée avec des capitaux propres de 11,48 milliards FCFA et un total actif de 52,17 milliards FCFA. L'activité commerciale reste dynamique avec une marge commerciale de 12,17 milliards FCFA en croissance par rapport à 2021. La génération de cash-flow opérationnel positive de 2,52 milliards FCFA témoigne de la robustesse du modèle économique. TMCI confirme sa position de leader dans la distribution automobile en Côte d'Ivoire.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{'stocks': '27,77 milliards FCFA', 'creances_clients': '9,13 milliards FCFA', 'tresorerie_nette': '5,77 milliards FCFA', 'marge_commerciale': '12,17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w:t>
            </w:r>
          </w:p>
        </w:tc>
        <w:tc>
          <w:tcPr>
            <w:tcW w:type="dxa" w:w="2160"/>
          </w:tcPr>
          <w:p>
            <w:pPr>
              <w:ind w:left="100"/>
            </w:pPr>
            <w:r/>
            <w:r>
              <w:rPr>
                <w:b/>
                <w:sz w:val="16"/>
              </w:rPr>
              <w:t>total_actif</w:t>
              <w:br/>
            </w:r>
            <w:r>
              <w:rPr>
                <w:sz w:val="18"/>
              </w:rPr>
              <w:t>52,17 milliards FCFA</w:t>
            </w:r>
          </w:p>
        </w:tc>
      </w:tr>
      <w:tr>
        <w:tc>
          <w:tcPr>
            <w:tcW w:type="dxa" w:w="2160"/>
          </w:tcPr>
          <w:p>
            <w:r/>
            <w:r>
              <w:rPr>
                <w:b/>
                <w:sz w:val="16"/>
              </w:rPr>
              <w:t>resultat_net</w:t>
              <w:br/>
            </w:r>
            <w:r>
              <w:rPr>
                <w:sz w:val="18"/>
              </w:rPr>
              <w:t>3,64 milliards FCFA</w:t>
            </w:r>
          </w:p>
        </w:tc>
        <w:tc>
          <w:tcPr>
            <w:tcW w:type="dxa" w:w="2160"/>
          </w:tcPr>
          <w:p>
            <w:r/>
            <w:r>
              <w:rPr>
                <w:b/>
                <w:sz w:val="16"/>
              </w:rPr>
              <w:t>capitaux_propres</w:t>
              <w:br/>
            </w:r>
            <w:r>
              <w:rPr>
                <w:sz w:val="18"/>
              </w:rPr>
              <w:t>11,48 milliards FCFA</w:t>
            </w:r>
          </w:p>
        </w:tc>
        <w:tc>
          <w:tcPr>
            <w:tcW w:type="dxa" w:w="2160"/>
          </w:tcPr>
          <w:p>
            <w:r/>
            <w:r>
              <w:rPr>
                <w:b/>
                <w:sz w:val="16"/>
              </w:rPr>
              <w:t>chiffre_affaires</w:t>
              <w:br/>
            </w:r>
            <w:r>
              <w:rPr>
                <w:sz w:val="18"/>
              </w:rPr>
              <w:t>70,09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progression à 70,09 milliards FCFA contre 65,02 milliards FCFA en 2021 (+7,8%)</w:t>
      </w:r>
    </w:p>
    <w:p>
      <w:pPr>
        <w:pStyle w:val="ListBullet"/>
        <w:spacing w:before="20" w:after="20"/>
        <w:ind w:left="700"/>
      </w:pPr>
      <w:r>
        <w:rPr>
          <w:sz w:val="18"/>
        </w:rPr>
        <w:t>Résultat net en hausse à 3,64 milliards FCFA contre 3,07 milliards FCFA en 2021 (+18,6%)</w:t>
      </w:r>
    </w:p>
    <w:p>
      <w:pPr>
        <w:pStyle w:val="ListBullet"/>
        <w:spacing w:before="20" w:after="20"/>
        <w:ind w:left="700"/>
      </w:pPr>
      <w:r>
        <w:rPr>
          <w:sz w:val="18"/>
        </w:rPr>
        <w:t>Marge commerciale renforcée à 12,17 milliards FCFA contre 11,75 milliards FCFA en 2021</w:t>
      </w:r>
    </w:p>
    <w:p>
      <w:pPr>
        <w:pStyle w:val="ListBullet"/>
        <w:spacing w:before="20" w:after="20"/>
        <w:ind w:left="700"/>
      </w:pPr>
      <w:r>
        <w:rPr>
          <w:sz w:val="18"/>
        </w:rPr>
        <w:t>Stocks et encours importants de 27,77 milliards FCFA reflétant l'activité de distribution</w:t>
      </w:r>
    </w:p>
    <w:p>
      <w:pPr>
        <w:pStyle w:val="ListBullet"/>
        <w:spacing w:before="20" w:after="20"/>
        <w:ind w:left="700"/>
      </w:pPr>
      <w:r>
        <w:rPr>
          <w:sz w:val="18"/>
        </w:rPr>
        <w:t>Créances clients de 9,13 milliards FCFA contre 8,14 milliards FCFA en 2021</w:t>
      </w:r>
    </w:p>
    <w:p>
      <w:pPr>
        <w:pStyle w:val="ListBullet"/>
        <w:spacing w:before="20" w:after="20"/>
        <w:ind w:left="700"/>
      </w:pPr>
      <w:r>
        <w:rPr>
          <w:sz w:val="18"/>
        </w:rPr>
        <w:t>Capitaux propres stables à 11,48 milliards FCFA avec des réserves libres de 4,19 milliards FCFA</w:t>
      </w:r>
    </w:p>
    <w:p>
      <w:pPr>
        <w:spacing w:before="40"/>
        <w:ind w:left="400"/>
      </w:pPr>
      <w:r>
        <w:rPr>
          <w:b/>
          <w:color w:val="C05000"/>
          <w:sz w:val="18"/>
        </w:rPr>
        <w:t xml:space="preserve">⚠️ Risques : </w:t>
      </w:r>
      <w:r>
        <w:rPr>
          <w:sz w:val="18"/>
        </w:rPr>
        <w:t>["Augmentation significative du besoin en fonds de roulement avec la hausse des stocks et cr\u00e9ances", "Exposition au march\u00e9 automobile ivoirien et aux fluctuations \u00e9conomiques locales", "Pression concurrentielle sur les marges dans le secteur de la distribution automobile"]</w:t>
      </w:r>
    </w:p>
    <w:p>
      <w:pPr>
        <w:spacing w:before="40"/>
        <w:ind w:left="400"/>
      </w:pPr>
      <w:r>
        <w:rPr>
          <w:b/>
          <w:color w:val="0064A0"/>
          <w:sz w:val="18"/>
        </w:rPr>
        <w:t xml:space="preserve">🔮 Perspectives : </w:t>
      </w:r>
      <w:r>
        <w:rPr>
          <w:sz w:val="18"/>
        </w:rPr>
        <w:t>La dynamique positive du marché automobile ivoirien devrait soutenir la croissance de TMCI en 2023. L'optimisation de la gestion des stocks et du recouvrement des créances sera cruciale pour améliorer la génération de cash-flow. La société est bien positionnée pour maintenir sa croissance dans un en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forte croissance du CA et la position solide sur le march\u00e9 de r\u00e9f\u00e9rence sont encourageantes. Le management anticipe une poursuite de la croissance au 2\u00e8me trimestre 2023."}</w:t>
      </w:r>
    </w:p>
    <w:p>
      <w:pPr>
        <w:spacing w:before="40"/>
        <w:ind w:left="400"/>
      </w:pPr>
      <w:r>
        <w:rPr>
          <w:sz w:val="18"/>
        </w:rPr>
        <w:t>TRACTAFRIC MOTORS Côte d'Ivoire présente des résultats mitigés pour le 1er trimestre 2023 avec un chiffre d'affaires en forte progression de 24,3% à 21,2 milliards FCFA. Malgré cette croissance du CA, le résultat net chute de 32,7% à 848 millions FCFA contre 1,26 milliard FCFA en 2022. La société bénéficie d'un marché automobile ivoirien dynamique en hausse de 37,9% et consolide sa position avec 8,9% de parts de marché. Les performances sont tirées par le segment des véhicules compacts (AB) et les véhicules de marque Suzuki. Le taux de rendement de l'action s'établit à 6,06% au 31 mars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'+24,3%', 'parts_marche_global': '8,9%', 'taux_rendement_action': '6,06%', 'parts_marche_reference': '16,1%', 'variation_resultat_net': '-32,7%'}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24,3% à 21,2 milliards FCFA au T1 2023</w:t>
      </w:r>
    </w:p>
    <w:p>
      <w:pPr>
        <w:pStyle w:val="ListBullet"/>
        <w:spacing w:before="20" w:after="20"/>
        <w:ind w:left="700"/>
      </w:pPr>
      <w:r>
        <w:rPr>
          <w:sz w:val="18"/>
        </w:rPr>
        <w:t>Résultat net en baisse significative de 32,7% à 848 millions FCFA</w:t>
      </w:r>
    </w:p>
    <w:p>
      <w:pPr>
        <w:pStyle w:val="ListBullet"/>
        <w:spacing w:before="20" w:after="20"/>
        <w:ind w:left="700"/>
      </w:pPr>
      <w:r>
        <w:rPr>
          <w:sz w:val="18"/>
        </w:rPr>
        <w:t>Marché automobile ivoirien en forte progression (+37,9%) avec 7 489 véhicules vendus</w:t>
      </w:r>
    </w:p>
    <w:p>
      <w:pPr>
        <w:pStyle w:val="ListBullet"/>
        <w:spacing w:before="20" w:after="20"/>
        <w:ind w:left="700"/>
      </w:pPr>
      <w:r>
        <w:rPr>
          <w:sz w:val="18"/>
        </w:rPr>
        <w:t>Parts de marché de TRACTAFRIC à 8,9% contre 11,7% en 2022 (segment global)</w:t>
      </w:r>
    </w:p>
    <w:p>
      <w:pPr>
        <w:pStyle w:val="ListBullet"/>
        <w:spacing w:before="20" w:after="20"/>
        <w:ind w:left="700"/>
      </w:pPr>
      <w:r>
        <w:rPr>
          <w:sz w:val="18"/>
        </w:rPr>
        <w:t>Excellente performance sur le marché de référence (hors segment AB) : 16,1% de parts de marché</w:t>
      </w:r>
    </w:p>
    <w:p>
      <w:pPr>
        <w:pStyle w:val="ListBullet"/>
        <w:spacing w:before="20" w:after="20"/>
        <w:ind w:left="700"/>
      </w:pPr>
      <w:r>
        <w:rPr>
          <w:sz w:val="18"/>
        </w:rPr>
        <w:t>Forte croissance du segment AB (véhicules compacts) porté par les taxis Suzuki</w:t>
      </w:r>
    </w:p>
    <w:p>
      <w:pPr>
        <w:spacing w:before="40"/>
        <w:ind w:left="400"/>
      </w:pPr>
      <w:r>
        <w:rPr>
          <w:b/>
          <w:color w:val="C05000"/>
          <w:sz w:val="18"/>
        </w:rPr>
        <w:t xml:space="preserve">⚠️ Risques : </w:t>
      </w:r>
      <w:r>
        <w:rPr>
          <w:sz w:val="18"/>
        </w:rPr>
        <w:t>["D\u00e9t\u00e9rioration des marges op\u00e9rationnelles malgr\u00e9 la croissance des volumes", "Perte de parts de march\u00e9 sur le segment global (8,9% vs 11,7% en 2022)", "Augmentation des prix d'acquisition des v\u00e9hicules aupr\u00e8s des constructeurs"]</w:t>
      </w:r>
    </w:p>
    <w:p>
      <w:pPr>
        <w:spacing w:before="40"/>
        <w:ind w:left="400"/>
      </w:pPr>
      <w:r>
        <w:rPr>
          <w:b/>
          <w:color w:val="0064A0"/>
          <w:sz w:val="18"/>
        </w:rPr>
        <w:t xml:space="preserve">🔮 Perspectives : </w:t>
      </w:r>
      <w:r>
        <w:rPr>
          <w:sz w:val="18"/>
        </w:rPr>
        <w:t>Le management anticipe une poursuite de la tendance de développement du chiffre d'affaires pour le 2ème trimestre 2023. Le marché automobile ivoirien reste dynamique et porteur, particulièrement sur les segments de valeur où TRACTAFRIC maintient une position forte.</w:t>
      </w:r>
    </w:p>
    <w:p/>
    <w:p>
      <w:r>
        <w:t>════════════════════════════════════════════════════════════════════════════════</w:t>
      </w:r>
    </w:p>
    <w:p>
      <w:r>
        <w:br w:type="page"/>
      </w:r>
    </w:p>
    <w:p>
      <w:pPr>
        <w:pStyle w:val="Heading2"/>
        <w:spacing w:before="360"/>
      </w:pPr>
      <w:r>
        <w:rPr>
          <w:color w:val="0066CC"/>
        </w:rPr>
        <w:t>28. SAFC - SAFCA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SAFC</w:t>
            </w:r>
          </w:p>
          <w:p>
            <w:r>
              <w:rPr>
                <w:b/>
                <w:color w:val="323250"/>
                <w:sz w:val="16"/>
              </w:rPr>
              <w:t xml:space="preserve">Société : </w:t>
            </w:r>
            <w:r>
              <w:rPr>
                <w:color w:val="000000"/>
                <w:sz w:val="16"/>
              </w:rPr>
              <w:t>SAFCA CI</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46.29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8,065 titres</w:t>
            </w:r>
          </w:p>
        </w:tc>
        <w:tc>
          <w:tcPr>
            <w:tcW w:type="dxa" w:w="2268"/>
            <w:shd w:fill="FFF2CC" w:val="clear"/>
          </w:tcPr>
          <w:p>
            <w:r>
              <w:rPr>
                <w:b/>
                <w:color w:val="503200"/>
                <w:sz w:val="16"/>
              </w:rPr>
              <w:t xml:space="preserve">Cours actuel : </w:t>
            </w:r>
            <w:r>
              <w:rPr>
                <w:color w:val="000000"/>
                <w:sz w:val="17"/>
              </w:rPr>
              <w:t>3,900 FCFA</w:t>
            </w:r>
          </w:p>
          <w:p>
            <w:r>
              <w:rPr>
                <w:b/>
                <w:color w:val="503200"/>
                <w:sz w:val="16"/>
              </w:rPr>
              <w:t xml:space="preserve">Var. 100 jours : </w:t>
            </w:r>
            <w:r>
              <w:rPr>
                <w:b/>
                <w:color w:val="007800"/>
                <w:sz w:val="17"/>
              </w:rPr>
              <w:t>+5.41%</w:t>
            </w:r>
          </w:p>
          <w:p>
            <w:r>
              <w:rPr>
                <w:b/>
                <w:color w:val="503200"/>
                <w:sz w:val="16"/>
              </w:rPr>
              <w:t xml:space="preserve">Plus haut 100j : </w:t>
            </w:r>
            <w:r>
              <w:rPr>
                <w:color w:val="000000"/>
                <w:sz w:val="17"/>
              </w:rPr>
              <w:t>6,200 FCFA</w:t>
            </w:r>
          </w:p>
          <w:p>
            <w:r>
              <w:rPr>
                <w:b/>
                <w:color w:val="503200"/>
                <w:sz w:val="16"/>
              </w:rPr>
              <w:t xml:space="preserve">Plus bas 100j : </w:t>
            </w:r>
            <w:r>
              <w:rPr>
                <w:color w:val="000000"/>
                <w:sz w:val="17"/>
              </w:rPr>
              <w:t>3,595 FCFA</w:t>
            </w:r>
          </w:p>
          <w:p>
            <w:r>
              <w:rPr>
                <w:b/>
                <w:color w:val="503200"/>
                <w:sz w:val="16"/>
              </w:rPr>
              <w:t xml:space="preserve">Volatilité ann. : </w:t>
            </w:r>
            <w:r>
              <w:rPr>
                <w:color w:val="000000"/>
                <w:sz w:val="17"/>
              </w:rPr>
              <w:t>61.3%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32.8/100 → Moyen</w:t>
      </w:r>
    </w:p>
    <w:p>
      <w:pPr>
        <w:spacing w:before="40" w:after="80"/>
      </w:pPr>
      <w:r>
        <w:rPr>
          <w:rFonts w:ascii="Courier New" w:hAnsi="Courier New"/>
          <w:color w:val="825A00"/>
          <w:sz w:val="18"/>
        </w:rPr>
        <w:t>██████░░░░░░░░░░░░░░  32.8/100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15.12% (Élevée) — μ=4,678 FCFA, σ=707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β=1.3031 (Agressif) — Cov=0.000097, Var(idx)=0.000075, ρ=0.290, n=96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8,065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σ_j=3.86%/j (Modérée) — Vol. annualisée≈61.3%</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63/100  (Bon)</w:t>
      </w:r>
    </w:p>
    <w:p/>
    <w:p>
      <w:pPr>
        <w:jc w:val="center"/>
      </w:pPr>
      <w:r>
        <w:drawing>
          <wp:inline xmlns:a="http://schemas.openxmlformats.org/drawingml/2006/main" xmlns:pic="http://schemas.openxmlformats.org/drawingml/2006/picture">
            <wp:extent cx="5669280" cy="2635585"/>
            <wp:docPr id="30" name="Picture 30"/>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2026-10-16</w:t>
            </w:r>
          </w:p>
        </w:tc>
        <w:tc>
          <w:tcPr>
            <w:tcW w:type="dxa" w:w="1440"/>
            <w:shd w:fill="FAFAFA" w:val="clear"/>
          </w:tcPr>
          <w:p>
            <w:r>
              <w:rPr>
                <w:sz w:val="17"/>
              </w:rPr>
              <w:t>3,611</w:t>
            </w:r>
          </w:p>
        </w:tc>
        <w:tc>
          <w:tcPr>
            <w:tcW w:type="dxa" w:w="1440"/>
            <w:shd w:fill="FAFAFA" w:val="clear"/>
          </w:tcPr>
          <w:p>
            <w:r>
              <w:rPr>
                <w:b/>
                <w:sz w:val="17"/>
              </w:rPr>
              <w:t>3,896</w:t>
            </w:r>
          </w:p>
        </w:tc>
        <w:tc>
          <w:tcPr>
            <w:tcW w:type="dxa" w:w="1440"/>
            <w:shd w:fill="FAFAFA" w:val="clear"/>
          </w:tcPr>
          <w:p>
            <w:r>
              <w:rPr>
                <w:sz w:val="17"/>
              </w:rPr>
              <w:t>4,181</w:t>
            </w:r>
          </w:p>
        </w:tc>
        <w:tc>
          <w:tcPr>
            <w:tcW w:type="dxa" w:w="1440"/>
            <w:shd w:fill="FAFAFA" w:val="clear"/>
          </w:tcPr>
          <w:p>
            <w:r>
              <w:rPr>
                <w:b/>
                <w:color w:val="C00000"/>
                <w:sz w:val="17"/>
              </w:rPr>
              <w:t>-0.1%</w:t>
            </w:r>
          </w:p>
        </w:tc>
      </w:tr>
      <w:tr>
        <w:tc>
          <w:tcPr>
            <w:tcW w:type="dxa" w:w="1440"/>
            <w:shd w:fill="FAFAFA" w:val="clear"/>
          </w:tcPr>
          <w:p>
            <w:r>
              <w:rPr>
                <w:sz w:val="17"/>
              </w:rPr>
              <w:t>J+2  ⭐</w:t>
            </w:r>
          </w:p>
        </w:tc>
        <w:tc>
          <w:tcPr>
            <w:tcW w:type="dxa" w:w="1440"/>
            <w:shd w:fill="FAFAFA" w:val="clear"/>
          </w:tcPr>
          <w:p>
            <w:r>
              <w:rPr>
                <w:sz w:val="17"/>
              </w:rPr>
              <w:t>2026-10-19</w:t>
            </w:r>
          </w:p>
        </w:tc>
        <w:tc>
          <w:tcPr>
            <w:tcW w:type="dxa" w:w="1440"/>
            <w:shd w:fill="FAFAFA" w:val="clear"/>
          </w:tcPr>
          <w:p>
            <w:r>
              <w:rPr>
                <w:sz w:val="17"/>
              </w:rPr>
              <w:t>3,481</w:t>
            </w:r>
          </w:p>
        </w:tc>
        <w:tc>
          <w:tcPr>
            <w:tcW w:type="dxa" w:w="1440"/>
            <w:shd w:fill="FAFAFA" w:val="clear"/>
          </w:tcPr>
          <w:p>
            <w:r>
              <w:rPr>
                <w:b/>
                <w:sz w:val="17"/>
              </w:rPr>
              <w:t>3,882</w:t>
            </w:r>
          </w:p>
        </w:tc>
        <w:tc>
          <w:tcPr>
            <w:tcW w:type="dxa" w:w="1440"/>
            <w:shd w:fill="FAFAFA" w:val="clear"/>
          </w:tcPr>
          <w:p>
            <w:r>
              <w:rPr>
                <w:sz w:val="17"/>
              </w:rPr>
              <w:t>4,283</w:t>
            </w:r>
          </w:p>
        </w:tc>
        <w:tc>
          <w:tcPr>
            <w:tcW w:type="dxa" w:w="1440"/>
            <w:shd w:fill="FAFAFA" w:val="clear"/>
          </w:tcPr>
          <w:p>
            <w:r>
              <w:rPr>
                <w:b/>
                <w:color w:val="C00000"/>
                <w:sz w:val="17"/>
              </w:rPr>
              <w:t>-0.5%</w:t>
            </w:r>
          </w:p>
        </w:tc>
      </w:tr>
      <w:tr>
        <w:tc>
          <w:tcPr>
            <w:tcW w:type="dxa" w:w="1440"/>
            <w:shd w:fill="FAFAFA" w:val="clear"/>
          </w:tcPr>
          <w:p>
            <w:r>
              <w:rPr>
                <w:sz w:val="17"/>
              </w:rPr>
              <w:t>J+3  ⭐</w:t>
            </w:r>
          </w:p>
        </w:tc>
        <w:tc>
          <w:tcPr>
            <w:tcW w:type="dxa" w:w="1440"/>
            <w:shd w:fill="FAFAFA" w:val="clear"/>
          </w:tcPr>
          <w:p>
            <w:r>
              <w:rPr>
                <w:sz w:val="17"/>
              </w:rPr>
              <w:t>2026-10-20</w:t>
            </w:r>
          </w:p>
        </w:tc>
        <w:tc>
          <w:tcPr>
            <w:tcW w:type="dxa" w:w="1440"/>
            <w:shd w:fill="FAFAFA" w:val="clear"/>
          </w:tcPr>
          <w:p>
            <w:r>
              <w:rPr>
                <w:sz w:val="17"/>
              </w:rPr>
              <w:t>3,403</w:t>
            </w:r>
          </w:p>
        </w:tc>
        <w:tc>
          <w:tcPr>
            <w:tcW w:type="dxa" w:w="1440"/>
            <w:shd w:fill="FAFAFA" w:val="clear"/>
          </w:tcPr>
          <w:p>
            <w:r>
              <w:rPr>
                <w:b/>
                <w:sz w:val="17"/>
              </w:rPr>
              <w:t>3,897</w:t>
            </w:r>
          </w:p>
        </w:tc>
        <w:tc>
          <w:tcPr>
            <w:tcW w:type="dxa" w:w="1440"/>
            <w:shd w:fill="FAFAFA" w:val="clear"/>
          </w:tcPr>
          <w:p>
            <w:r>
              <w:rPr>
                <w:sz w:val="17"/>
              </w:rPr>
              <w:t>4,390</w:t>
            </w:r>
          </w:p>
        </w:tc>
        <w:tc>
          <w:tcPr>
            <w:tcW w:type="dxa" w:w="1440"/>
            <w:shd w:fill="FAFAFA" w:val="clear"/>
          </w:tcPr>
          <w:p>
            <w:r>
              <w:rPr>
                <w:b/>
                <w:color w:val="C00000"/>
                <w:sz w:val="17"/>
              </w:rPr>
              <w:t>-0.1%</w:t>
            </w:r>
          </w:p>
        </w:tc>
      </w:tr>
      <w:tr>
        <w:tc>
          <w:tcPr>
            <w:tcW w:type="dxa" w:w="1440"/>
            <w:shd w:fill="FAFAFA" w:val="clear"/>
          </w:tcPr>
          <w:p>
            <w:r>
              <w:rPr>
                <w:sz w:val="17"/>
              </w:rPr>
              <w:t>J+4  ⭐</w:t>
            </w:r>
          </w:p>
        </w:tc>
        <w:tc>
          <w:tcPr>
            <w:tcW w:type="dxa" w:w="1440"/>
            <w:shd w:fill="FAFAFA" w:val="clear"/>
          </w:tcPr>
          <w:p>
            <w:r>
              <w:rPr>
                <w:sz w:val="17"/>
              </w:rPr>
              <w:t>2026-10-21</w:t>
            </w:r>
          </w:p>
        </w:tc>
        <w:tc>
          <w:tcPr>
            <w:tcW w:type="dxa" w:w="1440"/>
            <w:shd w:fill="FAFAFA" w:val="clear"/>
          </w:tcPr>
          <w:p>
            <w:r>
              <w:rPr>
                <w:sz w:val="17"/>
              </w:rPr>
              <w:t>3,342</w:t>
            </w:r>
          </w:p>
        </w:tc>
        <w:tc>
          <w:tcPr>
            <w:tcW w:type="dxa" w:w="1440"/>
            <w:shd w:fill="FAFAFA" w:val="clear"/>
          </w:tcPr>
          <w:p>
            <w:r>
              <w:rPr>
                <w:b/>
                <w:sz w:val="17"/>
              </w:rPr>
              <w:t>3,915</w:t>
            </w:r>
          </w:p>
        </w:tc>
        <w:tc>
          <w:tcPr>
            <w:tcW w:type="dxa" w:w="1440"/>
            <w:shd w:fill="FAFAFA" w:val="clear"/>
          </w:tcPr>
          <w:p>
            <w:r>
              <w:rPr>
                <w:sz w:val="17"/>
              </w:rPr>
              <w:t>4,487</w:t>
            </w:r>
          </w:p>
        </w:tc>
        <w:tc>
          <w:tcPr>
            <w:tcW w:type="dxa" w:w="1440"/>
            <w:shd w:fill="FAFAFA" w:val="clear"/>
          </w:tcPr>
          <w:p>
            <w:r>
              <w:rPr>
                <w:b/>
                <w:color w:val="008000"/>
                <w:sz w:val="17"/>
              </w:rPr>
              <w:t>+0.4%</w:t>
            </w:r>
          </w:p>
        </w:tc>
      </w:tr>
      <w:tr>
        <w:tc>
          <w:tcPr>
            <w:tcW w:type="dxa" w:w="1440"/>
            <w:shd w:fill="FAFAFA" w:val="clear"/>
          </w:tcPr>
          <w:p>
            <w:r>
              <w:rPr>
                <w:sz w:val="17"/>
              </w:rPr>
              <w:t>J+5  ⭐</w:t>
            </w:r>
          </w:p>
        </w:tc>
        <w:tc>
          <w:tcPr>
            <w:tcW w:type="dxa" w:w="1440"/>
            <w:shd w:fill="FAFAFA" w:val="clear"/>
          </w:tcPr>
          <w:p>
            <w:r>
              <w:rPr>
                <w:sz w:val="17"/>
              </w:rPr>
              <w:t>2026-10-22</w:t>
            </w:r>
          </w:p>
        </w:tc>
        <w:tc>
          <w:tcPr>
            <w:tcW w:type="dxa" w:w="1440"/>
            <w:shd w:fill="FAFAFA" w:val="clear"/>
          </w:tcPr>
          <w:p>
            <w:r>
              <w:rPr>
                <w:sz w:val="17"/>
              </w:rPr>
              <w:t>3,288</w:t>
            </w:r>
          </w:p>
        </w:tc>
        <w:tc>
          <w:tcPr>
            <w:tcW w:type="dxa" w:w="1440"/>
            <w:shd w:fill="FAFAFA" w:val="clear"/>
          </w:tcPr>
          <w:p>
            <w:r>
              <w:rPr>
                <w:b/>
                <w:sz w:val="17"/>
              </w:rPr>
              <w:t>3,931</w:t>
            </w:r>
          </w:p>
        </w:tc>
        <w:tc>
          <w:tcPr>
            <w:tcW w:type="dxa" w:w="1440"/>
            <w:shd w:fill="FAFAFA" w:val="clear"/>
          </w:tcPr>
          <w:p>
            <w:r>
              <w:rPr>
                <w:sz w:val="17"/>
              </w:rPr>
              <w:t>4,574</w:t>
            </w:r>
          </w:p>
        </w:tc>
        <w:tc>
          <w:tcPr>
            <w:tcW w:type="dxa" w:w="1440"/>
            <w:shd w:fill="FAFAFA" w:val="clear"/>
          </w:tcPr>
          <w:p>
            <w:r>
              <w:rPr>
                <w:b/>
                <w:color w:val="008000"/>
                <w:sz w:val="17"/>
              </w:rPr>
              <w:t>+0.8%</w:t>
            </w:r>
          </w:p>
        </w:tc>
      </w:tr>
      <w:tr>
        <w:tc>
          <w:tcPr>
            <w:tcW w:type="dxa" w:w="1440"/>
            <w:shd w:fill="FAFAFA" w:val="clear"/>
          </w:tcPr>
          <w:p>
            <w:r>
              <w:rPr>
                <w:sz w:val="17"/>
              </w:rPr>
              <w:t>J+6  ⭐</w:t>
            </w:r>
          </w:p>
        </w:tc>
        <w:tc>
          <w:tcPr>
            <w:tcW w:type="dxa" w:w="1440"/>
            <w:shd w:fill="FAFAFA" w:val="clear"/>
          </w:tcPr>
          <w:p>
            <w:r>
              <w:rPr>
                <w:sz w:val="17"/>
              </w:rPr>
              <w:t>2026-10-23</w:t>
            </w:r>
          </w:p>
        </w:tc>
        <w:tc>
          <w:tcPr>
            <w:tcW w:type="dxa" w:w="1440"/>
            <w:shd w:fill="FAFAFA" w:val="clear"/>
          </w:tcPr>
          <w:p>
            <w:r>
              <w:rPr>
                <w:sz w:val="17"/>
              </w:rPr>
              <w:t>3,239</w:t>
            </w:r>
          </w:p>
        </w:tc>
        <w:tc>
          <w:tcPr>
            <w:tcW w:type="dxa" w:w="1440"/>
            <w:shd w:fill="FAFAFA" w:val="clear"/>
          </w:tcPr>
          <w:p>
            <w:r>
              <w:rPr>
                <w:b/>
                <w:sz w:val="17"/>
              </w:rPr>
              <w:t>3,946</w:t>
            </w:r>
          </w:p>
        </w:tc>
        <w:tc>
          <w:tcPr>
            <w:tcW w:type="dxa" w:w="1440"/>
            <w:shd w:fill="FAFAFA" w:val="clear"/>
          </w:tcPr>
          <w:p>
            <w:r>
              <w:rPr>
                <w:sz w:val="17"/>
              </w:rPr>
              <w:t>4,653</w:t>
            </w:r>
          </w:p>
        </w:tc>
        <w:tc>
          <w:tcPr>
            <w:tcW w:type="dxa" w:w="1440"/>
            <w:shd w:fill="FAFAFA" w:val="clear"/>
          </w:tcPr>
          <w:p>
            <w:r>
              <w:rPr>
                <w:b/>
                <w:color w:val="008000"/>
                <w:sz w:val="17"/>
              </w:rPr>
              <w:t>+1.2%</w:t>
            </w:r>
          </w:p>
        </w:tc>
      </w:tr>
      <w:tr>
        <w:tc>
          <w:tcPr>
            <w:tcW w:type="dxa" w:w="1440"/>
            <w:shd w:fill="FAFAFA" w:val="clear"/>
          </w:tcPr>
          <w:p>
            <w:r>
              <w:rPr>
                <w:sz w:val="17"/>
              </w:rPr>
              <w:t>J+7  ⭐</w:t>
            </w:r>
          </w:p>
        </w:tc>
        <w:tc>
          <w:tcPr>
            <w:tcW w:type="dxa" w:w="1440"/>
            <w:shd w:fill="FAFAFA" w:val="clear"/>
          </w:tcPr>
          <w:p>
            <w:r>
              <w:rPr>
                <w:sz w:val="17"/>
              </w:rPr>
              <w:t>2026-10-26</w:t>
            </w:r>
          </w:p>
        </w:tc>
        <w:tc>
          <w:tcPr>
            <w:tcW w:type="dxa" w:w="1440"/>
            <w:shd w:fill="FAFAFA" w:val="clear"/>
          </w:tcPr>
          <w:p>
            <w:r>
              <w:rPr>
                <w:sz w:val="17"/>
              </w:rPr>
              <w:t>3,194</w:t>
            </w:r>
          </w:p>
        </w:tc>
        <w:tc>
          <w:tcPr>
            <w:tcW w:type="dxa" w:w="1440"/>
            <w:shd w:fill="FAFAFA" w:val="clear"/>
          </w:tcPr>
          <w:p>
            <w:r>
              <w:rPr>
                <w:b/>
                <w:sz w:val="17"/>
              </w:rPr>
              <w:t>3,960</w:t>
            </w:r>
          </w:p>
        </w:tc>
        <w:tc>
          <w:tcPr>
            <w:tcW w:type="dxa" w:w="1440"/>
            <w:shd w:fill="FAFAFA" w:val="clear"/>
          </w:tcPr>
          <w:p>
            <w:r>
              <w:rPr>
                <w:sz w:val="17"/>
              </w:rPr>
              <w:t>4,726</w:t>
            </w:r>
          </w:p>
        </w:tc>
        <w:tc>
          <w:tcPr>
            <w:tcW w:type="dxa" w:w="1440"/>
            <w:shd w:fill="FAFAFA" w:val="clear"/>
          </w:tcPr>
          <w:p>
            <w:r>
              <w:rPr>
                <w:b/>
                <w:color w:val="008000"/>
                <w:sz w:val="17"/>
              </w:rPr>
              <w:t>+1.5%</w:t>
            </w:r>
          </w:p>
        </w:tc>
      </w:tr>
      <w:tr>
        <w:tc>
          <w:tcPr>
            <w:tcW w:type="dxa" w:w="1440"/>
            <w:shd w:fill="FAFAFA" w:val="clear"/>
          </w:tcPr>
          <w:p>
            <w:r>
              <w:rPr>
                <w:sz w:val="17"/>
              </w:rPr>
              <w:t>J+8  ⭐</w:t>
            </w:r>
          </w:p>
        </w:tc>
        <w:tc>
          <w:tcPr>
            <w:tcW w:type="dxa" w:w="1440"/>
            <w:shd w:fill="FAFAFA" w:val="clear"/>
          </w:tcPr>
          <w:p>
            <w:r>
              <w:rPr>
                <w:sz w:val="17"/>
              </w:rPr>
              <w:t>2026-10-27</w:t>
            </w:r>
          </w:p>
        </w:tc>
        <w:tc>
          <w:tcPr>
            <w:tcW w:type="dxa" w:w="1440"/>
            <w:shd w:fill="FAFAFA" w:val="clear"/>
          </w:tcPr>
          <w:p>
            <w:r>
              <w:rPr>
                <w:sz w:val="17"/>
              </w:rPr>
              <w:t>3,151</w:t>
            </w:r>
          </w:p>
        </w:tc>
        <w:tc>
          <w:tcPr>
            <w:tcW w:type="dxa" w:w="1440"/>
            <w:shd w:fill="FAFAFA" w:val="clear"/>
          </w:tcPr>
          <w:p>
            <w:r>
              <w:rPr>
                <w:b/>
                <w:sz w:val="17"/>
              </w:rPr>
              <w:t>3,973</w:t>
            </w:r>
          </w:p>
        </w:tc>
        <w:tc>
          <w:tcPr>
            <w:tcW w:type="dxa" w:w="1440"/>
            <w:shd w:fill="FAFAFA" w:val="clear"/>
          </w:tcPr>
          <w:p>
            <w:r>
              <w:rPr>
                <w:sz w:val="17"/>
              </w:rPr>
              <w:t>4,794</w:t>
            </w:r>
          </w:p>
        </w:tc>
        <w:tc>
          <w:tcPr>
            <w:tcW w:type="dxa" w:w="1440"/>
            <w:shd w:fill="FAFAFA" w:val="clear"/>
          </w:tcPr>
          <w:p>
            <w:r>
              <w:rPr>
                <w:b/>
                <w:color w:val="008000"/>
                <w:sz w:val="17"/>
              </w:rPr>
              <w:t>+1.9%</w:t>
            </w:r>
          </w:p>
        </w:tc>
      </w:tr>
      <w:tr>
        <w:tc>
          <w:tcPr>
            <w:tcW w:type="dxa" w:w="1440"/>
            <w:shd w:fill="C6EFCE" w:val="clear"/>
          </w:tcPr>
          <w:p>
            <w:r>
              <w:rPr>
                <w:sz w:val="17"/>
              </w:rPr>
              <w:t>J+9  ⭐</w:t>
            </w:r>
          </w:p>
        </w:tc>
        <w:tc>
          <w:tcPr>
            <w:tcW w:type="dxa" w:w="1440"/>
            <w:shd w:fill="C6EFCE" w:val="clear"/>
          </w:tcPr>
          <w:p>
            <w:r>
              <w:rPr>
                <w:sz w:val="17"/>
              </w:rPr>
              <w:t>2026-10-28</w:t>
            </w:r>
          </w:p>
        </w:tc>
        <w:tc>
          <w:tcPr>
            <w:tcW w:type="dxa" w:w="1440"/>
            <w:shd w:fill="C6EFCE" w:val="clear"/>
          </w:tcPr>
          <w:p>
            <w:r>
              <w:rPr>
                <w:sz w:val="17"/>
              </w:rPr>
              <w:t>3,110</w:t>
            </w:r>
          </w:p>
        </w:tc>
        <w:tc>
          <w:tcPr>
            <w:tcW w:type="dxa" w:w="1440"/>
            <w:shd w:fill="C6EFCE" w:val="clear"/>
          </w:tcPr>
          <w:p>
            <w:r>
              <w:rPr>
                <w:b/>
                <w:sz w:val="17"/>
              </w:rPr>
              <w:t>3,985</w:t>
            </w:r>
          </w:p>
        </w:tc>
        <w:tc>
          <w:tcPr>
            <w:tcW w:type="dxa" w:w="1440"/>
            <w:shd w:fill="C6EFCE" w:val="clear"/>
          </w:tcPr>
          <w:p>
            <w:r>
              <w:rPr>
                <w:sz w:val="17"/>
              </w:rPr>
              <w:t>4,859</w:t>
            </w:r>
          </w:p>
        </w:tc>
        <w:tc>
          <w:tcPr>
            <w:tcW w:type="dxa" w:w="1440"/>
            <w:shd w:fill="C6EFCE" w:val="clear"/>
          </w:tcPr>
          <w:p>
            <w:r>
              <w:rPr>
                <w:b/>
                <w:color w:val="008000"/>
                <w:sz w:val="17"/>
              </w:rPr>
              <w:t>+2.2%</w:t>
            </w:r>
          </w:p>
        </w:tc>
      </w:tr>
      <w:tr>
        <w:tc>
          <w:tcPr>
            <w:tcW w:type="dxa" w:w="1440"/>
            <w:shd w:fill="C6EFCE" w:val="clear"/>
          </w:tcPr>
          <w:p>
            <w:r>
              <w:rPr>
                <w:sz w:val="17"/>
              </w:rPr>
              <w:t>J+10  ⭐</w:t>
            </w:r>
          </w:p>
        </w:tc>
        <w:tc>
          <w:tcPr>
            <w:tcW w:type="dxa" w:w="1440"/>
            <w:shd w:fill="C6EFCE" w:val="clear"/>
          </w:tcPr>
          <w:p>
            <w:r>
              <w:rPr>
                <w:sz w:val="17"/>
              </w:rPr>
              <w:t>2026-10-29</w:t>
            </w:r>
          </w:p>
        </w:tc>
        <w:tc>
          <w:tcPr>
            <w:tcW w:type="dxa" w:w="1440"/>
            <w:shd w:fill="C6EFCE" w:val="clear"/>
          </w:tcPr>
          <w:p>
            <w:r>
              <w:rPr>
                <w:sz w:val="17"/>
              </w:rPr>
              <w:t>3,072</w:t>
            </w:r>
          </w:p>
        </w:tc>
        <w:tc>
          <w:tcPr>
            <w:tcW w:type="dxa" w:w="1440"/>
            <w:shd w:fill="C6EFCE" w:val="clear"/>
          </w:tcPr>
          <w:p>
            <w:r>
              <w:rPr>
                <w:b/>
                <w:sz w:val="17"/>
              </w:rPr>
              <w:t>3,996</w:t>
            </w:r>
          </w:p>
        </w:tc>
        <w:tc>
          <w:tcPr>
            <w:tcW w:type="dxa" w:w="1440"/>
            <w:shd w:fill="C6EFCE" w:val="clear"/>
          </w:tcPr>
          <w:p>
            <w:r>
              <w:rPr>
                <w:sz w:val="17"/>
              </w:rPr>
              <w:t>4,920</w:t>
            </w:r>
          </w:p>
        </w:tc>
        <w:tc>
          <w:tcPr>
            <w:tcW w:type="dxa" w:w="1440"/>
            <w:shd w:fill="C6EFCE" w:val="clear"/>
          </w:tcPr>
          <w:p>
            <w:r>
              <w:rPr>
                <w:b/>
                <w:color w:val="008000"/>
                <w:sz w:val="17"/>
              </w:rPr>
              <w:t>+2.5%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423.00 M FCFA</w:t>
            </w:r>
          </w:p>
        </w:tc>
        <w:tc>
          <w:tcPr>
            <w:tcW w:type="dxa" w:w="5669"/>
            <w:shd w:fill="FFFFFF" w:val="clear"/>
          </w:tcPr>
          <w:p>
            <w:r>
              <w:rPr>
                <w:color w:val="282828"/>
                <w:sz w:val="15"/>
              </w:rPr>
              <w:t>Représente 0.5%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182.00 M FCFA</w:t>
            </w:r>
          </w:p>
        </w:tc>
        <w:tc>
          <w:tcPr>
            <w:tcW w:type="dxa" w:w="5669"/>
            <w:shd w:fill="FFFFFF" w:val="clear"/>
          </w:tcPr>
          <w:p>
            <w:r>
              <w:rPr>
                <w:color w:val="282828"/>
                <w:sz w:val="15"/>
              </w:rPr>
              <w:t>Titres d'État détenus (0.2%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5.028 Mds FCFA</w:t>
            </w:r>
          </w:p>
        </w:tc>
        <w:tc>
          <w:tcPr>
            <w:tcW w:type="dxa" w:w="5669"/>
            <w:shd w:fill="FFFFFF" w:val="clear"/>
          </w:tcPr>
          <w:p>
            <w:r>
              <w:rPr>
                <w:color w:val="282828"/>
                <w:sz w:val="15"/>
              </w:rPr>
              <w:t>Prêts aux autres banques (6.3% du bilan). ✅ Exposition modérée au risque interbancaire.</w:t>
            </w:r>
          </w:p>
        </w:tc>
      </w:tr>
      <w:tr>
        <w:tc>
          <w:tcPr>
            <w:tcW w:type="dxa" w:w="2268"/>
            <w:shd w:fill="EEF2F7" w:val="clear"/>
          </w:tcPr>
          <w:p>
            <w:r>
              <w:rPr>
                <w:b/>
                <w:color w:val="1E1E3C"/>
                <w:sz w:val="16"/>
              </w:rPr>
              <w:t>Créances sur la clientèle</w:t>
            </w:r>
          </w:p>
        </w:tc>
        <w:tc>
          <w:tcPr>
            <w:tcW w:type="dxa" w:w="1984"/>
            <w:shd w:fill="FFEB9C" w:val="clear"/>
          </w:tcPr>
          <w:p>
            <w:r>
              <w:rPr>
                <w:b/>
                <w:color w:val="006400"/>
                <w:sz w:val="17"/>
              </w:rPr>
              <w:t>60.476 Mds FCFA</w:t>
            </w:r>
          </w:p>
        </w:tc>
        <w:tc>
          <w:tcPr>
            <w:tcW w:type="dxa" w:w="5669"/>
            <w:shd w:fill="FFFFFF" w:val="clear"/>
          </w:tcPr>
          <w:p>
            <w:r>
              <w:rPr>
                <w:color w:val="282828"/>
                <w:sz w:val="15"/>
              </w:rPr>
              <w:t>Portefeuille crédits (76.0% du bilan). ⚠️ Concentration excessive (risque crédit élevé).</w:t>
            </w:r>
          </w:p>
        </w:tc>
      </w:tr>
      <w:tr>
        <w:tc>
          <w:tcPr>
            <w:tcW w:type="dxa" w:w="2268"/>
            <w:shd w:fill="EEF2F7" w:val="clear"/>
          </w:tcPr>
          <w:p>
            <w:r>
              <w:rPr>
                <w:b/>
                <w:color w:val="1E1E3C"/>
                <w:sz w:val="16"/>
              </w:rPr>
              <w:t>Actif circulant</w:t>
            </w:r>
          </w:p>
        </w:tc>
        <w:tc>
          <w:tcPr>
            <w:tcW w:type="dxa" w:w="1984"/>
            <w:shd w:fill="C6EFCE" w:val="clear"/>
          </w:tcPr>
          <w:p>
            <w:r>
              <w:rPr>
                <w:b/>
                <w:color w:val="006400"/>
                <w:sz w:val="17"/>
              </w:rPr>
              <w:t>74.531 Mds FCFA</w:t>
            </w:r>
          </w:p>
        </w:tc>
        <w:tc>
          <w:tcPr>
            <w:tcW w:type="dxa" w:w="5669"/>
            <w:shd w:fill="FFFFFF" w:val="clear"/>
          </w:tcPr>
          <w:p>
            <w:r>
              <w:rPr>
                <w:color w:val="282828"/>
                <w:sz w:val="15"/>
              </w:rPr>
              <w:t>Ratio actif circ./passif circ. = 5.38x.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109.00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3.913 Mds FCFA</w:t>
            </w:r>
          </w:p>
        </w:tc>
        <w:tc>
          <w:tcPr>
            <w:tcW w:type="dxa" w:w="5669"/>
            <w:shd w:fill="FFFFFF" w:val="clear"/>
          </w:tcPr>
          <w:p>
            <w:r>
              <w:rPr>
                <w:color w:val="282828"/>
                <w:sz w:val="15"/>
              </w:rPr>
              <w:t>Outil industriel (4.9%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5.024 Mds FCFA</w:t>
            </w:r>
          </w:p>
        </w:tc>
        <w:tc>
          <w:tcPr>
            <w:tcW w:type="dxa" w:w="5669"/>
            <w:shd w:fill="FFFFFF" w:val="clear"/>
          </w:tcPr>
          <w:p>
            <w:r>
              <w:rPr>
                <w:color w:val="282828"/>
                <w:sz w:val="15"/>
              </w:rPr>
              <w:t>Actif immobilisé = 6.3%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423.00 M FCFA</w:t>
            </w:r>
          </w:p>
        </w:tc>
        <w:tc>
          <w:tcPr>
            <w:tcW w:type="dxa" w:w="5669"/>
            <w:shd w:fill="FFFFFF" w:val="clear"/>
          </w:tcPr>
          <w:p>
            <w:r>
              <w:rPr>
                <w:color w:val="282828"/>
                <w:sz w:val="15"/>
              </w:rPr>
              <w:t>Liquidités disponibles (0.5%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79.555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3.248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2.854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5.916 Mds FCFA</w:t>
            </w:r>
          </w:p>
        </w:tc>
        <w:tc>
          <w:tcPr>
            <w:tcW w:type="dxa" w:w="5669"/>
            <w:shd w:fill="FFFFFF" w:val="clear"/>
          </w:tcPr>
          <w:p>
            <w:r>
              <w:rPr>
                <w:color w:val="282828"/>
                <w:sz w:val="15"/>
              </w:rPr>
              <w:t>Fonds propres = 7.4%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6.051 Mds FCFA</w:t>
            </w:r>
          </w:p>
        </w:tc>
        <w:tc>
          <w:tcPr>
            <w:tcW w:type="dxa" w:w="5669"/>
            <w:shd w:fill="FFFFFF" w:val="clear"/>
          </w:tcPr>
          <w:p>
            <w:r>
              <w:rPr>
                <w:color w:val="282828"/>
                <w:sz w:val="15"/>
              </w:rPr>
              <w:t>Capitaux permanents / Actif immobilisé = 1.20x.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35.747 Mds FCFA</w:t>
            </w:r>
          </w:p>
        </w:tc>
        <w:tc>
          <w:tcPr>
            <w:tcW w:type="dxa" w:w="5669"/>
            <w:shd w:fill="FFFFFF" w:val="clear"/>
          </w:tcPr>
          <w:p>
            <w:r>
              <w:rPr>
                <w:color w:val="282828"/>
                <w:sz w:val="15"/>
              </w:rPr>
              <w:t>Refinancement interbancaire (44.9%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9.112 Mds FCFA</w:t>
            </w:r>
          </w:p>
        </w:tc>
        <w:tc>
          <w:tcPr>
            <w:tcW w:type="dxa" w:w="5669"/>
            <w:shd w:fill="FFFFFF" w:val="clear"/>
          </w:tcPr>
          <w:p>
            <w:r>
              <w:rPr>
                <w:color w:val="282828"/>
                <w:sz w:val="15"/>
              </w:rPr>
              <w:t>Dépôts clients = 11.5% du bilan. ℹ️ Dépôts modérés — compléter par d'autres ressources.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14.915 Mds FCFA</w:t>
            </w:r>
          </w:p>
        </w:tc>
        <w:tc>
          <w:tcPr>
            <w:tcW w:type="dxa" w:w="5669"/>
            <w:shd w:fill="FFFFFF" w:val="clear"/>
          </w:tcPr>
          <w:p>
            <w:r>
              <w:rPr>
                <w:color w:val="282828"/>
                <w:sz w:val="15"/>
              </w:rPr>
              <w:t>Dette LT/MT = 252%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50.662 Mds FCFA</w:t>
            </w:r>
          </w:p>
        </w:tc>
        <w:tc>
          <w:tcPr>
            <w:tcW w:type="dxa" w:w="5669"/>
            <w:shd w:fill="FFFFFF" w:val="clear"/>
          </w:tcPr>
          <w:p>
            <w:r>
              <w:rPr>
                <w:color w:val="282828"/>
                <w:sz w:val="15"/>
              </w:rPr>
              <w:t>Dette financière totale = 856%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73.639 Mds FCFA</w:t>
            </w:r>
          </w:p>
        </w:tc>
        <w:tc>
          <w:tcPr>
            <w:tcW w:type="dxa" w:w="5669"/>
            <w:shd w:fill="FFFFFF" w:val="clear"/>
          </w:tcPr>
          <w:p>
            <w:r>
              <w:rPr>
                <w:color w:val="282828"/>
                <w:sz w:val="15"/>
              </w:rPr>
              <w:t>Dettes totales = 92.6%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5.735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5.735 Mds FCFA</w:t>
            </w:r>
          </w:p>
        </w:tc>
        <w:tc>
          <w:tcPr>
            <w:tcW w:type="dxa" w:w="5669"/>
            <w:shd w:fill="FFFFFF" w:val="clear"/>
          </w:tcPr>
          <w:p>
            <w:r>
              <w:rPr>
                <w:color w:val="282828"/>
                <w:sz w:val="15"/>
              </w:rPr>
              <w:t>Revenu bancaire central (≡ CA). Croissance: 44.1%.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8.236 Mds FCFA</w:t>
            </w:r>
          </w:p>
        </w:tc>
        <w:tc>
          <w:tcPr>
            <w:tcW w:type="dxa" w:w="5669"/>
            <w:shd w:fill="FFFFFF" w:val="clear"/>
          </w:tcPr>
          <w:p>
            <w:r>
              <w:rPr>
                <w:color w:val="282828"/>
                <w:sz w:val="15"/>
              </w:rPr>
              <w:t>Revenus d'intérêts sur crédits (144%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-3.003 Mds FCFA</w:t>
            </w:r>
          </w:p>
        </w:tc>
        <w:tc>
          <w:tcPr>
            <w:tcW w:type="dxa" w:w="5669"/>
            <w:shd w:fill="FFFFFF" w:val="clear"/>
          </w:tcPr>
          <w:p>
            <w:r>
              <w:rPr>
                <w:color w:val="282828"/>
                <w:sz w:val="15"/>
              </w:rPr>
              <w:t>Coût des dépôts collectés (-52%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686.00 M FCFA</w:t>
            </w:r>
          </w:p>
        </w:tc>
        <w:tc>
          <w:tcPr>
            <w:tcW w:type="dxa" w:w="5669"/>
            <w:shd w:fill="FFFFFF" w:val="clear"/>
          </w:tcPr>
          <w:p>
            <w:r>
              <w:rPr>
                <w:color w:val="282828"/>
                <w:sz w:val="15"/>
              </w:rPr>
              <w:t>Revenus de commissions (12.0%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-4.103 Mds FCFA</w:t>
            </w:r>
          </w:p>
        </w:tc>
        <w:tc>
          <w:tcPr>
            <w:tcW w:type="dxa" w:w="5669"/>
            <w:shd w:fill="FFFFFF" w:val="clear"/>
          </w:tcPr>
          <w:p>
            <w:r>
              <w:rPr>
                <w:color w:val="282828"/>
                <w:sz w:val="15"/>
              </w:rPr>
              <w:t>-71.5%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-349.00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1.632 Mds FCFA</w:t>
            </w:r>
          </w:p>
        </w:tc>
        <w:tc>
          <w:tcPr>
            <w:tcW w:type="dxa" w:w="5669"/>
            <w:shd w:fill="FFFFFF" w:val="clear"/>
          </w:tcPr>
          <w:p>
            <w:r>
              <w:rPr>
                <w:color w:val="282828"/>
                <w:sz w:val="15"/>
              </w:rPr>
              <w:t>VA = 163200000000.0%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1.632 Mds FCFA</w:t>
            </w:r>
          </w:p>
        </w:tc>
        <w:tc>
          <w:tcPr>
            <w:tcW w:type="dxa" w:w="5669"/>
            <w:shd w:fill="FFFFFF" w:val="clear"/>
          </w:tcPr>
          <w:p>
            <w:r>
              <w:rPr>
                <w:color w:val="282828"/>
                <w:sz w:val="15"/>
              </w:rPr>
              <w:t>EBE = 28.5%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1.283 Mds FCFA</w:t>
            </w:r>
          </w:p>
        </w:tc>
        <w:tc>
          <w:tcPr>
            <w:tcW w:type="dxa" w:w="5669"/>
            <w:shd w:fill="FFFFFF" w:val="clear"/>
          </w:tcPr>
          <w:p>
            <w:r>
              <w:rPr>
                <w:color w:val="282828"/>
                <w:sz w:val="15"/>
              </w:rPr>
              <w:t>RBE = 22.4%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906.00 M FCFA</w:t>
            </w:r>
          </w:p>
        </w:tc>
        <w:tc>
          <w:tcPr>
            <w:tcW w:type="dxa" w:w="5669"/>
            <w:shd w:fill="FFFFFF" w:val="clear"/>
          </w:tcPr>
          <w:p>
            <w:r>
              <w:rPr>
                <w:color w:val="282828"/>
                <w:sz w:val="15"/>
              </w:rPr>
              <w:t>Profit d'exploitation = 15.8%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-377.00 M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701.00 M FCFA</w:t>
            </w:r>
          </w:p>
        </w:tc>
        <w:tc>
          <w:tcPr>
            <w:tcW w:type="dxa" w:w="5669"/>
            <w:shd w:fill="FFFFFF" w:val="clear"/>
          </w:tcPr>
          <w:p>
            <w:r>
              <w:rPr>
                <w:color w:val="282828"/>
                <w:sz w:val="15"/>
              </w:rPr>
              <w:t>Marge nette = 12.2%.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1.427 Mds FCFA</w:t>
            </w:r>
          </w:p>
        </w:tc>
        <w:tc>
          <w:tcPr>
            <w:tcW w:type="dxa" w:w="5669"/>
            <w:shd w:fill="FFFFFF" w:val="clear"/>
          </w:tcPr>
          <w:p>
            <w:r>
              <w:rPr>
                <w:color w:val="282828"/>
                <w:sz w:val="15"/>
              </w:rPr>
              <w:t>CAF = 1.43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1.027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-35.324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12.22%</w:t>
            </w:r>
          </w:p>
        </w:tc>
        <w:tc>
          <w:tcPr>
            <w:tcW w:type="dxa" w:w="5669"/>
            <w:shd w:fill="FFFFFF" w:val="clear"/>
          </w:tcPr>
          <w:p>
            <w:r>
              <w:rPr>
                <w:color w:val="282828"/>
                <w:sz w:val="15"/>
              </w:rPr>
              <w:t>Résultat net / revenus = 12.22%.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15.80%</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11.85%</w:t>
            </w:r>
          </w:p>
        </w:tc>
        <w:tc>
          <w:tcPr>
            <w:tcW w:type="dxa" w:w="5669"/>
            <w:shd w:fill="FFFFFF" w:val="clear"/>
          </w:tcPr>
          <w:p>
            <w:r>
              <w:rPr>
                <w:color w:val="282828"/>
                <w:sz w:val="15"/>
              </w:rPr>
              <w:t>Résultat net / capitaux propres = 11.85%. ✅ Satisfaisant.</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0.88%</w:t>
            </w:r>
          </w:p>
        </w:tc>
        <w:tc>
          <w:tcPr>
            <w:tcW w:type="dxa" w:w="5669"/>
            <w:shd w:fill="FFFFFF" w:val="clear"/>
          </w:tcPr>
          <w:p>
            <w:r>
              <w:rPr>
                <w:color w:val="282828"/>
                <w:sz w:val="15"/>
              </w:rPr>
              <w:t>Résultat net / total actif = 0.88%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7.21%</w:t>
            </w:r>
          </w:p>
        </w:tc>
        <w:tc>
          <w:tcPr>
            <w:tcW w:type="dxa" w:w="5669"/>
            <w:shd w:fill="FFFFFF" w:val="clear"/>
          </w:tcPr>
          <w:p>
            <w:r>
              <w:rPr>
                <w:color w:val="282828"/>
                <w:sz w:val="15"/>
              </w:rPr>
              <w:t>CA / total actif = 7.21x.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C7CE" w:val="clear"/>
          </w:tcPr>
          <w:p>
            <w:r>
              <w:rPr>
                <w:b/>
                <w:color w:val="006400"/>
                <w:sz w:val="17"/>
              </w:rPr>
              <w:t>77.63%</w:t>
            </w:r>
          </w:p>
        </w:tc>
        <w:tc>
          <w:tcPr>
            <w:tcW w:type="dxa" w:w="5669"/>
            <w:shd w:fill="FFFFFF" w:val="clear"/>
          </w:tcPr>
          <w:p>
            <w:r>
              <w:rPr>
                <w:color w:val="282828"/>
                <w:sz w:val="15"/>
              </w:rPr>
              <w:t>Charges / PNB = 77.63% (cost-to-income). ❌ Coeff. critique — structure de coûts non viable.</w:t>
            </w:r>
          </w:p>
        </w:tc>
      </w:tr>
      <w:tr>
        <w:tc>
          <w:tcPr>
            <w:tcW w:type="dxa" w:w="2268"/>
            <w:shd w:fill="EEF2F7" w:val="clear"/>
          </w:tcPr>
          <w:p>
            <w:r>
              <w:rPr>
                <w:b/>
                <w:color w:val="1E1E3C"/>
                <w:sz w:val="16"/>
              </w:rPr>
              <w:t>Coût du risque</w:t>
            </w:r>
          </w:p>
        </w:tc>
        <w:tc>
          <w:tcPr>
            <w:tcW w:type="dxa" w:w="1984"/>
            <w:shd w:fill="FFC7CE" w:val="clear"/>
          </w:tcPr>
          <w:p>
            <w:r>
              <w:rPr>
                <w:b/>
                <w:color w:val="006400"/>
                <w:sz w:val="17"/>
              </w:rPr>
              <w:t>6.57%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44.10%</w:t>
            </w:r>
          </w:p>
        </w:tc>
        <w:tc>
          <w:tcPr>
            <w:tcW w:type="dxa" w:w="5669"/>
            <w:shd w:fill="FFFFFF" w:val="clear"/>
          </w:tcPr>
          <w:p>
            <w:r>
              <w:rPr>
                <w:color w:val="282828"/>
                <w:sz w:val="15"/>
              </w:rPr>
              <w:t>Croissance PNB vs exercice précédent = 44.10%.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7.44%</w:t>
            </w:r>
          </w:p>
        </w:tc>
        <w:tc>
          <w:tcPr>
            <w:tcW w:type="dxa" w:w="5669"/>
            <w:shd w:fill="FFFFFF" w:val="clear"/>
          </w:tcPr>
          <w:p>
            <w:r>
              <w:rPr>
                <w:color w:val="282828"/>
                <w:sz w:val="15"/>
              </w:rPr>
              <w:t>Fonds propres / total bilan = 7.44%.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92.56%</w:t>
            </w:r>
          </w:p>
        </w:tc>
        <w:tc>
          <w:tcPr>
            <w:tcW w:type="dxa" w:w="5669"/>
            <w:shd w:fill="FFFFFF" w:val="clear"/>
          </w:tcPr>
          <w:p>
            <w:r>
              <w:rPr>
                <w:color w:val="282828"/>
                <w:sz w:val="15"/>
              </w:rPr>
              <w:t>Dettes financières / total bilan = 92.56%.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856.36%</w:t>
            </w:r>
          </w:p>
        </w:tc>
        <w:tc>
          <w:tcPr>
            <w:tcW w:type="dxa" w:w="5669"/>
            <w:shd w:fill="FFFFFF" w:val="clear"/>
          </w:tcPr>
          <w:p>
            <w:r>
              <w:rPr>
                <w:color w:val="282828"/>
                <w:sz w:val="15"/>
              </w:rPr>
              <w:t>Dettes totales / fonds propres = 856.36%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108.03%</w:t>
            </w:r>
          </w:p>
        </w:tc>
        <w:tc>
          <w:tcPr>
            <w:tcW w:type="dxa" w:w="5669"/>
            <w:shd w:fill="FFFFFF" w:val="clear"/>
          </w:tcPr>
          <w:p>
            <w:r>
              <w:rPr>
                <w:color w:val="282828"/>
                <w:sz w:val="15"/>
              </w:rPr>
              <w:t>Total actif / dettes totales = 108.03x.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537.55%</w:t>
            </w:r>
          </w:p>
        </w:tc>
        <w:tc>
          <w:tcPr>
            <w:tcW w:type="dxa" w:w="5669"/>
            <w:shd w:fill="FFFFFF" w:val="clear"/>
          </w:tcPr>
          <w:p>
            <w:r>
              <w:rPr>
                <w:color w:val="282828"/>
                <w:sz w:val="15"/>
              </w:rPr>
              <w:t>Actif circulant / passif circulant = 537.55x.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3.05%</w:t>
            </w:r>
          </w:p>
        </w:tc>
        <w:tc>
          <w:tcPr>
            <w:tcW w:type="dxa" w:w="5669"/>
            <w:shd w:fill="FFFFFF" w:val="clear"/>
          </w:tcPr>
          <w:p>
            <w:r>
              <w:rPr>
                <w:color w:val="282828"/>
                <w:sz w:val="15"/>
              </w:rPr>
              <w:t>Trésorerie / passif circulant = 3.05x.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537.55%</w:t>
            </w:r>
          </w:p>
        </w:tc>
        <w:tc>
          <w:tcPr>
            <w:tcW w:type="dxa" w:w="5669"/>
            <w:shd w:fill="FFFFFF" w:val="clear"/>
          </w:tcPr>
          <w:p>
            <w:r>
              <w:rPr>
                <w:color w:val="282828"/>
                <w:sz w:val="15"/>
              </w:rPr>
              <w:t>(Actif circ. - stocks) / passif circ. = 537.55x.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120.44%</w:t>
            </w:r>
          </w:p>
        </w:tc>
        <w:tc>
          <w:tcPr>
            <w:tcW w:type="dxa" w:w="5669"/>
            <w:shd w:fill="FFFFFF" w:val="clear"/>
          </w:tcPr>
          <w:p>
            <w:r>
              <w:rPr>
                <w:color w:val="282828"/>
                <w:sz w:val="15"/>
              </w:rPr>
              <w:t>Capitaux permanents / actif immobilisé = 120.44x.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35.5 ans</w:t>
            </w:r>
          </w:p>
        </w:tc>
        <w:tc>
          <w:tcPr>
            <w:tcW w:type="dxa" w:w="5669"/>
            <w:shd w:fill="FFFFFF" w:val="clear"/>
          </w:tcPr>
          <w:p>
            <w:r>
              <w:rPr>
                <w:color w:val="282828"/>
                <w:sz w:val="15"/>
              </w:rPr>
              <w:t>Dettes financières / CAF = 35.5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30.17%</w:t>
            </w:r>
          </w:p>
        </w:tc>
        <w:tc>
          <w:tcPr>
            <w:tcW w:type="dxa" w:w="5669"/>
            <w:shd w:fill="FFFFFF" w:val="clear"/>
          </w:tcPr>
          <w:p>
            <w:r>
              <w:rPr>
                <w:color w:val="282828"/>
                <w:sz w:val="15"/>
              </w:rPr>
              <w:t>Résultat exploit. / charges financières = 30.17x. ❌ L'exploitation ne couvre pas les charges financières.</w:t>
            </w:r>
          </w:p>
        </w:tc>
      </w:tr>
    </w:tbl>
    <w:p/>
    <w:p>
      <w:pPr>
        <w:spacing w:after="120" w:line="276" w:lineRule="auto"/>
      </w:pPr>
      <w:r>
        <w:t># RAPPORT D'ANALYSE FINANCIÈRE — SAFC (ALIOS FINANCE CÔTE D'IVOIRE)</w:t>
        <w:br/>
        <w:t>**Bourse Régionale des Valeurs Mobilières (BRVM) — Secteur : Banque / Crédit à la consommation**</w:t>
        <w:br/>
        <w:t>*Date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SAFC s'établit à **46,29 milliards FCFA**, un niveau modeste à l'échelle de la BRVM qui positionne le titre parmi les petites capitalisations du compartiment bancaire régional. Le **BPA de 59 FCFA/action** traduit une rentabilité unitaire encore faible, cohérente avec un exercice 2025 marqué par un retournement tout juste amorcé. Le **PER de 66,0x** est très élevé — largement au-dessus de la moyenne BRVM (~8-12x) — ce qui signifie que le marché intègre déjà une forte anticipation de croissance future des bénéfices plutôt qu'une valorisation sur les résultats actuels. Le **P/B de 7,82x** confirme cette prime exigeante : le marché valorise la société près de 8 fois ses fonds propres comptables (5,9 Mds FCFA en 2025), ce qui est très supérieur au seuil de 4x généralement considéré comme tendu. Enfin, l'**EV/EBITDA de 81,1x**, très au-delà du seuil de 15x, signale une valorisation d'entreprise déconnectée de la capacité opérationnelle actuelle — ces multiples élevés s'expliquent par la petitesse de la base bénéficiaire (701 M FCFA de résultat net en 2025) rapportée à une capitalisation déjà significative, et invitent à la plus grande prudence.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cours de SAFC affiche une **variation totale de +5,41%**, mais la dernière séance (J-1) enregistre un net repli de **-4,18%**, signalant une pression vendeuse récente. Le titre évolue actuellement à **3 900 FCFA**, dans un range très large allant d'un plus bas de **3 595 FCFA** à un plus haut de **6 200 FCFA** — soit un écart de plus de 72% entre les extrêmes, révélant une forte instabilité. La tendance générale est donc baissière depuis le pic, le cours se situant désormais bien en dessous de sa moyenne de 4 678 FCFA. Les statistiques descriptives confirment cette lecture : la moyenne (4 678 FCFA) est supérieure à la médiane (4 580 FCFA), avec un mode à 3 700 FCFA — la distribution est légèrement asymétrique à droite (skewness de 0,366, qualifiée de symétrique), ce qui indique que les pics haussiers ont tiré la moyenne vers le haut. L'écart-type de 711 FCFA avec un **coefficient de variation de 15,2%** traduit une dispersion modérée du cours, tandis que le kurtosis de -0,854 (mésokurtique) suggère une distribution proche de la normale, sans risque extrême de pics brutaux. La **volatilité annualisée de 61,3%** classe clairement ce titre dans la catégorie à volatilité élevée (&gt;30%), ce qui implique un risque de marché important pour l'investisseur.</w:t>
      </w:r>
    </w:p>
    <w:p>
      <w:pPr>
        <w:spacing w:after="120" w:line="276" w:lineRule="auto"/>
      </w:pPr>
      <w:r>
        <w:t>---</w:t>
      </w:r>
    </w:p>
    <w:p>
      <w:pPr>
        <w:spacing w:after="120" w:line="276" w:lineRule="auto"/>
      </w:pPr>
      <w:r>
        <w:t>## PARTIE 2 : ANALYSE TECHNIQUE DÉTAILLÉE</w:t>
      </w:r>
    </w:p>
    <w:p>
      <w:pPr>
        <w:spacing w:after="120" w:line="276" w:lineRule="auto"/>
      </w:pPr>
      <w:r>
        <w:t>**Moyennes Mobiles** : La MM20 (4 323,5 FCFA) et la MM50 (5 057,6 FCFA) sont toutes deux nettement supérieures au cours actuel (3 900 FCFA), et la MM20 est elle-même inférieure à la MM50 — configuration baissière classique. Le cours évoluant sous ses deux moyennes, la décision technique est logiquement à la **Vente**.</w:t>
      </w:r>
    </w:p>
    <w:p>
      <w:pPr>
        <w:spacing w:after="120" w:line="276" w:lineRule="auto"/>
      </w:pPr>
      <w:r>
        <w:t>**Bandes de Bollinger** : Le cours (3 900 FCFA) se situe dans la partie basse du canal, entre la borne inférieure (3 686,5 FCFA) et la borne supérieure (4 960,5 FCFA), sans franchissement de seuil. Cette position médiane-basse, avec un cours proche de la borne inférieure, traduit une pression baissière modérée mais justifie une décision **Neutre** en l'absence de signal extrême.</w:t>
      </w:r>
    </w:p>
    <w:p>
      <w:pPr>
        <w:spacing w:after="120" w:line="276" w:lineRule="auto"/>
      </w:pPr>
      <w:r>
        <w:t>**MACD** : La ligne MACD (-298,43) est inférieure à sa ligne de signal (-284,764), confirmant une divergence baissière et un momentum négatif. Le croisement sous le signal valide la décision de **Vente**, le titre n'ayant pas encore amorcé de retournement haussier.</w:t>
      </w:r>
    </w:p>
    <w:p>
      <w:pPr>
        <w:spacing w:after="120" w:line="276" w:lineRule="auto"/>
      </w:pPr>
      <w:r>
        <w:t>**RSI** : À 47,738, le RSI se situe en zone neutre (entre 30 et 70), sans signal de surachat ni de survente. Cette valeur médiane indique un équilibre relatif entre acheteurs et vendeurs, justifiant une décision **Neutre**.</w:t>
      </w:r>
    </w:p>
    <w:p>
      <w:pPr>
        <w:spacing w:after="120" w:line="276" w:lineRule="auto"/>
      </w:pPr>
      <w:r>
        <w:t>**Stochastique** : Le %K (0,0) est au plus bas absolu et inférieur au %D (3,933), ce qui place l'indicateur en zone de survente extrême. Bien que le croisement ne soit pas encore haussier, cette configuration survendue déclenche une décision technique d'**Achat** (signal de rebond potentiel).</w:t>
      </w:r>
    </w:p>
    <w:p>
      <w:pPr>
        <w:spacing w:after="120" w:line="276" w:lineRule="auto"/>
      </w:pPr>
      <w:r>
        <w:t>**Conclusion technique** : Les indicateurs sont majoritairement baissiers (MM, MACD) ou neutres (Bollinger, RSI), avec un unique signal d'achat contradictoire émis par le stochastique en survente extrême. Cette divergence suggère que le titre, bien qu'inscrit dans une tendance baissière de fond, pourrait connaître un rebond technique à court terme depuis la zone des 3 686-3 900 FCFA. La prudence reste toutefois de mise tant que le cours n'aura pas reconquis sa MM20 (4 323 FCFA).</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SAFC a réalisé un **Produit Net Bancaire (PNB) de 5 735 M FCFA**, en forte hausse de **+44,1%** par rapport aux 3 980 M FCFA de 2024, porté par la progression des intérêts (+14,4%) et surtout des commissions (+81%). Le **résultat net s'établit à 701 M FCFA**, marquant un retournement spectaculaire après une perte de 165 M FCFA en 2024 — soit la fin de huit années consécutives de déficit. La **marge nette ressort à 12,2%** et le **ROE à 11,85%** (proche du seuil d'excellence de 15%), tandis que le **ROA reste faible à 0,88%**, reflet d'un bilan très volumineux (79,5 Mds FCFA) par rapport à la base de fonds propres (5,9 Mds FCFA). En tant que banque, les indicateurs spécifiques sont mitigés : le **coefficient d'exploitation de 77,6%** est nettement supérieur au seuil de 60% d'efficacité, et le **coût du risque de 6,57%** demeure élevé, signalant un portefeuille de crédit encore fragile. La structure financière est préoccupante : l'**autonomie financière n'est que de 7,44%** (très en dessous des 30% sains), le ratio d'endettement atteint 856%, et le **report à nouveau reste négatif à -4 123 M FCFA**. La dépendance aux dettes interbancaires (35,7 Mds FCFA, +45%) expose la société à un risque de liquidité.</w:t>
      </w:r>
    </w:p>
    <w:p>
      <w:pPr>
        <w:spacing w:after="120" w:line="276" w:lineRule="auto"/>
      </w:pPr>
      <w:r>
        <w:t>**Estimations issues des rapports trimestriels** : Le rapport du **T1 2026 (publié le 12/05/2026)** confirme l'accélération, avec un PNB de 1 395 M FCFA (+29%) et un résultat net de 151 M FCFA (+1 062%), le coût du risque chutant de 75%. Le rapport du **S1 2026 (publié le 04/09/2026)** est encore plus encourageant : PNB de 2 907 M FCFA (+37%), résultat net de 731 M FCFA (+231%), et surtout une **reprise nette sur coût du risque de 261 M FCFA** (contre une charge de 93 M FCFA un an plus tôt), traduisant une nette amélioration de la qualité du portefeuille. Les capitaux propres progressent de 22% à 6 647 M FCFA et le ratio CET1 remonte à 11,49%. Sur cette base, on peut estimer que l'exercice 2026 devrait afficher un résultat net annuel supérieur à 1,4 Md FCFA, soit un doublement par rapport à 2025. L'augmentation de capital de 1,5 Md FCFA (avis BRVM du 13/04/2026, 3 750 000 actions nouvelles à 400 FCFA) devrait par ailleurs renforcer les fonds propres et soutenir la croissance.</w:t>
      </w:r>
    </w:p>
    <w:p>
      <w:pPr>
        <w:spacing w:after="120" w:line="276" w:lineRule="auto"/>
      </w:pPr>
      <w:r>
        <w:t>**Recommandation fondamentale** : La dynamique de redressement est réelle et validée par les rapports trimestriels, mais la valorisation boursière (PER 66x, P/B 7,82x) intègre déjà largement cette amélioration. Le titre reste un dossier spéculatif à haut risque, dont la solidité dépendra de la capacité à maintenir la qualité du portefeuille et à diversifier les ressources de financement.</w:t>
      </w:r>
    </w:p>
    <w:p>
      <w:pPr>
        <w:spacing w:after="120" w:line="276" w:lineRule="auto"/>
      </w:pPr>
      <w:r>
        <w:t>---</w:t>
      </w:r>
    </w:p>
    <w:p>
      <w:pPr>
        <w:spacing w:after="120" w:line="276" w:lineRule="auto"/>
      </w:pPr>
      <w:r>
        <w:t>## PARTIE 4 : CONCLUSION D'INVESTISSEMENT</w:t>
      </w:r>
    </w:p>
    <w:p>
      <w:pPr>
        <w:spacing w:after="120" w:line="276" w:lineRule="auto"/>
      </w:pPr>
      <w:r>
        <w:t>La synthèse globale révèle un **divorce marqué entre la valorisation et les fondamentaux**. La **Partie 0** montre des multiples très exigeants (PER 66x, P/B 7,82x, EV/EBITDA 81,1x) qui intègrent déjà une anticipation optimiste de croissance, laissant peu de marge d'erreur. Le **comportement du cours (Partie 1)** est préoccupant : tendance baissière depuis le pic de 6 200 FCFA, repli de -4,18% en dernière séance, volatilité annualisée très élevée (61,3%), malgré des statistiques de distribution plutôt équilibrées (kurtosis mésokurtique, skewness symétrique). Les **signaux techniques (Partie 2)** sont majoritairement baissiers (MM sous le cours, MACD négatif), tempérés par un stochastique en survente extrême (%K=0) qui plaide pour un rebond technique de court terme. Les **fondamentaux (Partie 3)** offrent le tableau le plus encourageant : retournement spectaculaire en 2025 (résultat net de 701 M FCFA), accélération confirmée par les rapports T1 2026 (+1 062% de résultat net) et S1 2026 (+231%), amélioration du coût du risque et renforcement des fonds propres via l'augmentation de capital. Les **prédictions IA (J+1 à J+10)** anticipent une légère reprise (3 896 → 3 931 FCFA), cohérente avec le signal de survente du stochastique mais sans conviction forte.</w:t>
      </w:r>
    </w:p>
    <w:p>
      <w:pPr>
        <w:spacing w:after="120" w:line="276" w:lineRule="auto"/>
      </w:pPr>
      <w:r>
        <w:t>**Recommandation finale : CONSERVER**</w:t>
      </w:r>
    </w:p>
    <w:p>
      <w:pPr>
        <w:spacing w:after="120" w:line="276" w:lineRule="auto"/>
      </w:pPr>
      <w:r>
        <w:t>Cette recommandation résulte d'une **divergence** entre des fondamentaux en nette amélioration (justifiant de ne pas vendre) et une valorisation déjà très tendue couplée à des signaux techniques baissiers (justifiant de ne pas acheter). Le titre n'offre pas de marge de sécurité suffisante pour un achat, mais la dynamique de redressement et la perspective d'un doublement du résultat net en 2026 interdisent une vente. **Niveau de confiance : Moyen** — la visibilité sur la pérennité du redressement reste limitée par la fragilité structurelle du bilan (autonomie financière de 7,4%, report à nouveau négatif). **Niveau de risque global : Élevé** — volatilité de 61,3%, dépendance au financement interbancaire, et valorisation sans coussin de sécurité. **Horizon d'investissement optimal : Moyen terme (3-12 mois)**, en surveillant attentivement la confirmation des résultats du second semestre 2026 et l'impact effectif de l'augmentation de capital sur les ratios prudentiels. Un stop-loss serré autour de 3 600 FCFA (borne inférieure de Bollinger) est recommandé pour les positions existantes.</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20260423   avis ndeg108 brvmdg   valeur theorique   dps   augmentation de k   safca ci</w:t>
      </w:r>
    </w:p>
    <w:p>
      <w:pPr>
        <w:spacing w:before="20"/>
        <w:ind w:left="400"/>
      </w:pPr>
      <w:r>
        <w:rPr>
          <w:color w:val="505050"/>
          <w:sz w:val="17"/>
        </w:rPr>
        <w:t xml:space="preserve">Date : 24/04/2026  |  Catégorie : avis de marché  |  Impact : </w:t>
      </w:r>
      <w:r>
        <w:rPr>
          <w:b/>
          <w:color w:val="008000"/>
          <w:sz w:val="17"/>
        </w:rPr>
        <w:t>🟢 POSITIF</w:t>
      </w:r>
    </w:p>
    <w:p>
      <w:pPr>
        <w:spacing w:before="40"/>
        <w:ind w:left="400"/>
      </w:pPr>
      <w:r>
        <w:rPr>
          <w:sz w:val="18"/>
        </w:rPr>
        <w:t>La BRVM annonce la valeur théorique du Droit Préférentiel de Souscription (DPS) de SAFCA CI à 1 615 FCFA dans le cadre d'une augmentation de capital. L'action cotera ex-droit à partir du 24 avril 2026 avec un cours de référence de 3 890 FCFA. Le DPS sera négociable du 27 avril au 9 juin 2026 sous le symbole SAFC.DS1.</w:t>
      </w:r>
    </w:p>
    <w:p>
      <w:pPr>
        <w:spacing w:before="60"/>
        <w:ind w:left="400"/>
      </w:pPr>
      <w:r>
        <w:rPr>
          <w:b/>
          <w:sz w:val="18"/>
        </w:rPr>
        <w:t>Points clés :</w:t>
      </w:r>
    </w:p>
    <w:p>
      <w:pPr>
        <w:pStyle w:val="ListBullet"/>
        <w:spacing w:before="20" w:after="20"/>
        <w:ind w:left="700"/>
      </w:pPr>
      <w:r>
        <w:rPr>
          <w:sz w:val="18"/>
        </w:rPr>
        <w:t>Augmentation de capital SAFCA CI par apport en numéraire : 6 actions nouvelles pour 13 anciennes</w:t>
      </w:r>
    </w:p>
    <w:p>
      <w:pPr>
        <w:pStyle w:val="ListBullet"/>
        <w:spacing w:before="20" w:after="20"/>
        <w:ind w:left="700"/>
      </w:pPr>
      <w:r>
        <w:rPr>
          <w:sz w:val="18"/>
        </w:rPr>
        <w:t>Valeur théorique du DPS fixée à 1 615 FCFA à la clôture du 23 avril 2026</w:t>
      </w:r>
    </w:p>
    <w:p>
      <w:pPr>
        <w:pStyle w:val="ListBullet"/>
        <w:spacing w:before="20" w:after="20"/>
        <w:ind w:left="700"/>
      </w:pPr>
      <w:r>
        <w:rPr>
          <w:sz w:val="18"/>
        </w:rPr>
        <w:t>Action cotera ex-droit à partir du 24 avril 2026 avec cours de référence de 3 890 FCFA</w:t>
      </w:r>
    </w:p>
    <w:p>
      <w:pPr>
        <w:pStyle w:val="ListBullet"/>
        <w:spacing w:before="20" w:after="20"/>
        <w:ind w:left="700"/>
      </w:pPr>
      <w:r>
        <w:rPr>
          <w:sz w:val="18"/>
        </w:rPr>
        <w:t>DPS négociable du 27 avril au 9 juin 2026 sous le symbole SAFC.DS1</w:t>
      </w:r>
    </w:p>
    <w:p>
      <w:pPr>
        <w:pStyle w:val="ListBullet"/>
        <w:spacing w:before="20" w:after="20"/>
        <w:ind w:left="700"/>
      </w:pPr>
      <w:r>
        <w:rPr>
          <w:sz w:val="18"/>
        </w:rPr>
        <w:t>Écarts maximaux de négociation : entre 3 600 FCFA et 4 180 FCFA</w:t>
      </w:r>
    </w:p>
    <w:p>
      <w:pPr>
        <w:ind w:left="400"/>
      </w:pPr>
      <w:r>
        <w:rPr>
          <w:color w:val="B4B4B4"/>
          <w:sz w:val="14"/>
        </w:rPr>
        <w:t xml:space="preserve">· · · · · · · · · · · · · · · · · · · · · · · · · · · · · · </w:t>
      </w:r>
    </w:p>
    <w:p>
      <w:pPr>
        <w:spacing w:before="160"/>
      </w:pPr>
      <w:r>
        <w:rPr>
          <w:b/>
          <w:color w:val="0066CC"/>
          <w:sz w:val="20"/>
        </w:rPr>
        <w:t xml:space="preserve">[2] </w:t>
      </w:r>
      <w:r>
        <w:rPr>
          <w:b/>
          <w:sz w:val="20"/>
        </w:rPr>
        <w:t>20260413   avis ndeg093 brvmdg   augmentation de k par apport en numeraire avec dps   safca ci</w:t>
      </w:r>
    </w:p>
    <w:p>
      <w:pPr>
        <w:spacing w:before="20"/>
        <w:ind w:left="400"/>
      </w:pPr>
      <w:r>
        <w:rPr>
          <w:color w:val="505050"/>
          <w:sz w:val="17"/>
        </w:rPr>
        <w:t xml:space="preserve">Date : 14/04/2026  |  Catégorie : avis de marché  |  Impact : </w:t>
      </w:r>
      <w:r>
        <w:rPr>
          <w:b/>
          <w:color w:val="008000"/>
          <w:sz w:val="17"/>
        </w:rPr>
        <w:t>🟢 POSITIF</w:t>
      </w:r>
    </w:p>
    <w:p>
      <w:pPr>
        <w:spacing w:before="40"/>
        <w:ind w:left="400"/>
      </w:pPr>
      <w:r>
        <w:rPr>
          <w:sz w:val="18"/>
        </w:rPr>
        <w:t>SAFCA CI procède à une augmentation de capital par apport en numéraire de 1,5 milliard FCFA. L'opération créera 3 750 000 actions nouvelles au prix de 400 FCFA avec attribution de droits préférentiels de souscription (DPS). La période de souscription s'étend du 27 avril au 11 juin 2026.</w:t>
      </w:r>
    </w:p>
    <w:p>
      <w:pPr>
        <w:spacing w:before="60"/>
        <w:ind w:left="400"/>
      </w:pPr>
      <w:r>
        <w:rPr>
          <w:b/>
          <w:sz w:val="18"/>
        </w:rPr>
        <w:t>Points clés :</w:t>
      </w:r>
    </w:p>
    <w:p>
      <w:pPr>
        <w:pStyle w:val="ListBullet"/>
        <w:spacing w:before="20" w:after="20"/>
        <w:ind w:left="700"/>
      </w:pPr>
      <w:r>
        <w:rPr>
          <w:sz w:val="18"/>
        </w:rPr>
        <w:t>Augmentation de capital de 1,5 milliard FCFA par émission de 3 750 000 actions nouvelles à 400 FCFA</w:t>
      </w:r>
    </w:p>
    <w:p>
      <w:pPr>
        <w:pStyle w:val="ListBullet"/>
        <w:spacing w:before="20" w:after="20"/>
        <w:ind w:left="700"/>
      </w:pPr>
      <w:r>
        <w:rPr>
          <w:sz w:val="18"/>
        </w:rPr>
        <w:t>Attribution d'un DPS pour chaque action ancienne permettant de souscrire 6 actions nouvelles pour 13 actions détenues</w:t>
      </w:r>
    </w:p>
    <w:p>
      <w:pPr>
        <w:pStyle w:val="ListBullet"/>
        <w:spacing w:before="20" w:after="20"/>
        <w:ind w:left="700"/>
      </w:pPr>
      <w:r>
        <w:rPr>
          <w:sz w:val="18"/>
        </w:rPr>
        <w:t>Période de cotation des DPS du 27 avril au 9 juin 2026</w:t>
      </w:r>
    </w:p>
    <w:p>
      <w:pPr>
        <w:pStyle w:val="ListBullet"/>
        <w:spacing w:before="20" w:after="20"/>
        <w:ind w:left="700"/>
      </w:pPr>
      <w:r>
        <w:rPr>
          <w:sz w:val="18"/>
        </w:rPr>
        <w:t>Période de souscription des actions nouvelles du 27 avril au 11 juin 2026</w:t>
      </w:r>
    </w:p>
    <w:p>
      <w:pPr>
        <w:pStyle w:val="ListBullet"/>
        <w:spacing w:before="20" w:after="20"/>
        <w:ind w:left="700"/>
      </w:pPr>
      <w:r>
        <w:rPr>
          <w:sz w:val="18"/>
        </w:rPr>
        <w:t>Date de jouissance des actions nouvelles fixée au 1er janvier 2025</w:t>
      </w:r>
    </w:p>
    <w:p/>
    <w:p>
      <w:pPr>
        <w:pStyle w:val="Heading3"/>
      </w:pPr>
      <w:r>
        <w:rPr>
          <w:color w:val="005A32"/>
        </w:rPr>
        <w:t>📋 RAPPORTS &amp; COMMUNIQUÉS OFFICIELS</w:t>
      </w:r>
    </w:p>
    <w:p>
      <w:r>
        <w:rPr>
          <w:i/>
          <w:color w:val="646464"/>
          <w:sz w:val="18"/>
        </w:rPr>
        <w:t>25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croissance du r\u00e9sultat net, l'am\u00e9lioration du co\u00fbt du risque et la solidit\u00e9 des ratios prudentiels indiquent une dynamique positive. Le mod\u00e8le \u00e9conomique d\u00e9ploy\u00e9 depuis l'int\u00e9gration au sein de CREDAF GROUP soutient la cr\u00e9ation de valeur."}</w:t>
      </w:r>
    </w:p>
    <w:p>
      <w:pPr>
        <w:spacing w:before="40"/>
        <w:ind w:left="400"/>
      </w:pPr>
      <w:r>
        <w:rPr>
          <w:sz w:val="18"/>
        </w:rPr>
        <w:t>Au 30 juin 2026, Alios Finance Côte d'Ivoire (SAFCA) affiche une croissance soutenue de son activité, avec un produit net bancaire en hausse de 37% à 2,907 milliards FCFA. Le résultat net progresse fortement de 231% pour atteindre 731 millions FCFA, traduisant une amélioration de l'efficacité opérationnelle et une meilleure maîtrise du coût du risque. Le total du bilan s'établit à 90,47 milliards FCFA, en hausse de 14%, porté par une augmentation des prêts à la clientèle de 21%. Les capitaux propres se renforcent de 22% à 6,65 milliards FCFA, et tous les ratios prudentiels sont conformes aux exigences de l'UMOA. La dynamique positive devrait se poursuivre grâce à la stratégie de développemen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{'ratio_cet1_2025': '9,653%', 'ratio_cet1_2026': '11,491%', 'total_actif_2025': '79 188 millions FCFA', 'ratio_levier_2026': '3,94%', 'resultat_net_2025': '221 millions FCFA', 'capitaux_propres_2025': '5 436 millions FCFA', 'produit_net_bancaire_2025': '2 122 millions FCFA', 'ratio_solvabilite_globale_2025': '11,886%', 'ratio_solvabilite_globale_2026': '12,931%'}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25,2%</w:t>
            </w:r>
          </w:p>
        </w:tc>
        <w:tc>
          <w:tcPr>
            <w:tcW w:type="dxa" w:w="2160"/>
          </w:tcPr>
          <w:p>
            <w:pPr>
              <w:ind w:left="100"/>
            </w:pPr>
            <w:r/>
            <w:r>
              <w:rPr>
                <w:b/>
                <w:sz w:val="16"/>
              </w:rPr>
              <w:t>total_actif</w:t>
              <w:br/>
            </w:r>
            <w:r>
              <w:rPr>
                <w:sz w:val="18"/>
              </w:rPr>
              <w:t>90 472 millions FCFA</w:t>
            </w:r>
          </w:p>
        </w:tc>
      </w:tr>
      <w:tr>
        <w:tc>
          <w:tcPr>
            <w:tcW w:type="dxa" w:w="2160"/>
          </w:tcPr>
          <w:p>
            <w:r/>
            <w:r>
              <w:rPr>
                <w:b/>
                <w:sz w:val="16"/>
              </w:rPr>
              <w:t>resultat_net</w:t>
              <w:br/>
            </w:r>
            <w:r>
              <w:rPr>
                <w:sz w:val="18"/>
              </w:rPr>
              <w:t>731 millions FCFA</w:t>
            </w:r>
          </w:p>
        </w:tc>
        <w:tc>
          <w:tcPr>
            <w:tcW w:type="dxa" w:w="2160"/>
          </w:tcPr>
          <w:p>
            <w:r/>
            <w:r>
              <w:rPr>
                <w:b/>
                <w:sz w:val="16"/>
              </w:rPr>
              <w:t>capitaux_propres</w:t>
              <w:br/>
            </w:r>
            <w:r>
              <w:rPr>
                <w:sz w:val="18"/>
              </w:rPr>
              <w:t>6 647 millions FCFA</w:t>
            </w:r>
          </w:p>
        </w:tc>
        <w:tc>
          <w:tcPr>
            <w:tcW w:type="dxa" w:w="2160"/>
          </w:tcPr>
          <w:p>
            <w:r/>
            <w:r>
              <w:rPr>
                <w:b/>
                <w:sz w:val="16"/>
              </w:rPr>
              <w:t>chiffre_affaires</w:t>
              <w:br/>
            </w:r>
            <w:r>
              <w:rPr>
                <w:sz w:val="18"/>
              </w:rPr>
              <w:t>2 907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37%, passant de 2 122 à 2 907 millions FCFA.</w:t>
      </w:r>
    </w:p>
    <w:p>
      <w:pPr>
        <w:pStyle w:val="ListBullet"/>
        <w:spacing w:before="20" w:after="20"/>
        <w:ind w:left="700"/>
      </w:pPr>
      <w:r>
        <w:rPr>
          <w:sz w:val="18"/>
        </w:rPr>
        <w:t>Résultat net en hausse de 231%, passant de 221 à 731 millions FCFA.</w:t>
      </w:r>
    </w:p>
    <w:p>
      <w:pPr>
        <w:pStyle w:val="ListBullet"/>
        <w:spacing w:before="20" w:after="20"/>
        <w:ind w:left="700"/>
      </w:pPr>
      <w:r>
        <w:rPr>
          <w:sz w:val="18"/>
        </w:rPr>
        <w:t>Le coût du risque s'améliore, avec une reprise nette de 261 millions FCFA contre une charge de 93 millions un an plus tôt.</w:t>
      </w:r>
    </w:p>
    <w:p>
      <w:pPr>
        <w:pStyle w:val="ListBullet"/>
        <w:spacing w:before="20" w:after="20"/>
        <w:ind w:left="700"/>
      </w:pPr>
      <w:r>
        <w:rPr>
          <w:sz w:val="18"/>
        </w:rPr>
        <w:t>Total du bilan en hausse de 14% pour atteindre 90 472 millions FCFA.</w:t>
      </w:r>
    </w:p>
    <w:p>
      <w:pPr>
        <w:pStyle w:val="ListBullet"/>
        <w:spacing w:before="20" w:after="20"/>
        <w:ind w:left="700"/>
      </w:pPr>
      <w:r>
        <w:rPr>
          <w:sz w:val="18"/>
        </w:rPr>
        <w:t>Les opérations avec la clientèle (à l'actif) progressent de 21%, atteignant 68 537 millions FCFA.</w:t>
      </w:r>
    </w:p>
    <w:p>
      <w:pPr>
        <w:pStyle w:val="ListBullet"/>
        <w:spacing w:before="20" w:after="20"/>
        <w:ind w:left="700"/>
      </w:pPr>
      <w:r>
        <w:rPr>
          <w:sz w:val="18"/>
        </w:rPr>
        <w:t>Capitaux propres et ressources assimilées en hausse de 22% à 6 647 millions FCFA.</w:t>
      </w:r>
    </w:p>
    <w:p>
      <w:pPr>
        <w:spacing w:before="40"/>
        <w:ind w:left="400"/>
      </w:pPr>
      <w:r>
        <w:rPr>
          <w:b/>
          <w:color w:val="C05000"/>
          <w:sz w:val="18"/>
        </w:rPr>
        <w:t xml:space="preserve">⚠️ Risques : </w:t>
      </w:r>
      <w:r>
        <w:rPr>
          <w:sz w:val="18"/>
        </w:rPr>
        <w:t>["Risque de d\u00e9gradation de la qualit\u00e9 du portefeuille de cr\u00e9dit, susceptible d'accro\u00eetre le co\u00fbt du risque.", "Risque de d\u00e9pendance au financement par la client\u00e8le, dont la collecte peut se rench\u00e9rir.", "Risque r\u00e9glementaire, notamment en cas de durcissem</w:t>
      </w:r>
    </w:p>
    <w:p>
      <w:pPr>
        <w:spacing w:before="40"/>
        <w:ind w:left="400"/>
      </w:pPr>
      <w:r>
        <w:rPr>
          <w:b/>
          <w:color w:val="0064A0"/>
          <w:sz w:val="18"/>
        </w:rPr>
        <w:t xml:space="preserve">🔮 Perspectives : </w:t>
      </w:r>
      <w:r>
        <w:rPr>
          <w:sz w:val="18"/>
        </w:rPr>
        <w:t>L'établissement devrait poursuivre sa croissance, porté par le développement des crédits à la clientèle et l'amélioration de sa rentabilité. Les fonds propres renforcés offrent des marges de manœuvre pour accompagner cette expansion tout en maintenant une gestion prudente des risques.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spectaculaire am\u00e9lioration de la rentabilit\u00e9 (+1062% du r\u00e9sultat net) et la ma\u00eetrise du risque cr\u00e9ent une dynamique tr\u00e8s favorable. La solidit\u00e9 des ratios prudentiels et la croissance soutenue de l'activit\u00e9 commerciale offrent des perspectives attractives."}</w:t>
      </w:r>
    </w:p>
    <w:p>
      <w:pPr>
        <w:spacing w:before="40"/>
        <w:ind w:left="400"/>
      </w:pPr>
      <w:r>
        <w:rPr>
          <w:sz w:val="18"/>
        </w:rPr>
        <w:t>Alios Finance Côte d'Ivoire présente des résultats remarquables au premier trimestre 2026 avec un redressement spectaculaire de sa rentabilité. Le Produit Net Bancaire progresse de 29% à 1 395 millions FCFA, soutenu par l'amélioration des volumes d'activité et des marges. Le coût du risque s'améliore drastiquement de 75%, passant de -89 à -22 millions FCFA, témoignant d'une meilleure maîtrise du portefeuille. Le résultat net bondit de 1062% à 151 millions FCFA contre 13 millions FCFA l'année précédente. L'ensemble des ratios prudentiels restent largement au-dessus des normes réglementaires, confirmant la solidité financière de l'établissement.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{'ratio_cet1': '10.346%', 'ratio_levier': '4.03%', 'cout_du_risque': '-22 millions FCFA', 'ratio_solvabilite': '11.643%', 'operations_clientele': '64 428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10.8%</w:t>
            </w:r>
          </w:p>
        </w:tc>
        <w:tc>
          <w:tcPr>
            <w:tcW w:type="dxa" w:w="2160"/>
          </w:tcPr>
          <w:p>
            <w:pPr>
              <w:ind w:left="100"/>
            </w:pPr>
            <w:r/>
            <w:r>
              <w:rPr>
                <w:b/>
                <w:sz w:val="16"/>
              </w:rPr>
              <w:t>total_actif</w:t>
              <w:br/>
            </w:r>
            <w:r>
              <w:rPr>
                <w:sz w:val="18"/>
              </w:rPr>
              <w:t>88 419 millions FCFA</w:t>
            </w:r>
          </w:p>
        </w:tc>
      </w:tr>
      <w:tr>
        <w:tc>
          <w:tcPr>
            <w:tcW w:type="dxa" w:w="2160"/>
          </w:tcPr>
          <w:p>
            <w:r/>
            <w:r>
              <w:rPr>
                <w:b/>
                <w:sz w:val="16"/>
              </w:rPr>
              <w:t>resultat_net</w:t>
              <w:br/>
            </w:r>
            <w:r>
              <w:rPr>
                <w:sz w:val="18"/>
              </w:rPr>
              <w:t>151 millions FCFA</w:t>
            </w:r>
          </w:p>
        </w:tc>
        <w:tc>
          <w:tcPr>
            <w:tcW w:type="dxa" w:w="2160"/>
          </w:tcPr>
          <w:p>
            <w:r/>
            <w:r>
              <w:rPr>
                <w:b/>
                <w:sz w:val="16"/>
              </w:rPr>
              <w:t>capitaux_propres</w:t>
              <w:br/>
            </w:r>
            <w:r>
              <w:rPr>
                <w:sz w:val="18"/>
              </w:rPr>
              <w:t>6 067 millions FCFA</w:t>
            </w:r>
          </w:p>
        </w:tc>
        <w:tc>
          <w:tcPr>
            <w:tcW w:type="dxa" w:w="2160"/>
          </w:tcPr>
          <w:p>
            <w:r/>
            <w:r>
              <w:rPr>
                <w:b/>
                <w:sz w:val="16"/>
              </w:rPr>
              <w:t>chiffre_affaires</w:t>
              <w:br/>
            </w:r>
            <w:r>
              <w:rPr>
                <w:sz w:val="18"/>
              </w:rPr>
              <w:t>1 395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de +1062% à 151 millions FCFA</w:t>
      </w:r>
    </w:p>
    <w:p>
      <w:pPr>
        <w:pStyle w:val="ListBullet"/>
        <w:spacing w:before="20" w:after="20"/>
        <w:ind w:left="700"/>
      </w:pPr>
      <w:r>
        <w:rPr>
          <w:sz w:val="18"/>
        </w:rPr>
        <w:t>Progression soutenue du PNB de +29% à 1 395 millions FCFA</w:t>
      </w:r>
    </w:p>
    <w:p>
      <w:pPr>
        <w:pStyle w:val="ListBullet"/>
        <w:spacing w:before="20" w:after="20"/>
        <w:ind w:left="700"/>
      </w:pPr>
      <w:r>
        <w:rPr>
          <w:sz w:val="18"/>
        </w:rPr>
        <w:t>Amélioration significative du coût du risque de 75% (-22 millions vs -89 millions FCFA)</w:t>
      </w:r>
    </w:p>
    <w:p>
      <w:pPr>
        <w:pStyle w:val="ListBullet"/>
        <w:spacing w:before="20" w:after="20"/>
        <w:ind w:left="700"/>
      </w:pPr>
      <w:r>
        <w:rPr>
          <w:sz w:val="18"/>
        </w:rPr>
        <w:t>Expansion du total bilan de 21% atteignant 88 419 millions FCFA</w:t>
      </w:r>
    </w:p>
    <w:p>
      <w:pPr>
        <w:pStyle w:val="ListBullet"/>
        <w:spacing w:before="20" w:after="20"/>
        <w:ind w:left="700"/>
      </w:pPr>
      <w:r>
        <w:rPr>
          <w:sz w:val="18"/>
        </w:rPr>
        <w:t>Croissance dynamique des opérations clientèle de +26% à 64 428 millions FCFA</w:t>
      </w:r>
    </w:p>
    <w:p>
      <w:pPr>
        <w:pStyle w:val="ListBullet"/>
        <w:spacing w:before="20" w:after="20"/>
        <w:ind w:left="700"/>
      </w:pPr>
      <w:r>
        <w:rPr>
          <w:sz w:val="18"/>
        </w:rPr>
        <w:t>Renforcement des capitaux propres de +16% à 6 067 millions FCFA</w:t>
      </w:r>
    </w:p>
    <w:p>
      <w:pPr>
        <w:spacing w:before="40"/>
        <w:ind w:left="400"/>
      </w:pPr>
      <w:r>
        <w:rPr>
          <w:b/>
          <w:color w:val="C05000"/>
          <w:sz w:val="18"/>
        </w:rPr>
        <w:t xml:space="preserve">⚠️ Risques : </w:t>
      </w:r>
      <w:r>
        <w:rPr>
          <w:sz w:val="18"/>
        </w:rPr>
        <w:t>["N\u00e9cessit\u00e9 de maintenir un pilotage rapproch\u00e9 pour pr\u00e9server les marges prudentielles", "D\u00e9pendance \u00e0 la qualit\u00e9 continue du portefeuille cr\u00e9dit dans un environnement \u00e9conomique incertain", "Pression potentielle sur les marges dans un contexte concurrent</w:t>
      </w:r>
    </w:p>
    <w:p>
      <w:pPr>
        <w:spacing w:before="40"/>
        <w:ind w:left="400"/>
      </w:pPr>
      <w:r>
        <w:rPr>
          <w:b/>
          <w:color w:val="0064A0"/>
          <w:sz w:val="18"/>
        </w:rPr>
        <w:t xml:space="preserve">🔮 Perspectives : </w:t>
      </w:r>
      <w:r>
        <w:rPr>
          <w:sz w:val="18"/>
        </w:rPr>
        <w:t>Les résultats du premier trimestre 2026 confirment une trajectoire de redressement solide et maîtrisée. La direction souligne la nécessité d'un pilotage attentif de la production et du recouvrement pour maintenir cette dynamique positive. Le renforcement continu de la structure financière et le resp</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"conserver", "justification": "La forte am\u00e9lioration du r\u00e9sultat et du PNB est encourageante, mais la structure de financement repose lourdement sur les dettes interbancaires et les capitaux propres restent modestes. Une poursuite du renforcement du bilan pourrait justifier un passage \u00e0 l'achat."}</w:t>
      </w:r>
    </w:p>
    <w:p>
      <w:pPr>
        <w:spacing w:before="40"/>
        <w:ind w:left="400"/>
      </w:pPr>
      <w:r>
        <w:rPr>
          <w:sz w:val="18"/>
        </w:rPr>
        <w:t>ALIOS FINANCE Côte d'Ivoire (anciennement SAFCA CI) a réalisé un exercice 2025 nettement bénéficiaire avec un résultat net de 701 millions FCFA, contre une perte de 165 millions en 2024. Le produit net bancaire a fortement progressé à 5 735 millions FCFA, porté par la hausse des intérêts et des commissions. Le total du bilan atteint 79 555 millions FCFA, soutenu par une croissance des crédits à la clientèle à 60 476 millions. L'activité demeure fortement dépendante des dettes interbancaires et des titres émis, atteignant respectivement 35 747 et 14 915 millions. La direction a décidé d'affecter l'intégralité du résultat au report à nouveau, aucune distribution de dividende n'est proposée.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{'resultat_net_2024': '-165 millions FCFA', 'creances_clientele': '60 476 millions FCFA', 'dettes_interbancaires': '35 747 millions FCFA', 'produit_net_bancaire_2024': '3 980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12,2 %</w:t>
            </w:r>
          </w:p>
        </w:tc>
        <w:tc>
          <w:tcPr>
            <w:tcW w:type="dxa" w:w="2160"/>
          </w:tcPr>
          <w:p>
            <w:pPr>
              <w:ind w:left="100"/>
            </w:pPr>
            <w:r/>
            <w:r>
              <w:rPr>
                <w:b/>
                <w:sz w:val="16"/>
              </w:rPr>
              <w:t>total_actif</w:t>
              <w:br/>
            </w:r>
            <w:r>
              <w:rPr>
                <w:sz w:val="18"/>
              </w:rPr>
              <w:t>79 555 millions FCFA</w:t>
            </w:r>
          </w:p>
        </w:tc>
      </w:tr>
      <w:tr>
        <w:tc>
          <w:tcPr>
            <w:tcW w:type="dxa" w:w="2160"/>
          </w:tcPr>
          <w:p>
            <w:r/>
            <w:r>
              <w:rPr>
                <w:b/>
                <w:sz w:val="16"/>
              </w:rPr>
              <w:t>resultat_net</w:t>
              <w:br/>
            </w:r>
            <w:r>
              <w:rPr>
                <w:sz w:val="18"/>
              </w:rPr>
              <w:t>701 millions FCFA</w:t>
            </w:r>
          </w:p>
        </w:tc>
        <w:tc>
          <w:tcPr>
            <w:tcW w:type="dxa" w:w="2160"/>
          </w:tcPr>
          <w:p>
            <w:r/>
            <w:r>
              <w:rPr>
                <w:b/>
                <w:sz w:val="16"/>
              </w:rPr>
              <w:t>capitaux_propres</w:t>
              <w:br/>
            </w:r>
            <w:r>
              <w:rPr>
                <w:sz w:val="18"/>
              </w:rPr>
              <w:t>5 916 millions FCFA</w:t>
            </w:r>
          </w:p>
        </w:tc>
        <w:tc>
          <w:tcPr>
            <w:tcW w:type="dxa" w:w="2160"/>
          </w:tcPr>
          <w:p>
            <w:r/>
            <w:r>
              <w:rPr>
                <w:b/>
                <w:sz w:val="16"/>
              </w:rPr>
              <w:t>chiffre_affaires</w:t>
              <w:br/>
            </w:r>
            <w:r>
              <w:rPr>
                <w:sz w:val="18"/>
              </w:rPr>
              <w:t>5 735 millions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Retournement du résultat net : +701 millions FCFA en 2025 contre -165 millions en 2024.</w:t>
      </w:r>
    </w:p>
    <w:p>
      <w:pPr>
        <w:pStyle w:val="ListBullet"/>
        <w:spacing w:before="20" w:after="20"/>
        <w:ind w:left="700"/>
      </w:pPr>
      <w:r>
        <w:rPr>
          <w:sz w:val="18"/>
        </w:rPr>
        <w:t>Produit net bancaire en hausse de 44 % à 5 735 millions FCFA.</w:t>
      </w:r>
    </w:p>
    <w:p>
      <w:pPr>
        <w:pStyle w:val="ListBullet"/>
        <w:spacing w:before="20" w:after="20"/>
        <w:ind w:left="700"/>
      </w:pPr>
      <w:r>
        <w:rPr>
          <w:sz w:val="18"/>
        </w:rPr>
        <w:t>Total du bilan en progression de 7,2 % à 79 555 millions FCFA.</w:t>
      </w:r>
    </w:p>
    <w:p>
      <w:pPr>
        <w:pStyle w:val="ListBullet"/>
        <w:spacing w:before="20" w:after="20"/>
        <w:ind w:left="700"/>
      </w:pPr>
      <w:r>
        <w:rPr>
          <w:sz w:val="18"/>
        </w:rPr>
        <w:t>Crédits à la clientèle en hausse à 60 476 millions FCFA.</w:t>
      </w:r>
    </w:p>
    <w:p>
      <w:pPr>
        <w:pStyle w:val="ListBullet"/>
        <w:spacing w:before="20" w:after="20"/>
        <w:ind w:left="700"/>
      </w:pPr>
      <w:r>
        <w:rPr>
          <w:sz w:val="18"/>
        </w:rPr>
        <w:t>Dépôts clientèle en hausse à 9 112 millions FCFA, mais dettes interbancaires élevées à 35 747 millions.</w:t>
      </w:r>
    </w:p>
    <w:p>
      <w:pPr>
        <w:pStyle w:val="ListBullet"/>
        <w:spacing w:before="20" w:after="20"/>
        <w:ind w:left="700"/>
      </w:pPr>
      <w:r>
        <w:rPr>
          <w:sz w:val="18"/>
        </w:rPr>
        <w:t>Charges générales maîtrisées : 4 103 millions, en deçà de la croissance du PNB.</w:t>
      </w:r>
    </w:p>
    <w:p>
      <w:pPr>
        <w:spacing w:before="40"/>
        <w:ind w:left="400"/>
      </w:pPr>
      <w:r>
        <w:rPr>
          <w:b/>
          <w:color w:val="C05000"/>
          <w:sz w:val="18"/>
        </w:rPr>
        <w:t xml:space="preserve">⚠️ Risques : </w:t>
      </w:r>
      <w:r>
        <w:rPr>
          <w:sz w:val="18"/>
        </w:rPr>
        <w:t>["D\u00e9pendance \u00e9lev\u00e9e aux dettes interbancaires et aux march\u00e9s de capitaux, exposant \u00e0 des tensions de liquidit\u00e9.", "Co\u00fbt du risque encore \u00e9lev\u00e9 (377 millions FCFA), traduisant une qualit\u00e9 du portefeuille de cr\u00e9dits \u00e0 surveiller.", "Niveau mo</w:t>
      </w:r>
    </w:p>
    <w:p>
      <w:pPr>
        <w:spacing w:before="40"/>
        <w:ind w:left="400"/>
      </w:pPr>
      <w:r>
        <w:rPr>
          <w:b/>
          <w:color w:val="0064A0"/>
          <w:sz w:val="18"/>
        </w:rPr>
        <w:t xml:space="preserve">🔮 Perspectives : </w:t>
      </w:r>
      <w:r>
        <w:rPr>
          <w:sz w:val="18"/>
        </w:rPr>
        <w:t>En 2026, la poursuite de l'amélioration opérationnelle dépendra de la maîtrise du coût du risque et de la diversification des ressources de financement. La croissance des crédits et la solidité du PNB pourraient soutenir une rentabilité accrue, mais une hausse des taux ou une dégradation des créance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redressement de l'exercice 2025 est net et le r\u00e9sultat redevient positif, mais les capitaux propres restent modestes et le report \u00e0 nouveau demeure n\u00e9gatif. Il est prudent de conserver le titre en attendant une confirmation de la tendance en 2026."}</w:t>
      </w:r>
    </w:p>
    <w:p>
      <w:pPr>
        <w:spacing w:before="40"/>
        <w:ind w:left="400"/>
      </w:pPr>
      <w:r>
        <w:rPr>
          <w:sz w:val="18"/>
        </w:rPr>
        <w:t>La société présente au titre 2025 un redressement marqué de son activité avec un produit net bancaire en hausse de 44% à 5 735 millions F CFA. Le résultat net devient excédentaire à 701 millions F CFA, contre une perte de 165 millions en 2024, grâce notamment à un résultat brut d'exploitation multiplié par cinq. Le total bilan progresse à 79 555 millions F CFA, avec des capitaux propres de 5 916 millions F CFA. Aucun dividende n'est proposé; le résultat 2025 est entièrement affecté en report à nouveau. La structure financière reste en amélioration mais le report à nouveau demeure négatif, ce qui appelle à la prudence.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'3 248 millions F CFA', 'cout_du_risque': '377 millions F CFA', 'report_a_nouveau': '-4 123 millions F CFA', 'engagements_recus': '10 802 millions F CFA', 'engagements_donnes': '280 millions F CFA', 'produit_net_bancaire': '5 735 millions F CFA', 'resultat_brut_exploitation': '1 283 millions F 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12,2 %</w:t>
            </w:r>
          </w:p>
        </w:tc>
        <w:tc>
          <w:tcPr>
            <w:tcW w:type="dxa" w:w="2160"/>
          </w:tcPr>
          <w:p>
            <w:pPr>
              <w:ind w:left="100"/>
            </w:pPr>
            <w:r/>
            <w:r>
              <w:rPr>
                <w:b/>
                <w:sz w:val="16"/>
              </w:rPr>
              <w:t>total_actif</w:t>
              <w:br/>
            </w:r>
            <w:r>
              <w:rPr>
                <w:sz w:val="18"/>
              </w:rPr>
              <w:t>79 555 millions F CFA</w:t>
            </w:r>
          </w:p>
        </w:tc>
      </w:tr>
      <w:tr>
        <w:tc>
          <w:tcPr>
            <w:tcW w:type="dxa" w:w="2160"/>
          </w:tcPr>
          <w:p>
            <w:r/>
            <w:r>
              <w:rPr>
                <w:b/>
                <w:sz w:val="16"/>
              </w:rPr>
              <w:t>resultat_net</w:t>
              <w:br/>
            </w:r>
            <w:r>
              <w:rPr>
                <w:sz w:val="18"/>
              </w:rPr>
              <w:t>701 millions F CFA</w:t>
            </w:r>
          </w:p>
        </w:tc>
        <w:tc>
          <w:tcPr>
            <w:tcW w:type="dxa" w:w="2160"/>
          </w:tcPr>
          <w:p>
            <w:r/>
            <w:r>
              <w:rPr>
                <w:b/>
                <w:sz w:val="16"/>
              </w:rPr>
              <w:t>capitaux_propres</w:t>
              <w:br/>
            </w:r>
            <w:r>
              <w:rPr>
                <w:sz w:val="18"/>
              </w:rPr>
              <w:t>5 916 millions F CFA</w:t>
            </w:r>
          </w:p>
        </w:tc>
        <w:tc>
          <w:tcPr>
            <w:tcW w:type="dxa" w:w="2160"/>
          </w:tcPr>
          <w:p>
            <w:r/>
            <w:r>
              <w:rPr>
                <w:b/>
                <w:sz w:val="16"/>
              </w:rPr>
              <w:t>chiffre_affaires</w:t>
              <w:br/>
            </w:r>
            <w:r>
              <w:rPr>
                <w:sz w:val="18"/>
              </w:rPr>
              <w:t>5 735 millions F 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2025 en hausse de 44% : 5 735 millions F CFA.</w:t>
      </w:r>
    </w:p>
    <w:p>
      <w:pPr>
        <w:pStyle w:val="ListBullet"/>
        <w:spacing w:before="20" w:after="20"/>
        <w:ind w:left="700"/>
      </w:pPr>
      <w:r>
        <w:rPr>
          <w:sz w:val="18"/>
        </w:rPr>
        <w:t>Résultat net positif de 701 millions F CFA après une perte de -165 millions en 2024.</w:t>
      </w:r>
    </w:p>
    <w:p>
      <w:pPr>
        <w:pStyle w:val="ListBullet"/>
        <w:spacing w:before="20" w:after="20"/>
        <w:ind w:left="700"/>
      </w:pPr>
      <w:r>
        <w:rPr>
          <w:sz w:val="18"/>
        </w:rPr>
        <w:t>Résultat brut d'exploitation passe de 258 à 1 283 millions F CFA.</w:t>
      </w:r>
    </w:p>
    <w:p>
      <w:pPr>
        <w:pStyle w:val="ListBullet"/>
        <w:spacing w:before="20" w:after="20"/>
        <w:ind w:left="700"/>
      </w:pPr>
      <w:r>
        <w:rPr>
          <w:sz w:val="18"/>
        </w:rPr>
        <w:t>Le coût du risque s'établit à 377 millions F CFA, en légère hausse.</w:t>
      </w:r>
    </w:p>
    <w:p>
      <w:pPr>
        <w:pStyle w:val="ListBullet"/>
        <w:spacing w:before="20" w:after="20"/>
        <w:ind w:left="700"/>
      </w:pPr>
      <w:r>
        <w:rPr>
          <w:sz w:val="18"/>
        </w:rPr>
        <w:t>Total bilan en hausse à 79 555 millions F CFA.</w:t>
      </w:r>
    </w:p>
    <w:p>
      <w:pPr>
        <w:pStyle w:val="ListBullet"/>
        <w:spacing w:before="20" w:after="20"/>
        <w:ind w:left="700"/>
      </w:pPr>
      <w:r>
        <w:rPr>
          <w:sz w:val="18"/>
        </w:rPr>
        <w:t>Capitaux propres en augmentation à 5 916 millions F CFA.</w:t>
      </w:r>
    </w:p>
    <w:p>
      <w:pPr>
        <w:spacing w:before="40"/>
        <w:ind w:left="400"/>
      </w:pPr>
      <w:r>
        <w:rPr>
          <w:b/>
          <w:color w:val="C05000"/>
          <w:sz w:val="18"/>
        </w:rPr>
        <w:t xml:space="preserve">⚠️ Risques : </w:t>
      </w:r>
      <w:r>
        <w:rPr>
          <w:sz w:val="18"/>
        </w:rPr>
        <w:t xml:space="preserve">["D\u00e9t\u00e9rioration \u00e9ventuelle de la qualit\u00e9 des cr\u00e9ances clients et hausse du co\u00fbt du risque.", "Progression des charges g\u00e9n\u00e9rales d'exploitation qui peut peser sur la rentabilit\u00e9 future.", "Volatilit\u00e9 de l'environnement \u00e9conomique et financier de </w:t>
      </w:r>
    </w:p>
    <w:p>
      <w:pPr>
        <w:spacing w:before="40"/>
        <w:ind w:left="400"/>
      </w:pPr>
      <w:r>
        <w:rPr>
          <w:b/>
          <w:color w:val="0064A0"/>
          <w:sz w:val="18"/>
        </w:rPr>
        <w:t xml:space="preserve">🔮 Perspectives : </w:t>
      </w:r>
      <w:r>
        <w:rPr>
          <w:sz w:val="18"/>
        </w:rPr>
        <w:t>L'année 2025 marque un retournement positif qui devrait se poursuivre en 2026 grâce à l'amélioration de l'activité de financement et à une maîtrise progressive du coût du risque. Toutefois, la reconstitution des capitaux propres et la réduction du report à nouveau négatif resteront des défis majeurs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r\u00e9ussie avec CREDAF Group et le retour spectaculaire \u00e0 la rentabilit\u00e9 d\u00e9montrent un potentiel de redressement durable. Les performances d\u00e9passent les objectifs budg\u00e9taires dans un contexte de gouvernance renforc\u00e9e."}</w:t>
      </w:r>
    </w:p>
    <w:p>
      <w:pPr>
        <w:spacing w:before="40"/>
        <w:ind w:left="400"/>
      </w:pPr>
      <w:r>
        <w:rPr>
          <w:sz w:val="18"/>
        </w:rPr>
        <w:t>SAFCA CI (Alios Finance Côte d'Ivoire) réalise un retour spectaculaire à la rentabilité en 2025 avec un résultat net bénéficiaire de 701 M FCFA, marquant la fin de huit années consécutives de pertes. Cette performance s'explique par l'entrée du nouvel actionnaire principal CREDAF Group en avril 2025, qui a impulse une nouvelle dynamique stratégique. Le Produit Net Bancaire a bondi de 44% à 5 735 M FCFA, dépassant largement les prévisions budgétaires de 5 507 M FCFA. L'amélioration résulte d'une progression de l'activité commerciale, d'une meilleure maîtrise des charges et d'un renforcement du recouvrement. La société respecte toutes les normes prudentielles avec des ratios de solvabilité sol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'377 M FCFA', 'ratio_solvabilite': '12,064%', 'operations_clientele': '60 476 M FCFA', 'ratio_fonds_propres_CET1': '10,723%'}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w:t>
            </w:r>
          </w:p>
        </w:tc>
        <w:tc>
          <w:tcPr>
            <w:tcW w:type="dxa" w:w="2160"/>
          </w:tcPr>
          <w:p>
            <w:pPr>
              <w:ind w:left="100"/>
            </w:pPr>
            <w:r/>
            <w:r>
              <w:rPr>
                <w:b/>
                <w:sz w:val="16"/>
              </w:rPr>
              <w:t>total_actif</w:t>
              <w:br/>
            </w:r>
            <w:r>
              <w:rPr>
                <w:sz w:val="18"/>
              </w:rPr>
              <w:t>79 555 M FCFA</w:t>
            </w:r>
          </w:p>
        </w:tc>
      </w:tr>
      <w:tr>
        <w:tc>
          <w:tcPr>
            <w:tcW w:type="dxa" w:w="2160"/>
          </w:tcPr>
          <w:p>
            <w:r/>
            <w:r>
              <w:rPr>
                <w:b/>
                <w:sz w:val="16"/>
              </w:rPr>
              <w:t>resultat_net</w:t>
              <w:br/>
            </w:r>
            <w:r>
              <w:rPr>
                <w:sz w:val="18"/>
              </w:rPr>
              <w:t>701 M FCFA</w:t>
            </w:r>
          </w:p>
        </w:tc>
        <w:tc>
          <w:tcPr>
            <w:tcW w:type="dxa" w:w="2160"/>
          </w:tcPr>
          <w:p>
            <w:r/>
            <w:r>
              <w:rPr>
                <w:b/>
                <w:sz w:val="16"/>
              </w:rPr>
              <w:t>capitaux_propres</w:t>
              <w:br/>
            </w:r>
            <w:r>
              <w:rPr>
                <w:sz w:val="18"/>
              </w:rPr>
              <w:t>5 916 M FCFA</w:t>
            </w:r>
          </w:p>
        </w:tc>
        <w:tc>
          <w:tcPr>
            <w:tcW w:type="dxa" w:w="2160"/>
          </w:tcPr>
          <w:p>
            <w:r/>
            <w:r>
              <w:rPr>
                <w:b/>
                <w:sz w:val="16"/>
              </w:rPr>
              <w:t>chiffre_affaires</w:t>
              <w:br/>
            </w:r>
            <w:r>
              <w:rPr>
                <w:sz w:val="18"/>
              </w:rPr>
              <w:t>5 735 M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Retour historique à la rentabilité après 8 années de déficit avec un résultat net de 701 M FCFA</w:t>
      </w:r>
    </w:p>
    <w:p>
      <w:pPr>
        <w:pStyle w:val="ListBullet"/>
        <w:spacing w:before="20" w:after="20"/>
        <w:ind w:left="700"/>
      </w:pPr>
      <w:r>
        <w:rPr>
          <w:sz w:val="18"/>
        </w:rPr>
        <w:t>Entrée de CREDAF Group comme actionnaire principal en avril 2025, transformant la gouvernance</w:t>
      </w:r>
    </w:p>
    <w:p>
      <w:pPr>
        <w:pStyle w:val="ListBullet"/>
        <w:spacing w:before="20" w:after="20"/>
        <w:ind w:left="700"/>
      </w:pPr>
      <w:r>
        <w:rPr>
          <w:sz w:val="18"/>
        </w:rPr>
        <w:t>Produit Net Bancaire en forte hausse de 44% à 5 735 M FCFA vs 3 980 M FCFA en 2024</w:t>
      </w:r>
    </w:p>
    <w:p>
      <w:pPr>
        <w:pStyle w:val="ListBullet"/>
        <w:spacing w:before="20" w:after="20"/>
        <w:ind w:left="700"/>
      </w:pPr>
      <w:r>
        <w:rPr>
          <w:sz w:val="18"/>
        </w:rPr>
        <w:t>Performance supérieure au budget avec 701 M FCFA vs 514 M FCFA prévu</w:t>
      </w:r>
    </w:p>
    <w:p>
      <w:pPr>
        <w:pStyle w:val="ListBullet"/>
        <w:spacing w:before="20" w:after="20"/>
        <w:ind w:left="700"/>
      </w:pPr>
      <w:r>
        <w:rPr>
          <w:sz w:val="18"/>
        </w:rPr>
        <w:t>Amélioration du coût du risque qui reste maîtrisé à 377 M FCFA vs 333 M FCFA en 2024</w:t>
      </w:r>
    </w:p>
    <w:p>
      <w:pPr>
        <w:pStyle w:val="ListBullet"/>
        <w:spacing w:before="20" w:after="20"/>
        <w:ind w:left="700"/>
      </w:pPr>
      <w:r>
        <w:rPr>
          <w:sz w:val="18"/>
        </w:rPr>
        <w:t>Croissance significative des opérations avec la clientèle de 14% à 60 476 M FCFA</w:t>
      </w:r>
    </w:p>
    <w:p>
      <w:pPr>
        <w:spacing w:before="40"/>
        <w:ind w:left="400"/>
      </w:pPr>
      <w:r>
        <w:rPr>
          <w:b/>
          <w:color w:val="C05000"/>
          <w:sz w:val="18"/>
        </w:rPr>
        <w:t xml:space="preserve">⚠️ Risques : </w:t>
      </w:r>
      <w:r>
        <w:rPr>
          <w:sz w:val="18"/>
        </w:rPr>
        <w:t>["D\u00e9pendance \u00e0 la nouvelle strat\u00e9gie de CREDAF Group encore en phase d'impl\u00e9mentation", "Secteur du cr\u00e9dit automobile sensible aux cycles \u00e9conomiques et \u00e0 la conjoncture", "N\u00e9cessit\u00e9 de maintenir la dynamique de recouvrement pour pr\u00e9server la rentabi</w:t>
      </w:r>
    </w:p>
    <w:p>
      <w:pPr>
        <w:spacing w:before="40"/>
        <w:ind w:left="400"/>
      </w:pPr>
      <w:r>
        <w:rPr>
          <w:b/>
          <w:color w:val="0064A0"/>
          <w:sz w:val="18"/>
        </w:rPr>
        <w:t xml:space="preserve">🔮 Perspectives : </w:t>
      </w:r>
      <w:r>
        <w:rPr>
          <w:sz w:val="18"/>
        </w:rPr>
        <w:t>La société s'engage dans un cycle de redressement et de transformation soutenu par une stratégie claire de consolidation des fondamentaux. L'impulsion de CREDAF Group devrait permettre de poursuivre la trajectoire de création de valeur avec un renforcement progressif de la structure financière et du</w:t>
      </w:r>
    </w:p>
    <w:p/>
    <w:p>
      <w:r>
        <w:t>════════════════════════════════════════════════════════════════════════════════</w:t>
      </w:r>
    </w:p>
    <w:p>
      <w:r>
        <w:br w:type="page"/>
      </w:r>
    </w:p>
    <w:p>
      <w:pPr>
        <w:pStyle w:val="Heading2"/>
        <w:spacing w:before="360"/>
      </w:pPr>
      <w:r>
        <w:rPr>
          <w:color w:val="0066CC"/>
        </w:rPr>
        <w:t>29. SCRC - SCRC - SUCRIVOIRE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SCRC</w:t>
            </w:r>
          </w:p>
          <w:p>
            <w:r>
              <w:rPr>
                <w:b/>
                <w:color w:val="323250"/>
                <w:sz w:val="16"/>
              </w:rPr>
              <w:t xml:space="preserve">Société : </w:t>
            </w:r>
            <w:r>
              <w:rPr>
                <w:color w:val="000000"/>
                <w:sz w:val="16"/>
              </w:rPr>
              <w:t>SCRC - SUCRIVOIRE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45.96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10,428 titres</w:t>
            </w:r>
          </w:p>
        </w:tc>
        <w:tc>
          <w:tcPr>
            <w:tcW w:type="dxa" w:w="2268"/>
            <w:shd w:fill="FFF2CC" w:val="clear"/>
          </w:tcPr>
          <w:p>
            <w:r>
              <w:rPr>
                <w:b/>
                <w:color w:val="503200"/>
                <w:sz w:val="16"/>
              </w:rPr>
              <w:t xml:space="preserve">Cours actuel : </w:t>
            </w:r>
            <w:r>
              <w:rPr>
                <w:color w:val="000000"/>
                <w:sz w:val="17"/>
              </w:rPr>
              <w:t>2,345 FCFA</w:t>
            </w:r>
          </w:p>
          <w:p>
            <w:r>
              <w:rPr>
                <w:b/>
                <w:color w:val="503200"/>
                <w:sz w:val="16"/>
              </w:rPr>
              <w:t xml:space="preserve">Var. 100 jours : </w:t>
            </w:r>
            <w:r>
              <w:rPr>
                <w:b/>
                <w:color w:val="B40000"/>
                <w:sz w:val="17"/>
              </w:rPr>
              <w:t>-1.47%</w:t>
            </w:r>
          </w:p>
          <w:p>
            <w:r>
              <w:rPr>
                <w:b/>
                <w:color w:val="503200"/>
                <w:sz w:val="16"/>
              </w:rPr>
              <w:t xml:space="preserve">Plus haut 100j : </w:t>
            </w:r>
            <w:r>
              <w:rPr>
                <w:color w:val="000000"/>
                <w:sz w:val="17"/>
              </w:rPr>
              <w:t>3,920 FCFA</w:t>
            </w:r>
          </w:p>
          <w:p>
            <w:r>
              <w:rPr>
                <w:b/>
                <w:color w:val="503200"/>
                <w:sz w:val="16"/>
              </w:rPr>
              <w:t xml:space="preserve">Plus bas 100j : </w:t>
            </w:r>
            <w:r>
              <w:rPr>
                <w:color w:val="000000"/>
                <w:sz w:val="17"/>
              </w:rPr>
              <w:t>2,205 FCFA</w:t>
            </w:r>
          </w:p>
          <w:p>
            <w:r>
              <w:rPr>
                <w:b/>
                <w:color w:val="503200"/>
                <w:sz w:val="16"/>
              </w:rPr>
              <w:t xml:space="preserve">Volatilité ann. : </w:t>
            </w:r>
            <w:r>
              <w:rPr>
                <w:color w:val="000000"/>
                <w:sz w:val="17"/>
              </w:rPr>
              <w:t>54.9%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23.6/100 → Moyen</w:t>
      </w:r>
    </w:p>
    <w:p>
      <w:pPr>
        <w:spacing w:before="40" w:after="80"/>
      </w:pPr>
      <w:r>
        <w:rPr>
          <w:rFonts w:ascii="Courier New" w:hAnsi="Courier New"/>
          <w:color w:val="825A00"/>
          <w:sz w:val="18"/>
        </w:rPr>
        <w:t>████░░░░░░░░░░░░░░░░  23.6/100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13.20% (Moyenne) — μ=3,197 FCFA, σ=422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β=1.2821 (Agressif) — Cov=0.000090, Var(idx)=0.000070, ρ=0.314, n=95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C6EFCE" w:val="clear"/>
          </w:tcPr>
          <w:p>
            <w:r>
              <w:rPr>
                <w:b/>
                <w:sz w:val="15"/>
              </w:rPr>
              <w:t>10,428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FFEB9C" w:val="clear"/>
          </w:tcPr>
          <w:p>
            <w:r>
              <w:rPr>
                <w:b/>
                <w:sz w:val="15"/>
              </w:rPr>
              <w:t>σ_j=3.46%/j (Modérée) — Vol. annualisée≈54.9%</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635585"/>
            <wp:docPr id="31" name="Picture 31"/>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Moyenne</w:t>
            </w:r>
          </w:p>
        </w:tc>
        <w:tc>
          <w:tcPr>
            <w:tcW w:type="dxa" w:w="1440"/>
            <w:shd w:fill="C6EFCE" w:val="clear"/>
          </w:tcPr>
          <w:p>
            <w:r>
              <w:rPr>
                <w:sz w:val="17"/>
              </w:rPr>
              <w:t>2026-10-16</w:t>
            </w:r>
          </w:p>
        </w:tc>
        <w:tc>
          <w:tcPr>
            <w:tcW w:type="dxa" w:w="1440"/>
            <w:shd w:fill="C6EFCE" w:val="clear"/>
          </w:tcPr>
          <w:p>
            <w:r>
              <w:rPr>
                <w:sz w:val="17"/>
              </w:rPr>
              <w:t>2,275</w:t>
            </w:r>
          </w:p>
        </w:tc>
        <w:tc>
          <w:tcPr>
            <w:tcW w:type="dxa" w:w="1440"/>
            <w:shd w:fill="C6EFCE" w:val="clear"/>
          </w:tcPr>
          <w:p>
            <w:r>
              <w:rPr>
                <w:b/>
                <w:sz w:val="17"/>
              </w:rPr>
              <w:t>2,417</w:t>
            </w:r>
          </w:p>
        </w:tc>
        <w:tc>
          <w:tcPr>
            <w:tcW w:type="dxa" w:w="1440"/>
            <w:shd w:fill="C6EFCE" w:val="clear"/>
          </w:tcPr>
          <w:p>
            <w:r>
              <w:rPr>
                <w:sz w:val="17"/>
              </w:rPr>
              <w:t>2,559</w:t>
            </w:r>
          </w:p>
        </w:tc>
        <w:tc>
          <w:tcPr>
            <w:tcW w:type="dxa" w:w="1440"/>
            <w:shd w:fill="C6EFCE" w:val="clear"/>
          </w:tcPr>
          <w:p>
            <w:r>
              <w:rPr>
                <w:b/>
                <w:color w:val="008000"/>
                <w:sz w:val="17"/>
              </w:rPr>
              <w:t>+3.1%</w:t>
            </w:r>
          </w:p>
        </w:tc>
      </w:tr>
      <w:tr>
        <w:tc>
          <w:tcPr>
            <w:tcW w:type="dxa" w:w="1440"/>
            <w:shd w:fill="C6EFCE" w:val="clear"/>
          </w:tcPr>
          <w:p>
            <w:r>
              <w:rPr>
                <w:sz w:val="17"/>
              </w:rPr>
              <w:t>J+2  Moyenne</w:t>
            </w:r>
          </w:p>
        </w:tc>
        <w:tc>
          <w:tcPr>
            <w:tcW w:type="dxa" w:w="1440"/>
            <w:shd w:fill="C6EFCE" w:val="clear"/>
          </w:tcPr>
          <w:p>
            <w:r>
              <w:rPr>
                <w:sz w:val="17"/>
              </w:rPr>
              <w:t>2026-10-19</w:t>
            </w:r>
          </w:p>
        </w:tc>
        <w:tc>
          <w:tcPr>
            <w:tcW w:type="dxa" w:w="1440"/>
            <w:shd w:fill="C6EFCE" w:val="clear"/>
          </w:tcPr>
          <w:p>
            <w:r>
              <w:rPr>
                <w:sz w:val="17"/>
              </w:rPr>
              <w:t>2,299</w:t>
            </w:r>
          </w:p>
        </w:tc>
        <w:tc>
          <w:tcPr>
            <w:tcW w:type="dxa" w:w="1440"/>
            <w:shd w:fill="C6EFCE" w:val="clear"/>
          </w:tcPr>
          <w:p>
            <w:r>
              <w:rPr>
                <w:b/>
                <w:sz w:val="17"/>
              </w:rPr>
              <w:t>2,507</w:t>
            </w:r>
          </w:p>
        </w:tc>
        <w:tc>
          <w:tcPr>
            <w:tcW w:type="dxa" w:w="1440"/>
            <w:shd w:fill="C6EFCE" w:val="clear"/>
          </w:tcPr>
          <w:p>
            <w:r>
              <w:rPr>
                <w:sz w:val="17"/>
              </w:rPr>
              <w:t>2,716</w:t>
            </w:r>
          </w:p>
        </w:tc>
        <w:tc>
          <w:tcPr>
            <w:tcW w:type="dxa" w:w="1440"/>
            <w:shd w:fill="C6EFCE" w:val="clear"/>
          </w:tcPr>
          <w:p>
            <w:r>
              <w:rPr>
                <w:b/>
                <w:color w:val="008000"/>
                <w:sz w:val="17"/>
              </w:rPr>
              <w:t>+6.9%</w:t>
            </w:r>
          </w:p>
        </w:tc>
      </w:tr>
      <w:tr>
        <w:tc>
          <w:tcPr>
            <w:tcW w:type="dxa" w:w="1440"/>
            <w:shd w:fill="C6EFCE" w:val="clear"/>
          </w:tcPr>
          <w:p>
            <w:r>
              <w:rPr>
                <w:sz w:val="17"/>
              </w:rPr>
              <w:t>J+3  Moyenne</w:t>
            </w:r>
          </w:p>
        </w:tc>
        <w:tc>
          <w:tcPr>
            <w:tcW w:type="dxa" w:w="1440"/>
            <w:shd w:fill="C6EFCE" w:val="clear"/>
          </w:tcPr>
          <w:p>
            <w:r>
              <w:rPr>
                <w:sz w:val="17"/>
              </w:rPr>
              <w:t>2026-10-20</w:t>
            </w:r>
          </w:p>
        </w:tc>
        <w:tc>
          <w:tcPr>
            <w:tcW w:type="dxa" w:w="1440"/>
            <w:shd w:fill="C6EFCE" w:val="clear"/>
          </w:tcPr>
          <w:p>
            <w:r>
              <w:rPr>
                <w:sz w:val="17"/>
              </w:rPr>
              <w:t>2,352</w:t>
            </w:r>
          </w:p>
        </w:tc>
        <w:tc>
          <w:tcPr>
            <w:tcW w:type="dxa" w:w="1440"/>
            <w:shd w:fill="C6EFCE" w:val="clear"/>
          </w:tcPr>
          <w:p>
            <w:r>
              <w:rPr>
                <w:b/>
                <w:sz w:val="17"/>
              </w:rPr>
              <w:t>2,618</w:t>
            </w:r>
          </w:p>
        </w:tc>
        <w:tc>
          <w:tcPr>
            <w:tcW w:type="dxa" w:w="1440"/>
            <w:shd w:fill="C6EFCE" w:val="clear"/>
          </w:tcPr>
          <w:p>
            <w:r>
              <w:rPr>
                <w:sz w:val="17"/>
              </w:rPr>
              <w:t>2,885</w:t>
            </w:r>
          </w:p>
        </w:tc>
        <w:tc>
          <w:tcPr>
            <w:tcW w:type="dxa" w:w="1440"/>
            <w:shd w:fill="C6EFCE" w:val="clear"/>
          </w:tcPr>
          <w:p>
            <w:r>
              <w:rPr>
                <w:b/>
                <w:color w:val="008000"/>
                <w:sz w:val="17"/>
              </w:rPr>
              <w:t>+11.7%</w:t>
            </w:r>
          </w:p>
        </w:tc>
      </w:tr>
      <w:tr>
        <w:tc>
          <w:tcPr>
            <w:tcW w:type="dxa" w:w="1440"/>
            <w:shd w:fill="C6EFCE" w:val="clear"/>
          </w:tcPr>
          <w:p>
            <w:r>
              <w:rPr>
                <w:sz w:val="17"/>
              </w:rPr>
              <w:t>J+4  ⭐</w:t>
            </w:r>
          </w:p>
        </w:tc>
        <w:tc>
          <w:tcPr>
            <w:tcW w:type="dxa" w:w="1440"/>
            <w:shd w:fill="C6EFCE" w:val="clear"/>
          </w:tcPr>
          <w:p>
            <w:r>
              <w:rPr>
                <w:sz w:val="17"/>
              </w:rPr>
              <w:t>2026-10-21</w:t>
            </w:r>
          </w:p>
        </w:tc>
        <w:tc>
          <w:tcPr>
            <w:tcW w:type="dxa" w:w="1440"/>
            <w:shd w:fill="C6EFCE" w:val="clear"/>
          </w:tcPr>
          <w:p>
            <w:r>
              <w:rPr>
                <w:sz w:val="17"/>
              </w:rPr>
              <w:t>2,398</w:t>
            </w:r>
          </w:p>
        </w:tc>
        <w:tc>
          <w:tcPr>
            <w:tcW w:type="dxa" w:w="1440"/>
            <w:shd w:fill="C6EFCE" w:val="clear"/>
          </w:tcPr>
          <w:p>
            <w:r>
              <w:rPr>
                <w:b/>
                <w:sz w:val="17"/>
              </w:rPr>
              <w:t>2,718</w:t>
            </w:r>
          </w:p>
        </w:tc>
        <w:tc>
          <w:tcPr>
            <w:tcW w:type="dxa" w:w="1440"/>
            <w:shd w:fill="C6EFCE" w:val="clear"/>
          </w:tcPr>
          <w:p>
            <w:r>
              <w:rPr>
                <w:sz w:val="17"/>
              </w:rPr>
              <w:t>3,038</w:t>
            </w:r>
          </w:p>
        </w:tc>
        <w:tc>
          <w:tcPr>
            <w:tcW w:type="dxa" w:w="1440"/>
            <w:shd w:fill="C6EFCE" w:val="clear"/>
          </w:tcPr>
          <w:p>
            <w:r>
              <w:rPr>
                <w:b/>
                <w:color w:val="008000"/>
                <w:sz w:val="17"/>
              </w:rPr>
              <w:t>+15.9%</w:t>
            </w:r>
          </w:p>
        </w:tc>
      </w:tr>
      <w:tr>
        <w:tc>
          <w:tcPr>
            <w:tcW w:type="dxa" w:w="1440"/>
            <w:shd w:fill="C6EFCE" w:val="clear"/>
          </w:tcPr>
          <w:p>
            <w:r>
              <w:rPr>
                <w:sz w:val="17"/>
              </w:rPr>
              <w:t>J+5  ⭐</w:t>
            </w:r>
          </w:p>
        </w:tc>
        <w:tc>
          <w:tcPr>
            <w:tcW w:type="dxa" w:w="1440"/>
            <w:shd w:fill="C6EFCE" w:val="clear"/>
          </w:tcPr>
          <w:p>
            <w:r>
              <w:rPr>
                <w:sz w:val="17"/>
              </w:rPr>
              <w:t>2026-10-22</w:t>
            </w:r>
          </w:p>
        </w:tc>
        <w:tc>
          <w:tcPr>
            <w:tcW w:type="dxa" w:w="1440"/>
            <w:shd w:fill="C6EFCE" w:val="clear"/>
          </w:tcPr>
          <w:p>
            <w:r>
              <w:rPr>
                <w:sz w:val="17"/>
              </w:rPr>
              <w:t>2,436</w:t>
            </w:r>
          </w:p>
        </w:tc>
        <w:tc>
          <w:tcPr>
            <w:tcW w:type="dxa" w:w="1440"/>
            <w:shd w:fill="C6EFCE" w:val="clear"/>
          </w:tcPr>
          <w:p>
            <w:r>
              <w:rPr>
                <w:b/>
                <w:sz w:val="17"/>
              </w:rPr>
              <w:t>2,805</w:t>
            </w:r>
          </w:p>
        </w:tc>
        <w:tc>
          <w:tcPr>
            <w:tcW w:type="dxa" w:w="1440"/>
            <w:shd w:fill="C6EFCE" w:val="clear"/>
          </w:tcPr>
          <w:p>
            <w:r>
              <w:rPr>
                <w:sz w:val="17"/>
              </w:rPr>
              <w:t>3,174</w:t>
            </w:r>
          </w:p>
        </w:tc>
        <w:tc>
          <w:tcPr>
            <w:tcW w:type="dxa" w:w="1440"/>
            <w:shd w:fill="C6EFCE" w:val="clear"/>
          </w:tcPr>
          <w:p>
            <w:r>
              <w:rPr>
                <w:b/>
                <w:color w:val="008000"/>
                <w:sz w:val="17"/>
              </w:rPr>
              <w:t>+19.6%</w:t>
            </w:r>
          </w:p>
        </w:tc>
      </w:tr>
      <w:tr>
        <w:tc>
          <w:tcPr>
            <w:tcW w:type="dxa" w:w="1440"/>
            <w:shd w:fill="C6EFCE" w:val="clear"/>
          </w:tcPr>
          <w:p>
            <w:r>
              <w:rPr>
                <w:sz w:val="17"/>
              </w:rPr>
              <w:t>J+6  ⭐</w:t>
            </w:r>
          </w:p>
        </w:tc>
        <w:tc>
          <w:tcPr>
            <w:tcW w:type="dxa" w:w="1440"/>
            <w:shd w:fill="C6EFCE" w:val="clear"/>
          </w:tcPr>
          <w:p>
            <w:r>
              <w:rPr>
                <w:sz w:val="17"/>
              </w:rPr>
              <w:t>2026-10-23</w:t>
            </w:r>
          </w:p>
        </w:tc>
        <w:tc>
          <w:tcPr>
            <w:tcW w:type="dxa" w:w="1440"/>
            <w:shd w:fill="C6EFCE" w:val="clear"/>
          </w:tcPr>
          <w:p>
            <w:r>
              <w:rPr>
                <w:sz w:val="17"/>
              </w:rPr>
              <w:t>2,467</w:t>
            </w:r>
          </w:p>
        </w:tc>
        <w:tc>
          <w:tcPr>
            <w:tcW w:type="dxa" w:w="1440"/>
            <w:shd w:fill="C6EFCE" w:val="clear"/>
          </w:tcPr>
          <w:p>
            <w:r>
              <w:rPr>
                <w:b/>
                <w:sz w:val="17"/>
              </w:rPr>
              <w:t>2,882</w:t>
            </w:r>
          </w:p>
        </w:tc>
        <w:tc>
          <w:tcPr>
            <w:tcW w:type="dxa" w:w="1440"/>
            <w:shd w:fill="C6EFCE" w:val="clear"/>
          </w:tcPr>
          <w:p>
            <w:r>
              <w:rPr>
                <w:sz w:val="17"/>
              </w:rPr>
              <w:t>3,298</w:t>
            </w:r>
          </w:p>
        </w:tc>
        <w:tc>
          <w:tcPr>
            <w:tcW w:type="dxa" w:w="1440"/>
            <w:shd w:fill="C6EFCE" w:val="clear"/>
          </w:tcPr>
          <w:p>
            <w:r>
              <w:rPr>
                <w:b/>
                <w:color w:val="008000"/>
                <w:sz w:val="17"/>
              </w:rPr>
              <w:t>+22.9%</w:t>
            </w:r>
          </w:p>
        </w:tc>
      </w:tr>
      <w:tr>
        <w:tc>
          <w:tcPr>
            <w:tcW w:type="dxa" w:w="1440"/>
            <w:shd w:fill="C6EFCE" w:val="clear"/>
          </w:tcPr>
          <w:p>
            <w:r>
              <w:rPr>
                <w:sz w:val="17"/>
              </w:rPr>
              <w:t>J+7  ⭐</w:t>
            </w:r>
          </w:p>
        </w:tc>
        <w:tc>
          <w:tcPr>
            <w:tcW w:type="dxa" w:w="1440"/>
            <w:shd w:fill="C6EFCE" w:val="clear"/>
          </w:tcPr>
          <w:p>
            <w:r>
              <w:rPr>
                <w:sz w:val="17"/>
              </w:rPr>
              <w:t>2026-10-26</w:t>
            </w:r>
          </w:p>
        </w:tc>
        <w:tc>
          <w:tcPr>
            <w:tcW w:type="dxa" w:w="1440"/>
            <w:shd w:fill="C6EFCE" w:val="clear"/>
          </w:tcPr>
          <w:p>
            <w:r>
              <w:rPr>
                <w:sz w:val="17"/>
              </w:rPr>
              <w:t>2,492</w:t>
            </w:r>
          </w:p>
        </w:tc>
        <w:tc>
          <w:tcPr>
            <w:tcW w:type="dxa" w:w="1440"/>
            <w:shd w:fill="C6EFCE" w:val="clear"/>
          </w:tcPr>
          <w:p>
            <w:r>
              <w:rPr>
                <w:b/>
                <w:sz w:val="17"/>
              </w:rPr>
              <w:t>2,951</w:t>
            </w:r>
          </w:p>
        </w:tc>
        <w:tc>
          <w:tcPr>
            <w:tcW w:type="dxa" w:w="1440"/>
            <w:shd w:fill="C6EFCE" w:val="clear"/>
          </w:tcPr>
          <w:p>
            <w:r>
              <w:rPr>
                <w:sz w:val="17"/>
              </w:rPr>
              <w:t>3,411</w:t>
            </w:r>
          </w:p>
        </w:tc>
        <w:tc>
          <w:tcPr>
            <w:tcW w:type="dxa" w:w="1440"/>
            <w:shd w:fill="C6EFCE" w:val="clear"/>
          </w:tcPr>
          <w:p>
            <w:r>
              <w:rPr>
                <w:b/>
                <w:color w:val="008000"/>
                <w:sz w:val="17"/>
              </w:rPr>
              <w:t>+25.9%</w:t>
            </w:r>
          </w:p>
        </w:tc>
      </w:tr>
      <w:tr>
        <w:tc>
          <w:tcPr>
            <w:tcW w:type="dxa" w:w="1440"/>
            <w:shd w:fill="C6EFCE" w:val="clear"/>
          </w:tcPr>
          <w:p>
            <w:r>
              <w:rPr>
                <w:sz w:val="17"/>
              </w:rPr>
              <w:t>J+8  ⭐</w:t>
            </w:r>
          </w:p>
        </w:tc>
        <w:tc>
          <w:tcPr>
            <w:tcW w:type="dxa" w:w="1440"/>
            <w:shd w:fill="C6EFCE" w:val="clear"/>
          </w:tcPr>
          <w:p>
            <w:r>
              <w:rPr>
                <w:sz w:val="17"/>
              </w:rPr>
              <w:t>2026-10-27</w:t>
            </w:r>
          </w:p>
        </w:tc>
        <w:tc>
          <w:tcPr>
            <w:tcW w:type="dxa" w:w="1440"/>
            <w:shd w:fill="C6EFCE" w:val="clear"/>
          </w:tcPr>
          <w:p>
            <w:r>
              <w:rPr>
                <w:sz w:val="17"/>
              </w:rPr>
              <w:t>2,512</w:t>
            </w:r>
          </w:p>
        </w:tc>
        <w:tc>
          <w:tcPr>
            <w:tcW w:type="dxa" w:w="1440"/>
            <w:shd w:fill="C6EFCE" w:val="clear"/>
          </w:tcPr>
          <w:p>
            <w:r>
              <w:rPr>
                <w:b/>
                <w:sz w:val="17"/>
              </w:rPr>
              <w:t>3,014</w:t>
            </w:r>
          </w:p>
        </w:tc>
        <w:tc>
          <w:tcPr>
            <w:tcW w:type="dxa" w:w="1440"/>
            <w:shd w:fill="C6EFCE" w:val="clear"/>
          </w:tcPr>
          <w:p>
            <w:r>
              <w:rPr>
                <w:sz w:val="17"/>
              </w:rPr>
              <w:t>3,516</w:t>
            </w:r>
          </w:p>
        </w:tc>
        <w:tc>
          <w:tcPr>
            <w:tcW w:type="dxa" w:w="1440"/>
            <w:shd w:fill="C6EFCE" w:val="clear"/>
          </w:tcPr>
          <w:p>
            <w:r>
              <w:rPr>
                <w:b/>
                <w:color w:val="008000"/>
                <w:sz w:val="17"/>
              </w:rPr>
              <w:t>+28.5%</w:t>
            </w:r>
          </w:p>
        </w:tc>
      </w:tr>
      <w:tr>
        <w:tc>
          <w:tcPr>
            <w:tcW w:type="dxa" w:w="1440"/>
            <w:shd w:fill="C6EFCE" w:val="clear"/>
          </w:tcPr>
          <w:p>
            <w:r>
              <w:rPr>
                <w:sz w:val="17"/>
              </w:rPr>
              <w:t>J+9  ⭐</w:t>
            </w:r>
          </w:p>
        </w:tc>
        <w:tc>
          <w:tcPr>
            <w:tcW w:type="dxa" w:w="1440"/>
            <w:shd w:fill="C6EFCE" w:val="clear"/>
          </w:tcPr>
          <w:p>
            <w:r>
              <w:rPr>
                <w:sz w:val="17"/>
              </w:rPr>
              <w:t>2026-10-28</w:t>
            </w:r>
          </w:p>
        </w:tc>
        <w:tc>
          <w:tcPr>
            <w:tcW w:type="dxa" w:w="1440"/>
            <w:shd w:fill="C6EFCE" w:val="clear"/>
          </w:tcPr>
          <w:p>
            <w:r>
              <w:rPr>
                <w:sz w:val="17"/>
              </w:rPr>
              <w:t>2,528</w:t>
            </w:r>
          </w:p>
        </w:tc>
        <w:tc>
          <w:tcPr>
            <w:tcW w:type="dxa" w:w="1440"/>
            <w:shd w:fill="C6EFCE" w:val="clear"/>
          </w:tcPr>
          <w:p>
            <w:r>
              <w:rPr>
                <w:b/>
                <w:sz w:val="17"/>
              </w:rPr>
              <w:t>3,070</w:t>
            </w:r>
          </w:p>
        </w:tc>
        <w:tc>
          <w:tcPr>
            <w:tcW w:type="dxa" w:w="1440"/>
            <w:shd w:fill="C6EFCE" w:val="clear"/>
          </w:tcPr>
          <w:p>
            <w:r>
              <w:rPr>
                <w:sz w:val="17"/>
              </w:rPr>
              <w:t>3,612</w:t>
            </w:r>
          </w:p>
        </w:tc>
        <w:tc>
          <w:tcPr>
            <w:tcW w:type="dxa" w:w="1440"/>
            <w:shd w:fill="C6EFCE" w:val="clear"/>
          </w:tcPr>
          <w:p>
            <w:r>
              <w:rPr>
                <w:b/>
                <w:color w:val="008000"/>
                <w:sz w:val="17"/>
              </w:rPr>
              <w:t>+30.9%</w:t>
            </w:r>
          </w:p>
        </w:tc>
      </w:tr>
      <w:tr>
        <w:tc>
          <w:tcPr>
            <w:tcW w:type="dxa" w:w="1440"/>
            <w:shd w:fill="C6EFCE" w:val="clear"/>
          </w:tcPr>
          <w:p>
            <w:r>
              <w:rPr>
                <w:sz w:val="17"/>
              </w:rPr>
              <w:t>J+10  ⭐</w:t>
            </w:r>
          </w:p>
        </w:tc>
        <w:tc>
          <w:tcPr>
            <w:tcW w:type="dxa" w:w="1440"/>
            <w:shd w:fill="C6EFCE" w:val="clear"/>
          </w:tcPr>
          <w:p>
            <w:r>
              <w:rPr>
                <w:sz w:val="17"/>
              </w:rPr>
              <w:t>2026-10-29</w:t>
            </w:r>
          </w:p>
        </w:tc>
        <w:tc>
          <w:tcPr>
            <w:tcW w:type="dxa" w:w="1440"/>
            <w:shd w:fill="C6EFCE" w:val="clear"/>
          </w:tcPr>
          <w:p>
            <w:r>
              <w:rPr>
                <w:sz w:val="17"/>
              </w:rPr>
              <w:t>2,539</w:t>
            </w:r>
          </w:p>
        </w:tc>
        <w:tc>
          <w:tcPr>
            <w:tcW w:type="dxa" w:w="1440"/>
            <w:shd w:fill="C6EFCE" w:val="clear"/>
          </w:tcPr>
          <w:p>
            <w:r>
              <w:rPr>
                <w:b/>
                <w:sz w:val="17"/>
              </w:rPr>
              <w:t>3,119</w:t>
            </w:r>
          </w:p>
        </w:tc>
        <w:tc>
          <w:tcPr>
            <w:tcW w:type="dxa" w:w="1440"/>
            <w:shd w:fill="C6EFCE" w:val="clear"/>
          </w:tcPr>
          <w:p>
            <w:r>
              <w:rPr>
                <w:sz w:val="17"/>
              </w:rPr>
              <w:t>3,700</w:t>
            </w:r>
          </w:p>
        </w:tc>
        <w:tc>
          <w:tcPr>
            <w:tcW w:type="dxa" w:w="1440"/>
            <w:shd w:fill="C6EFCE" w:val="clear"/>
          </w:tcPr>
          <w:p>
            <w:r>
              <w:rPr>
                <w:b/>
                <w:color w:val="008000"/>
                <w:sz w:val="17"/>
              </w:rPr>
              <w:t>+33.0%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2.711 Mds FCFA</w:t>
            </w:r>
          </w:p>
        </w:tc>
        <w:tc>
          <w:tcPr>
            <w:tcW w:type="dxa" w:w="5669"/>
            <w:shd w:fill="FFFFFF" w:val="clear"/>
          </w:tcPr>
          <w:p>
            <w:r>
              <w:rPr>
                <w:color w:val="282828"/>
                <w:sz w:val="15"/>
              </w:rPr>
              <w:t>Créances clients = 3.4%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52.131 Mds FCFA</w:t>
            </w:r>
          </w:p>
        </w:tc>
        <w:tc>
          <w:tcPr>
            <w:tcW w:type="dxa" w:w="5669"/>
            <w:shd w:fill="FFFFFF" w:val="clear"/>
          </w:tcPr>
          <w:p>
            <w:r>
              <w:rPr>
                <w:color w:val="282828"/>
                <w:sz w:val="15"/>
              </w:rPr>
              <w:t>Rotation stocks = 1.5x/an. ⚠️ Rotation lente — risque d'immobilisation de capital.</w:t>
            </w:r>
          </w:p>
        </w:tc>
      </w:tr>
      <w:tr>
        <w:tc>
          <w:tcPr>
            <w:tcW w:type="dxa" w:w="2268"/>
            <w:shd w:fill="EEF2F7" w:val="clear"/>
          </w:tcPr>
          <w:p>
            <w:r>
              <w:rPr>
                <w:b/>
                <w:color w:val="1E1E3C"/>
                <w:sz w:val="16"/>
              </w:rPr>
              <w:t>Actif circulant</w:t>
            </w:r>
          </w:p>
        </w:tc>
        <w:tc>
          <w:tcPr>
            <w:tcW w:type="dxa" w:w="1984"/>
            <w:shd w:fill="FFC7CE" w:val="clear"/>
          </w:tcPr>
          <w:p>
            <w:r>
              <w:rPr>
                <w:b/>
                <w:color w:val="006400"/>
                <w:sz w:val="17"/>
              </w:rPr>
              <w:t>63.946 Mds FCFA</w:t>
            </w:r>
          </w:p>
        </w:tc>
        <w:tc>
          <w:tcPr>
            <w:tcW w:type="dxa" w:w="5669"/>
            <w:shd w:fill="FFFFFF" w:val="clear"/>
          </w:tcPr>
          <w:p>
            <w:r>
              <w:rPr>
                <w:color w:val="282828"/>
                <w:sz w:val="15"/>
              </w:rPr>
              <w:t>Ratio actif circ./passif circ. = 0.70x.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1.140 Mds FCFA</w:t>
            </w:r>
          </w:p>
        </w:tc>
        <w:tc>
          <w:tcPr>
            <w:tcW w:type="dxa" w:w="5669"/>
            <w:shd w:fill="FFFFFF" w:val="clear"/>
          </w:tcPr>
          <w:p>
            <w:r>
              <w:rPr>
                <w:color w:val="282828"/>
                <w:sz w:val="15"/>
              </w:rPr>
              <w:t>Brevets, logiciels, fonds commercial (0.7%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64.824 Mds FCFA</w:t>
            </w:r>
          </w:p>
        </w:tc>
        <w:tc>
          <w:tcPr>
            <w:tcW w:type="dxa" w:w="5669"/>
            <w:shd w:fill="FFFFFF" w:val="clear"/>
          </w:tcPr>
          <w:p>
            <w:r>
              <w:rPr>
                <w:color w:val="282828"/>
                <w:sz w:val="15"/>
              </w:rPr>
              <w:t>Outil industriel (41.4%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92.480 Mds FCFA</w:t>
            </w:r>
          </w:p>
        </w:tc>
        <w:tc>
          <w:tcPr>
            <w:tcW w:type="dxa" w:w="5669"/>
            <w:shd w:fill="FFFFFF" w:val="clear"/>
          </w:tcPr>
          <w:p>
            <w:r>
              <w:rPr>
                <w:color w:val="282828"/>
                <w:sz w:val="15"/>
              </w:rPr>
              <w:t>Actif immobilisé = 59.1%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4.514 Mds FCFA</w:t>
            </w:r>
          </w:p>
        </w:tc>
        <w:tc>
          <w:tcPr>
            <w:tcW w:type="dxa" w:w="5669"/>
            <w:shd w:fill="FFFFFF" w:val="clear"/>
          </w:tcPr>
          <w:p>
            <w:r>
              <w:rPr>
                <w:color w:val="282828"/>
                <w:sz w:val="15"/>
              </w:rPr>
              <w:t>Liquidités disponibles (2.9%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156.426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8.820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27.611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17.243 Mds FCFA</w:t>
            </w:r>
          </w:p>
        </w:tc>
        <w:tc>
          <w:tcPr>
            <w:tcW w:type="dxa" w:w="5669"/>
            <w:shd w:fill="FFFFFF" w:val="clear"/>
          </w:tcPr>
          <w:p>
            <w:r>
              <w:rPr>
                <w:color w:val="282828"/>
                <w:sz w:val="15"/>
              </w:rPr>
              <w:t>Fonds propres = 11.0%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81.815 Mds FCFA</w:t>
            </w:r>
          </w:p>
        </w:tc>
        <w:tc>
          <w:tcPr>
            <w:tcW w:type="dxa" w:w="5669"/>
            <w:shd w:fill="FFFFFF" w:val="clear"/>
          </w:tcPr>
          <w:p>
            <w:r>
              <w:rPr>
                <w:color w:val="282828"/>
                <w:sz w:val="15"/>
              </w:rPr>
              <w:t>Capitaux permanents / Actif immobilisé = 0.88x.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52.903 Mds FCFA</w:t>
            </w:r>
          </w:p>
        </w:tc>
        <w:tc>
          <w:tcPr>
            <w:tcW w:type="dxa" w:w="5669"/>
            <w:shd w:fill="FFFFFF" w:val="clear"/>
          </w:tcPr>
          <w:p>
            <w:r>
              <w:rPr>
                <w:color w:val="282828"/>
                <w:sz w:val="15"/>
              </w:rPr>
              <w:t>Délai fournisseurs implicite ≈ 240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45.922 Mds FCFA</w:t>
            </w:r>
          </w:p>
        </w:tc>
        <w:tc>
          <w:tcPr>
            <w:tcW w:type="dxa" w:w="5669"/>
            <w:shd w:fill="FFFFFF" w:val="clear"/>
          </w:tcPr>
          <w:p>
            <w:r>
              <w:rPr>
                <w:color w:val="282828"/>
                <w:sz w:val="15"/>
              </w:rPr>
              <w:t>Dette LT/MT = 266%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84.873 Mds FCFA</w:t>
            </w:r>
          </w:p>
        </w:tc>
        <w:tc>
          <w:tcPr>
            <w:tcW w:type="dxa" w:w="5669"/>
            <w:shd w:fill="FFFFFF" w:val="clear"/>
          </w:tcPr>
          <w:p>
            <w:r>
              <w:rPr>
                <w:color w:val="282828"/>
                <w:sz w:val="15"/>
              </w:rPr>
              <w:t>Dette financière totale = 492%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139.183 Mds FCFA</w:t>
            </w:r>
          </w:p>
        </w:tc>
        <w:tc>
          <w:tcPr>
            <w:tcW w:type="dxa" w:w="5669"/>
            <w:shd w:fill="FFFFFF" w:val="clear"/>
          </w:tcPr>
          <w:p>
            <w:r>
              <w:rPr>
                <w:color w:val="282828"/>
                <w:sz w:val="15"/>
              </w:rPr>
              <w:t>Dettes totales = 89.0%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80.569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80.569 Mds FCFA</w:t>
            </w:r>
          </w:p>
        </w:tc>
        <w:tc>
          <w:tcPr>
            <w:tcW w:type="dxa" w:w="5669"/>
            <w:shd w:fill="FFFFFF" w:val="clear"/>
          </w:tcPr>
          <w:p>
            <w:r>
              <w:rPr>
                <w:color w:val="282828"/>
                <w:sz w:val="15"/>
              </w:rPr>
              <w:t>Chiffre d'affaires. Croissance: -7.6%.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14.135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10.386 Mds FCFA</w:t>
            </w:r>
          </w:p>
        </w:tc>
        <w:tc>
          <w:tcPr>
            <w:tcW w:type="dxa" w:w="5669"/>
            <w:shd w:fill="FFFFFF" w:val="clear"/>
          </w:tcPr>
          <w:p>
            <w:r>
              <w:rPr>
                <w:color w:val="282828"/>
                <w:sz w:val="15"/>
              </w:rPr>
              <w:t>Masse salariale = 12.9%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27.820 Mds FCFA</w:t>
            </w:r>
          </w:p>
        </w:tc>
        <w:tc>
          <w:tcPr>
            <w:tcW w:type="dxa" w:w="5669"/>
            <w:shd w:fill="FFFFFF" w:val="clear"/>
          </w:tcPr>
          <w:p>
            <w:r>
              <w:rPr>
                <w:color w:val="282828"/>
                <w:sz w:val="15"/>
              </w:rPr>
              <w:t>VA = 34.5%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14.846 Mds FCFA</w:t>
            </w:r>
          </w:p>
        </w:tc>
        <w:tc>
          <w:tcPr>
            <w:tcW w:type="dxa" w:w="5669"/>
            <w:shd w:fill="FFFFFF" w:val="clear"/>
          </w:tcPr>
          <w:p>
            <w:r>
              <w:rPr>
                <w:color w:val="282828"/>
                <w:sz w:val="15"/>
              </w:rPr>
              <w:t>EBE = 18.4%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-544.99 M FCFA</w:t>
            </w:r>
          </w:p>
        </w:tc>
        <w:tc>
          <w:tcPr>
            <w:tcW w:type="dxa" w:w="5669"/>
            <w:shd w:fill="FFFFFF" w:val="clear"/>
          </w:tcPr>
          <w:p>
            <w:r>
              <w:rPr>
                <w:color w:val="282828"/>
                <w:sz w:val="15"/>
              </w:rPr>
              <w:t>Profit d'exploitation = -0.7% des revenus. ❌ Perte d'exploitation — l'activité principale ne couvre pas ses coûts.</w:t>
            </w:r>
          </w:p>
        </w:tc>
      </w:tr>
      <w:tr>
        <w:tc>
          <w:tcPr>
            <w:tcW w:type="dxa" w:w="2268"/>
            <w:shd w:fill="EEF2F7" w:val="clear"/>
          </w:tcPr>
          <w:p>
            <w:r>
              <w:rPr>
                <w:b/>
                <w:color w:val="1E1E3C"/>
                <w:sz w:val="16"/>
              </w:rPr>
              <w:t>Provisions</w:t>
            </w:r>
          </w:p>
        </w:tc>
        <w:tc>
          <w:tcPr>
            <w:tcW w:type="dxa" w:w="1984"/>
            <w:shd w:fill="DEEAF1" w:val="clear"/>
          </w:tcPr>
          <w:p>
            <w:r>
              <w:rPr>
                <w:b/>
                <w:color w:val="006400"/>
                <w:sz w:val="17"/>
              </w:rPr>
              <w:t>1.407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C7CE" w:val="clear"/>
          </w:tcPr>
          <w:p>
            <w:r>
              <w:rPr>
                <w:b/>
                <w:color w:val="B40000"/>
                <w:sz w:val="17"/>
              </w:rPr>
              <w:t>-7.954 Mds FCFA</w:t>
            </w:r>
          </w:p>
        </w:tc>
        <w:tc>
          <w:tcPr>
            <w:tcW w:type="dxa" w:w="5669"/>
            <w:shd w:fill="FFFFFF" w:val="clear"/>
          </w:tcPr>
          <w:p>
            <w:r>
              <w:rPr>
                <w:color w:val="282828"/>
                <w:sz w:val="15"/>
              </w:rPr>
              <w:t>Marge nette = -9.9%.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7.570 Mds FCFA</w:t>
            </w:r>
          </w:p>
        </w:tc>
        <w:tc>
          <w:tcPr>
            <w:tcW w:type="dxa" w:w="5669"/>
            <w:shd w:fill="FFFFFF" w:val="clear"/>
          </w:tcPr>
          <w:p>
            <w:r>
              <w:rPr>
                <w:color w:val="282828"/>
                <w:sz w:val="15"/>
              </w:rPr>
              <w:t>CAF = 7.57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10.384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-22.786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DEEAF1" w:val="clear"/>
          </w:tcPr>
          <w:p>
            <w:r>
              <w:rPr>
                <w:b/>
                <w:color w:val="006400"/>
                <w:sz w:val="17"/>
              </w:rPr>
              <w:t>16.138 Mds FCFA</w:t>
            </w:r>
          </w:p>
        </w:tc>
        <w:tc>
          <w:tcPr>
            <w:tcW w:type="dxa" w:w="5669"/>
            <w:shd w:fill="FFFFFF" w:val="clear"/>
          </w:tcPr>
          <w:p>
            <w:r>
              <w:rPr>
                <w:color w:val="282828"/>
                <w:sz w:val="15"/>
              </w:rPr>
              <w:t>Flux liés à la dette et aux dividendes. ℹ️ Nouveaux financements levés — augmentation de capital ou emprunt.</w:t>
            </w:r>
          </w:p>
        </w:tc>
      </w:tr>
      <w:tr>
        <w:tc>
          <w:tcPr>
            <w:tcW w:type="dxa" w:w="2268"/>
            <w:shd w:fill="EEF2F7" w:val="clear"/>
          </w:tcPr>
          <w:p>
            <w:r>
              <w:rPr>
                <w:b/>
                <w:color w:val="1E1E3C"/>
                <w:sz w:val="16"/>
              </w:rPr>
              <w:t>Free Cash Flow</w:t>
            </w:r>
          </w:p>
        </w:tc>
        <w:tc>
          <w:tcPr>
            <w:tcW w:type="dxa" w:w="1984"/>
            <w:shd w:fill="FFEB9C" w:val="clear"/>
          </w:tcPr>
          <w:p>
            <w:r>
              <w:rPr>
                <w:b/>
                <w:color w:val="B40000"/>
                <w:sz w:val="17"/>
              </w:rPr>
              <w:t>-12.402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6.529 Mds FCFA</w:t>
            </w:r>
          </w:p>
        </w:tc>
        <w:tc>
          <w:tcPr>
            <w:tcW w:type="dxa" w:w="5669"/>
            <w:shd w:fill="FFFFFF" w:val="clear"/>
          </w:tcPr>
          <w:p>
            <w:r>
              <w:rPr>
                <w:color w:val="282828"/>
                <w:sz w:val="15"/>
              </w:rPr>
              <w:t>BFR = 8.1%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-10.665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-6.505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45.82%</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FFC7CE" w:val="clear"/>
          </w:tcPr>
          <w:p>
            <w:r>
              <w:rPr>
                <w:b/>
                <w:color w:val="B40000"/>
                <w:sz w:val="17"/>
              </w:rPr>
              <w:t>-9.87%</w:t>
            </w:r>
          </w:p>
        </w:tc>
        <w:tc>
          <w:tcPr>
            <w:tcW w:type="dxa" w:w="5669"/>
            <w:shd w:fill="FFFFFF" w:val="clear"/>
          </w:tcPr>
          <w:p>
            <w:r>
              <w:rPr>
                <w:color w:val="282828"/>
                <w:sz w:val="15"/>
              </w:rPr>
              <w:t>Résultat net / revenus = -9.87%.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-0.68%</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-46.13%</w:t>
            </w:r>
          </w:p>
        </w:tc>
        <w:tc>
          <w:tcPr>
            <w:tcW w:type="dxa" w:w="5669"/>
            <w:shd w:fill="FFFFFF" w:val="clear"/>
          </w:tcPr>
          <w:p>
            <w:r>
              <w:rPr>
                <w:color w:val="282828"/>
                <w:sz w:val="15"/>
              </w:rPr>
              <w:t>Résultat net / capitaux propres = -46.13%.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-5.08%</w:t>
            </w:r>
          </w:p>
        </w:tc>
        <w:tc>
          <w:tcPr>
            <w:tcW w:type="dxa" w:w="5669"/>
            <w:shd w:fill="FFFFFF" w:val="clear"/>
          </w:tcPr>
          <w:p>
            <w:r>
              <w:rPr>
                <w:color w:val="282828"/>
                <w:sz w:val="15"/>
              </w:rPr>
              <w:t>Résultat net / total actif = -5.08%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51.51%</w:t>
            </w:r>
          </w:p>
        </w:tc>
        <w:tc>
          <w:tcPr>
            <w:tcW w:type="dxa" w:w="5669"/>
            <w:shd w:fill="FFFFFF" w:val="clear"/>
          </w:tcPr>
          <w:p>
            <w:r>
              <w:rPr>
                <w:color w:val="282828"/>
                <w:sz w:val="15"/>
              </w:rPr>
              <w:t>CA / total actif = 51.51x.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-7.63%</w:t>
            </w:r>
          </w:p>
        </w:tc>
        <w:tc>
          <w:tcPr>
            <w:tcW w:type="dxa" w:w="5669"/>
            <w:shd w:fill="FFFFFF" w:val="clear"/>
          </w:tcPr>
          <w:p>
            <w:r>
              <w:rPr>
                <w:color w:val="282828"/>
                <w:sz w:val="15"/>
              </w:rPr>
              <w:t>Croissance CA vs exercice précédent = -7.63%.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11.02%</w:t>
            </w:r>
          </w:p>
        </w:tc>
        <w:tc>
          <w:tcPr>
            <w:tcW w:type="dxa" w:w="5669"/>
            <w:shd w:fill="FFFFFF" w:val="clear"/>
          </w:tcPr>
          <w:p>
            <w:r>
              <w:rPr>
                <w:color w:val="282828"/>
                <w:sz w:val="15"/>
              </w:rPr>
              <w:t>Fonds propres / total bilan = 11.02%.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492.21%</w:t>
            </w:r>
          </w:p>
        </w:tc>
        <w:tc>
          <w:tcPr>
            <w:tcW w:type="dxa" w:w="5669"/>
            <w:shd w:fill="FFFFFF" w:val="clear"/>
          </w:tcPr>
          <w:p>
            <w:r>
              <w:rPr>
                <w:color w:val="282828"/>
                <w:sz w:val="15"/>
              </w:rPr>
              <w:t>Dettes financières / total bilan = 492.21%.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88.98%</w:t>
            </w:r>
          </w:p>
        </w:tc>
        <w:tc>
          <w:tcPr>
            <w:tcW w:type="dxa" w:w="5669"/>
            <w:shd w:fill="FFFFFF" w:val="clear"/>
          </w:tcPr>
          <w:p>
            <w:r>
              <w:rPr>
                <w:color w:val="282828"/>
                <w:sz w:val="15"/>
              </w:rPr>
              <w:t>Dettes totales / fonds propres = 88.98%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112.39%</w:t>
            </w:r>
          </w:p>
        </w:tc>
        <w:tc>
          <w:tcPr>
            <w:tcW w:type="dxa" w:w="5669"/>
            <w:shd w:fill="FFFFFF" w:val="clear"/>
          </w:tcPr>
          <w:p>
            <w:r>
              <w:rPr>
                <w:color w:val="282828"/>
                <w:sz w:val="15"/>
              </w:rPr>
              <w:t>Total actif / dettes totales = 112.39x.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74.53%</w:t>
            </w:r>
          </w:p>
        </w:tc>
        <w:tc>
          <w:tcPr>
            <w:tcW w:type="dxa" w:w="5669"/>
            <w:shd w:fill="FFFFFF" w:val="clear"/>
          </w:tcPr>
          <w:p>
            <w:r>
              <w:rPr>
                <w:color w:val="282828"/>
                <w:sz w:val="15"/>
              </w:rPr>
              <w:t>Actif circulant / passif circulant = 74.53x.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4.91%</w:t>
            </w:r>
          </w:p>
        </w:tc>
        <w:tc>
          <w:tcPr>
            <w:tcW w:type="dxa" w:w="5669"/>
            <w:shd w:fill="FFFFFF" w:val="clear"/>
          </w:tcPr>
          <w:p>
            <w:r>
              <w:rPr>
                <w:color w:val="282828"/>
                <w:sz w:val="15"/>
              </w:rPr>
              <w:t>Trésorerie / passif circulant = 4.91x.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17.78%</w:t>
            </w:r>
          </w:p>
        </w:tc>
        <w:tc>
          <w:tcPr>
            <w:tcW w:type="dxa" w:w="5669"/>
            <w:shd w:fill="FFFFFF" w:val="clear"/>
          </w:tcPr>
          <w:p>
            <w:r>
              <w:rPr>
                <w:color w:val="282828"/>
                <w:sz w:val="15"/>
              </w:rPr>
              <w:t>(Actif circ. - stocks) / passif circ. = 17.78x.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88.47%</w:t>
            </w:r>
          </w:p>
        </w:tc>
        <w:tc>
          <w:tcPr>
            <w:tcW w:type="dxa" w:w="5669"/>
            <w:shd w:fill="FFFFFF" w:val="clear"/>
          </w:tcPr>
          <w:p>
            <w:r>
              <w:rPr>
                <w:color w:val="282828"/>
                <w:sz w:val="15"/>
              </w:rPr>
              <w:t>Capitaux permanents / actif immobilisé = 88.47x.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11.2 ans</w:t>
            </w:r>
          </w:p>
        </w:tc>
        <w:tc>
          <w:tcPr>
            <w:tcW w:type="dxa" w:w="5669"/>
            <w:shd w:fill="FFFFFF" w:val="clear"/>
          </w:tcPr>
          <w:p>
            <w:r>
              <w:rPr>
                <w:color w:val="282828"/>
                <w:sz w:val="15"/>
              </w:rPr>
              <w:t>Dettes financières / CAF = 11.2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B40000"/>
                <w:sz w:val="17"/>
              </w:rPr>
              <w:t>-8.03%</w:t>
            </w:r>
          </w:p>
        </w:tc>
        <w:tc>
          <w:tcPr>
            <w:tcW w:type="dxa" w:w="5669"/>
            <w:shd w:fill="FFFFFF" w:val="clear"/>
          </w:tcPr>
          <w:p>
            <w:r>
              <w:rPr>
                <w:color w:val="282828"/>
                <w:sz w:val="15"/>
              </w:rPr>
              <w:t>Résultat exploit. / charges financières = -8.03x. ❌ L'exploitation ne couvre pas les charges financières.</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33.22%</w:t>
            </w:r>
          </w:p>
        </w:tc>
        <w:tc>
          <w:tcPr>
            <w:tcW w:type="dxa" w:w="5669"/>
            <w:shd w:fill="FFFFFF" w:val="clear"/>
          </w:tcPr>
          <w:p>
            <w:r>
              <w:rPr>
                <w:color w:val="282828"/>
                <w:sz w:val="15"/>
              </w:rPr>
              <w:t>CAF / investissements = 33.22x.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12.3 j</w:t>
            </w:r>
          </w:p>
        </w:tc>
        <w:tc>
          <w:tcPr>
            <w:tcW w:type="dxa" w:w="5669"/>
            <w:shd w:fill="FFFFFF" w:val="clear"/>
          </w:tcPr>
          <w:p>
            <w:r>
              <w:rPr>
                <w:color w:val="282828"/>
                <w:sz w:val="15"/>
              </w:rPr>
              <w:t>Les clients paient en moyenne en 12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366.1 j</w:t>
            </w:r>
          </w:p>
        </w:tc>
        <w:tc>
          <w:tcPr>
            <w:tcW w:type="dxa" w:w="5669"/>
            <w:shd w:fill="FFFFFF" w:val="clear"/>
          </w:tcPr>
          <w:p>
            <w:r>
              <w:rPr>
                <w:color w:val="282828"/>
                <w:sz w:val="15"/>
              </w:rPr>
              <w:t>Paiement des fournisseurs en 366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360.7 j</w:t>
            </w:r>
          </w:p>
        </w:tc>
        <w:tc>
          <w:tcPr>
            <w:tcW w:type="dxa" w:w="5669"/>
            <w:shd w:fill="FFFFFF" w:val="clear"/>
          </w:tcPr>
          <w:p>
            <w:r>
              <w:rPr>
                <w:color w:val="282828"/>
                <w:sz w:val="15"/>
              </w:rPr>
              <w:t>Stock écoulé en 361 jours. ❌ Stock quasi-bloqué — risque d'obsolescence ou de surstock.</w:t>
            </w:r>
          </w:p>
        </w:tc>
      </w:tr>
    </w:tbl>
    <w:p/>
    <w:p>
      <w:pPr>
        <w:spacing w:after="120" w:line="276" w:lineRule="auto"/>
      </w:pPr>
      <w:r>
        <w:t>**RAPPORT D'ANALYSE FINANCIÈRE — SCRC (SUCRIVOIRE)**</w:t>
        <w:br/>
        <w:t>*Bourse Régionale des Valeurs Mobilières (BRVM) — Secteur : Agro-industrie / Sucre*</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La capitalisation boursière de SCRC s'élève à 45,96 Mds FCFA, un niveau modeste à l'échelle de la BRVM qui la positionne parmi les valeurs moyennes du compartiment agro-industriel. Le BPA ressort à -406 FCFA/action, traduisant une société en perte sur l'exercice 2025, ce qui rend le PER inexploitable (-5,8x) : les investisseurs ne peuvent pas valoriser le titre sur ses bénéfices actuels. Le P/B de 2,67x indique que le marché valorise SCRC à plus de deux fois et demie sa valeur comptable (capitaux propres de 17,24 Mds FCFA), soit une prime de croissance significative qui contraste avec la fragilité financière actuelle. L'EV/EBITDA de 9,3x, dans la fourchette raisonnable de 5-10x, suggère que la valeur d'entreprise reste cohérente avec la capacité opérationnelle (EBE de 14,85 Mds FCFA), mais cette lecture est tempérée par un endettement massif (84,87 Mds FCFA de dettes financières totales) qui pèse sur la valeur actionnariale résiduelle.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SCRC affiche une variation totale de -1,47%, avec une chute marquée de -3,70% lors de la dernière séance, portant le cours à 2 345 FCFA. Le range de trading est très large, entre un plus haut de 3 920 FCFA et un plus bas de 2 205 FCFA, soit une amplitude de plus de 77% qui témoigne d'une forte nervosité du titre. La tendance générale est baissière : le cours actuel (2 345 FCFA) se situe nettement sous la moyenne (3 197 FCFA) et la médiane (3 298 FCFA), cet écart de plus de 950 FCFA entre moyenne et cours actuel confirmant une distribution asymétrique avec une pression vendeuse persistante. L'écart-type de 424 FCFA (CV de 13,3%) indique une dispersion modérée autour de la moyenne, mais le kurtosis de -0,860 (mésokurtique) suggère une distribution proche de la normale, sans pics extrêmes fréquents. Le skewness de -0,510 révèle une asymétrie négative : bien que les données indiquent « plus de journées au-dessus de la moyenne », la magnitude des baisses est plus forte que celle des hausses, ce qui est cohérent avec la chute récente. Enfin, la volatilité annualisée de 54,9% classe le titre dans la catégorie des valeurs à volatilité élevée (&gt;30%), ce qui implique un risque de perte en capital important et justifie une approche prudente.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(2 787 FCFA) et la MM50 (3 244,6 FCFA) sont toutes deux supérieures au cours actuel (2 345 FCFA), avec un écart de plus de 440 FCFA pour la MM20 et près de 900 FCFA pour la MM50. Cette configuration baissière (cours sous les deux moyennes) confirme la pression vendeuse et justifie la décision « Vente » : le titre évolue sous ses supports dynamiques, et la MM20 elle-même sous la MM50, signalant une tendance de fond négative.</w:t>
      </w:r>
    </w:p>
    <w:p>
      <w:pPr>
        <w:spacing w:after="120" w:line="276" w:lineRule="auto"/>
      </w:pPr>
      <w:r>
        <w:t>**Bandes de Bollinger** : Le cours (2 345 FCFA) se situe dans la partie basse des bandes, entre la borne inférieure (2 221,8 FCFA) et la borne supérieure (3 352,2 FCFA), mais plus proche de la borne basse. Cette position suggère que le titre est survendu à court terme, sans toutefois franchir la borne inférieure, ce qui explique la décision « Neutre » : la volatilité reste élevée (largeur des bandes de 1 130 FCFA), et un rebond technique n'est pas exclu, mais la tendance baissière n'est pas encore invalidée.</w:t>
      </w:r>
    </w:p>
    <w:p>
      <w:pPr>
        <w:spacing w:after="120" w:line="276" w:lineRule="auto"/>
      </w:pPr>
      <w:r>
        <w:t>**MACD** : La valeur du MACD (-249,6) est inférieure à son signal (-218,6), avec un histogramme négatif. Cette divergence baissière indique que le momentum est clairement négatif et que la pression vendeuse se renforce. La décision « Vente » est cohérente : tant que le MACD ne croise pas à la hausse son signal, la dynamique baissière reste dominante.</w:t>
      </w:r>
    </w:p>
    <w:p>
      <w:pPr>
        <w:spacing w:after="120" w:line="276" w:lineRule="auto"/>
      </w:pPr>
      <w:r>
        <w:t>**RSI** : Avec une valeur de 22,9, le RSI est en zone de survente (&lt;30), ce qui déclenche une décision « Achat » technique. Cette lecture suggère qu'un rebond technique est probable à court terme, car le titre a été massivement vendu et pourrait attirer des acheteurs à contre-tendance. Cependant, en tendance baissière forte, le RSI peut rester en zone de survente plusieurs séances.</w:t>
      </w:r>
    </w:p>
    <w:p>
      <w:pPr>
        <w:spacing w:after="120" w:line="276" w:lineRule="auto"/>
      </w:pPr>
      <w:r>
        <w:t>**Stochastique** : Le %K (0,0) est au plus bas, tandis que le %D (0,513) est légèrement supérieur. Ce croisement baissier (%K sous %D) avec un %K à zéro indique une pression vendeuse extrême et une possible exhaustion de la baisse. La décision « Achat » repose sur l'anticipation d'un retournement imminent, mais la faiblesse du %K traduit une capitulation des vendeurs.</w:t>
      </w:r>
    </w:p>
    <w:p>
      <w:pPr>
        <w:spacing w:after="120" w:line="276" w:lineRule="auto"/>
      </w:pPr>
      <w:r>
        <w:t>**Conclusion technique** : Les indicateurs sont majoritairement baissiers (MM, MACD), mais les oscillateurs (RSI, Stochastique) signalent une survente extrême propice à un rebond technique. La divergence entre tendance (baissière) et momentum (survendu) crée une configuration incertaine : un rebond à court terme vers 2 500-2 700 FCFA est possible, mais la tendance de fond reste négative tant que le cours ne repasse pas au-dessus de la MM20 (2 787 FCFA). La décision globale est donc « Neutre à Vente » avec un biais spéculatif pour les traders cherchant un rebond.</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SCRC a enregistré un chiffre d'affaires de 80,57 Mds FCFA, en baisse de 7,6% par rapport à 2024 (87,22 Mds FCFA), et un résultat net déficitaire de -7,95 Mds FCFA (contre un bénéfice de 2,47 Mds FCFA en 2024), soit une dégradation spectaculaire de 421%. Les ratios de rentabilité sont profondément négatifs : ROE de -46,13%, ROA de -5,08%, et marge nette de -9,87%. La structure financière est critique : l'autonomie financière n'est que de 11,02% (capitaux propres/total bilan), le ratio d'endettement atteint 88,98% (dettes totales/capitaux propres), et la capacité de remboursement est de 11,21 années de CAF (7,57 Mds FCFA), ce qui est insoutenable. Le BFR est positif à 6,53 Mds FCFA, avec un délai clients de 12,28 jours (correct) mais un délai fournisseurs de 366 jours (très élevé, signe de tension avec les fournisseurs) et une durée de stockage de 360,73 jours (immobilisation de capital excessive). Les rapports narratifs (notamment ceux analysés par DEEPSEEK en mai 2026 et GEMINI-VISION en septembre 2026) confirment cette dégradation : l'explosion des charges financières (+262% à 6,79 Mds FCFA) et le doublement de l'endettement long terme (64,5 Mds FCFA) pèsent lourdement. Le rapport du S1 2025 (daté du 30/06/2025) indiquait déjà une perte nette de -6,71 Mds FCFA, et le T1 2025 (31/03/2025) montrait un résultat net de 3,21 Mds FCFA en repli de 32%, mais positif. La trajectoire s'est donc fortement dégradée au second semestre 2025. Les perspectives 2026 restent très préoccupantes : la société devra impérativement restructurer sa dette et améliorer ses marges opérationnelles, mais les investissements massifs (25,2 Mds FCFA en 2025) pourraient soutenir une reprise à moyen terme si la campagne sucrière 2025/26 (prévisions de 90 000 à 95 000 tonnes, +14% à +20%) se concrétise. La recommandation fondamentale est donc **VENDRE** en raison des risques de liquidité, de la structure financière critique et de l'absence de dividende, avec une surveillance étroite des résultats du T1 2026 pour évaluer un éventuel retournement.</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(Partie 0) est difficile à interpréter : le PER négatif (-5,8x) et le BPA négatif (-406 FCFA) excluent toute lecture bénéficiaire, tandis que le P/B de 2,67x traduit une prime de croissance qui n'est plus justifiée par les fondamentaux actuels. Le comportement du cours (Partie 1) est préoccupant : tendance baissière (-1,47% sur 100 jours, -3,70% sur la dernière séance), volatilité élevée (54,9%), et skewness négatif (-0,510) indiquant que les baisses sont plus violentes que les hausses. Les signaux techniques (Partie 2) sont divergents : les MM et le MACD confirment la tendance baissière, mais le RSI (22,9) et le Stochastique (%K=0,0) signalent une survente extrême propice à un rebond technique à court terme. Les fondamentaux (Partie 3) sont alarmants : perte nette de -7,95 Mds FCFA en 2025, ROE de -46,13%, endettement critique (88,98% de ratio d'endettement), et trésorerie nette négative (-6,5 Mds FCFA). Les prédictions IA (J+1 à J+10) anticipent une légère reprise (2 417 FCFA à 2 805 FCFA), ce qui est cohérent avec la survente technique mais contredit la tendance fondamentale baissière. **En synthèse, la convergence des signaux fondamentaux (dégradation massive) et techniques (tendance baissière) l'emporte sur le rebond technique anticipé par les oscillateurs et les prédictions IA.** La recommandation finale est **VENTE** (ou VENTE FORTE pour les investisseurs averses au risque), avec un niveau de confiance **Élevé** et un risque global **Élevé**. L'horizon d'investissement optimal est **court terme (&lt;3 mois)** pour les traders cherchant à profiter d'un rebond technique vers 2 500-2 700 FCFA, mais **moyen terme (3-12 mois)** pour les investisseurs fondamentaux qui devraient attendre des signes concrets de redressement (résultats T1 2026, restructuration de la dette) avant d'envisager une position acheteuse. En l'état, le titre présente un profil risque/rendement défavorable, et la prudence commande de rester à l'écart ou de réduire l'exposition.</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20260430   avis de convocation   assemblee generale ordinaire   sucrivoire ci</w:t>
      </w:r>
    </w:p>
    <w:p>
      <w:pPr>
        <w:spacing w:before="20"/>
        <w:ind w:left="400"/>
      </w:pPr>
      <w:r>
        <w:rPr>
          <w:color w:val="505050"/>
          <w:sz w:val="17"/>
        </w:rPr>
        <w:t xml:space="preserve">Date : 01/05/2026  |  Catégorie : convocation AG  |  Impact : </w:t>
      </w:r>
      <w:r>
        <w:rPr>
          <w:b/>
          <w:color w:val="646464"/>
          <w:sz w:val="17"/>
        </w:rPr>
        <w:t>⚪ NEUTRE</w:t>
      </w:r>
    </w:p>
    <w:p>
      <w:pPr>
        <w:spacing w:before="40"/>
        <w:ind w:left="400"/>
      </w:pPr>
      <w:r>
        <w:rPr>
          <w:sz w:val="18"/>
        </w:rPr>
        <w:t>SUCRIVOIRE SA convoque son Assemblée Générale Ordinaire annuelle le 21 mai 2026 à Abidjan-Plateau. L'assemblée approuvera les états financiers 2025 montrant un résultat net déficitaire de 6 131 800 226 Francs CFA selon le SYSCOHADA et 7 953 931 798 Francs CFA selon les normes IFRS. Plusieurs résolutions seront votées concernant la gestion, les conventions réglementées et les mandats d'administrateurs.</w:t>
      </w:r>
    </w:p>
    <w:p>
      <w:pPr>
        <w:spacing w:before="60"/>
        <w:ind w:left="400"/>
      </w:pPr>
      <w:r>
        <w:rPr>
          <w:b/>
          <w:sz w:val="18"/>
        </w:rPr>
        <w:t>Points clés :</w:t>
      </w:r>
    </w:p>
    <w:p>
      <w:pPr>
        <w:pStyle w:val="ListBullet"/>
        <w:spacing w:before="20" w:after="20"/>
        <w:ind w:left="700"/>
      </w:pPr>
      <w:r>
        <w:rPr>
          <w:sz w:val="18"/>
        </w:rPr>
        <w:t>Assemblée Générale Ordinaire convoquée pour le 21 mai 2026 à 09H30 GMT</w:t>
      </w:r>
    </w:p>
    <w:p>
      <w:pPr>
        <w:pStyle w:val="ListBullet"/>
        <w:spacing w:before="20" w:after="20"/>
        <w:ind w:left="700"/>
      </w:pPr>
      <w:r>
        <w:rPr>
          <w:sz w:val="18"/>
        </w:rPr>
        <w:t>Résultat net déficitaire de 6 131 800 226 FCFA (SYSCOHADA) et 7 953 931 798 FCFA (IFRS) pour 2025</w:t>
      </w:r>
    </w:p>
    <w:p>
      <w:pPr>
        <w:pStyle w:val="ListBullet"/>
        <w:spacing w:before="20" w:after="20"/>
        <w:ind w:left="700"/>
      </w:pPr>
      <w:r>
        <w:rPr>
          <w:sz w:val="18"/>
        </w:rPr>
        <w:t>Approbation des états financiers et conventions réglementées avec SIFCA, PALMCI, SAPH et autres sociétés</w:t>
      </w:r>
    </w:p>
    <w:p>
      <w:pPr>
        <w:pStyle w:val="ListBullet"/>
        <w:spacing w:before="20" w:after="20"/>
        <w:ind w:left="700"/>
      </w:pPr>
      <w:r>
        <w:rPr>
          <w:sz w:val="18"/>
        </w:rPr>
        <w:t>Indemnités de fonction aux administrateurs fixées à 117 647 Francs CFA brut</w:t>
      </w:r>
    </w:p>
    <w:p>
      <w:pPr>
        <w:pStyle w:val="ListBullet"/>
        <w:spacing w:before="20" w:after="20"/>
        <w:ind w:left="700"/>
      </w:pPr>
      <w:r>
        <w:rPr>
          <w:sz w:val="18"/>
        </w:rPr>
        <w:t>Cooptation et renouvellement de mandats d'administrateurs incluant Jean Claude CONOLI et Jean Louis Eugène BILLON</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d\u00e9gradation massive de la rentabilit\u00e9 avec une perte de pr\u00e8s de 8 milliards FCFA et l'explosion de l'endettement financier repr\u00e9sentent des signaux d'alarme majeurs. L'\u00e9rosion des capitaux propres et le niveau critique d'endettement compromettent s\u00e9rieusement la viabilit\u00e9 financi\u00e8re \u00e0 court terme."}</w:t>
      </w:r>
    </w:p>
    <w:p>
      <w:pPr>
        <w:spacing w:before="40"/>
        <w:ind w:left="400"/>
      </w:pPr>
      <w:r>
        <w:rPr>
          <w:sz w:val="18"/>
        </w:rPr>
        <w:t>SUCRIVOIRE a enregistré une forte détérioration de sa performance en 2025 avec un chiffre d'affaires en baisse de 7,6% à 80,6 milliards FCFA. La société affiche une perte nette considérable de 7,95 milliards FCFA contre un bénéfice de 2,47 milliards FCFA en 2024, soit une dégradation de 421%. Cette contre-performance s'explique principalement par l'explosion du coût de l'endettement financier qui a quadruplé pour atteindre 6,79 milliards FCFA. Malgré ces difficultés opérationnelles, la société maintient une génération de flux de trésorerie opérationnels positive à 10,4 milliards FCFA. Les capitaux propres se sont considérablement érodés, passant de 25 milliards à 17,2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'36,91 milliards FCFA', 'ratio_endettement': '4,5x', 'dette_financiere_totale': '78,18 milliards FCFA', 'flux_tresorerie_operationnels': '10,38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156,43 milliards FCFA</w:t>
            </w:r>
          </w:p>
        </w:tc>
      </w:tr>
      <w:tr>
        <w:tc>
          <w:tcPr>
            <w:tcW w:type="dxa" w:w="2160"/>
          </w:tcPr>
          <w:p>
            <w:r/>
            <w:r>
              <w:rPr>
                <w:b/>
                <w:sz w:val="16"/>
              </w:rPr>
              <w:t>resultat_net</w:t>
              <w:br/>
            </w:r>
            <w:r>
              <w:rPr>
                <w:sz w:val="18"/>
              </w:rPr>
              <w:t>-7,95 milliards FCFA</w:t>
            </w:r>
          </w:p>
        </w:tc>
        <w:tc>
          <w:tcPr>
            <w:tcW w:type="dxa" w:w="2160"/>
          </w:tcPr>
          <w:p>
            <w:r/>
            <w:r>
              <w:rPr>
                <w:b/>
                <w:sz w:val="16"/>
              </w:rPr>
              <w:t>capitaux_propres</w:t>
              <w:br/>
            </w:r>
            <w:r>
              <w:rPr>
                <w:sz w:val="18"/>
              </w:rPr>
              <w:t>17,24 milliards FCFA</w:t>
            </w:r>
          </w:p>
        </w:tc>
        <w:tc>
          <w:tcPr>
            <w:tcW w:type="dxa" w:w="2160"/>
          </w:tcPr>
          <w:p>
            <w:r/>
            <w:r>
              <w:rPr>
                <w:b/>
                <w:sz w:val="16"/>
              </w:rPr>
              <w:t>chiffre_affaires</w:t>
              <w:br/>
            </w:r>
            <w:r>
              <w:rPr>
                <w:sz w:val="18"/>
              </w:rPr>
              <w:t>80,57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recul de 7,6% à 80,6 milliards FCFA</w:t>
      </w:r>
    </w:p>
    <w:p>
      <w:pPr>
        <w:pStyle w:val="ListBullet"/>
        <w:spacing w:before="20" w:after="20"/>
        <w:ind w:left="700"/>
      </w:pPr>
      <w:r>
        <w:rPr>
          <w:sz w:val="18"/>
        </w:rPr>
        <w:t>Perte nette massive de 7,95 milliards FCFA contre un bénéfice de 2,47 milliards en 2024</w:t>
      </w:r>
    </w:p>
    <w:p>
      <w:pPr>
        <w:pStyle w:val="ListBullet"/>
        <w:spacing w:before="20" w:after="20"/>
        <w:ind w:left="700"/>
      </w:pPr>
      <w:r>
        <w:rPr>
          <w:sz w:val="18"/>
        </w:rPr>
        <w:t>Explosion du coût de l'endettement financier : multiplication par 3,6 à 6,79 milliards FCFA</w:t>
      </w:r>
    </w:p>
    <w:p>
      <w:pPr>
        <w:pStyle w:val="ListBullet"/>
        <w:spacing w:before="20" w:after="20"/>
        <w:ind w:left="700"/>
      </w:pPr>
      <w:r>
        <w:rPr>
          <w:sz w:val="18"/>
        </w:rPr>
        <w:t>Résultat opérationnel courant négatif de 210 millions FCFA contre +5,8 milliards en 2024</w:t>
      </w:r>
    </w:p>
    <w:p>
      <w:pPr>
        <w:pStyle w:val="ListBullet"/>
        <w:spacing w:before="20" w:after="20"/>
        <w:ind w:left="700"/>
      </w:pPr>
      <w:r>
        <w:rPr>
          <w:sz w:val="18"/>
        </w:rPr>
        <w:t>Forte augmentation des stocks (+14,5 milliards FCFA) impactant le besoin en fonds de roulement</w:t>
      </w:r>
    </w:p>
    <w:p>
      <w:pPr>
        <w:pStyle w:val="ListBullet"/>
        <w:spacing w:before="20" w:after="20"/>
        <w:ind w:left="700"/>
      </w:pPr>
      <w:r>
        <w:rPr>
          <w:sz w:val="18"/>
        </w:rPr>
        <w:t>Endettement en hausse avec 19,1 milliards de nouveaux emprunts contractés</w:t>
      </w:r>
    </w:p>
    <w:p>
      <w:pPr>
        <w:spacing w:before="40"/>
        <w:ind w:left="400"/>
      </w:pPr>
      <w:r>
        <w:rPr>
          <w:b/>
          <w:color w:val="C05000"/>
          <w:sz w:val="18"/>
        </w:rPr>
        <w:t xml:space="preserve">⚠️ Risques : </w:t>
      </w:r>
      <w:r>
        <w:rPr>
          <w:sz w:val="18"/>
        </w:rPr>
        <w:t>["Risque de d\u00e9faillance financi\u00e8re li\u00e9 au niveau d'endettement critique et aux charges financi\u00e8res insoutenables", "D\u00e9t\u00e9rioration continue de la rentabilit\u00e9 op\u00e9rationnelle dans un contexte de march\u00e9 difficile", "Risque de liquidit\u00e9 malgr\u00e9 la g\u</w:t>
      </w:r>
    </w:p>
    <w:p>
      <w:pPr>
        <w:spacing w:before="40"/>
        <w:ind w:left="400"/>
      </w:pPr>
      <w:r>
        <w:rPr>
          <w:b/>
          <w:color w:val="0064A0"/>
          <w:sz w:val="18"/>
        </w:rPr>
        <w:t xml:space="preserve">🔮 Perspectives : </w:t>
      </w:r>
      <w:r>
        <w:rPr>
          <w:sz w:val="18"/>
        </w:rPr>
        <w:t>Les perspectives pour 2026 restent très préoccupantes compte tenu du niveau d'endettement et des charges financières structurellement élevées. La société devra impérativement restructurer sa dette et améliorer sa rentabilité opérationnelle pour éviter une situation de détresse financière. Un plan de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soci\u00e9t\u00e9 traverse une crise majeure avec une perte nette significative, un doublement de l'endettement et une d\u00e9gradation g\u00e9n\u00e9ralis\u00e9e des indicateurs op\u00e9rationnels. Les perspectives \u00e0 court terme apparaissent tr\u00e8s pr\u00e9occupantes compte tenu de la fragilisation de la structure financi\u00e8re."}</w:t>
      </w:r>
    </w:p>
    <w:p>
      <w:pPr>
        <w:spacing w:before="40"/>
        <w:ind w:left="400"/>
      </w:pPr>
      <w:r>
        <w:rPr>
          <w:sz w:val="18"/>
        </w:rPr>
        <w:t>SUCRIVOIRE affiche une performance financière dégradée en 2025 avec une chute drastique du chiffre d'affaires de 87,2 milliards XOF en 2024 à 80,6 milliards XOF en 2025. L'entreprise enregistre une perte nette de 6,1 milliards XOF contre un bénéfice de 2,6 milliards XOF l'année précédente. La marge commerciale s'effondre de 1,3 milliard XOF à seulement 302 millions XOF, traduisant des difficultés opérationnelles majeures. L'endettement financier double pratiquement, passant de 32,1 à 69,1 milliards XOF, fragilisant la structure financière. La trésorerie reste négative à -6,5 milliards XOF malgré une amélioration par rapport aux -10,7 milliards XOF de 2024.</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'-6,5 milliards XOF', 'marge_commerciale': '302 millions XOF', 'endettement_financier': '69,1 milliards XOF', 'excedent_brut_exploitation': '15,6 milliards XOF'}</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-7,6%</w:t>
            </w:r>
          </w:p>
        </w:tc>
        <w:tc>
          <w:tcPr>
            <w:tcW w:type="dxa" w:w="2160"/>
          </w:tcPr>
          <w:p>
            <w:pPr>
              <w:ind w:left="100"/>
            </w:pPr>
            <w:r/>
            <w:r>
              <w:rPr>
                <w:b/>
                <w:sz w:val="16"/>
              </w:rPr>
              <w:t>total_actif</w:t>
              <w:br/>
            </w:r>
            <w:r>
              <w:rPr>
                <w:sz w:val="18"/>
              </w:rPr>
              <w:t>146,9 milliards XOF</w:t>
            </w:r>
          </w:p>
        </w:tc>
      </w:tr>
      <w:tr>
        <w:tc>
          <w:tcPr>
            <w:tcW w:type="dxa" w:w="2160"/>
          </w:tcPr>
          <w:p>
            <w:r/>
            <w:r>
              <w:rPr>
                <w:b/>
                <w:sz w:val="16"/>
              </w:rPr>
              <w:t>resultat_net</w:t>
              <w:br/>
            </w:r>
            <w:r>
              <w:rPr>
                <w:sz w:val="18"/>
              </w:rPr>
              <w:t>-6,1 milliards XOF</w:t>
            </w:r>
          </w:p>
        </w:tc>
        <w:tc>
          <w:tcPr>
            <w:tcW w:type="dxa" w:w="2160"/>
          </w:tcPr>
          <w:p>
            <w:r/>
            <w:r>
              <w:rPr>
                <w:b/>
                <w:sz w:val="16"/>
              </w:rPr>
              <w:t>capitaux_propres</w:t>
              <w:br/>
            </w:r>
            <w:r>
              <w:rPr>
                <w:sz w:val="18"/>
              </w:rPr>
              <w:t>13,8 milliards XOF</w:t>
            </w:r>
          </w:p>
        </w:tc>
        <w:tc>
          <w:tcPr>
            <w:tcW w:type="dxa" w:w="2160"/>
          </w:tcPr>
          <w:p>
            <w:r/>
            <w:r>
              <w:rPr>
                <w:b/>
                <w:sz w:val="16"/>
              </w:rPr>
              <w:t>chiffre_affaires</w:t>
              <w:br/>
            </w:r>
            <w:r>
              <w:rPr>
                <w:sz w:val="18"/>
              </w:rPr>
              <w:t>80,6 milliards XOF</w:t>
            </w:r>
          </w:p>
        </w:tc>
        <w:tc>
          <w:tcPr>
            <w:tcW w:type="dxa" w:w="2160"/>
          </w:tcPr>
          <w:p/>
        </w:tc>
      </w:tr>
    </w:tbl>
    <w:p/>
    <w:p>
      <w:pPr>
        <w:spacing w:before="60"/>
        <w:ind w:left="400"/>
      </w:pPr>
      <w:r>
        <w:rPr>
          <w:b/>
          <w:sz w:val="18"/>
        </w:rPr>
        <w:t>Points clés :</w:t>
      </w:r>
    </w:p>
    <w:p>
      <w:pPr>
        <w:pStyle w:val="ListBullet"/>
        <w:spacing w:before="20" w:after="20"/>
        <w:ind w:left="700"/>
      </w:pPr>
      <w:r>
        <w:rPr>
          <w:sz w:val="18"/>
        </w:rPr>
        <w:t>Chute du chiffre d'affaires de 7,6% à 80,6 milliards XOF en 2025</w:t>
      </w:r>
    </w:p>
    <w:p>
      <w:pPr>
        <w:pStyle w:val="ListBullet"/>
        <w:spacing w:before="20" w:after="20"/>
        <w:ind w:left="700"/>
      </w:pPr>
      <w:r>
        <w:rPr>
          <w:sz w:val="18"/>
        </w:rPr>
        <w:t>Basculement en perte nette de 6,1 milliards XOF après un bénéfice de 2,6 milliards XOF en 2024</w:t>
      </w:r>
    </w:p>
    <w:p>
      <w:pPr>
        <w:pStyle w:val="ListBullet"/>
        <w:spacing w:before="20" w:after="20"/>
        <w:ind w:left="700"/>
      </w:pPr>
      <w:r>
        <w:rPr>
          <w:sz w:val="18"/>
        </w:rPr>
        <w:t>Effondrement de la marge commerciale de 77% (1,3 Mrd à 302 millions XOF)</w:t>
      </w:r>
    </w:p>
    <w:p>
      <w:pPr>
        <w:pStyle w:val="ListBullet"/>
        <w:spacing w:before="20" w:after="20"/>
        <w:ind w:left="700"/>
      </w:pPr>
      <w:r>
        <w:rPr>
          <w:sz w:val="18"/>
        </w:rPr>
        <w:t>Explosion de l'endettement financier (+115%) à 69,1 milliards XOF</w:t>
      </w:r>
    </w:p>
    <w:p>
      <w:pPr>
        <w:pStyle w:val="ListBullet"/>
        <w:spacing w:before="20" w:after="20"/>
        <w:ind w:left="700"/>
      </w:pPr>
      <w:r>
        <w:rPr>
          <w:sz w:val="18"/>
        </w:rPr>
        <w:t>Détérioration de l'excédent brut d'exploitation de 23% à 15,6 milliards XOF</w:t>
      </w:r>
    </w:p>
    <w:p>
      <w:pPr>
        <w:pStyle w:val="ListBullet"/>
        <w:spacing w:before="20" w:after="20"/>
        <w:ind w:left="700"/>
      </w:pPr>
      <w:r>
        <w:rPr>
          <w:sz w:val="18"/>
        </w:rPr>
        <w:t>Augmentation significative des stocks de 38,5% à 52,1 milliards XOF</w:t>
      </w:r>
    </w:p>
    <w:p>
      <w:pPr>
        <w:spacing w:before="40"/>
        <w:ind w:left="400"/>
      </w:pPr>
      <w:r>
        <w:rPr>
          <w:b/>
          <w:color w:val="C05000"/>
          <w:sz w:val="18"/>
        </w:rPr>
        <w:t xml:space="preserve">⚠️ Risques : </w:t>
      </w:r>
      <w:r>
        <w:rPr>
          <w:sz w:val="18"/>
        </w:rPr>
        <w:t>["Risque de liquidit\u00e9 \u00e9lev\u00e9 avec une tr\u00e9sorerie n\u00e9gative et un endettement massif", "D\u00e9t\u00e9rioration continue de la rentabilit\u00e9 op\u00e9rationnelle et commerciale", "Risque de d\u00e9faillance financi\u00e8re compte tenu de la structure bilancielle d\u00e9grad\u</w:t>
      </w:r>
    </w:p>
    <w:p>
      <w:pPr>
        <w:spacing w:before="40"/>
        <w:ind w:left="400"/>
      </w:pPr>
      <w:r>
        <w:rPr>
          <w:b/>
          <w:color w:val="0064A0"/>
          <w:sz w:val="18"/>
        </w:rPr>
        <w:t xml:space="preserve">🔮 Perspectives : </w:t>
      </w:r>
      <w:r>
        <w:rPr>
          <w:sz w:val="18"/>
        </w:rPr>
        <w:t>Les perspectives pour 2026 s'annoncent difficiles compte tenu de la trajectoire négative observée et de la fragilisation financière. La société devra impérativement restructurer ses opérations et sa dette pour éviter une situation de détresse financière. Un plan de redressement urgent semble nécessa</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forte d\u00e9gradation financi\u00e8re avec une perte de pr\u00e8s de 8 milliards FCFA et l'explosion de l'endettement cr\u00e9ent un risque majeur. Le ratio d'endettement de 374% des capitaux propres est inqui\u00e9tant malgr\u00e9 les investissements de croissance."}</w:t>
      </w:r>
    </w:p>
    <w:p>
      <w:pPr>
        <w:spacing w:before="40"/>
        <w:ind w:left="400"/>
      </w:pPr>
      <w:r>
        <w:rPr>
          <w:sz w:val="18"/>
        </w:rPr>
        <w:t>SUCRIVOIRE enregistre une forte dégradation de sa performance en 2025 avec une perte nette de 7,95 milliards FCFA contre un bénéfice de 2,47 milliards en 2024. Le chiffre d'affaires recule de 7,6% à 80,57 milliards FCFA tandis que les coûts d'endettement explosent de 262% à 6,79 milliards FCFA. L'endettement long terme bondit de 168% à 64,5 milliards FCFA, témoignant d'un important plan d'investissement. Malgré cette situation difficile, la société maintient une trésorerie positive de 4,51 milliards FCFA et des flux opérationnels positifs de 10,38 milliards FCFA. La dégradation des capitaux propres de 31% reflète les difficultés conjoncturelles de l'entreprise sucrière.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'4,51 milliards FCFA', 'marge_brute': '45,8%', 'ratio_endettement': '374%', 'endettement_long_terme': '64,5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156,43 milliards FCFA</w:t>
            </w:r>
          </w:p>
        </w:tc>
      </w:tr>
      <w:tr>
        <w:tc>
          <w:tcPr>
            <w:tcW w:type="dxa" w:w="2160"/>
          </w:tcPr>
          <w:p>
            <w:r/>
            <w:r>
              <w:rPr>
                <w:b/>
                <w:sz w:val="16"/>
              </w:rPr>
              <w:t>resultat_net</w:t>
              <w:br/>
            </w:r>
            <w:r>
              <w:rPr>
                <w:sz w:val="18"/>
              </w:rPr>
              <w:t>-7,95 milliards FCFA</w:t>
            </w:r>
          </w:p>
        </w:tc>
        <w:tc>
          <w:tcPr>
            <w:tcW w:type="dxa" w:w="2160"/>
          </w:tcPr>
          <w:p>
            <w:r/>
            <w:r>
              <w:rPr>
                <w:b/>
                <w:sz w:val="16"/>
              </w:rPr>
              <w:t>capitaux_propres</w:t>
              <w:br/>
            </w:r>
            <w:r>
              <w:rPr>
                <w:sz w:val="18"/>
              </w:rPr>
              <w:t>17,24 milliards FCFA</w:t>
            </w:r>
          </w:p>
        </w:tc>
        <w:tc>
          <w:tcPr>
            <w:tcW w:type="dxa" w:w="2160"/>
          </w:tcPr>
          <w:p>
            <w:r/>
            <w:r>
              <w:rPr>
                <w:b/>
                <w:sz w:val="16"/>
              </w:rPr>
              <w:t>chiffre_affaires</w:t>
              <w:br/>
            </w:r>
            <w:r>
              <w:rPr>
                <w:sz w:val="18"/>
              </w:rPr>
              <w:t>80,57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7,6% à 80,57 milliards FCFA</w:t>
      </w:r>
    </w:p>
    <w:p>
      <w:pPr>
        <w:pStyle w:val="ListBullet"/>
        <w:spacing w:before="20" w:after="20"/>
        <w:ind w:left="700"/>
      </w:pPr>
      <w:r>
        <w:rPr>
          <w:sz w:val="18"/>
        </w:rPr>
        <w:t>Perte nette de 7,95 milliards FCFA contre un bénéfice de 2,47 milliards en 2024</w:t>
      </w:r>
    </w:p>
    <w:p>
      <w:pPr>
        <w:pStyle w:val="ListBullet"/>
        <w:spacing w:before="20" w:after="20"/>
        <w:ind w:left="700"/>
      </w:pPr>
      <w:r>
        <w:rPr>
          <w:sz w:val="18"/>
        </w:rPr>
        <w:t>Explosion des coûts d'endettement (+262%) à 6,79 milliards FCFA</w:t>
      </w:r>
    </w:p>
    <w:p>
      <w:pPr>
        <w:pStyle w:val="ListBullet"/>
        <w:spacing w:before="20" w:after="20"/>
        <w:ind w:left="700"/>
      </w:pPr>
      <w:r>
        <w:rPr>
          <w:sz w:val="18"/>
        </w:rPr>
        <w:t>Endettement long terme multiplié par 2,7 à 64,5 milliards FCFA</w:t>
      </w:r>
    </w:p>
    <w:p>
      <w:pPr>
        <w:pStyle w:val="ListBullet"/>
        <w:spacing w:before="20" w:after="20"/>
        <w:ind w:left="700"/>
      </w:pPr>
      <w:r>
        <w:rPr>
          <w:sz w:val="18"/>
        </w:rPr>
        <w:t>Forte augmentation des stocks (+38,5%) à 52,13 milliards FCFA</w:t>
      </w:r>
    </w:p>
    <w:p>
      <w:pPr>
        <w:pStyle w:val="ListBullet"/>
        <w:spacing w:before="20" w:after="20"/>
        <w:ind w:left="700"/>
      </w:pPr>
      <w:r>
        <w:rPr>
          <w:sz w:val="18"/>
        </w:rPr>
        <w:t>Flux de trésorerie opérationnels positifs à 10,38 milliards FCFA</w:t>
      </w:r>
    </w:p>
    <w:p>
      <w:pPr>
        <w:spacing w:before="40"/>
        <w:ind w:left="400"/>
      </w:pPr>
      <w:r>
        <w:rPr>
          <w:b/>
          <w:color w:val="C05000"/>
          <w:sz w:val="18"/>
        </w:rPr>
        <w:t xml:space="preserve">⚠️ Risques : </w:t>
      </w:r>
      <w:r>
        <w:rPr>
          <w:sz w:val="18"/>
        </w:rPr>
        <w:t>["Niveau d'endettement critique avec un ratio dette/capitaux propres de 374%", "Forte exposition aux taux d'int\u00e9r\u00eat avec 6,79 milliards FCFA de charges financi\u00e8res", "Volatilit\u00e9 du secteur sucrier d\u00e9pendant des cours des mati\u00e8res premi\u00e8res et conditions climatiques</w:t>
      </w:r>
    </w:p>
    <w:p>
      <w:pPr>
        <w:spacing w:before="40"/>
        <w:ind w:left="400"/>
      </w:pPr>
      <w:r>
        <w:rPr>
          <w:b/>
          <w:color w:val="0064A0"/>
          <w:sz w:val="18"/>
        </w:rPr>
        <w:t xml:space="preserve">🔮 Perspectives : </w:t>
      </w:r>
      <w:r>
        <w:rPr>
          <w:sz w:val="18"/>
        </w:rPr>
        <w:t>Les perspectives dépendront de la capacité de l'entreprise à rentabiliser ses investissements massifs et à améliorer ses marges opérationnelles. La société devra impérativement réduire ses coûts d'endettement et améliorer sa génération de cash-flow pour retrouver la rentabilité. Le secteur sucrier 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spectaculaire am\u00e9lioration de 16 milliards FCFA du r\u00e9sultat net d\u00e9montre une capacit\u00e9 de redressement remarquable et une meilleure ma\u00eetrise op\u00e9rationnelle. Bien que la soci\u00e9t\u00e9 reste d\u00e9ficitaire, la trajectoire positive et l'am\u00e9lioration des marges sugg\u00e8rent un retour \u00e0 la profitabilit\u00e9 \u00e0 court terme."}</w:t>
      </w:r>
    </w:p>
    <w:p>
      <w:pPr>
        <w:spacing w:before="40"/>
        <w:ind w:left="400"/>
      </w:pPr>
      <w:r>
        <w:rPr>
          <w:sz w:val="18"/>
        </w:rPr>
        <w:t>SUCRIVOIRE affiche une performance remarquable en 2023 avec un retour à la profitabilité significatif après une lourde perte en 2022. Le chiffre d'affaires reste stable à 68,1 milliards FCFA tandis que le résultat net s'améliore drastiquement de -7,0 milliards FCFA à -9,0 milliards FCFA, soit un redressement de 16 milliards FCFA. La marge brute progresse fortement de 17,8 à 24,0 milliards FCFA grâce à une meilleure maîtrise des coûts d'achat. La société maintient une structure financière solide avec 124,2 milliards FCFA d'actifs et améliore sa trésorerie. Les capitaux propres se renforcent malgré les pertes antérieures, témoignant d'une gestion financière rigoureuse.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'35,3%', 'endettement_lt': '30,127 milliards FCFA', 'ratio_endettement': '135,0%', 'flux_tresorerie_exploitation': '16,453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-13,2%</w:t>
            </w:r>
          </w:p>
        </w:tc>
        <w:tc>
          <w:tcPr>
            <w:tcW w:type="dxa" w:w="2160"/>
          </w:tcPr>
          <w:p>
            <w:pPr>
              <w:ind w:left="100"/>
            </w:pPr>
            <w:r/>
            <w:r>
              <w:rPr>
                <w:b/>
                <w:sz w:val="16"/>
              </w:rPr>
              <w:t>total_actif</w:t>
              <w:br/>
            </w:r>
            <w:r>
              <w:rPr>
                <w:sz w:val="18"/>
              </w:rPr>
              <w:t>124,183 milliards FCFA</w:t>
            </w:r>
          </w:p>
        </w:tc>
      </w:tr>
      <w:tr>
        <w:tc>
          <w:tcPr>
            <w:tcW w:type="dxa" w:w="2160"/>
          </w:tcPr>
          <w:p>
            <w:r/>
            <w:r>
              <w:rPr>
                <w:b/>
                <w:sz w:val="16"/>
              </w:rPr>
              <w:t>resultat_net</w:t>
              <w:br/>
            </w:r>
            <w:r>
              <w:rPr>
                <w:sz w:val="18"/>
              </w:rPr>
              <w:t>-9,010 milliards FCFA</w:t>
            </w:r>
          </w:p>
        </w:tc>
        <w:tc>
          <w:tcPr>
            <w:tcW w:type="dxa" w:w="2160"/>
          </w:tcPr>
          <w:p>
            <w:r/>
            <w:r>
              <w:rPr>
                <w:b/>
                <w:sz w:val="16"/>
              </w:rPr>
              <w:t>capitaux_propres</w:t>
              <w:br/>
            </w:r>
            <w:r>
              <w:rPr>
                <w:sz w:val="18"/>
              </w:rPr>
              <w:t>22,310 milliards FCFA</w:t>
            </w:r>
          </w:p>
        </w:tc>
        <w:tc>
          <w:tcPr>
            <w:tcW w:type="dxa" w:w="2160"/>
          </w:tcPr>
          <w:p>
            <w:r/>
            <w:r>
              <w:rPr>
                <w:b/>
                <w:sz w:val="16"/>
              </w:rPr>
              <w:t>chiffre_affaires</w:t>
              <w:br/>
            </w:r>
            <w:r>
              <w:rPr>
                <w:sz w:val="18"/>
              </w:rPr>
              <w:t>68,135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Redressement spectaculaire du résultat net de 16 milliards FCFA entre 2022 et 2023</w:t>
      </w:r>
    </w:p>
    <w:p>
      <w:pPr>
        <w:pStyle w:val="ListBullet"/>
        <w:spacing w:before="20" w:after="20"/>
        <w:ind w:left="700"/>
      </w:pPr>
      <w:r>
        <w:rPr>
          <w:sz w:val="18"/>
        </w:rPr>
        <w:t>Amélioration significative de la marge brute de 35% passant de 17,8 à 24,0 milliards FCFA</w:t>
      </w:r>
    </w:p>
    <w:p>
      <w:pPr>
        <w:pStyle w:val="ListBullet"/>
        <w:spacing w:before="20" w:after="20"/>
        <w:ind w:left="700"/>
      </w:pPr>
      <w:r>
        <w:rPr>
          <w:sz w:val="18"/>
        </w:rPr>
        <w:t>Stabilité du chiffre d'affaires à 68,1 milliards FCFA (-0,7%) démontrant la résilience commerciale</w:t>
      </w:r>
    </w:p>
    <w:p>
      <w:pPr>
        <w:pStyle w:val="ListBullet"/>
        <w:spacing w:before="20" w:after="20"/>
        <w:ind w:left="700"/>
      </w:pPr>
      <w:r>
        <w:rPr>
          <w:sz w:val="18"/>
        </w:rPr>
        <w:t>Optimisation des achats consommés qui diminuent de 50,8 à 44,1 milliards FCFA</w:t>
      </w:r>
    </w:p>
    <w:p>
      <w:pPr>
        <w:pStyle w:val="ListBullet"/>
        <w:spacing w:before="20" w:after="20"/>
        <w:ind w:left="700"/>
      </w:pPr>
      <w:r>
        <w:rPr>
          <w:sz w:val="18"/>
        </w:rPr>
        <w:t>Réduction des charges de personnel de 10,1 à 9,5 milliards FCFA (-6%)</w:t>
      </w:r>
    </w:p>
    <w:p>
      <w:pPr>
        <w:pStyle w:val="ListBullet"/>
        <w:spacing w:before="20" w:after="20"/>
        <w:ind w:left="700"/>
      </w:pPr>
      <w:r>
        <w:rPr>
          <w:sz w:val="18"/>
        </w:rPr>
        <w:t>Amélioration de la trésorerie nette avec des flux d'exploitation positifs de 16,5 milliards FCFA</w:t>
      </w:r>
    </w:p>
    <w:p>
      <w:pPr>
        <w:spacing w:before="40"/>
        <w:ind w:left="400"/>
      </w:pPr>
      <w:r>
        <w:rPr>
          <w:b/>
          <w:color w:val="C05000"/>
          <w:sz w:val="18"/>
        </w:rPr>
        <w:t xml:space="preserve">⚠️ Risques : </w:t>
      </w:r>
      <w:r>
        <w:rPr>
          <w:sz w:val="18"/>
        </w:rPr>
        <w:t>["Persistance des pertes nettes malgr\u00e9 l'am\u00e9lioration, fragilisant la structure financi\u00e8re \u00e0 long terme", "Niveau d'endettement \u00e9lev\u00e9 (135% des capitaux propres) pouvant limiter la flexibilit\u00e9 financi\u00e8re", "D\u00e9pendance aux conditions du march\u00e9 du sucr</w:t>
      </w:r>
    </w:p>
    <w:p>
      <w:pPr>
        <w:spacing w:before="40"/>
        <w:ind w:left="400"/>
      </w:pPr>
      <w:r>
        <w:rPr>
          <w:b/>
          <w:color w:val="0064A0"/>
          <w:sz w:val="18"/>
        </w:rPr>
        <w:t xml:space="preserve">🔮 Perspectives : </w:t>
      </w:r>
      <w:r>
        <w:rPr>
          <w:sz w:val="18"/>
        </w:rPr>
        <w:t xml:space="preserve">L'année 2024 devrait confirmer la tendance de redressement avec une possible atteinte de l'équilibre financier si la dynamique d'amélioration des marges se poursuit. La société dispose des fondamentaux nécessaires pour retrouver la profitabilité, sous réserve du maintien de la discipline de gestion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du chiffre d'affaires et du r\u00e9sultat net est positive mais la baisse des capitaux propres suscite des interrogations. La g\u00e9n\u00e9ration de tr\u00e9sorerie op\u00e9rationnelle reste solide, justifiant une position d'attente."}</w:t>
      </w:r>
    </w:p>
    <w:p>
      <w:pPr>
        <w:spacing w:before="40"/>
        <w:ind w:left="400"/>
      </w:pPr>
      <w:r>
        <w:rPr>
          <w:sz w:val="18"/>
        </w:rPr>
        <w:t>Sucrivoire affiche des états financiers de synthèse contrastés au 31 décembre 2021 avec un chiffre d'affaires de 62,6 milliards FCFA et un résultat net bénéficiaire de 6,2 milliards FCFA. Le total actif s'établit à 107,2 milliards FCFA contre 84,6 milliards en 2020, marquant une croissance significative du bilan. Les capitaux propres se renforcent à 36,4 milliards FCFA contre 43,9 milliards l'année précédente, indiquant une diminution préoccupante. La trésorerie nette au 1er janvier 2021 s'élève à 8,6 milliards FCFA avec des flux opérationnels positifs de 3,9 milliards. La société maintient une position financière globalement stable malgré quelques signaux mitigés sur la structure capitalist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{'tresorerie_nette_initiale': '8 948 800 512 FCFA', 'immobilisations_corporelles': '47 745 012 763 FCFA', 'flux_tresorerie_operationnels': '3 919 912 364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107 246 929 978 FCFA</w:t>
            </w:r>
          </w:p>
        </w:tc>
      </w:tr>
      <w:tr>
        <w:tc>
          <w:tcPr>
            <w:tcW w:type="dxa" w:w="2160"/>
          </w:tcPr>
          <w:p>
            <w:r/>
            <w:r>
              <w:rPr>
                <w:b/>
                <w:sz w:val="16"/>
              </w:rPr>
              <w:t>resultat_net</w:t>
              <w:br/>
            </w:r>
            <w:r>
              <w:rPr>
                <w:sz w:val="18"/>
              </w:rPr>
              <w:t>6 217 860 803 FCFA</w:t>
            </w:r>
          </w:p>
        </w:tc>
        <w:tc>
          <w:tcPr>
            <w:tcW w:type="dxa" w:w="2160"/>
          </w:tcPr>
          <w:p>
            <w:r/>
            <w:r>
              <w:rPr>
                <w:b/>
                <w:sz w:val="16"/>
              </w:rPr>
              <w:t>capitaux_propres</w:t>
              <w:br/>
            </w:r>
            <w:r>
              <w:rPr>
                <w:sz w:val="18"/>
              </w:rPr>
              <w:t>36 443 055 349 FCFA</w:t>
            </w:r>
          </w:p>
        </w:tc>
        <w:tc>
          <w:tcPr>
            <w:tcW w:type="dxa" w:w="2160"/>
          </w:tcPr>
          <w:p>
            <w:r/>
            <w:r>
              <w:rPr>
                <w:b/>
                <w:sz w:val="16"/>
              </w:rPr>
              <w:t>chiffre_affaires</w:t>
              <w:br/>
            </w:r>
            <w:r>
              <w:rPr>
                <w:sz w:val="18"/>
              </w:rPr>
              <w:t>62 607 361 117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progression à 62,6 milliards FCFA contre 49,3 milliards en 2020</w:t>
      </w:r>
    </w:p>
    <w:p>
      <w:pPr>
        <w:pStyle w:val="ListBullet"/>
        <w:spacing w:before="20" w:after="20"/>
        <w:ind w:left="700"/>
      </w:pPr>
      <w:r>
        <w:rPr>
          <w:sz w:val="18"/>
        </w:rPr>
        <w:t>Résultat net positif de 6,2 milliards FCFA contre 1,8 milliard en 2020</w:t>
      </w:r>
    </w:p>
    <w:p>
      <w:pPr>
        <w:pStyle w:val="ListBullet"/>
        <w:spacing w:before="20" w:after="20"/>
        <w:ind w:left="700"/>
      </w:pPr>
      <w:r>
        <w:rPr>
          <w:sz w:val="18"/>
        </w:rPr>
        <w:t>Total actif en forte hausse à 107,2 milliards FCFA (+26,7% vs 2020)</w:t>
      </w:r>
    </w:p>
    <w:p>
      <w:pPr>
        <w:pStyle w:val="ListBullet"/>
        <w:spacing w:before="20" w:after="20"/>
        <w:ind w:left="700"/>
      </w:pPr>
      <w:r>
        <w:rPr>
          <w:sz w:val="18"/>
        </w:rPr>
        <w:t>Diminution des capitaux propres de 43,9 à 36,4 milliards FCFA (-17%)</w:t>
      </w:r>
    </w:p>
    <w:p>
      <w:pPr>
        <w:pStyle w:val="ListBullet"/>
        <w:spacing w:before="20" w:after="20"/>
        <w:ind w:left="700"/>
      </w:pPr>
      <w:r>
        <w:rPr>
          <w:sz w:val="18"/>
        </w:rPr>
        <w:t>Trésorerie opérationnelle positive avec 8,6 milliards FCFA de trésorerie nette initiale</w:t>
      </w:r>
    </w:p>
    <w:p>
      <w:pPr>
        <w:pStyle w:val="ListBullet"/>
        <w:spacing w:before="20" w:after="20"/>
        <w:ind w:left="700"/>
      </w:pPr>
      <w:r>
        <w:rPr>
          <w:sz w:val="18"/>
        </w:rPr>
        <w:t>Flux de trésorerie opérationnels solides à 3,9 milliards FCFA</w:t>
      </w:r>
    </w:p>
    <w:p>
      <w:pPr>
        <w:spacing w:before="40"/>
        <w:ind w:left="400"/>
      </w:pPr>
      <w:r>
        <w:rPr>
          <w:b/>
          <w:color w:val="C05000"/>
          <w:sz w:val="18"/>
        </w:rPr>
        <w:t xml:space="preserve">⚠️ Risques : </w:t>
      </w:r>
      <w:r>
        <w:rPr>
          <w:sz w:val="18"/>
        </w:rPr>
        <w:t>["Diminution significative des capitaux propres de 17% fragilisant la structure financi\u00e8re", "Forte croissance du total actif n\u00e9cessitant un financement accru et impactant l'endettement", "D\u00e9pendance au secteur sucrier expos\u00e9 aux fluctuations des cours des mati\u00e8res premi\u00</w:t>
      </w:r>
    </w:p>
    <w:p>
      <w:pPr>
        <w:spacing w:before="40"/>
        <w:ind w:left="400"/>
      </w:pPr>
      <w:r>
        <w:rPr>
          <w:b/>
          <w:color w:val="0064A0"/>
          <w:sz w:val="18"/>
        </w:rPr>
        <w:t xml:space="preserve">🔮 Perspectives : </w:t>
      </w:r>
      <w:r>
        <w:rPr>
          <w:sz w:val="18"/>
        </w:rPr>
        <w:t>Les perspectives restent modérément optimistes compte tenu de la forte croissance opérationnelle observée en 2021. La capacité de la société à reconstituer ses capitaux propres et à maintenir sa rentabilité sera déterminante pour confirmer cette tendance positive.</w:t>
      </w:r>
    </w:p>
    <w:p/>
    <w:p>
      <w:r>
        <w:t>════════════════════════════════════════════════════════════════════════════════</w:t>
      </w:r>
    </w:p>
    <w:p>
      <w:r>
        <w:br w:type="page"/>
      </w:r>
    </w:p>
    <w:p>
      <w:pPr>
        <w:pStyle w:val="Heading2"/>
        <w:spacing w:before="360"/>
      </w:pPr>
      <w:r>
        <w:rPr>
          <w:color w:val="0066CC"/>
        </w:rPr>
        <w:t>30. SDCC - SDCC - Société de Distribution d'Eau de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SDCC</w:t>
            </w:r>
          </w:p>
          <w:p>
            <w:r>
              <w:rPr>
                <w:b/>
                <w:color w:val="323250"/>
                <w:sz w:val="16"/>
              </w:rPr>
              <w:t xml:space="preserve">Société : </w:t>
            </w:r>
            <w:r>
              <w:rPr>
                <w:color w:val="000000"/>
                <w:sz w:val="16"/>
              </w:rPr>
              <w:t>SDCC - Société de Distribution d'Eau de ...</w:t>
            </w:r>
          </w:p>
          <w:p>
            <w:r>
              <w:rPr>
                <w:b/>
                <w:color w:val="323250"/>
                <w:sz w:val="16"/>
              </w:rPr>
              <w:t xml:space="preserve">Secteur : </w:t>
            </w:r>
            <w:r>
              <w:rPr>
                <w:color w:val="000000"/>
                <w:sz w:val="16"/>
              </w:rPr>
              <w:t>SERVICES PUBLICS</w:t>
            </w:r>
          </w:p>
        </w:tc>
        <w:tc>
          <w:tcPr>
            <w:tcW w:type="dxa" w:w="2268"/>
            <w:shd w:fill="E2EFDA" w:val="clear"/>
          </w:tcPr>
          <w:p>
            <w:r>
              <w:rPr>
                <w:b/>
                <w:color w:val="1E461E"/>
                <w:sz w:val="16"/>
              </w:rPr>
              <w:t xml:space="preserve">Capitalisation : </w:t>
            </w:r>
            <w:r>
              <w:rPr>
                <w:b/>
                <w:color w:val="006400"/>
                <w:sz w:val="17"/>
              </w:rPr>
              <w:t>116.86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1,521 titres</w:t>
            </w:r>
          </w:p>
        </w:tc>
        <w:tc>
          <w:tcPr>
            <w:tcW w:type="dxa" w:w="2268"/>
            <w:shd w:fill="FFF2CC" w:val="clear"/>
          </w:tcPr>
          <w:p>
            <w:r>
              <w:rPr>
                <w:b/>
                <w:color w:val="503200"/>
                <w:sz w:val="16"/>
              </w:rPr>
              <w:t xml:space="preserve">Cours actuel : </w:t>
            </w:r>
            <w:r>
              <w:rPr>
                <w:color w:val="000000"/>
                <w:sz w:val="17"/>
              </w:rPr>
              <w:t>12,985 FCFA</w:t>
            </w:r>
          </w:p>
          <w:p>
            <w:r>
              <w:rPr>
                <w:b/>
                <w:color w:val="503200"/>
                <w:sz w:val="16"/>
              </w:rPr>
              <w:t xml:space="preserve">Var. 100 jours : </w:t>
            </w:r>
            <w:r>
              <w:rPr>
                <w:b/>
                <w:color w:val="007800"/>
                <w:sz w:val="17"/>
              </w:rPr>
              <w:t>+17.03%</w:t>
            </w:r>
          </w:p>
          <w:p>
            <w:r>
              <w:rPr>
                <w:b/>
                <w:color w:val="503200"/>
                <w:sz w:val="16"/>
              </w:rPr>
              <w:t xml:space="preserve">Plus haut 100j : </w:t>
            </w:r>
            <w:r>
              <w:rPr>
                <w:color w:val="000000"/>
                <w:sz w:val="17"/>
              </w:rPr>
              <w:t>13,885 FCFA</w:t>
            </w:r>
          </w:p>
          <w:p>
            <w:r>
              <w:rPr>
                <w:b/>
                <w:color w:val="503200"/>
                <w:sz w:val="16"/>
              </w:rPr>
              <w:t xml:space="preserve">Plus bas 100j : </w:t>
            </w:r>
            <w:r>
              <w:rPr>
                <w:color w:val="000000"/>
                <w:sz w:val="17"/>
              </w:rPr>
              <w:t>11,000 FCFA</w:t>
            </w:r>
          </w:p>
          <w:p>
            <w:r>
              <w:rPr>
                <w:b/>
                <w:color w:val="503200"/>
                <w:sz w:val="16"/>
              </w:rPr>
              <w:t xml:space="preserve">Volatilité ann. : </w:t>
            </w:r>
            <w:r>
              <w:rPr>
                <w:color w:val="000000"/>
                <w:sz w:val="17"/>
              </w:rPr>
              <w:t>37.3%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19.1/100 → Faible</w:t>
      </w:r>
    </w:p>
    <w:p>
      <w:pPr>
        <w:spacing w:before="40" w:after="80"/>
      </w:pPr>
      <w:r>
        <w:rPr>
          <w:rFonts w:ascii="Courier New" w:hAnsi="Courier New"/>
          <w:color w:val="006400"/>
          <w:sz w:val="18"/>
        </w:rPr>
        <w:t>███░░░░░░░░░░░░░░░░░  19.1/100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5.82% (Moyenne) — μ=12,177 FCFA, σ=709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β=0.6770 (Défensif) — Cov=0.000051, Var(idx)=0.000075, ρ=0.252,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1,521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σ_j=2.35%/j (Stable) — Vol. annualisée≈37.3%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03190"/>
            <wp:docPr id="32" name="Picture 32"/>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2026-10-16</w:t>
            </w:r>
          </w:p>
        </w:tc>
        <w:tc>
          <w:tcPr>
            <w:tcW w:type="dxa" w:w="1440"/>
            <w:shd w:fill="FAFAFA" w:val="clear"/>
          </w:tcPr>
          <w:p>
            <w:r>
              <w:rPr>
                <w:sz w:val="17"/>
              </w:rPr>
              <w:t>12,215</w:t>
            </w:r>
          </w:p>
        </w:tc>
        <w:tc>
          <w:tcPr>
            <w:tcW w:type="dxa" w:w="1440"/>
            <w:shd w:fill="FAFAFA" w:val="clear"/>
          </w:tcPr>
          <w:p>
            <w:r>
              <w:rPr>
                <w:b/>
                <w:sz w:val="17"/>
              </w:rPr>
              <w:t>12,928</w:t>
            </w:r>
          </w:p>
        </w:tc>
        <w:tc>
          <w:tcPr>
            <w:tcW w:type="dxa" w:w="1440"/>
            <w:shd w:fill="FAFAFA" w:val="clear"/>
          </w:tcPr>
          <w:p>
            <w:r>
              <w:rPr>
                <w:sz w:val="17"/>
              </w:rPr>
              <w:t>13,642</w:t>
            </w:r>
          </w:p>
        </w:tc>
        <w:tc>
          <w:tcPr>
            <w:tcW w:type="dxa" w:w="1440"/>
            <w:shd w:fill="FAFAFA" w:val="clear"/>
          </w:tcPr>
          <w:p>
            <w:r>
              <w:rPr>
                <w:b/>
                <w:color w:val="C00000"/>
                <w:sz w:val="17"/>
              </w:rPr>
              <w:t>-0.4%</w:t>
            </w:r>
          </w:p>
        </w:tc>
      </w:tr>
      <w:tr>
        <w:tc>
          <w:tcPr>
            <w:tcW w:type="dxa" w:w="1440"/>
            <w:shd w:fill="FAFAFA" w:val="clear"/>
          </w:tcPr>
          <w:p>
            <w:r>
              <w:rPr>
                <w:sz w:val="17"/>
              </w:rPr>
              <w:t>J+2  ⭐</w:t>
            </w:r>
          </w:p>
        </w:tc>
        <w:tc>
          <w:tcPr>
            <w:tcW w:type="dxa" w:w="1440"/>
            <w:shd w:fill="FAFAFA" w:val="clear"/>
          </w:tcPr>
          <w:p>
            <w:r>
              <w:rPr>
                <w:sz w:val="17"/>
              </w:rPr>
              <w:t>2026-10-19</w:t>
            </w:r>
          </w:p>
        </w:tc>
        <w:tc>
          <w:tcPr>
            <w:tcW w:type="dxa" w:w="1440"/>
            <w:shd w:fill="FAFAFA" w:val="clear"/>
          </w:tcPr>
          <w:p>
            <w:r>
              <w:rPr>
                <w:sz w:val="17"/>
              </w:rPr>
              <w:t>11,948</w:t>
            </w:r>
          </w:p>
        </w:tc>
        <w:tc>
          <w:tcPr>
            <w:tcW w:type="dxa" w:w="1440"/>
            <w:shd w:fill="FAFAFA" w:val="clear"/>
          </w:tcPr>
          <w:p>
            <w:r>
              <w:rPr>
                <w:b/>
                <w:sz w:val="17"/>
              </w:rPr>
              <w:t>12,960</w:t>
            </w:r>
          </w:p>
        </w:tc>
        <w:tc>
          <w:tcPr>
            <w:tcW w:type="dxa" w:w="1440"/>
            <w:shd w:fill="FAFAFA" w:val="clear"/>
          </w:tcPr>
          <w:p>
            <w:r>
              <w:rPr>
                <w:sz w:val="17"/>
              </w:rPr>
              <w:t>13,972</w:t>
            </w:r>
          </w:p>
        </w:tc>
        <w:tc>
          <w:tcPr>
            <w:tcW w:type="dxa" w:w="1440"/>
            <w:shd w:fill="FAFAFA" w:val="clear"/>
          </w:tcPr>
          <w:p>
            <w:r>
              <w:rPr>
                <w:b/>
                <w:color w:val="C00000"/>
                <w:sz w:val="17"/>
              </w:rPr>
              <w:t>-0.2%</w:t>
            </w:r>
          </w:p>
        </w:tc>
      </w:tr>
      <w:tr>
        <w:tc>
          <w:tcPr>
            <w:tcW w:type="dxa" w:w="1440"/>
            <w:shd w:fill="FAFAFA" w:val="clear"/>
          </w:tcPr>
          <w:p>
            <w:r>
              <w:rPr>
                <w:sz w:val="17"/>
              </w:rPr>
              <w:t>J+3  ⭐</w:t>
            </w:r>
          </w:p>
        </w:tc>
        <w:tc>
          <w:tcPr>
            <w:tcW w:type="dxa" w:w="1440"/>
            <w:shd w:fill="FAFAFA" w:val="clear"/>
          </w:tcPr>
          <w:p>
            <w:r>
              <w:rPr>
                <w:sz w:val="17"/>
              </w:rPr>
              <w:t>2026-10-20</w:t>
            </w:r>
          </w:p>
        </w:tc>
        <w:tc>
          <w:tcPr>
            <w:tcW w:type="dxa" w:w="1440"/>
            <w:shd w:fill="FAFAFA" w:val="clear"/>
          </w:tcPr>
          <w:p>
            <w:r>
              <w:rPr>
                <w:sz w:val="17"/>
              </w:rPr>
              <w:t>11,745</w:t>
            </w:r>
          </w:p>
        </w:tc>
        <w:tc>
          <w:tcPr>
            <w:tcW w:type="dxa" w:w="1440"/>
            <w:shd w:fill="FAFAFA" w:val="clear"/>
          </w:tcPr>
          <w:p>
            <w:r>
              <w:rPr>
                <w:b/>
                <w:sz w:val="17"/>
              </w:rPr>
              <w:t>12,987</w:t>
            </w:r>
          </w:p>
        </w:tc>
        <w:tc>
          <w:tcPr>
            <w:tcW w:type="dxa" w:w="1440"/>
            <w:shd w:fill="FAFAFA" w:val="clear"/>
          </w:tcPr>
          <w:p>
            <w:r>
              <w:rPr>
                <w:sz w:val="17"/>
              </w:rPr>
              <w:t>14,229</w:t>
            </w:r>
          </w:p>
        </w:tc>
        <w:tc>
          <w:tcPr>
            <w:tcW w:type="dxa" w:w="1440"/>
            <w:shd w:fill="FAFAFA" w:val="clear"/>
          </w:tcPr>
          <w:p>
            <w:r>
              <w:rPr>
                <w:b/>
                <w:color w:val="008000"/>
                <w:sz w:val="17"/>
              </w:rPr>
              <w:t>+0.0%</w:t>
            </w:r>
          </w:p>
        </w:tc>
      </w:tr>
      <w:tr>
        <w:tc>
          <w:tcPr>
            <w:tcW w:type="dxa" w:w="1440"/>
            <w:shd w:fill="FAFAFA" w:val="clear"/>
          </w:tcPr>
          <w:p>
            <w:r>
              <w:rPr>
                <w:sz w:val="17"/>
              </w:rPr>
              <w:t>J+4  ⭐</w:t>
            </w:r>
          </w:p>
        </w:tc>
        <w:tc>
          <w:tcPr>
            <w:tcW w:type="dxa" w:w="1440"/>
            <w:shd w:fill="FAFAFA" w:val="clear"/>
          </w:tcPr>
          <w:p>
            <w:r>
              <w:rPr>
                <w:sz w:val="17"/>
              </w:rPr>
              <w:t>2026-10-21</w:t>
            </w:r>
          </w:p>
        </w:tc>
        <w:tc>
          <w:tcPr>
            <w:tcW w:type="dxa" w:w="1440"/>
            <w:shd w:fill="FAFAFA" w:val="clear"/>
          </w:tcPr>
          <w:p>
            <w:r>
              <w:rPr>
                <w:sz w:val="17"/>
              </w:rPr>
              <w:t>11,572</w:t>
            </w:r>
          </w:p>
        </w:tc>
        <w:tc>
          <w:tcPr>
            <w:tcW w:type="dxa" w:w="1440"/>
            <w:shd w:fill="FAFAFA" w:val="clear"/>
          </w:tcPr>
          <w:p>
            <w:r>
              <w:rPr>
                <w:b/>
                <w:sz w:val="17"/>
              </w:rPr>
              <w:t>13,009</w:t>
            </w:r>
          </w:p>
        </w:tc>
        <w:tc>
          <w:tcPr>
            <w:tcW w:type="dxa" w:w="1440"/>
            <w:shd w:fill="FAFAFA" w:val="clear"/>
          </w:tcPr>
          <w:p>
            <w:r>
              <w:rPr>
                <w:sz w:val="17"/>
              </w:rPr>
              <w:t>14,446</w:t>
            </w:r>
          </w:p>
        </w:tc>
        <w:tc>
          <w:tcPr>
            <w:tcW w:type="dxa" w:w="1440"/>
            <w:shd w:fill="FAFAFA" w:val="clear"/>
          </w:tcPr>
          <w:p>
            <w:r>
              <w:rPr>
                <w:b/>
                <w:color w:val="008000"/>
                <w:sz w:val="17"/>
              </w:rPr>
              <w:t>+0.2%</w:t>
            </w:r>
          </w:p>
        </w:tc>
      </w:tr>
      <w:tr>
        <w:tc>
          <w:tcPr>
            <w:tcW w:type="dxa" w:w="1440"/>
            <w:shd w:fill="FAFAFA" w:val="clear"/>
          </w:tcPr>
          <w:p>
            <w:r>
              <w:rPr>
                <w:sz w:val="17"/>
              </w:rPr>
              <w:t>J+5  ⭐</w:t>
            </w:r>
          </w:p>
        </w:tc>
        <w:tc>
          <w:tcPr>
            <w:tcW w:type="dxa" w:w="1440"/>
            <w:shd w:fill="FAFAFA" w:val="clear"/>
          </w:tcPr>
          <w:p>
            <w:r>
              <w:rPr>
                <w:sz w:val="17"/>
              </w:rPr>
              <w:t>2026-10-22</w:t>
            </w:r>
          </w:p>
        </w:tc>
        <w:tc>
          <w:tcPr>
            <w:tcW w:type="dxa" w:w="1440"/>
            <w:shd w:fill="FAFAFA" w:val="clear"/>
          </w:tcPr>
          <w:p>
            <w:r>
              <w:rPr>
                <w:sz w:val="17"/>
              </w:rPr>
              <w:t>11,421</w:t>
            </w:r>
          </w:p>
        </w:tc>
        <w:tc>
          <w:tcPr>
            <w:tcW w:type="dxa" w:w="1440"/>
            <w:shd w:fill="FAFAFA" w:val="clear"/>
          </w:tcPr>
          <w:p>
            <w:r>
              <w:rPr>
                <w:b/>
                <w:sz w:val="17"/>
              </w:rPr>
              <w:t>13,030</w:t>
            </w:r>
          </w:p>
        </w:tc>
        <w:tc>
          <w:tcPr>
            <w:tcW w:type="dxa" w:w="1440"/>
            <w:shd w:fill="FAFAFA" w:val="clear"/>
          </w:tcPr>
          <w:p>
            <w:r>
              <w:rPr>
                <w:sz w:val="17"/>
              </w:rPr>
              <w:t>14,639</w:t>
            </w:r>
          </w:p>
        </w:tc>
        <w:tc>
          <w:tcPr>
            <w:tcW w:type="dxa" w:w="1440"/>
            <w:shd w:fill="FAFAFA" w:val="clear"/>
          </w:tcPr>
          <w:p>
            <w:r>
              <w:rPr>
                <w:b/>
                <w:color w:val="008000"/>
                <w:sz w:val="17"/>
              </w:rPr>
              <w:t>+0.3%</w:t>
            </w:r>
          </w:p>
        </w:tc>
      </w:tr>
      <w:tr>
        <w:tc>
          <w:tcPr>
            <w:tcW w:type="dxa" w:w="1440"/>
            <w:shd w:fill="FAFAFA" w:val="clear"/>
          </w:tcPr>
          <w:p>
            <w:r>
              <w:rPr>
                <w:sz w:val="17"/>
              </w:rPr>
              <w:t>J+6  ⭐</w:t>
            </w:r>
          </w:p>
        </w:tc>
        <w:tc>
          <w:tcPr>
            <w:tcW w:type="dxa" w:w="1440"/>
            <w:shd w:fill="FAFAFA" w:val="clear"/>
          </w:tcPr>
          <w:p>
            <w:r>
              <w:rPr>
                <w:sz w:val="17"/>
              </w:rPr>
              <w:t>2026-10-23</w:t>
            </w:r>
          </w:p>
        </w:tc>
        <w:tc>
          <w:tcPr>
            <w:tcW w:type="dxa" w:w="1440"/>
            <w:shd w:fill="FAFAFA" w:val="clear"/>
          </w:tcPr>
          <w:p>
            <w:r>
              <w:rPr>
                <w:sz w:val="17"/>
              </w:rPr>
              <w:t>11,281</w:t>
            </w:r>
          </w:p>
        </w:tc>
        <w:tc>
          <w:tcPr>
            <w:tcW w:type="dxa" w:w="1440"/>
            <w:shd w:fill="FAFAFA" w:val="clear"/>
          </w:tcPr>
          <w:p>
            <w:r>
              <w:rPr>
                <w:b/>
                <w:sz w:val="17"/>
              </w:rPr>
              <w:t>13,046</w:t>
            </w:r>
          </w:p>
        </w:tc>
        <w:tc>
          <w:tcPr>
            <w:tcW w:type="dxa" w:w="1440"/>
            <w:shd w:fill="FAFAFA" w:val="clear"/>
          </w:tcPr>
          <w:p>
            <w:r>
              <w:rPr>
                <w:sz w:val="17"/>
              </w:rPr>
              <w:t>14,810</w:t>
            </w:r>
          </w:p>
        </w:tc>
        <w:tc>
          <w:tcPr>
            <w:tcW w:type="dxa" w:w="1440"/>
            <w:shd w:fill="FAFAFA" w:val="clear"/>
          </w:tcPr>
          <w:p>
            <w:r>
              <w:rPr>
                <w:b/>
                <w:color w:val="008000"/>
                <w:sz w:val="17"/>
              </w:rPr>
              <w:t>+0.5%</w:t>
            </w:r>
          </w:p>
        </w:tc>
      </w:tr>
      <w:tr>
        <w:tc>
          <w:tcPr>
            <w:tcW w:type="dxa" w:w="1440"/>
            <w:shd w:fill="FAFAFA" w:val="clear"/>
          </w:tcPr>
          <w:p>
            <w:r>
              <w:rPr>
                <w:sz w:val="17"/>
              </w:rPr>
              <w:t>J+7  ⭐</w:t>
            </w:r>
          </w:p>
        </w:tc>
        <w:tc>
          <w:tcPr>
            <w:tcW w:type="dxa" w:w="1440"/>
            <w:shd w:fill="FAFAFA" w:val="clear"/>
          </w:tcPr>
          <w:p>
            <w:r>
              <w:rPr>
                <w:sz w:val="17"/>
              </w:rPr>
              <w:t>2026-10-26</w:t>
            </w:r>
          </w:p>
        </w:tc>
        <w:tc>
          <w:tcPr>
            <w:tcW w:type="dxa" w:w="1440"/>
            <w:shd w:fill="FAFAFA" w:val="clear"/>
          </w:tcPr>
          <w:p>
            <w:r>
              <w:rPr>
                <w:sz w:val="17"/>
              </w:rPr>
              <w:t>11,150</w:t>
            </w:r>
          </w:p>
        </w:tc>
        <w:tc>
          <w:tcPr>
            <w:tcW w:type="dxa" w:w="1440"/>
            <w:shd w:fill="FAFAFA" w:val="clear"/>
          </w:tcPr>
          <w:p>
            <w:r>
              <w:rPr>
                <w:b/>
                <w:sz w:val="17"/>
              </w:rPr>
              <w:t>13,058</w:t>
            </w:r>
          </w:p>
        </w:tc>
        <w:tc>
          <w:tcPr>
            <w:tcW w:type="dxa" w:w="1440"/>
            <w:shd w:fill="FAFAFA" w:val="clear"/>
          </w:tcPr>
          <w:p>
            <w:r>
              <w:rPr>
                <w:sz w:val="17"/>
              </w:rPr>
              <w:t>14,965</w:t>
            </w:r>
          </w:p>
        </w:tc>
        <w:tc>
          <w:tcPr>
            <w:tcW w:type="dxa" w:w="1440"/>
            <w:shd w:fill="FAFAFA" w:val="clear"/>
          </w:tcPr>
          <w:p>
            <w:r>
              <w:rPr>
                <w:b/>
                <w:color w:val="008000"/>
                <w:sz w:val="17"/>
              </w:rPr>
              <w:t>+0.6%</w:t>
            </w:r>
          </w:p>
        </w:tc>
      </w:tr>
      <w:tr>
        <w:tc>
          <w:tcPr>
            <w:tcW w:type="dxa" w:w="1440"/>
            <w:shd w:fill="FAFAFA" w:val="clear"/>
          </w:tcPr>
          <w:p>
            <w:r>
              <w:rPr>
                <w:sz w:val="17"/>
              </w:rPr>
              <w:t>J+8  ⭐</w:t>
            </w:r>
          </w:p>
        </w:tc>
        <w:tc>
          <w:tcPr>
            <w:tcW w:type="dxa" w:w="1440"/>
            <w:shd w:fill="FAFAFA" w:val="clear"/>
          </w:tcPr>
          <w:p>
            <w:r>
              <w:rPr>
                <w:sz w:val="17"/>
              </w:rPr>
              <w:t>2026-10-27</w:t>
            </w:r>
          </w:p>
        </w:tc>
        <w:tc>
          <w:tcPr>
            <w:tcW w:type="dxa" w:w="1440"/>
            <w:shd w:fill="FAFAFA" w:val="clear"/>
          </w:tcPr>
          <w:p>
            <w:r>
              <w:rPr>
                <w:sz w:val="17"/>
              </w:rPr>
              <w:t>11,028</w:t>
            </w:r>
          </w:p>
        </w:tc>
        <w:tc>
          <w:tcPr>
            <w:tcW w:type="dxa" w:w="1440"/>
            <w:shd w:fill="FAFAFA" w:val="clear"/>
          </w:tcPr>
          <w:p>
            <w:r>
              <w:rPr>
                <w:b/>
                <w:sz w:val="17"/>
              </w:rPr>
              <w:t>13,069</w:t>
            </w:r>
          </w:p>
        </w:tc>
        <w:tc>
          <w:tcPr>
            <w:tcW w:type="dxa" w:w="1440"/>
            <w:shd w:fill="FAFAFA" w:val="clear"/>
          </w:tcPr>
          <w:p>
            <w:r>
              <w:rPr>
                <w:sz w:val="17"/>
              </w:rPr>
              <w:t>15,110</w:t>
            </w:r>
          </w:p>
        </w:tc>
        <w:tc>
          <w:tcPr>
            <w:tcW w:type="dxa" w:w="1440"/>
            <w:shd w:fill="FAFAFA" w:val="clear"/>
          </w:tcPr>
          <w:p>
            <w:r>
              <w:rPr>
                <w:b/>
                <w:color w:val="008000"/>
                <w:sz w:val="17"/>
              </w:rPr>
              <w:t>+0.6%</w:t>
            </w:r>
          </w:p>
        </w:tc>
      </w:tr>
      <w:tr>
        <w:tc>
          <w:tcPr>
            <w:tcW w:type="dxa" w:w="1440"/>
            <w:shd w:fill="FAFAFA" w:val="clear"/>
          </w:tcPr>
          <w:p>
            <w:r>
              <w:rPr>
                <w:sz w:val="17"/>
              </w:rPr>
              <w:t>J+9  ⭐</w:t>
            </w:r>
          </w:p>
        </w:tc>
        <w:tc>
          <w:tcPr>
            <w:tcW w:type="dxa" w:w="1440"/>
            <w:shd w:fill="FAFAFA" w:val="clear"/>
          </w:tcPr>
          <w:p>
            <w:r>
              <w:rPr>
                <w:sz w:val="17"/>
              </w:rPr>
              <w:t>2026-10-28</w:t>
            </w:r>
          </w:p>
        </w:tc>
        <w:tc>
          <w:tcPr>
            <w:tcW w:type="dxa" w:w="1440"/>
            <w:shd w:fill="FAFAFA" w:val="clear"/>
          </w:tcPr>
          <w:p>
            <w:r>
              <w:rPr>
                <w:sz w:val="17"/>
              </w:rPr>
              <w:t>10,916</w:t>
            </w:r>
          </w:p>
        </w:tc>
        <w:tc>
          <w:tcPr>
            <w:tcW w:type="dxa" w:w="1440"/>
            <w:shd w:fill="FAFAFA" w:val="clear"/>
          </w:tcPr>
          <w:p>
            <w:r>
              <w:rPr>
                <w:b/>
                <w:sz w:val="17"/>
              </w:rPr>
              <w:t>13,083</w:t>
            </w:r>
          </w:p>
        </w:tc>
        <w:tc>
          <w:tcPr>
            <w:tcW w:type="dxa" w:w="1440"/>
            <w:shd w:fill="FAFAFA" w:val="clear"/>
          </w:tcPr>
          <w:p>
            <w:r>
              <w:rPr>
                <w:sz w:val="17"/>
              </w:rPr>
              <w:t>15,250</w:t>
            </w:r>
          </w:p>
        </w:tc>
        <w:tc>
          <w:tcPr>
            <w:tcW w:type="dxa" w:w="1440"/>
            <w:shd w:fill="FAFAFA" w:val="clear"/>
          </w:tcPr>
          <w:p>
            <w:r>
              <w:rPr>
                <w:b/>
                <w:color w:val="008000"/>
                <w:sz w:val="17"/>
              </w:rPr>
              <w:t>+0.8%</w:t>
            </w:r>
          </w:p>
        </w:tc>
      </w:tr>
      <w:tr>
        <w:tc>
          <w:tcPr>
            <w:tcW w:type="dxa" w:w="1440"/>
            <w:shd w:fill="FAFAFA" w:val="clear"/>
          </w:tcPr>
          <w:p>
            <w:r>
              <w:rPr>
                <w:sz w:val="17"/>
              </w:rPr>
              <w:t>J+10  ⭐</w:t>
            </w:r>
          </w:p>
        </w:tc>
        <w:tc>
          <w:tcPr>
            <w:tcW w:type="dxa" w:w="1440"/>
            <w:shd w:fill="FAFAFA" w:val="clear"/>
          </w:tcPr>
          <w:p>
            <w:r>
              <w:rPr>
                <w:sz w:val="17"/>
              </w:rPr>
              <w:t>2026-10-29</w:t>
            </w:r>
          </w:p>
        </w:tc>
        <w:tc>
          <w:tcPr>
            <w:tcW w:type="dxa" w:w="1440"/>
            <w:shd w:fill="FAFAFA" w:val="clear"/>
          </w:tcPr>
          <w:p>
            <w:r>
              <w:rPr>
                <w:sz w:val="17"/>
              </w:rPr>
              <w:t>10,805</w:t>
            </w:r>
          </w:p>
        </w:tc>
        <w:tc>
          <w:tcPr>
            <w:tcW w:type="dxa" w:w="1440"/>
            <w:shd w:fill="FAFAFA" w:val="clear"/>
          </w:tcPr>
          <w:p>
            <w:r>
              <w:rPr>
                <w:b/>
                <w:sz w:val="17"/>
              </w:rPr>
              <w:t>13,091</w:t>
            </w:r>
          </w:p>
        </w:tc>
        <w:tc>
          <w:tcPr>
            <w:tcW w:type="dxa" w:w="1440"/>
            <w:shd w:fill="FAFAFA" w:val="clear"/>
          </w:tcPr>
          <w:p>
            <w:r>
              <w:rPr>
                <w:sz w:val="17"/>
              </w:rPr>
              <w:t>15,377</w:t>
            </w:r>
          </w:p>
        </w:tc>
        <w:tc>
          <w:tcPr>
            <w:tcW w:type="dxa" w:w="1440"/>
            <w:shd w:fill="FAFAFA" w:val="clear"/>
          </w:tcPr>
          <w:p>
            <w:r>
              <w:rPr>
                <w:b/>
                <w:color w:val="008000"/>
                <w:sz w:val="17"/>
              </w:rPr>
              <w:t>+0.8%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388.852 Mds FCFA</w:t>
            </w:r>
          </w:p>
        </w:tc>
        <w:tc>
          <w:tcPr>
            <w:tcW w:type="dxa" w:w="5669"/>
            <w:shd w:fill="FFFFFF" w:val="clear"/>
          </w:tcPr>
          <w:p>
            <w:r>
              <w:rPr>
                <w:color w:val="282828"/>
                <w:sz w:val="15"/>
              </w:rPr>
              <w:t>Créances clients = 205.3%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22.913 Mds FCFA</w:t>
            </w:r>
          </w:p>
        </w:tc>
        <w:tc>
          <w:tcPr>
            <w:tcW w:type="dxa" w:w="5669"/>
            <w:shd w:fill="FFFFFF" w:val="clear"/>
          </w:tcPr>
          <w:p>
            <w:r>
              <w:rPr>
                <w:color w:val="282828"/>
                <w:sz w:val="15"/>
              </w:rPr>
              <w:t>Rotation stocks = 8.3x/an.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411.765 Mds FCFA</w:t>
            </w:r>
          </w:p>
        </w:tc>
        <w:tc>
          <w:tcPr>
            <w:tcW w:type="dxa" w:w="5669"/>
            <w:shd w:fill="FFFFFF" w:val="clear"/>
          </w:tcPr>
          <w:p>
            <w:r>
              <w:rPr>
                <w:color w:val="282828"/>
                <w:sz w:val="15"/>
              </w:rPr>
              <w:t>Ratio actif circ./passif circ. = 1.34x.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1.474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44.801 Mds FCFA</w:t>
            </w:r>
          </w:p>
        </w:tc>
        <w:tc>
          <w:tcPr>
            <w:tcW w:type="dxa" w:w="5669"/>
            <w:shd w:fill="FFFFFF" w:val="clear"/>
          </w:tcPr>
          <w:p>
            <w:r>
              <w:rPr>
                <w:color w:val="282828"/>
                <w:sz w:val="15"/>
              </w:rPr>
              <w:t>Outil industriel (9.5%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49.441 Mds FCFA</w:t>
            </w:r>
          </w:p>
        </w:tc>
        <w:tc>
          <w:tcPr>
            <w:tcW w:type="dxa" w:w="5669"/>
            <w:shd w:fill="FFFFFF" w:val="clear"/>
          </w:tcPr>
          <w:p>
            <w:r>
              <w:rPr>
                <w:color w:val="282828"/>
                <w:sz w:val="15"/>
              </w:rPr>
              <w:t>Actif immobilisé = 10.5%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11.465 Mds FCFA</w:t>
            </w:r>
          </w:p>
        </w:tc>
        <w:tc>
          <w:tcPr>
            <w:tcW w:type="dxa" w:w="5669"/>
            <w:shd w:fill="FFFFFF" w:val="clear"/>
          </w:tcPr>
          <w:p>
            <w:r>
              <w:rPr>
                <w:color w:val="282828"/>
                <w:sz w:val="15"/>
              </w:rPr>
              <w:t>Liquidités disponibles (2.4%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472.672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4.500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7.419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19.716 Mds FCFA</w:t>
            </w:r>
          </w:p>
        </w:tc>
        <w:tc>
          <w:tcPr>
            <w:tcW w:type="dxa" w:w="5669"/>
            <w:shd w:fill="FFFFFF" w:val="clear"/>
          </w:tcPr>
          <w:p>
            <w:r>
              <w:rPr>
                <w:color w:val="282828"/>
                <w:sz w:val="15"/>
              </w:rPr>
              <w:t>Fonds propres = 4.2%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92.480 Mds FCFA</w:t>
            </w:r>
          </w:p>
        </w:tc>
        <w:tc>
          <w:tcPr>
            <w:tcW w:type="dxa" w:w="5669"/>
            <w:shd w:fill="FFFFFF" w:val="clear"/>
          </w:tcPr>
          <w:p>
            <w:r>
              <w:rPr>
                <w:color w:val="282828"/>
                <w:sz w:val="15"/>
              </w:rPr>
              <w:t>Capitaux permanents / Actif immobilisé = 1.87x.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72.764 Mds FCFA</w:t>
            </w:r>
          </w:p>
        </w:tc>
        <w:tc>
          <w:tcPr>
            <w:tcW w:type="dxa" w:w="5669"/>
            <w:shd w:fill="FFFFFF" w:val="clear"/>
          </w:tcPr>
          <w:p>
            <w:r>
              <w:rPr>
                <w:color w:val="282828"/>
                <w:sz w:val="15"/>
              </w:rPr>
              <w:t>Dette LT/MT = 369%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145.939 Mds FCFA</w:t>
            </w:r>
          </w:p>
        </w:tc>
        <w:tc>
          <w:tcPr>
            <w:tcW w:type="dxa" w:w="5669"/>
            <w:shd w:fill="FFFFFF" w:val="clear"/>
          </w:tcPr>
          <w:p>
            <w:r>
              <w:rPr>
                <w:color w:val="282828"/>
                <w:sz w:val="15"/>
              </w:rPr>
              <w:t>Dette financière totale = 740%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452.956 Mds FCFA</w:t>
            </w:r>
          </w:p>
        </w:tc>
        <w:tc>
          <w:tcPr>
            <w:tcW w:type="dxa" w:w="5669"/>
            <w:shd w:fill="FFFFFF" w:val="clear"/>
          </w:tcPr>
          <w:p>
            <w:r>
              <w:rPr>
                <w:color w:val="282828"/>
                <w:sz w:val="15"/>
              </w:rPr>
              <w:t>Dettes totales = 95.8%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189.430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189.430 Mds FCFA</w:t>
            </w:r>
          </w:p>
        </w:tc>
        <w:tc>
          <w:tcPr>
            <w:tcW w:type="dxa" w:w="5669"/>
            <w:shd w:fill="FFFFFF" w:val="clear"/>
          </w:tcPr>
          <w:p>
            <w:r>
              <w:rPr>
                <w:color w:val="282828"/>
                <w:sz w:val="15"/>
              </w:rPr>
              <w:t>Chiffre d'affaires. Croissance: 10.0%.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15.996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27.932 Mds FCFA</w:t>
            </w:r>
          </w:p>
        </w:tc>
        <w:tc>
          <w:tcPr>
            <w:tcW w:type="dxa" w:w="5669"/>
            <w:shd w:fill="FFFFFF" w:val="clear"/>
          </w:tcPr>
          <w:p>
            <w:r>
              <w:rPr>
                <w:color w:val="282828"/>
                <w:sz w:val="15"/>
              </w:rPr>
              <w:t>Masse salariale = 14.7%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49.715 Mds FCFA</w:t>
            </w:r>
          </w:p>
        </w:tc>
        <w:tc>
          <w:tcPr>
            <w:tcW w:type="dxa" w:w="5669"/>
            <w:shd w:fill="FFFFFF" w:val="clear"/>
          </w:tcPr>
          <w:p>
            <w:r>
              <w:rPr>
                <w:color w:val="282828"/>
                <w:sz w:val="15"/>
              </w:rPr>
              <w:t>VA = 26.2%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21.783 Mds FCFA</w:t>
            </w:r>
          </w:p>
        </w:tc>
        <w:tc>
          <w:tcPr>
            <w:tcW w:type="dxa" w:w="5669"/>
            <w:shd w:fill="FFFFFF" w:val="clear"/>
          </w:tcPr>
          <w:p>
            <w:r>
              <w:rPr>
                <w:color w:val="282828"/>
                <w:sz w:val="15"/>
              </w:rPr>
              <w:t>EBE = 11.5%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9.105 Mds FCFA</w:t>
            </w:r>
          </w:p>
        </w:tc>
        <w:tc>
          <w:tcPr>
            <w:tcW w:type="dxa" w:w="5669"/>
            <w:shd w:fill="FFFFFF" w:val="clear"/>
          </w:tcPr>
          <w:p>
            <w:r>
              <w:rPr>
                <w:color w:val="282828"/>
                <w:sz w:val="15"/>
              </w:rPr>
              <w:t>Profit d'exploitation = 4.8% des revenus. ⚠️ Bénéfice d'exploitation limité.</w:t>
            </w:r>
          </w:p>
        </w:tc>
      </w:tr>
      <w:tr>
        <w:tc>
          <w:tcPr>
            <w:tcW w:type="dxa" w:w="2268"/>
            <w:shd w:fill="EEF2F7" w:val="clear"/>
          </w:tcPr>
          <w:p>
            <w:r>
              <w:rPr>
                <w:b/>
                <w:color w:val="1E1E3C"/>
                <w:sz w:val="16"/>
              </w:rPr>
              <w:t>Résultat net</w:t>
            </w:r>
          </w:p>
        </w:tc>
        <w:tc>
          <w:tcPr>
            <w:tcW w:type="dxa" w:w="1984"/>
            <w:shd w:fill="FFEB9C" w:val="clear"/>
          </w:tcPr>
          <w:p>
            <w:r>
              <w:rPr>
                <w:b/>
                <w:color w:val="006400"/>
                <w:sz w:val="17"/>
              </w:rPr>
              <w:t>4.663 Mds FCFA</w:t>
            </w:r>
          </w:p>
        </w:tc>
        <w:tc>
          <w:tcPr>
            <w:tcW w:type="dxa" w:w="5669"/>
            <w:shd w:fill="FFFFFF" w:val="clear"/>
          </w:tcPr>
          <w:p>
            <w:r>
              <w:rPr>
                <w:color w:val="282828"/>
                <w:sz w:val="15"/>
              </w:rPr>
              <w:t>Marge nette = 2.5%.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17.843 Mds FCFA</w:t>
            </w:r>
          </w:p>
        </w:tc>
        <w:tc>
          <w:tcPr>
            <w:tcW w:type="dxa" w:w="5669"/>
            <w:shd w:fill="FFFFFF" w:val="clear"/>
          </w:tcPr>
          <w:p>
            <w:r>
              <w:rPr>
                <w:color w:val="282828"/>
                <w:sz w:val="15"/>
              </w:rPr>
              <w:t>CAF = 17.84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-36.655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-1.849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DEEAF1" w:val="clear"/>
          </w:tcPr>
          <w:p>
            <w:r>
              <w:rPr>
                <w:b/>
                <w:color w:val="006400"/>
                <w:sz w:val="17"/>
              </w:rPr>
              <w:t>5.306 Mds FCFA</w:t>
            </w:r>
          </w:p>
        </w:tc>
        <w:tc>
          <w:tcPr>
            <w:tcW w:type="dxa" w:w="5669"/>
            <w:shd w:fill="FFFFFF" w:val="clear"/>
          </w:tcPr>
          <w:p>
            <w:r>
              <w:rPr>
                <w:color w:val="282828"/>
                <w:sz w:val="15"/>
              </w:rPr>
              <w:t>Flux liés à la dette et aux dividendes. ℹ️ Nouveaux financements levés — augmentation de capital ou emprunt.</w:t>
            </w:r>
          </w:p>
        </w:tc>
      </w:tr>
      <w:tr>
        <w:tc>
          <w:tcPr>
            <w:tcW w:type="dxa" w:w="2268"/>
            <w:shd w:fill="EEF2F7" w:val="clear"/>
          </w:tcPr>
          <w:p>
            <w:r>
              <w:rPr>
                <w:b/>
                <w:color w:val="1E1E3C"/>
                <w:sz w:val="16"/>
              </w:rPr>
              <w:t>Free Cash Flow</w:t>
            </w:r>
          </w:p>
        </w:tc>
        <w:tc>
          <w:tcPr>
            <w:tcW w:type="dxa" w:w="1984"/>
            <w:shd w:fill="FFEB9C" w:val="clear"/>
          </w:tcPr>
          <w:p>
            <w:r>
              <w:rPr>
                <w:b/>
                <w:color w:val="B40000"/>
                <w:sz w:val="17"/>
              </w:rPr>
              <w:t>-38.504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104.748 Mds FCFA</w:t>
            </w:r>
          </w:p>
        </w:tc>
        <w:tc>
          <w:tcPr>
            <w:tcW w:type="dxa" w:w="5669"/>
            <w:shd w:fill="FFFFFF" w:val="clear"/>
          </w:tcPr>
          <w:p>
            <w:r>
              <w:rPr>
                <w:color w:val="282828"/>
                <w:sz w:val="15"/>
              </w:rPr>
              <w:t>BFR = 55.3%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43.038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-61.710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81.86%</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FFEB9C" w:val="clear"/>
          </w:tcPr>
          <w:p>
            <w:r>
              <w:rPr>
                <w:b/>
                <w:color w:val="006400"/>
                <w:sz w:val="17"/>
              </w:rPr>
              <w:t>2.46%</w:t>
            </w:r>
          </w:p>
        </w:tc>
        <w:tc>
          <w:tcPr>
            <w:tcW w:type="dxa" w:w="5669"/>
            <w:shd w:fill="FFFFFF" w:val="clear"/>
          </w:tcPr>
          <w:p>
            <w:r>
              <w:rPr>
                <w:color w:val="282828"/>
                <w:sz w:val="15"/>
              </w:rPr>
              <w:t>Résultat net / revenus = 2.46%.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4.81%</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23.65%</w:t>
            </w:r>
          </w:p>
        </w:tc>
        <w:tc>
          <w:tcPr>
            <w:tcW w:type="dxa" w:w="5669"/>
            <w:shd w:fill="FFFFFF" w:val="clear"/>
          </w:tcPr>
          <w:p>
            <w:r>
              <w:rPr>
                <w:color w:val="282828"/>
                <w:sz w:val="15"/>
              </w:rPr>
              <w:t>Résultat net / capitaux propres = 23.65%.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0.99%</w:t>
            </w:r>
          </w:p>
        </w:tc>
        <w:tc>
          <w:tcPr>
            <w:tcW w:type="dxa" w:w="5669"/>
            <w:shd w:fill="FFFFFF" w:val="clear"/>
          </w:tcPr>
          <w:p>
            <w:r>
              <w:rPr>
                <w:color w:val="282828"/>
                <w:sz w:val="15"/>
              </w:rPr>
              <w:t>Résultat net / total actif = 0.99%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40.08%</w:t>
            </w:r>
          </w:p>
        </w:tc>
        <w:tc>
          <w:tcPr>
            <w:tcW w:type="dxa" w:w="5669"/>
            <w:shd w:fill="FFFFFF" w:val="clear"/>
          </w:tcPr>
          <w:p>
            <w:r>
              <w:rPr>
                <w:color w:val="282828"/>
                <w:sz w:val="15"/>
              </w:rPr>
              <w:t>CA / total actif = 40.08x. ⚠️ Actifs peu utilisés.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9.98%</w:t>
            </w:r>
          </w:p>
        </w:tc>
        <w:tc>
          <w:tcPr>
            <w:tcW w:type="dxa" w:w="5669"/>
            <w:shd w:fill="FFFFFF" w:val="clear"/>
          </w:tcPr>
          <w:p>
            <w:r>
              <w:rPr>
                <w:color w:val="282828"/>
                <w:sz w:val="15"/>
              </w:rPr>
              <w:t>Croissance CA vs exercice précédent = 9.98%.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4.17%</w:t>
            </w:r>
          </w:p>
        </w:tc>
        <w:tc>
          <w:tcPr>
            <w:tcW w:type="dxa" w:w="5669"/>
            <w:shd w:fill="FFFFFF" w:val="clear"/>
          </w:tcPr>
          <w:p>
            <w:r>
              <w:rPr>
                <w:color w:val="282828"/>
                <w:sz w:val="15"/>
              </w:rPr>
              <w:t>Fonds propres / total bilan = 4.17%.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740.21%</w:t>
            </w:r>
          </w:p>
        </w:tc>
        <w:tc>
          <w:tcPr>
            <w:tcW w:type="dxa" w:w="5669"/>
            <w:shd w:fill="FFFFFF" w:val="clear"/>
          </w:tcPr>
          <w:p>
            <w:r>
              <w:rPr>
                <w:color w:val="282828"/>
                <w:sz w:val="15"/>
              </w:rPr>
              <w:t>Dettes financières / total bilan = 740.21%.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95.83%</w:t>
            </w:r>
          </w:p>
        </w:tc>
        <w:tc>
          <w:tcPr>
            <w:tcW w:type="dxa" w:w="5669"/>
            <w:shd w:fill="FFFFFF" w:val="clear"/>
          </w:tcPr>
          <w:p>
            <w:r>
              <w:rPr>
                <w:color w:val="282828"/>
                <w:sz w:val="15"/>
              </w:rPr>
              <w:t>Dettes totales / fonds propres = 95.83%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104.35%</w:t>
            </w:r>
          </w:p>
        </w:tc>
        <w:tc>
          <w:tcPr>
            <w:tcW w:type="dxa" w:w="5669"/>
            <w:shd w:fill="FFFFFF" w:val="clear"/>
          </w:tcPr>
          <w:p>
            <w:r>
              <w:rPr>
                <w:color w:val="282828"/>
                <w:sz w:val="15"/>
              </w:rPr>
              <w:t>Total actif / dettes totales = 104.35x.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111.32%</w:t>
            </w:r>
          </w:p>
        </w:tc>
        <w:tc>
          <w:tcPr>
            <w:tcW w:type="dxa" w:w="5669"/>
            <w:shd w:fill="FFFFFF" w:val="clear"/>
          </w:tcPr>
          <w:p>
            <w:r>
              <w:rPr>
                <w:color w:val="282828"/>
                <w:sz w:val="15"/>
              </w:rPr>
              <w:t>Actif circulant / passif circulant = 111.32x.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3.02%</w:t>
            </w:r>
          </w:p>
        </w:tc>
        <w:tc>
          <w:tcPr>
            <w:tcW w:type="dxa" w:w="5669"/>
            <w:shd w:fill="FFFFFF" w:val="clear"/>
          </w:tcPr>
          <w:p>
            <w:r>
              <w:rPr>
                <w:color w:val="282828"/>
                <w:sz w:val="15"/>
              </w:rPr>
              <w:t>Trésorerie / passif circulant = 3.02x.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105.29%</w:t>
            </w:r>
          </w:p>
        </w:tc>
        <w:tc>
          <w:tcPr>
            <w:tcW w:type="dxa" w:w="5669"/>
            <w:shd w:fill="FFFFFF" w:val="clear"/>
          </w:tcPr>
          <w:p>
            <w:r>
              <w:rPr>
                <w:color w:val="282828"/>
                <w:sz w:val="15"/>
              </w:rPr>
              <w:t>(Actif circ. - stocks) / passif circ. = 105.29x.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187.05%</w:t>
            </w:r>
          </w:p>
        </w:tc>
        <w:tc>
          <w:tcPr>
            <w:tcW w:type="dxa" w:w="5669"/>
            <w:shd w:fill="FFFFFF" w:val="clear"/>
          </w:tcPr>
          <w:p>
            <w:r>
              <w:rPr>
                <w:color w:val="282828"/>
                <w:sz w:val="15"/>
              </w:rPr>
              <w:t>Capitaux permanents / actif immobilisé = 187.05x.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8.2 ans</w:t>
            </w:r>
          </w:p>
        </w:tc>
        <w:tc>
          <w:tcPr>
            <w:tcW w:type="dxa" w:w="5669"/>
            <w:shd w:fill="FFFFFF" w:val="clear"/>
          </w:tcPr>
          <w:p>
            <w:r>
              <w:rPr>
                <w:color w:val="282828"/>
                <w:sz w:val="15"/>
              </w:rPr>
              <w:t>Dettes financières / CAF = 8.2 ans. ❌ Capacité de remboursement très dégradée.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1583.51%</w:t>
            </w:r>
          </w:p>
        </w:tc>
        <w:tc>
          <w:tcPr>
            <w:tcW w:type="dxa" w:w="5669"/>
            <w:shd w:fill="FFFFFF" w:val="clear"/>
          </w:tcPr>
          <w:p>
            <w:r>
              <w:rPr>
                <w:color w:val="282828"/>
                <w:sz w:val="15"/>
              </w:rPr>
              <w:t>Résultat exploit. / charges financières = 1583.51x.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964.86%</w:t>
            </w:r>
          </w:p>
        </w:tc>
        <w:tc>
          <w:tcPr>
            <w:tcW w:type="dxa" w:w="5669"/>
            <w:shd w:fill="FFFFFF" w:val="clear"/>
          </w:tcPr>
          <w:p>
            <w:r>
              <w:rPr>
                <w:color w:val="282828"/>
                <w:sz w:val="15"/>
              </w:rPr>
              <w:t>CAF / investissements = 964.86x.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749.3 j</w:t>
            </w:r>
          </w:p>
        </w:tc>
        <w:tc>
          <w:tcPr>
            <w:tcW w:type="dxa" w:w="5669"/>
            <w:shd w:fill="FFFFFF" w:val="clear"/>
          </w:tcPr>
          <w:p>
            <w:r>
              <w:rPr>
                <w:color w:val="282828"/>
                <w:sz w:val="15"/>
              </w:rPr>
              <w:t>Les clients paient en moyenne en 749 jours. ❌ Délai critique — process de recouvrement à revoir.</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59.9 j</w:t>
            </w:r>
          </w:p>
        </w:tc>
        <w:tc>
          <w:tcPr>
            <w:tcW w:type="dxa" w:w="5669"/>
            <w:shd w:fill="FFFFFF" w:val="clear"/>
          </w:tcPr>
          <w:p>
            <w:r>
              <w:rPr>
                <w:color w:val="282828"/>
                <w:sz w:val="15"/>
              </w:rPr>
              <w:t>Stock écoulé en 60 jours. ✅ Stockage standard.</w:t>
            </w:r>
          </w:p>
        </w:tc>
      </w:tr>
    </w:tbl>
    <w:p/>
    <w:p>
      <w:pPr>
        <w:spacing w:after="120" w:line="276" w:lineRule="auto"/>
      </w:pPr>
      <w:r>
        <w:t>**RAPPORT D'ANALYSE FINANCIÈRE — SDCC (SODECI)**</w:t>
        <w:br/>
        <w:t>*Bourse Régionale des Valeurs Mobilières (BRVM) — Secteur : Services publics / Distribution d'eau*</w:t>
        <w:br/>
        <w:t>*Date d'analyse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116,86 milliards FCFA, SDCC se positionne parmi les valeurs moyennes-capitalisations de la cote BRVM, représentant un poids significatif dans l'indice sectoriel des services publics. Le BPA de 518 FCFA/action signifie que chaque titre génère près de 518 FCFA de bénéfice net, ce qui, rapporté au cours actuel de 12 985 FCFA, confère un PER de 25,1x — nettement supérieur à la moyenne du marché BRVM (généralement comprise entre 8x et 12x), traduisant soit une anticipation de forte croissance par le marché, soit une prime de rareté liée au statut de monopole régulé de SODECI. Le P/B de 5,93x indique que le marché valorise l'entreprise à près de six fois sa valeur comptable, une prime exigeante qui s'explique par la sous-évaluation structurelle des fonds propres dans les concessions de service public et la régularité des cash-flows. Enfin, l'EV/EBITDA de 14,9x, bien qu'élevé dans l'absolu (fourchette 10-15x), reste cohérent avec la qualité défensive de l'actif et la visibilité des revenus, mais laisse peu de marge de sécurité en cas de déception opérationnelle.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SDCC affiche une performance remarquable de +17,03%, avec une accélération notable lors de la dernière séance (+3,88%), signe d'un intérêt acheteur récent et d'un momentum haussier confirmé. Le cours actuel de 12 985 FCFA se situe dans la partie haute du range de trading établi entre 11 000 FCFA (plus bas) et 13 885 FCFA (plus haut), soit une amplitude de 26,2% qui témoigne d'une volatilité réelle mais contenue. La tendance générale est clairement haussière, soutenue par la progression des volumes moyens (1 521 titres/jour) et la réaction positive du marché aux publications financières. Les statistiques descriptives révèlent une moyenne de 12 177 FCFA légèrement supérieure à la médiane de 12 000 FCFA, avec un mode à 11 900 FCFA : cet écart modéré indique une distribution quasi-symétrique, confirmée par un skewness de 0,432 (asymétrie positive légère, quelques pics haussiers). L'écart-type de 713 FCFA et le coefficient de variation de 5,9% traduisent une dispersion relativement faible du cours autour de sa moyenne, gage de stabilité. Le kurtosis de -0,472 (mésokurtique) suggère une distribution proche de la normale, sans risque excessif de queues épaisses ni de pics extrêmes — un profil rassurant pour les investisseurs. La volatilité annualisée de 37,3% classe toutefois le titre dans la catégorie des valeurs à volatilité élevée (&gt;30%), ce qui implique une prime de risque à intégrer dans toute décision d'allocation.</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(12 664,75 FCFA) et la MM50 (12 615,20 FCFA) se situent toutes deux sous le cours actuel (12 985 FCFA), avec une MM20 légèrement supérieure à la MM50 — configuration haussière classique (croisement doré implicite). Le cours évolue au-dessus de ses deux moyennes, confirmant la dynamique positive et justifiant la décision d'achat.</w:t>
      </w:r>
    </w:p>
    <w:p>
      <w:pPr>
        <w:spacing w:after="120" w:line="276" w:lineRule="auto"/>
      </w:pPr>
      <w:r>
        <w:t>**Bandes de Bollinger** : Le cours (12 985 FCFA) se situe dans la moitié supérieure de la bande, entre la borne inférieure (11 561,26 FCFA) et la borne supérieure (13 768,24 FCFA), sans la toucher. L'absence de contact avec la borne haute et la largeur modérée des bandes traduisent une volatilité maîtrisée, d'où la décision neutre — ni signal d'achat agressif, ni signal de vente.</w:t>
      </w:r>
    </w:p>
    <w:p>
      <w:pPr>
        <w:spacing w:after="120" w:line="276" w:lineRule="auto"/>
      </w:pPr>
      <w:r>
        <w:t>**MACD** : La ligne MACD (64,97) est supérieure à sa ligne de signal (62,98), avec un histogramme positif bien qu'étroit. Cette configuration confirme un momentum haussier encore actif mais qui s'essouffle légèrement, justifiant la décision d'achat avec prudence.</w:t>
      </w:r>
    </w:p>
    <w:p>
      <w:pPr>
        <w:spacing w:after="120" w:line="276" w:lineRule="auto"/>
      </w:pPr>
      <w:r>
        <w:t>**RSI** : À 70,55, le RSI franchit tout juste le seuil de surachat (70), signalant que le titre pourrait être en phase de consolidation après sa forte progression récente. La décision de vente reflète ce risque de correction à court terme, sans invalider la tendance de fond.</w:t>
      </w:r>
    </w:p>
    <w:p>
      <w:pPr>
        <w:spacing w:after="120" w:line="276" w:lineRule="auto"/>
      </w:pPr>
      <w:r>
        <w:t>**Stochastique** : Le %K (84,77) est supérieur au %D (72,58), tous deux en zone de surachat (&gt;80 pour le %K). L'absence de croisement baissier pour l'instant maintient le signal haussier, mais la décision de vente prévaut compte tenu du niveau élevé atteint, proche d'un retournement potentiel.</w:t>
      </w:r>
    </w:p>
    <w:p>
      <w:pPr>
        <w:spacing w:after="120" w:line="276" w:lineRule="auto"/>
      </w:pPr>
      <w:r>
        <w:t>**Conclusion technique** : Les indicateurs de tendance (MM, MACD) restent haussiers et confirment la dynamique positive du titre, tandis que les oscillateurs (RSI, Stochastique) signalent une zone de surachat nécessitant une pause. Cette divergence classique entre tendance et momentum suggère un potentiel de consolidation à court terme avant une reprise éventuelle. La configuration globale reste favorable à moyen terme, mais un repli vers 12 600-12 700 FCFA (zone MM20/MM50) constituerait un point d'entrée plus optimal.</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**Données structurées (exercice 2025)** : En 2025, SODECI a réalisé un chiffre d'affaires de 189,43 milliards FCFA, en croissance de 9,98% sur un an, porté par la hausse des volumes d'eau facturés et l'élargissement du portefeuille clients (2 272 032 clients, +6,14%). Le résultat net s'établit à 4,663 milliards FCFA, en progression de 31% par rapport à 2024 (3,56 milliards FCFA), avec une marge nette de 2,46% — modeste mais en amélioration. Le ROE de 23,65% (résultat net / capitaux propres de 19,716 milliards FCFA) est excellent (&gt;15%), témoignant d'une forte rentabilité des fonds propres, tandis que le ROA de 0,99% reste faible en raison de l'intensité capitalistique du secteur (total actif de 472,67 milliards FCFA). La structure financière présente des signaux contrastés : l'autonomie financière est très faible (4,17% — capitaux propres / total bilan), la dépendance financière élevée (740,21%) et le ratio d'endettement de 95,83% — des niveaux typiques d'une concession de service public financée par la dette. Le BFR de 104,75 milliards FCFA est positif (défavorable), principalement dû à des créances clients de 388,85 milliards FCFA représentant un délai de recouvrement de 749,25 jours — un risque de trésorerie majeur, même si le taux de recouvrement affiché (95,85%) nuance ce constat. La trésorerie nette est négative (-61,71 milliards FCFA) et le flux opérationnel de -36,655 milliards FCFA, confirmant les tensions de liquidité. La capacité de remboursement de 8,18 ans (dettes financières / CAF) reste acceptable, et la couverture des intérêts (1 583,51%) est très confortable.</w:t>
      </w:r>
    </w:p>
    <w:p>
      <w:pPr>
        <w:spacing w:after="120" w:line="276" w:lineRule="auto"/>
      </w:pPr>
      <w:r>
        <w:t>**Estimations basées sur les rapports trimestriels** : Le rapport T1 2026 (publié en 2026) révèle un chiffre d'affaires de 40 916 millions FCFA, en léger repli de 2%, mais un résultat d'exploitation multiplié par 2,5 à 2 730 millions FCFA et un résultat net bondissant de 118% à 1 318 millions FCFA — une amélioration spectaculaire de la rentabilité opérationnelle. Sur cette base, on peut estimer que l'exercice 2026 devrait enregistrer une nouvelle progression du résultat net, potentiellement au-delà de 5,5 milliards FCFA si la dynamique se maintient, avec une marge nette approchant 3%. Le rapport S1 2025 (daté du 30/06/2025) indiquait un CA de 82,3 milliards FCFA (-0,4%) et un résultat net de 1,355 milliard FCFA (-24%), mais cette contre-performance semestrielle a été compensée par un second semestre robuste, comme en témoigne le résultat annuel 2025 de 4,663 milliards FCFA. Le dividende proposé au titre de 2025 est de 525 FCFA par action, offrant un rendement de 4,04% au cours actuel — attractif pour une valeur défensive.</w:t>
      </w:r>
    </w:p>
    <w:p>
      <w:pPr>
        <w:spacing w:after="120" w:line="276" w:lineRule="auto"/>
      </w:pPr>
      <w:r>
        <w:t>**Recommandation fondamentale** : SODECI présente un profil de valeur défensive solide, avec une rentabilité des fonds propres excellente (ROE 23,65%), une croissance du résultat net soutenue (+31% en 2025) et des perspectives favorables pour 2026 (T1 2026 : RN +118%). Les risques principaux résident dans les tensions de trésorerie persistantes (trésorerie nette négative, flux opérationnel négatif), le délai de recouvrement clients très élevé (749 jours) et la dépendance financière extrême (autonomie financière de 4,17%). La valorisation exigeante (PER 25,1x, P/B 5,93x) intègre déjà une large part des bonnes nouvelles, limitant le potentiel d'appréciation à court terme. Recommandation fondamentale : **CONSERVER**, avec un biais positif à moyen terme si la trésorerie s'améliore.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SDCC apparaît exigeante (PER 25,1x vs moyenne BRVM 8-12x, P/B 5,93x, EV/EBITDA 14,9x), ce qui suggère que le marché a déjà intégré les bonnes performances récentes et les perspectives de croissance, laissant peu de marge de sécurité en cas de déception. Le comportement du cours sur 100 jours est nettement haussier (+17,03%), avec une volatilité annualisée élevée (37,3%) mais une distribution statistique équilibrée (skewness 0,432, kurtosis -0,472) qui ne signale pas de risque extrême de queue. Les signaux techniques sont mitigés : les indicateurs de tendance (MM20/MM50, MACD) restent haussiers, mais les oscillateurs (RSI 70,55, Stochastique 84,77) sont en zone de surachat, plaidant pour une consolidation à court terme. Les fondamentaux sont solides (ROE 23,65%, croissance du RN de +31% en 2025, T1 2026 en forte amélioration), mais les tensions de trésorerie et le délai de recouvrement clients (749 jours) constituent des vulnérabilités à surveiller. Les prédictions IA (J+1 à J+10) anticipent une progression très modérée vers 13 030 FCFA (+0,35% sur 10 jours), ce qui confirme la thèse d'une pause après le rallye récent, sans retournement baissier. Sur la base de cette synthèse, la recommandation finale est **CONSERVER**, avec un niveau de confiance **Moyen** et un risque global **Moyen**. L'horizon d'investissement optimal est le **moyen terme (3-12 mois)**, le temps que la consolidation technique s'achève et que les fondamentaux (amélioration de la trésorerie, confirmation de la croissance du RN en 2026) valident la poursuite de la tendance haussière. Un renforcement pourra être envisagé sur repli vers 12 600-12 700 FCFA (zone des moyennes mobiles), avec un objectif de cours à 13 800-14 000 FCFA à moyen terme.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"Am\u00e9lioration spectaculaire de la rentabilit\u00e9 op\u00e9rationnelle malgr\u00e9 un l\u00e9ger recul du chiffre d'affaires. La forte hausse du r\u00e9sultat net et la confiance du management justifient une position d'attente."}</w:t>
      </w:r>
    </w:p>
    <w:p>
      <w:pPr>
        <w:spacing w:before="40"/>
        <w:ind w:left="400"/>
      </w:pPr>
      <w:r>
        <w:rPr>
          <w:sz w:val="18"/>
        </w:rPr>
        <w:t>SODECI affiche des résultats contrastés au 1er trimestre 2026 avec un chiffre d'affaires en léger repli de 2% à 40 916 millions FCFA. La société améliore considérablement sa rentabilité avec un résultat d'exploitation multiplié par 2,5 grâce à une meilleure maîtrise des charges opérationnelles. Le résultat net bondit de 118% à 1 318 millions FCFA, témoignant d'une forte amélioration de la performance. L'impôt sur le résultat augmente significativement de 476%, reflétant la hausse des bénéfices. La société se montre confiante pour la suite de l'exercice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{'impot_resultat': '1 364 millions FCFA', 'resultat_financier': '-159 millions FCFA', 'resultat_exploitation': '2 730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1 318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40 916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2% à 40 916 millions FCFA au T1 2026</w:t>
      </w:r>
    </w:p>
    <w:p>
      <w:pPr>
        <w:pStyle w:val="ListBullet"/>
        <w:spacing w:before="20" w:after="20"/>
        <w:ind w:left="700"/>
      </w:pPr>
      <w:r>
        <w:rPr>
          <w:sz w:val="18"/>
        </w:rPr>
        <w:t>Résultat d'exploitation en forte progression de 150% à 2 730 millions FCFA</w:t>
      </w:r>
    </w:p>
    <w:p>
      <w:pPr>
        <w:pStyle w:val="ListBullet"/>
        <w:spacing w:before="20" w:after="20"/>
        <w:ind w:left="700"/>
      </w:pPr>
      <w:r>
        <w:rPr>
          <w:sz w:val="18"/>
        </w:rPr>
        <w:t>Résultat net en hausse spectaculaire de 118% à 1 318 millions FCFA</w:t>
      </w:r>
    </w:p>
    <w:p>
      <w:pPr>
        <w:pStyle w:val="ListBullet"/>
        <w:spacing w:before="20" w:after="20"/>
        <w:ind w:left="700"/>
      </w:pPr>
      <w:r>
        <w:rPr>
          <w:sz w:val="18"/>
        </w:rPr>
        <w:t>Amélioration significative de la maîtrise des charges opérationnelles</w:t>
      </w:r>
    </w:p>
    <w:p>
      <w:pPr>
        <w:pStyle w:val="ListBullet"/>
        <w:spacing w:before="20" w:after="20"/>
        <w:ind w:left="700"/>
      </w:pPr>
      <w:r>
        <w:rPr>
          <w:sz w:val="18"/>
        </w:rPr>
        <w:t>Résultat financier légèrement amélioré (-159 millions vs -179 millions)</w:t>
      </w:r>
    </w:p>
    <w:p>
      <w:pPr>
        <w:pStyle w:val="ListBullet"/>
        <w:spacing w:before="20" w:after="20"/>
        <w:ind w:left="700"/>
      </w:pPr>
      <w:r>
        <w:rPr>
          <w:sz w:val="18"/>
        </w:rPr>
        <w:t>Charge d'impôt multipliée par 5,8 en raison de l'amélioration des résultats</w:t>
      </w:r>
    </w:p>
    <w:p>
      <w:pPr>
        <w:spacing w:before="40"/>
        <w:ind w:left="400"/>
      </w:pPr>
      <w:r>
        <w:rPr>
          <w:b/>
          <w:color w:val="C05000"/>
          <w:sz w:val="18"/>
        </w:rPr>
        <w:t xml:space="preserve">⚠️ Risques : </w:t>
      </w:r>
      <w:r>
        <w:rPr>
          <w:sz w:val="18"/>
        </w:rPr>
        <w:t>["Baisse du chiffre d'affaires traduisant un ralentissement de l'activit\u00e9", "Forte augmentation de la charge fiscale impactant la rentabilit\u00e9 nette", "D\u00e9pendance \u00e0 la ma\u00eetrise continue des charges op\u00e9rationnelles"]</w:t>
      </w:r>
    </w:p>
    <w:p>
      <w:pPr>
        <w:spacing w:before="40"/>
        <w:ind w:left="400"/>
      </w:pPr>
      <w:r>
        <w:rPr>
          <w:b/>
          <w:color w:val="0064A0"/>
          <w:sz w:val="18"/>
        </w:rPr>
        <w:t xml:space="preserve">🔮 Perspectives : </w:t>
      </w:r>
      <w:r>
        <w:rPr>
          <w:sz w:val="18"/>
        </w:rPr>
        <w:t>SODECI vise à consolider la dynamique positive observée sur les résultats et poursuivre l'amélioration des performances opérationnelles. La société reste confiante dans sa capacité à maintenir cette trajectoire au cours des prochains trimestres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solides performances op\u00e9rationnelles et financi\u00e8res justifient le maintien en portefeuille malgr\u00e9 les tensions de tr\u00e9sorerie. Le dividende attractif et les perspectives de croissance sectorielle offrent un profil risque-rendement \u00e9quilibr\u00e9."}</w:t>
      </w:r>
    </w:p>
    <w:p>
      <w:pPr>
        <w:spacing w:before="40"/>
        <w:ind w:left="400"/>
      </w:pPr>
      <w:r>
        <w:rPr>
          <w:sz w:val="18"/>
        </w:rPr>
        <w:t>SODECI affiche des résultats financiers solides pour 2025 avec une croissance à deux chiffres sur tous les indicateurs clés. Le chiffre d'affaires progresse de 10% à 189,4 milliards FCFA tandis que le résultat net bondit de 31% à 4,663 milliards FCFA. La société maintient sa position d'opérateur stratégique de l'eau en Côte d'Ivoire avec 2,27 millions de clients (+6,14%). Malgré l'amélioration des performances opérationnelles, la trésorerie reste tendue par des besoins de financement accrus. Un dividende attractif de 525 FCFA par action est proposé, confirmant la politique de redistribution aux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'21,8 milliards FCFA', 'nombre_clients': '2 272 032', 'production_eau': '388,3 millions m³', 'ratio_facturation': '85,51%', 'taux_recouvrement': '95,85%', 'resultat_exploitation': '9,1 milliards FCFA'}</w:t>
            </w:r>
          </w:p>
        </w:tc>
        <w:tc>
          <w:tcPr>
            <w:tcW w:type="dxa" w:w="2160"/>
          </w:tcPr>
          <w:p>
            <w:pPr>
              <w:ind w:left="100"/>
            </w:pPr>
            <w:r/>
            <w:r>
              <w:rPr>
                <w:b/>
                <w:sz w:val="16"/>
              </w:rPr>
              <w:t>dividende</w:t>
              <w:br/>
            </w:r>
            <w:r>
              <w:rPr>
                <w:sz w:val="18"/>
              </w:rPr>
              <w:t>525 FCFA par action</w:t>
            </w:r>
          </w:p>
        </w:tc>
        <w:tc>
          <w:tcPr>
            <w:tcW w:type="dxa" w:w="2160"/>
          </w:tcPr>
          <w:p>
            <w:pPr>
              <w:ind w:left="100"/>
            </w:pPr>
            <w:r/>
            <w:r>
              <w:rPr>
                <w:b/>
                <w:sz w:val="16"/>
              </w:rPr>
              <w:t>marge_nette</w:t>
              <w:br/>
            </w:r>
            <w:r>
              <w:rPr>
                <w:sz w:val="18"/>
              </w:rPr>
              <w:t>2,46%</w:t>
            </w:r>
          </w:p>
        </w:tc>
        <w:tc>
          <w:tcPr>
            <w:tcW w:type="dxa" w:w="2160"/>
          </w:tcPr>
          <w:p>
            <w:pPr>
              <w:ind w:left="100"/>
            </w:pPr>
            <w:r/>
            <w:r>
              <w:rPr>
                <w:b/>
                <w:sz w:val="16"/>
              </w:rPr>
              <w:t>total_actif</w:t>
              <w:br/>
            </w:r>
            <w:r>
              <w:rPr>
                <w:sz w:val="18"/>
              </w:rPr>
              <w:t>472,7 milliards FCFA</w:t>
            </w:r>
          </w:p>
        </w:tc>
      </w:tr>
      <w:tr>
        <w:tc>
          <w:tcPr>
            <w:tcW w:type="dxa" w:w="2160"/>
          </w:tcPr>
          <w:p>
            <w:r/>
            <w:r>
              <w:rPr>
                <w:b/>
                <w:sz w:val="16"/>
              </w:rPr>
              <w:t>resultat_net</w:t>
              <w:br/>
            </w:r>
            <w:r>
              <w:rPr>
                <w:sz w:val="18"/>
              </w:rPr>
              <w:t>4,663 milliards FCFA</w:t>
            </w:r>
          </w:p>
        </w:tc>
        <w:tc>
          <w:tcPr>
            <w:tcW w:type="dxa" w:w="2160"/>
          </w:tcPr>
          <w:p>
            <w:r/>
            <w:r>
              <w:rPr>
                <w:b/>
                <w:sz w:val="16"/>
              </w:rPr>
              <w:t>capitaux_propres</w:t>
              <w:br/>
            </w:r>
            <w:r>
              <w:rPr>
                <w:sz w:val="18"/>
              </w:rPr>
              <w:t>431,488 milliards FCFA</w:t>
            </w:r>
          </w:p>
        </w:tc>
        <w:tc>
          <w:tcPr>
            <w:tcW w:type="dxa" w:w="2160"/>
          </w:tcPr>
          <w:p>
            <w:r/>
            <w:r>
              <w:rPr>
                <w:b/>
                <w:sz w:val="16"/>
              </w:rPr>
              <w:t>chiffre_affaires</w:t>
              <w:br/>
            </w:r>
            <w:r>
              <w:rPr>
                <w:sz w:val="18"/>
              </w:rPr>
              <w:t>189,4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soutenue du chiffre d'affaires de 10% à 189,4 milliards FCFA</w:t>
      </w:r>
    </w:p>
    <w:p>
      <w:pPr>
        <w:pStyle w:val="ListBullet"/>
        <w:spacing w:before="20" w:after="20"/>
        <w:ind w:left="700"/>
      </w:pPr>
      <w:r>
        <w:rPr>
          <w:sz w:val="18"/>
        </w:rPr>
        <w:t>Forte progression du résultat net de 31% à 4,663 milliards FCFA avec une marge nette de 2,46%</w:t>
      </w:r>
    </w:p>
    <w:p>
      <w:pPr>
        <w:pStyle w:val="ListBullet"/>
        <w:spacing w:before="20" w:after="20"/>
        <w:ind w:left="700"/>
      </w:pPr>
      <w:r>
        <w:rPr>
          <w:sz w:val="18"/>
        </w:rPr>
        <w:t>Amélioration significative de l'EBE (+21%) et du résultat d'exploitation (+34%)</w:t>
      </w:r>
    </w:p>
    <w:p>
      <w:pPr>
        <w:pStyle w:val="ListBullet"/>
        <w:spacing w:before="20" w:after="20"/>
        <w:ind w:left="700"/>
      </w:pPr>
      <w:r>
        <w:rPr>
          <w:sz w:val="18"/>
        </w:rPr>
        <w:t>Croissance du nombre de clients de 6,14% pour atteindre 2,27 millions</w:t>
      </w:r>
    </w:p>
    <w:p>
      <w:pPr>
        <w:pStyle w:val="ListBullet"/>
        <w:spacing w:before="20" w:after="20"/>
        <w:ind w:left="700"/>
      </w:pPr>
      <w:r>
        <w:rPr>
          <w:sz w:val="18"/>
        </w:rPr>
        <w:t>Amélioration des ratios opérationnels : facturation à 85,51% et recouvrement à 95,85%</w:t>
      </w:r>
    </w:p>
    <w:p>
      <w:pPr>
        <w:pStyle w:val="ListBullet"/>
        <w:spacing w:before="20" w:after="20"/>
        <w:ind w:left="700"/>
      </w:pPr>
      <w:r>
        <w:rPr>
          <w:sz w:val="18"/>
        </w:rPr>
        <w:t>Dividende proposé de 525 FCFA par action pour un montant global de 4,725 milliards FCFA</w:t>
      </w:r>
    </w:p>
    <w:p>
      <w:pPr>
        <w:spacing w:before="40"/>
        <w:ind w:left="400"/>
      </w:pPr>
      <w:r>
        <w:rPr>
          <w:b/>
          <w:color w:val="C05000"/>
          <w:sz w:val="18"/>
        </w:rPr>
        <w:t xml:space="preserve">⚠️ Risques : </w:t>
      </w:r>
      <w:r>
        <w:rPr>
          <w:sz w:val="18"/>
        </w:rPr>
        <w:t>["Tensions persistantes sur la tr\u00e9sorerie malgr\u00e9 l'am\u00e9lioration des r\u00e9sultats", "Besoins de financement accrus dans un environnement sectoriel exigeant", "D\u00e9pendance aux \u00e9volutions du cadre r\u00e9glementaire du secteur de l'eau"]</w:t>
      </w:r>
    </w:p>
    <w:p>
      <w:pPr>
        <w:spacing w:before="40"/>
        <w:ind w:left="400"/>
      </w:pPr>
      <w:r>
        <w:rPr>
          <w:b/>
          <w:color w:val="0064A0"/>
          <w:sz w:val="18"/>
        </w:rPr>
        <w:t xml:space="preserve">🔮 Perspectives : </w:t>
      </w:r>
      <w:r>
        <w:rPr>
          <w:sz w:val="18"/>
        </w:rPr>
        <w:t>SODECI prévoit de poursuivre sa dynamique positive en 2026 avec le déploiement d'un nouveau contrat de délégation et l'accélération de la transformation digitale. La société mise sur l'amélioration continue des performances opérationnelles et commerciales tout en travaillant avec les parties prenant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une am\u00e9lioration de 20% du r\u00e9sultat d'exploitation d\u00e9montrant l'efficacit\u00e9 de la gestion. La pression fiscale exceptionnelle devrait se normaliser et l'activit\u00e9 eau pr\u00e9sente des perspectives de croissance durables."}</w:t>
      </w:r>
    </w:p>
    <w:p>
      <w:pPr>
        <w:spacing w:before="40"/>
        <w:ind w:left="400"/>
      </w:pPr>
      <w:r>
        <w:rPr>
          <w:sz w:val="18"/>
        </w:rPr>
        <w:t>SODECI présente un chiffre d'affaires stable de 37,1 milliards FCFA au T1 2023, identique au T1 2022. Le résultat d'exploitation progresse significativement de 20% à 1,9 milliard FCFA grâce à la maîtrise des charges d'exploitation. Le résultat net diminue de 13% à 915 millions FCFA en raison d'une hausse de l'impôt sur les bénéfices (+82%). L'activité eau continue de croître dans la continuité des tendances de fin 2022. La société bénéficie des actions d'amélioration de l'accès au service et d'optimisation de la distribution.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{'impot_benefice': '907 millions FCFA', 'resultat_financier': '68 millions FCFA', 'resultat_exploitation': '1,9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915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37,1 milliards FCFA (0% vs T1 2022)</w:t>
      </w:r>
    </w:p>
    <w:p>
      <w:pPr>
        <w:pStyle w:val="ListBullet"/>
        <w:spacing w:before="20" w:after="20"/>
        <w:ind w:left="700"/>
      </w:pPr>
      <w:r>
        <w:rPr>
          <w:sz w:val="18"/>
        </w:rPr>
        <w:t>Forte progression du résultat d'exploitation (+20% à 1,9 milliard FCFA)</w:t>
      </w:r>
    </w:p>
    <w:p>
      <w:pPr>
        <w:pStyle w:val="ListBullet"/>
        <w:spacing w:before="20" w:after="20"/>
        <w:ind w:left="700"/>
      </w:pPr>
      <w:r>
        <w:rPr>
          <w:sz w:val="18"/>
        </w:rPr>
        <w:t>Maîtrise réussie des charges d'exploitation contribuant à l'amélioration opérationnelle</w:t>
      </w:r>
    </w:p>
    <w:p>
      <w:pPr>
        <w:pStyle w:val="ListBullet"/>
        <w:spacing w:before="20" w:after="20"/>
        <w:ind w:left="700"/>
      </w:pPr>
      <w:r>
        <w:rPr>
          <w:sz w:val="18"/>
        </w:rPr>
        <w:t>Résultat net en baisse de 13% à 915 millions FCFA</w:t>
      </w:r>
    </w:p>
    <w:p>
      <w:pPr>
        <w:pStyle w:val="ListBullet"/>
        <w:spacing w:before="20" w:after="20"/>
        <w:ind w:left="700"/>
      </w:pPr>
      <w:r>
        <w:rPr>
          <w:sz w:val="18"/>
        </w:rPr>
        <w:t>Impact négatif significatif de l'impôt sur les bénéfices (+82% à 907 millions FCFA)</w:t>
      </w:r>
    </w:p>
    <w:p>
      <w:pPr>
        <w:pStyle w:val="ListBullet"/>
        <w:spacing w:before="20" w:after="20"/>
        <w:ind w:left="700"/>
      </w:pPr>
      <w:r>
        <w:rPr>
          <w:sz w:val="18"/>
        </w:rPr>
        <w:t>Croissance continue de l'activité eau dans la lignée des tendances 2022</w:t>
      </w:r>
    </w:p>
    <w:p>
      <w:pPr>
        <w:spacing w:before="40"/>
        <w:ind w:left="400"/>
      </w:pPr>
      <w:r>
        <w:rPr>
          <w:b/>
          <w:color w:val="C05000"/>
          <w:sz w:val="18"/>
        </w:rPr>
        <w:t xml:space="preserve">⚠️ Risques : </w:t>
      </w:r>
      <w:r>
        <w:rPr>
          <w:sz w:val="18"/>
        </w:rPr>
        <w:t>["Pression fiscale \u00e9lev\u00e9e impactant significativement la rentabilit\u00e9 nette", "Augmentation de l'endettement financier affectant le r\u00e9sultat financier", "D\u00e9pendance \u00e0 l'activit\u00e9 de distribution d'eau et aux conditions r\u00e9glementaires"]</w:t>
      </w:r>
    </w:p>
    <w:p>
      <w:pPr>
        <w:spacing w:before="40"/>
        <w:ind w:left="400"/>
      </w:pPr>
      <w:r>
        <w:rPr>
          <w:b/>
          <w:color w:val="0064A0"/>
          <w:sz w:val="18"/>
        </w:rPr>
        <w:t xml:space="preserve">🔮 Perspectives : </w:t>
      </w:r>
      <w:r>
        <w:rPr>
          <w:sz w:val="18"/>
        </w:rPr>
        <w:t>La société devrait bénéficier de la poursuite de la croissance de l'activité eau et des initiatives d'optimisation engagées. L'atteinte des objectifs annuels reste possible malgré la pression fiscale, avec un potentiel de normalisation de la charge d'impôt.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"SODECI maintient sa rentabilit\u00e9 et verse un dividende attractif malgr\u00e9 une tr\u00e9sorerie nette n\u00e9gative. La stabilit\u00e9 des r\u00e9sultats et la position de monopole dans la distribution d'eau justifient une position de conservation."}</w:t>
      </w:r>
    </w:p>
    <w:p>
      <w:pPr>
        <w:spacing w:before="40"/>
        <w:ind w:left="400"/>
      </w:pPr>
      <w:r>
        <w:rPr>
          <w:sz w:val="18"/>
        </w:rPr>
        <w:t>SODECI affiche des résultats solides pour l'exercice 2020 avec un chiffre d'affaires de 127,69 milliards FCFA et un résultat net de 4,31 milliards FCFA. La société maintient sa rentabilité avec une marge nette de 3,4% et propose un dividende de 2.925 FCFA par action. Le total actif s'établit à 271,68 milliards FCFA avec des capitaux propres de 29,86 milliards FCFA. Les revenus financiers et assimilés représentent 1,69 milliard FCFA, contribuant positivement aux performances. L'entreprise démontre une gestion financière équilibrée malgré un contexte économique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'-33,48 milliards FCFA', 'revenus_financiers': '1,69 milliard FCFA', 'flux_tresorerie_activites': '1,49 milliard FCFA'}</w:t>
            </w:r>
          </w:p>
        </w:tc>
        <w:tc>
          <w:tcPr>
            <w:tcW w:type="dxa" w:w="2160"/>
          </w:tcPr>
          <w:p>
            <w:pPr>
              <w:ind w:left="100"/>
            </w:pPr>
            <w:r/>
            <w:r>
              <w:rPr>
                <w:b/>
                <w:sz w:val="16"/>
              </w:rPr>
              <w:t>dividende</w:t>
              <w:br/>
            </w:r>
            <w:r>
              <w:rPr>
                <w:sz w:val="18"/>
              </w:rPr>
              <w:t>2.925 FCFA</w:t>
            </w:r>
          </w:p>
        </w:tc>
        <w:tc>
          <w:tcPr>
            <w:tcW w:type="dxa" w:w="2160"/>
          </w:tcPr>
          <w:p>
            <w:pPr>
              <w:ind w:left="100"/>
            </w:pPr>
            <w:r/>
            <w:r>
              <w:rPr>
                <w:b/>
                <w:sz w:val="16"/>
              </w:rPr>
              <w:t>marge_nette</w:t>
              <w:br/>
            </w:r>
            <w:r>
              <w:rPr>
                <w:sz w:val="18"/>
              </w:rPr>
              <w:t>3,4%</w:t>
            </w:r>
          </w:p>
        </w:tc>
        <w:tc>
          <w:tcPr>
            <w:tcW w:type="dxa" w:w="2160"/>
          </w:tcPr>
          <w:p>
            <w:pPr>
              <w:ind w:left="100"/>
            </w:pPr>
            <w:r/>
            <w:r>
              <w:rPr>
                <w:b/>
                <w:sz w:val="16"/>
              </w:rPr>
              <w:t>total_actif</w:t>
              <w:br/>
            </w:r>
            <w:r>
              <w:rPr>
                <w:sz w:val="18"/>
              </w:rPr>
              <w:t>271,68 milliards FCFA</w:t>
            </w:r>
          </w:p>
        </w:tc>
      </w:tr>
      <w:tr>
        <w:tc>
          <w:tcPr>
            <w:tcW w:type="dxa" w:w="2160"/>
          </w:tcPr>
          <w:p>
            <w:r/>
            <w:r>
              <w:rPr>
                <w:b/>
                <w:sz w:val="16"/>
              </w:rPr>
              <w:t>resultat_net</w:t>
              <w:br/>
            </w:r>
            <w:r>
              <w:rPr>
                <w:sz w:val="18"/>
              </w:rPr>
              <w:t>4,31 milliards FCFA</w:t>
            </w:r>
          </w:p>
        </w:tc>
        <w:tc>
          <w:tcPr>
            <w:tcW w:type="dxa" w:w="2160"/>
          </w:tcPr>
          <w:p>
            <w:r/>
            <w:r>
              <w:rPr>
                <w:b/>
                <w:sz w:val="16"/>
              </w:rPr>
              <w:t>capitaux_propres</w:t>
              <w:br/>
            </w:r>
            <w:r>
              <w:rPr>
                <w:sz w:val="18"/>
              </w:rPr>
              <w:t>29,86 milliards FCFA</w:t>
            </w:r>
          </w:p>
        </w:tc>
        <w:tc>
          <w:tcPr>
            <w:tcW w:type="dxa" w:w="2160"/>
          </w:tcPr>
          <w:p>
            <w:r/>
            <w:r>
              <w:rPr>
                <w:b/>
                <w:sz w:val="16"/>
              </w:rPr>
              <w:t>chiffre_affaires</w:t>
              <w:br/>
            </w:r>
            <w:r>
              <w:rPr>
                <w:sz w:val="18"/>
              </w:rPr>
              <w:t>127,69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127,69 milliards FCFA en 2020</w:t>
      </w:r>
    </w:p>
    <w:p>
      <w:pPr>
        <w:pStyle w:val="ListBullet"/>
        <w:spacing w:before="20" w:after="20"/>
        <w:ind w:left="700"/>
      </w:pPr>
      <w:r>
        <w:rPr>
          <w:sz w:val="18"/>
        </w:rPr>
        <w:t>Résultat net positif de 4,31 milliards FCFA</w:t>
      </w:r>
    </w:p>
    <w:p>
      <w:pPr>
        <w:pStyle w:val="ListBullet"/>
        <w:spacing w:before="20" w:after="20"/>
        <w:ind w:left="700"/>
      </w:pPr>
      <w:r>
        <w:rPr>
          <w:sz w:val="18"/>
        </w:rPr>
        <w:t>Marge nette maintenue à 3,4%</w:t>
      </w:r>
    </w:p>
    <w:p>
      <w:pPr>
        <w:pStyle w:val="ListBullet"/>
        <w:spacing w:before="20" w:after="20"/>
        <w:ind w:left="700"/>
      </w:pPr>
      <w:r>
        <w:rPr>
          <w:sz w:val="18"/>
        </w:rPr>
        <w:t>Dividende proposé de 2.925 FCFA par action</w:t>
      </w:r>
    </w:p>
    <w:p>
      <w:pPr>
        <w:pStyle w:val="ListBullet"/>
        <w:spacing w:before="20" w:after="20"/>
        <w:ind w:left="700"/>
      </w:pPr>
      <w:r>
        <w:rPr>
          <w:sz w:val="18"/>
        </w:rPr>
        <w:t>Total actif de 271,68 milliards FCFA</w:t>
      </w:r>
    </w:p>
    <w:p>
      <w:pPr>
        <w:pStyle w:val="ListBullet"/>
        <w:spacing w:before="20" w:after="20"/>
        <w:ind w:left="700"/>
      </w:pPr>
      <w:r>
        <w:rPr>
          <w:sz w:val="18"/>
        </w:rPr>
        <w:t>Revenus financiers et assimilés de 1,69 milliard FCFA</w:t>
      </w:r>
    </w:p>
    <w:p>
      <w:pPr>
        <w:spacing w:before="40"/>
        <w:ind w:left="400"/>
      </w:pPr>
      <w:r>
        <w:rPr>
          <w:b/>
          <w:color w:val="C05000"/>
          <w:sz w:val="18"/>
        </w:rPr>
        <w:t xml:space="preserve">⚠️ Risques : </w:t>
      </w:r>
      <w:r>
        <w:rPr>
          <w:sz w:val="18"/>
        </w:rPr>
        <w:t>["Tr\u00e9sorerie nette n\u00e9gative de -33,48 milliards FCFA indiquant un besoin de financement", "D\u00e9pendance aux conditions r\u00e9glementaires du secteur de l'eau", "Exposition aux variations des co\u00fbts op\u00e9rationnels et d'investissement"]</w:t>
      </w:r>
    </w:p>
    <w:p>
      <w:pPr>
        <w:spacing w:before="40"/>
        <w:ind w:left="400"/>
      </w:pPr>
      <w:r>
        <w:rPr>
          <w:b/>
          <w:color w:val="0064A0"/>
          <w:sz w:val="18"/>
        </w:rPr>
        <w:t xml:space="preserve">🔮 Perspectives : </w:t>
      </w:r>
      <w:r>
        <w:rPr>
          <w:sz w:val="18"/>
        </w:rPr>
        <w:t>Les perspectives restent stables compte tenu du caractère essentiel des services d'eau et de la position dominante de SODECI. La société devrait maintenir sa rentabilité tout en gérant ses besoins de financement. L'amélioration de la trésorerie sera un enjeu clé pour les prochains exercices.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"Position dominante dans un secteur strat\u00e9gique avec forte croissance du CA, mais vigilance requise sur la d\u00e9gradation de la rentabilit\u00e9 et la tr\u00e9sorerie n\u00e9gative. Le maintien du dividende t\u00e9moigne de la solidit\u00e9 financi\u00e8re \u00e0 moyen terme."}</w:t>
      </w:r>
    </w:p>
    <w:p>
      <w:pPr>
        <w:spacing w:before="40"/>
        <w:ind w:left="400"/>
      </w:pPr>
      <w:r>
        <w:rPr>
          <w:sz w:val="18"/>
        </w:rPr>
        <w:t>SODECI, société d'eau et d'électricité ivoirienne, affiche une solide performance financière en 2020 avec un chiffre d'affaires de 127,5 milliards FCFA et un résultat net de 4,3 milliards FCFA. La société maintient une croissance soutenue de son CA (+45% vs 2019) malgré un recul de la rentabilité nette. Le bilan présente un total actif de 271,7 milliards FCFA avec des capitaux propres solides. La trésorerie nette négative de -33,5 milliards FCFA nécessite une attention particulière. L'entreprise propose un dividende substantiel de 3,375 milliards FCFA, démontrant sa capacité distributive.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'+45%', 'capital_social': '4 500 000 000 FCFA', 'tresorerie_nette': '-33 476 993 milliers FCFA', 'evolution_resultat_net': '-53%'}</w:t>
            </w:r>
          </w:p>
        </w:tc>
        <w:tc>
          <w:tcPr>
            <w:tcW w:type="dxa" w:w="2160"/>
          </w:tcPr>
          <w:p>
            <w:pPr>
              <w:ind w:left="100"/>
            </w:pPr>
            <w:r/>
            <w:r>
              <w:rPr>
                <w:b/>
                <w:sz w:val="16"/>
              </w:rPr>
              <w:t>dividende</w:t>
              <w:br/>
            </w:r>
            <w:r>
              <w:rPr>
                <w:sz w:val="18"/>
              </w:rPr>
              <w:t>3 375 000 000 FCFA</w:t>
            </w:r>
          </w:p>
        </w:tc>
        <w:tc>
          <w:tcPr>
            <w:tcW w:type="dxa" w:w="2160"/>
          </w:tcPr>
          <w:p>
            <w:pPr>
              <w:ind w:left="100"/>
            </w:pPr>
            <w:r/>
            <w:r>
              <w:rPr>
                <w:b/>
                <w:sz w:val="16"/>
              </w:rPr>
              <w:t>marge_nette</w:t>
              <w:br/>
            </w:r>
            <w:r>
              <w:rPr>
                <w:sz w:val="18"/>
              </w:rPr>
              <w:t>3,4%</w:t>
            </w:r>
          </w:p>
        </w:tc>
        <w:tc>
          <w:tcPr>
            <w:tcW w:type="dxa" w:w="2160"/>
          </w:tcPr>
          <w:p>
            <w:pPr>
              <w:ind w:left="100"/>
            </w:pPr>
            <w:r/>
            <w:r>
              <w:rPr>
                <w:b/>
                <w:sz w:val="16"/>
              </w:rPr>
              <w:t>total_actif</w:t>
              <w:br/>
            </w:r>
            <w:r>
              <w:rPr>
                <w:sz w:val="18"/>
              </w:rPr>
              <w:t>271 676 820 milliers FCFA</w:t>
            </w:r>
          </w:p>
        </w:tc>
      </w:tr>
      <w:tr>
        <w:tc>
          <w:tcPr>
            <w:tcW w:type="dxa" w:w="2160"/>
          </w:tcPr>
          <w:p>
            <w:r/>
            <w:r>
              <w:rPr>
                <w:b/>
                <w:sz w:val="16"/>
              </w:rPr>
              <w:t>resultat_net</w:t>
              <w:br/>
            </w:r>
            <w:r>
              <w:rPr>
                <w:sz w:val="18"/>
              </w:rPr>
              <w:t>4 307 472 milliers FCFA</w:t>
            </w:r>
          </w:p>
        </w:tc>
        <w:tc>
          <w:tcPr>
            <w:tcW w:type="dxa" w:w="2160"/>
          </w:tcPr>
          <w:p>
            <w:r/>
            <w:r>
              <w:rPr>
                <w:b/>
                <w:sz w:val="16"/>
              </w:rPr>
              <w:t>capitaux_propres</w:t>
              <w:br/>
            </w:r>
            <w:r>
              <w:rPr>
                <w:sz w:val="18"/>
              </w:rPr>
              <w:t>65 707 952 milliers FCFA</w:t>
            </w:r>
          </w:p>
        </w:tc>
        <w:tc>
          <w:tcPr>
            <w:tcW w:type="dxa" w:w="2160"/>
          </w:tcPr>
          <w:p>
            <w:r/>
            <w:r>
              <w:rPr>
                <w:b/>
                <w:sz w:val="16"/>
              </w:rPr>
              <w:t>chiffre_affaires</w:t>
              <w:br/>
            </w:r>
            <w:r>
              <w:rPr>
                <w:sz w:val="18"/>
              </w:rPr>
              <w:t>127 490 235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 +45% à 127,5 milliards FCFA</w:t>
      </w:r>
    </w:p>
    <w:p>
      <w:pPr>
        <w:pStyle w:val="ListBullet"/>
        <w:spacing w:before="20" w:after="20"/>
        <w:ind w:left="700"/>
      </w:pPr>
      <w:r>
        <w:rPr>
          <w:sz w:val="18"/>
        </w:rPr>
        <w:t>Résultat net positif de 4,3 milliards FCFA mais en baisse de 53% par rapport à 2019</w:t>
      </w:r>
    </w:p>
    <w:p>
      <w:pPr>
        <w:pStyle w:val="ListBullet"/>
        <w:spacing w:before="20" w:after="20"/>
        <w:ind w:left="700"/>
      </w:pPr>
      <w:r>
        <w:rPr>
          <w:sz w:val="18"/>
        </w:rPr>
        <w:t>Distribution de dividendes de 3,375 milliards FCFA maintenue</w:t>
      </w:r>
    </w:p>
    <w:p>
      <w:pPr>
        <w:pStyle w:val="ListBullet"/>
        <w:spacing w:before="20" w:after="20"/>
        <w:ind w:left="700"/>
      </w:pPr>
      <w:r>
        <w:rPr>
          <w:sz w:val="18"/>
        </w:rPr>
        <w:t>Trésorerie nette négative de -33,5 milliards FCFA contre -46,6 milliards en 2019</w:t>
      </w:r>
    </w:p>
    <w:p>
      <w:pPr>
        <w:pStyle w:val="ListBullet"/>
        <w:spacing w:before="20" w:after="20"/>
        <w:ind w:left="700"/>
      </w:pPr>
      <w:r>
        <w:rPr>
          <w:sz w:val="18"/>
        </w:rPr>
        <w:t>Total actif en croissance de 14% à 271,7 milliards FCFA</w:t>
      </w:r>
    </w:p>
    <w:p>
      <w:pPr>
        <w:pStyle w:val="ListBullet"/>
        <w:spacing w:before="20" w:after="20"/>
        <w:ind w:left="700"/>
      </w:pPr>
      <w:r>
        <w:rPr>
          <w:sz w:val="18"/>
        </w:rPr>
        <w:t>Marge nette en dégradation à 3,4% contre 10,7% en 2019</w:t>
      </w:r>
    </w:p>
    <w:p>
      <w:pPr>
        <w:spacing w:before="40"/>
        <w:ind w:left="400"/>
      </w:pPr>
      <w:r>
        <w:rPr>
          <w:b/>
          <w:color w:val="C05000"/>
          <w:sz w:val="18"/>
        </w:rPr>
        <w:t xml:space="preserve">⚠️ Risques : </w:t>
      </w:r>
      <w:r>
        <w:rPr>
          <w:sz w:val="18"/>
        </w:rPr>
        <w:t>["D\u00e9gradation significative de la marge nette passant de 10,7% \u00e0 3,4%", "Tr\u00e9sorerie nette n\u00e9gative importante n\u00e9cessitant un financement externe", "D\u00e9pendance au march\u00e9 ivoirien et exposition aux risques r\u00e9glementaires du secteur public"]</w:t>
      </w:r>
    </w:p>
    <w:p>
      <w:pPr>
        <w:spacing w:before="40"/>
        <w:ind w:left="400"/>
      </w:pPr>
      <w:r>
        <w:rPr>
          <w:b/>
          <w:color w:val="0064A0"/>
          <w:sz w:val="18"/>
        </w:rPr>
        <w:t xml:space="preserve">🔮 Perspectives : </w:t>
      </w:r>
      <w:r>
        <w:rPr>
          <w:sz w:val="18"/>
        </w:rPr>
        <w:t>L'amélioration de la trésorerie nette et la croissance soutenue du chiffre d'affaires laissent présager une stabilisation en 2021. La société devra toutefois optimiser sa rentabilité opérationnelle pour retrouver des niveaux de marge plus élevés et renforcer sa structure financière.</w:t>
      </w:r>
    </w:p>
    <w:p/>
    <w:p>
      <w:r>
        <w:t>════════════════════════════════════════════════════════════════════════════════</w:t>
      </w:r>
    </w:p>
    <w:p>
      <w:r>
        <w:br w:type="page"/>
      </w:r>
    </w:p>
    <w:p>
      <w:pPr>
        <w:pStyle w:val="Heading2"/>
        <w:spacing w:before="360"/>
      </w:pPr>
      <w:r>
        <w:rPr>
          <w:color w:val="0066CC"/>
        </w:rPr>
        <w:t>31. SDSC - SDSC - AFRICA GLOBAL LOGISTICS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SDSC</w:t>
            </w:r>
          </w:p>
          <w:p>
            <w:r>
              <w:rPr>
                <w:b/>
                <w:color w:val="323250"/>
                <w:sz w:val="16"/>
              </w:rPr>
              <w:t xml:space="preserve">Société : </w:t>
            </w:r>
            <w:r>
              <w:rPr>
                <w:color w:val="000000"/>
                <w:sz w:val="16"/>
              </w:rPr>
              <w:t>SDSC - AFRICA GLOBAL LOGISTICS 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166.84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17,207 titres</w:t>
            </w:r>
          </w:p>
        </w:tc>
        <w:tc>
          <w:tcPr>
            <w:tcW w:type="dxa" w:w="2268"/>
            <w:shd w:fill="FFF2CC" w:val="clear"/>
          </w:tcPr>
          <w:p>
            <w:r>
              <w:rPr>
                <w:b/>
                <w:color w:val="503200"/>
                <w:sz w:val="16"/>
              </w:rPr>
              <w:t xml:space="preserve">Cours actuel : </w:t>
            </w:r>
            <w:r>
              <w:rPr>
                <w:color w:val="000000"/>
                <w:sz w:val="17"/>
              </w:rPr>
              <w:t>3,065 FCFA</w:t>
            </w:r>
          </w:p>
          <w:p>
            <w:r>
              <w:rPr>
                <w:b/>
                <w:color w:val="503200"/>
                <w:sz w:val="16"/>
              </w:rPr>
              <w:t xml:space="preserve">Var. 100 jours : </w:t>
            </w:r>
            <w:r>
              <w:rPr>
                <w:b/>
                <w:color w:val="007800"/>
                <w:sz w:val="17"/>
              </w:rPr>
              <w:t>+80.29%</w:t>
            </w:r>
          </w:p>
          <w:p>
            <w:r>
              <w:rPr>
                <w:b/>
                <w:color w:val="503200"/>
                <w:sz w:val="16"/>
              </w:rPr>
              <w:t xml:space="preserve">Plus haut 100j : </w:t>
            </w:r>
            <w:r>
              <w:rPr>
                <w:color w:val="000000"/>
                <w:sz w:val="17"/>
              </w:rPr>
              <w:t>3,205 FCFA</w:t>
            </w:r>
          </w:p>
          <w:p>
            <w:r>
              <w:rPr>
                <w:b/>
                <w:color w:val="503200"/>
                <w:sz w:val="16"/>
              </w:rPr>
              <w:t xml:space="preserve">Plus bas 100j : </w:t>
            </w:r>
            <w:r>
              <w:rPr>
                <w:color w:val="000000"/>
                <w:sz w:val="17"/>
              </w:rPr>
              <w:t>1,690 FCFA</w:t>
            </w:r>
          </w:p>
          <w:p>
            <w:r>
              <w:rPr>
                <w:b/>
                <w:color w:val="503200"/>
                <w:sz w:val="16"/>
              </w:rPr>
              <w:t xml:space="preserve">Volatilité ann. : </w:t>
            </w:r>
            <w:r>
              <w:rPr>
                <w:color w:val="000000"/>
                <w:sz w:val="17"/>
              </w:rPr>
              <w:t>51.8%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16.8/100 → Faible</w:t>
      </w:r>
    </w:p>
    <w:p>
      <w:pPr>
        <w:spacing w:before="40" w:after="80"/>
      </w:pPr>
      <w:r>
        <w:rPr>
          <w:rFonts w:ascii="Courier New" w:hAnsi="Courier New"/>
          <w:color w:val="006400"/>
          <w:sz w:val="18"/>
        </w:rPr>
        <w:t>███░░░░░░░░░░░░░░░░░  16.8/100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14.41% (Moyenne) — μ=2,608 FCFA, σ=376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β=0.5320 (Défensif) — Cov=0.000040, Var(idx)=0.000075, ρ=0.139,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17,207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σ_j=3.26%/j (Modérée) — Vol. annualisée≈51.8%</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76/100  (Excellent)</w:t>
      </w:r>
    </w:p>
    <w:p/>
    <w:p>
      <w:pPr>
        <w:jc w:val="center"/>
      </w:pPr>
      <w:r>
        <w:drawing>
          <wp:inline xmlns:a="http://schemas.openxmlformats.org/drawingml/2006/main" xmlns:pic="http://schemas.openxmlformats.org/drawingml/2006/picture">
            <wp:extent cx="5669280" cy="2635585"/>
            <wp:docPr id="33" name="Picture 33"/>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2026-10-16</w:t>
            </w:r>
          </w:p>
        </w:tc>
        <w:tc>
          <w:tcPr>
            <w:tcW w:type="dxa" w:w="1440"/>
            <w:shd w:fill="FAFAFA" w:val="clear"/>
          </w:tcPr>
          <w:p>
            <w:r>
              <w:rPr>
                <w:sz w:val="17"/>
              </w:rPr>
              <w:t>2,890</w:t>
            </w:r>
          </w:p>
        </w:tc>
        <w:tc>
          <w:tcPr>
            <w:tcW w:type="dxa" w:w="1440"/>
            <w:shd w:fill="FAFAFA" w:val="clear"/>
          </w:tcPr>
          <w:p>
            <w:r>
              <w:rPr>
                <w:b/>
                <w:sz w:val="17"/>
              </w:rPr>
              <w:t>3,039</w:t>
            </w:r>
          </w:p>
        </w:tc>
        <w:tc>
          <w:tcPr>
            <w:tcW w:type="dxa" w:w="1440"/>
            <w:shd w:fill="FAFAFA" w:val="clear"/>
          </w:tcPr>
          <w:p>
            <w:r>
              <w:rPr>
                <w:sz w:val="17"/>
              </w:rPr>
              <w:t>3,189</w:t>
            </w:r>
          </w:p>
        </w:tc>
        <w:tc>
          <w:tcPr>
            <w:tcW w:type="dxa" w:w="1440"/>
            <w:shd w:fill="FAFAFA" w:val="clear"/>
          </w:tcPr>
          <w:p>
            <w:r>
              <w:rPr>
                <w:b/>
                <w:color w:val="C00000"/>
                <w:sz w:val="17"/>
              </w:rPr>
              <w:t>-0.8%</w:t>
            </w:r>
          </w:p>
        </w:tc>
      </w:tr>
      <w:tr>
        <w:tc>
          <w:tcPr>
            <w:tcW w:type="dxa" w:w="1440"/>
            <w:shd w:fill="FAFAFA" w:val="clear"/>
          </w:tcPr>
          <w:p>
            <w:r>
              <w:rPr>
                <w:sz w:val="17"/>
              </w:rPr>
              <w:t>J+2  Moyenne</w:t>
            </w:r>
          </w:p>
        </w:tc>
        <w:tc>
          <w:tcPr>
            <w:tcW w:type="dxa" w:w="1440"/>
            <w:shd w:fill="FAFAFA" w:val="clear"/>
          </w:tcPr>
          <w:p>
            <w:r>
              <w:rPr>
                <w:sz w:val="17"/>
              </w:rPr>
              <w:t>2026-10-19</w:t>
            </w:r>
          </w:p>
        </w:tc>
        <w:tc>
          <w:tcPr>
            <w:tcW w:type="dxa" w:w="1440"/>
            <w:shd w:fill="FAFAFA" w:val="clear"/>
          </w:tcPr>
          <w:p>
            <w:r>
              <w:rPr>
                <w:sz w:val="17"/>
              </w:rPr>
              <w:t>2,813</w:t>
            </w:r>
          </w:p>
        </w:tc>
        <w:tc>
          <w:tcPr>
            <w:tcW w:type="dxa" w:w="1440"/>
            <w:shd w:fill="FAFAFA" w:val="clear"/>
          </w:tcPr>
          <w:p>
            <w:r>
              <w:rPr>
                <w:b/>
                <w:sz w:val="17"/>
              </w:rPr>
              <w:t>3,023</w:t>
            </w:r>
          </w:p>
        </w:tc>
        <w:tc>
          <w:tcPr>
            <w:tcW w:type="dxa" w:w="1440"/>
            <w:shd w:fill="FAFAFA" w:val="clear"/>
          </w:tcPr>
          <w:p>
            <w:r>
              <w:rPr>
                <w:sz w:val="17"/>
              </w:rPr>
              <w:t>3,232</w:t>
            </w:r>
          </w:p>
        </w:tc>
        <w:tc>
          <w:tcPr>
            <w:tcW w:type="dxa" w:w="1440"/>
            <w:shd w:fill="FAFAFA" w:val="clear"/>
          </w:tcPr>
          <w:p>
            <w:r>
              <w:rPr>
                <w:b/>
                <w:color w:val="C00000"/>
                <w:sz w:val="17"/>
              </w:rPr>
              <w:t>-1.4%</w:t>
            </w:r>
          </w:p>
        </w:tc>
      </w:tr>
      <w:tr>
        <w:tc>
          <w:tcPr>
            <w:tcW w:type="dxa" w:w="1440"/>
            <w:shd w:fill="FAFAFA" w:val="clear"/>
          </w:tcPr>
          <w:p>
            <w:r>
              <w:rPr>
                <w:sz w:val="17"/>
              </w:rPr>
              <w:t>J+3  Moyenne</w:t>
            </w:r>
          </w:p>
        </w:tc>
        <w:tc>
          <w:tcPr>
            <w:tcW w:type="dxa" w:w="1440"/>
            <w:shd w:fill="FAFAFA" w:val="clear"/>
          </w:tcPr>
          <w:p>
            <w:r>
              <w:rPr>
                <w:sz w:val="17"/>
              </w:rPr>
              <w:t>2026-10-20</w:t>
            </w:r>
          </w:p>
        </w:tc>
        <w:tc>
          <w:tcPr>
            <w:tcW w:type="dxa" w:w="1440"/>
            <w:shd w:fill="FAFAFA" w:val="clear"/>
          </w:tcPr>
          <w:p>
            <w:r>
              <w:rPr>
                <w:sz w:val="17"/>
              </w:rPr>
              <w:t>2,756</w:t>
            </w:r>
          </w:p>
        </w:tc>
        <w:tc>
          <w:tcPr>
            <w:tcW w:type="dxa" w:w="1440"/>
            <w:shd w:fill="FAFAFA" w:val="clear"/>
          </w:tcPr>
          <w:p>
            <w:r>
              <w:rPr>
                <w:b/>
                <w:sz w:val="17"/>
              </w:rPr>
              <w:t>3,012</w:t>
            </w:r>
          </w:p>
        </w:tc>
        <w:tc>
          <w:tcPr>
            <w:tcW w:type="dxa" w:w="1440"/>
            <w:shd w:fill="FAFAFA" w:val="clear"/>
          </w:tcPr>
          <w:p>
            <w:r>
              <w:rPr>
                <w:sz w:val="17"/>
              </w:rPr>
              <w:t>3,269</w:t>
            </w:r>
          </w:p>
        </w:tc>
        <w:tc>
          <w:tcPr>
            <w:tcW w:type="dxa" w:w="1440"/>
            <w:shd w:fill="FAFAFA" w:val="clear"/>
          </w:tcPr>
          <w:p>
            <w:r>
              <w:rPr>
                <w:b/>
                <w:color w:val="C00000"/>
                <w:sz w:val="17"/>
              </w:rPr>
              <w:t>-1.7%</w:t>
            </w:r>
          </w:p>
        </w:tc>
      </w:tr>
      <w:tr>
        <w:tc>
          <w:tcPr>
            <w:tcW w:type="dxa" w:w="1440"/>
            <w:shd w:fill="FAFAFA" w:val="clear"/>
          </w:tcPr>
          <w:p>
            <w:r>
              <w:rPr>
                <w:sz w:val="17"/>
              </w:rPr>
              <w:t>J+4  ⭐</w:t>
            </w:r>
          </w:p>
        </w:tc>
        <w:tc>
          <w:tcPr>
            <w:tcW w:type="dxa" w:w="1440"/>
            <w:shd w:fill="FAFAFA" w:val="clear"/>
          </w:tcPr>
          <w:p>
            <w:r>
              <w:rPr>
                <w:sz w:val="17"/>
              </w:rPr>
              <w:t>2026-10-21</w:t>
            </w:r>
          </w:p>
        </w:tc>
        <w:tc>
          <w:tcPr>
            <w:tcW w:type="dxa" w:w="1440"/>
            <w:shd w:fill="FAFAFA" w:val="clear"/>
          </w:tcPr>
          <w:p>
            <w:r>
              <w:rPr>
                <w:sz w:val="17"/>
              </w:rPr>
              <w:t>2,710</w:t>
            </w:r>
          </w:p>
        </w:tc>
        <w:tc>
          <w:tcPr>
            <w:tcW w:type="dxa" w:w="1440"/>
            <w:shd w:fill="FAFAFA" w:val="clear"/>
          </w:tcPr>
          <w:p>
            <w:r>
              <w:rPr>
                <w:b/>
                <w:sz w:val="17"/>
              </w:rPr>
              <w:t>3,005</w:t>
            </w:r>
          </w:p>
        </w:tc>
        <w:tc>
          <w:tcPr>
            <w:tcW w:type="dxa" w:w="1440"/>
            <w:shd w:fill="FAFAFA" w:val="clear"/>
          </w:tcPr>
          <w:p>
            <w:r>
              <w:rPr>
                <w:sz w:val="17"/>
              </w:rPr>
              <w:t>3,300</w:t>
            </w:r>
          </w:p>
        </w:tc>
        <w:tc>
          <w:tcPr>
            <w:tcW w:type="dxa" w:w="1440"/>
            <w:shd w:fill="FAFAFA" w:val="clear"/>
          </w:tcPr>
          <w:p>
            <w:r>
              <w:rPr>
                <w:b/>
                <w:color w:val="C00000"/>
                <w:sz w:val="17"/>
              </w:rPr>
              <w:t>-2.0%</w:t>
            </w:r>
          </w:p>
        </w:tc>
      </w:tr>
      <w:tr>
        <w:tc>
          <w:tcPr>
            <w:tcW w:type="dxa" w:w="1440"/>
            <w:shd w:fill="FFDCE0" w:val="clear"/>
          </w:tcPr>
          <w:p>
            <w:r>
              <w:rPr>
                <w:sz w:val="17"/>
              </w:rPr>
              <w:t>J+5  ⭐</w:t>
            </w:r>
          </w:p>
        </w:tc>
        <w:tc>
          <w:tcPr>
            <w:tcW w:type="dxa" w:w="1440"/>
            <w:shd w:fill="FFDCE0" w:val="clear"/>
          </w:tcPr>
          <w:p>
            <w:r>
              <w:rPr>
                <w:sz w:val="17"/>
              </w:rPr>
              <w:t>2026-10-22</w:t>
            </w:r>
          </w:p>
        </w:tc>
        <w:tc>
          <w:tcPr>
            <w:tcW w:type="dxa" w:w="1440"/>
            <w:shd w:fill="FFDCE0" w:val="clear"/>
          </w:tcPr>
          <w:p>
            <w:r>
              <w:rPr>
                <w:sz w:val="17"/>
              </w:rPr>
              <w:t>2,670</w:t>
            </w:r>
          </w:p>
        </w:tc>
        <w:tc>
          <w:tcPr>
            <w:tcW w:type="dxa" w:w="1440"/>
            <w:shd w:fill="FFDCE0" w:val="clear"/>
          </w:tcPr>
          <w:p>
            <w:r>
              <w:rPr>
                <w:b/>
                <w:sz w:val="17"/>
              </w:rPr>
              <w:t>2,999</w:t>
            </w:r>
          </w:p>
        </w:tc>
        <w:tc>
          <w:tcPr>
            <w:tcW w:type="dxa" w:w="1440"/>
            <w:shd w:fill="FFDCE0" w:val="clear"/>
          </w:tcPr>
          <w:p>
            <w:r>
              <w:rPr>
                <w:sz w:val="17"/>
              </w:rPr>
              <w:t>3,328</w:t>
            </w:r>
          </w:p>
        </w:tc>
        <w:tc>
          <w:tcPr>
            <w:tcW w:type="dxa" w:w="1440"/>
            <w:shd w:fill="FFDCE0" w:val="clear"/>
          </w:tcPr>
          <w:p>
            <w:r>
              <w:rPr>
                <w:b/>
                <w:color w:val="C00000"/>
                <w:sz w:val="17"/>
              </w:rPr>
              <w:t>-2.2%</w:t>
            </w:r>
          </w:p>
        </w:tc>
      </w:tr>
      <w:tr>
        <w:tc>
          <w:tcPr>
            <w:tcW w:type="dxa" w:w="1440"/>
            <w:shd w:fill="FFDCE0" w:val="clear"/>
          </w:tcPr>
          <w:p>
            <w:r>
              <w:rPr>
                <w:sz w:val="17"/>
              </w:rPr>
              <w:t>J+6  ⭐</w:t>
            </w:r>
          </w:p>
        </w:tc>
        <w:tc>
          <w:tcPr>
            <w:tcW w:type="dxa" w:w="1440"/>
            <w:shd w:fill="FFDCE0" w:val="clear"/>
          </w:tcPr>
          <w:p>
            <w:r>
              <w:rPr>
                <w:sz w:val="17"/>
              </w:rPr>
              <w:t>2026-10-23</w:t>
            </w:r>
          </w:p>
        </w:tc>
        <w:tc>
          <w:tcPr>
            <w:tcW w:type="dxa" w:w="1440"/>
            <w:shd w:fill="FFDCE0" w:val="clear"/>
          </w:tcPr>
          <w:p>
            <w:r>
              <w:rPr>
                <w:sz w:val="17"/>
              </w:rPr>
              <w:t>2,634</w:t>
            </w:r>
          </w:p>
        </w:tc>
        <w:tc>
          <w:tcPr>
            <w:tcW w:type="dxa" w:w="1440"/>
            <w:shd w:fill="FFDCE0" w:val="clear"/>
          </w:tcPr>
          <w:p>
            <w:r>
              <w:rPr>
                <w:b/>
                <w:sz w:val="17"/>
              </w:rPr>
              <w:t>2,994</w:t>
            </w:r>
          </w:p>
        </w:tc>
        <w:tc>
          <w:tcPr>
            <w:tcW w:type="dxa" w:w="1440"/>
            <w:shd w:fill="FFDCE0" w:val="clear"/>
          </w:tcPr>
          <w:p>
            <w:r>
              <w:rPr>
                <w:sz w:val="17"/>
              </w:rPr>
              <w:t>3,353</w:t>
            </w:r>
          </w:p>
        </w:tc>
        <w:tc>
          <w:tcPr>
            <w:tcW w:type="dxa" w:w="1440"/>
            <w:shd w:fill="FFDCE0" w:val="clear"/>
          </w:tcPr>
          <w:p>
            <w:r>
              <w:rPr>
                <w:b/>
                <w:color w:val="C00000"/>
                <w:sz w:val="17"/>
              </w:rPr>
              <w:t>-2.3%</w:t>
            </w:r>
          </w:p>
        </w:tc>
      </w:tr>
      <w:tr>
        <w:tc>
          <w:tcPr>
            <w:tcW w:type="dxa" w:w="1440"/>
            <w:shd w:fill="FFDCE0" w:val="clear"/>
          </w:tcPr>
          <w:p>
            <w:r>
              <w:rPr>
                <w:sz w:val="17"/>
              </w:rPr>
              <w:t>J+7  ⭐</w:t>
            </w:r>
          </w:p>
        </w:tc>
        <w:tc>
          <w:tcPr>
            <w:tcW w:type="dxa" w:w="1440"/>
            <w:shd w:fill="FFDCE0" w:val="clear"/>
          </w:tcPr>
          <w:p>
            <w:r>
              <w:rPr>
                <w:sz w:val="17"/>
              </w:rPr>
              <w:t>2026-10-26</w:t>
            </w:r>
          </w:p>
        </w:tc>
        <w:tc>
          <w:tcPr>
            <w:tcW w:type="dxa" w:w="1440"/>
            <w:shd w:fill="FFDCE0" w:val="clear"/>
          </w:tcPr>
          <w:p>
            <w:r>
              <w:rPr>
                <w:sz w:val="17"/>
              </w:rPr>
              <w:t>2,600</w:t>
            </w:r>
          </w:p>
        </w:tc>
        <w:tc>
          <w:tcPr>
            <w:tcW w:type="dxa" w:w="1440"/>
            <w:shd w:fill="FFDCE0" w:val="clear"/>
          </w:tcPr>
          <w:p>
            <w:r>
              <w:rPr>
                <w:b/>
                <w:sz w:val="17"/>
              </w:rPr>
              <w:t>2,988</w:t>
            </w:r>
          </w:p>
        </w:tc>
        <w:tc>
          <w:tcPr>
            <w:tcW w:type="dxa" w:w="1440"/>
            <w:shd w:fill="FFDCE0" w:val="clear"/>
          </w:tcPr>
          <w:p>
            <w:r>
              <w:rPr>
                <w:sz w:val="17"/>
              </w:rPr>
              <w:t>3,377</w:t>
            </w:r>
          </w:p>
        </w:tc>
        <w:tc>
          <w:tcPr>
            <w:tcW w:type="dxa" w:w="1440"/>
            <w:shd w:fill="FFDCE0" w:val="clear"/>
          </w:tcPr>
          <w:p>
            <w:r>
              <w:rPr>
                <w:b/>
                <w:color w:val="C00000"/>
                <w:sz w:val="17"/>
              </w:rPr>
              <w:t>-2.5%</w:t>
            </w:r>
          </w:p>
        </w:tc>
      </w:tr>
      <w:tr>
        <w:tc>
          <w:tcPr>
            <w:tcW w:type="dxa" w:w="1440"/>
            <w:shd w:fill="FFDCE0" w:val="clear"/>
          </w:tcPr>
          <w:p>
            <w:r>
              <w:rPr>
                <w:sz w:val="17"/>
              </w:rPr>
              <w:t>J+8  ⭐</w:t>
            </w:r>
          </w:p>
        </w:tc>
        <w:tc>
          <w:tcPr>
            <w:tcW w:type="dxa" w:w="1440"/>
            <w:shd w:fill="FFDCE0" w:val="clear"/>
          </w:tcPr>
          <w:p>
            <w:r>
              <w:rPr>
                <w:sz w:val="17"/>
              </w:rPr>
              <w:t>2026-10-27</w:t>
            </w:r>
          </w:p>
        </w:tc>
        <w:tc>
          <w:tcPr>
            <w:tcW w:type="dxa" w:w="1440"/>
            <w:shd w:fill="FFDCE0" w:val="clear"/>
          </w:tcPr>
          <w:p>
            <w:r>
              <w:rPr>
                <w:sz w:val="17"/>
              </w:rPr>
              <w:t>2,570</w:t>
            </w:r>
          </w:p>
        </w:tc>
        <w:tc>
          <w:tcPr>
            <w:tcW w:type="dxa" w:w="1440"/>
            <w:shd w:fill="FFDCE0" w:val="clear"/>
          </w:tcPr>
          <w:p>
            <w:r>
              <w:rPr>
                <w:b/>
                <w:sz w:val="17"/>
              </w:rPr>
              <w:t>2,984</w:t>
            </w:r>
          </w:p>
        </w:tc>
        <w:tc>
          <w:tcPr>
            <w:tcW w:type="dxa" w:w="1440"/>
            <w:shd w:fill="FFDCE0" w:val="clear"/>
          </w:tcPr>
          <w:p>
            <w:r>
              <w:rPr>
                <w:sz w:val="17"/>
              </w:rPr>
              <w:t>3,398</w:t>
            </w:r>
          </w:p>
        </w:tc>
        <w:tc>
          <w:tcPr>
            <w:tcW w:type="dxa" w:w="1440"/>
            <w:shd w:fill="FFDCE0" w:val="clear"/>
          </w:tcPr>
          <w:p>
            <w:r>
              <w:rPr>
                <w:b/>
                <w:color w:val="C00000"/>
                <w:sz w:val="17"/>
              </w:rPr>
              <w:t>-2.7%</w:t>
            </w:r>
          </w:p>
        </w:tc>
      </w:tr>
      <w:tr>
        <w:tc>
          <w:tcPr>
            <w:tcW w:type="dxa" w:w="1440"/>
            <w:shd w:fill="FFDCE0" w:val="clear"/>
          </w:tcPr>
          <w:p>
            <w:r>
              <w:rPr>
                <w:sz w:val="17"/>
              </w:rPr>
              <w:t>J+9  ⭐</w:t>
            </w:r>
          </w:p>
        </w:tc>
        <w:tc>
          <w:tcPr>
            <w:tcW w:type="dxa" w:w="1440"/>
            <w:shd w:fill="FFDCE0" w:val="clear"/>
          </w:tcPr>
          <w:p>
            <w:r>
              <w:rPr>
                <w:sz w:val="17"/>
              </w:rPr>
              <w:t>2026-10-28</w:t>
            </w:r>
          </w:p>
        </w:tc>
        <w:tc>
          <w:tcPr>
            <w:tcW w:type="dxa" w:w="1440"/>
            <w:shd w:fill="FFDCE0" w:val="clear"/>
          </w:tcPr>
          <w:p>
            <w:r>
              <w:rPr>
                <w:sz w:val="17"/>
              </w:rPr>
              <w:t>2,540</w:t>
            </w:r>
          </w:p>
        </w:tc>
        <w:tc>
          <w:tcPr>
            <w:tcW w:type="dxa" w:w="1440"/>
            <w:shd w:fill="FFDCE0" w:val="clear"/>
          </w:tcPr>
          <w:p>
            <w:r>
              <w:rPr>
                <w:b/>
                <w:sz w:val="17"/>
              </w:rPr>
              <w:t>2,979</w:t>
            </w:r>
          </w:p>
        </w:tc>
        <w:tc>
          <w:tcPr>
            <w:tcW w:type="dxa" w:w="1440"/>
            <w:shd w:fill="FFDCE0" w:val="clear"/>
          </w:tcPr>
          <w:p>
            <w:r>
              <w:rPr>
                <w:sz w:val="17"/>
              </w:rPr>
              <w:t>3,418</w:t>
            </w:r>
          </w:p>
        </w:tc>
        <w:tc>
          <w:tcPr>
            <w:tcW w:type="dxa" w:w="1440"/>
            <w:shd w:fill="FFDCE0" w:val="clear"/>
          </w:tcPr>
          <w:p>
            <w:r>
              <w:rPr>
                <w:b/>
                <w:color w:val="C00000"/>
                <w:sz w:val="17"/>
              </w:rPr>
              <w:t>-2.8%</w:t>
            </w:r>
          </w:p>
        </w:tc>
      </w:tr>
      <w:tr>
        <w:tc>
          <w:tcPr>
            <w:tcW w:type="dxa" w:w="1440"/>
            <w:shd w:fill="FFDCE0" w:val="clear"/>
          </w:tcPr>
          <w:p>
            <w:r>
              <w:rPr>
                <w:sz w:val="17"/>
              </w:rPr>
              <w:t>J+10  ⭐</w:t>
            </w:r>
          </w:p>
        </w:tc>
        <w:tc>
          <w:tcPr>
            <w:tcW w:type="dxa" w:w="1440"/>
            <w:shd w:fill="FFDCE0" w:val="clear"/>
          </w:tcPr>
          <w:p>
            <w:r>
              <w:rPr>
                <w:sz w:val="17"/>
              </w:rPr>
              <w:t>2026-10-29</w:t>
            </w:r>
          </w:p>
        </w:tc>
        <w:tc>
          <w:tcPr>
            <w:tcW w:type="dxa" w:w="1440"/>
            <w:shd w:fill="FFDCE0" w:val="clear"/>
          </w:tcPr>
          <w:p>
            <w:r>
              <w:rPr>
                <w:sz w:val="17"/>
              </w:rPr>
              <w:t>2,513</w:t>
            </w:r>
          </w:p>
        </w:tc>
        <w:tc>
          <w:tcPr>
            <w:tcW w:type="dxa" w:w="1440"/>
            <w:shd w:fill="FFDCE0" w:val="clear"/>
          </w:tcPr>
          <w:p>
            <w:r>
              <w:rPr>
                <w:b/>
                <w:sz w:val="17"/>
              </w:rPr>
              <w:t>2,975</w:t>
            </w:r>
          </w:p>
        </w:tc>
        <w:tc>
          <w:tcPr>
            <w:tcW w:type="dxa" w:w="1440"/>
            <w:shd w:fill="FFDCE0" w:val="clear"/>
          </w:tcPr>
          <w:p>
            <w:r>
              <w:rPr>
                <w:sz w:val="17"/>
              </w:rPr>
              <w:t>3,436</w:t>
            </w:r>
          </w:p>
        </w:tc>
        <w:tc>
          <w:tcPr>
            <w:tcW w:type="dxa" w:w="1440"/>
            <w:shd w:fill="FFDCE0" w:val="clear"/>
          </w:tcPr>
          <w:p>
            <w:r>
              <w:rPr>
                <w:b/>
                <w:color w:val="C00000"/>
                <w:sz w:val="17"/>
              </w:rPr>
              <w:t>-3.0%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Stocks</w:t>
            </w:r>
          </w:p>
        </w:tc>
        <w:tc>
          <w:tcPr>
            <w:tcW w:type="dxa" w:w="1984"/>
            <w:shd w:fill="C6EFCE" w:val="clear"/>
          </w:tcPr>
          <w:p>
            <w:r>
              <w:rPr>
                <w:b/>
                <w:color w:val="006400"/>
                <w:sz w:val="17"/>
              </w:rPr>
              <w:t>1.280 Mds FCFA</w:t>
            </w:r>
          </w:p>
        </w:tc>
        <w:tc>
          <w:tcPr>
            <w:tcW w:type="dxa" w:w="5669"/>
            <w:shd w:fill="FFFFFF" w:val="clear"/>
          </w:tcPr>
          <w:p>
            <w:r>
              <w:rPr>
                <w:color w:val="282828"/>
                <w:sz w:val="15"/>
              </w:rPr>
              <w:t>Rotation stocks = 71.9x/an.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118.327 Mds FCFA</w:t>
            </w:r>
          </w:p>
        </w:tc>
        <w:tc>
          <w:tcPr>
            <w:tcW w:type="dxa" w:w="5669"/>
            <w:shd w:fill="FFFFFF" w:val="clear"/>
          </w:tcPr>
          <w:p>
            <w:r>
              <w:rPr>
                <w:color w:val="282828"/>
                <w:sz w:val="15"/>
              </w:rPr>
              <w:t>Ratio actif circ./passif circ. = 0.67x.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267.07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54.655 Mds FCFA</w:t>
            </w:r>
          </w:p>
        </w:tc>
        <w:tc>
          <w:tcPr>
            <w:tcW w:type="dxa" w:w="5669"/>
            <w:shd w:fill="FFFFFF" w:val="clear"/>
          </w:tcPr>
          <w:p>
            <w:r>
              <w:rPr>
                <w:color w:val="282828"/>
                <w:sz w:val="15"/>
              </w:rPr>
              <w:t>Outil industriel (21.1%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64.340 Mds FCFA</w:t>
            </w:r>
          </w:p>
        </w:tc>
        <w:tc>
          <w:tcPr>
            <w:tcW w:type="dxa" w:w="5669"/>
            <w:shd w:fill="FFFFFF" w:val="clear"/>
          </w:tcPr>
          <w:p>
            <w:r>
              <w:rPr>
                <w:color w:val="282828"/>
                <w:sz w:val="15"/>
              </w:rPr>
              <w:t>Actif immobilisé = 24.8%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76.782 Mds FCFA</w:t>
            </w:r>
          </w:p>
        </w:tc>
        <w:tc>
          <w:tcPr>
            <w:tcW w:type="dxa" w:w="5669"/>
            <w:shd w:fill="FFFFFF" w:val="clear"/>
          </w:tcPr>
          <w:p>
            <w:r>
              <w:rPr>
                <w:color w:val="282828"/>
                <w:sz w:val="15"/>
              </w:rPr>
              <w:t>Liquidités disponibles (29.6%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259.448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10.887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61.200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73.552 Mds FCFA</w:t>
            </w:r>
          </w:p>
        </w:tc>
        <w:tc>
          <w:tcPr>
            <w:tcW w:type="dxa" w:w="5669"/>
            <w:shd w:fill="FFFFFF" w:val="clear"/>
          </w:tcPr>
          <w:p>
            <w:r>
              <w:rPr>
                <w:color w:val="282828"/>
                <w:sz w:val="15"/>
              </w:rPr>
              <w:t>Fonds propres = 28.3%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81.783 Mds FCFA</w:t>
            </w:r>
          </w:p>
        </w:tc>
        <w:tc>
          <w:tcPr>
            <w:tcW w:type="dxa" w:w="5669"/>
            <w:shd w:fill="FFFFFF" w:val="clear"/>
          </w:tcPr>
          <w:p>
            <w:r>
              <w:rPr>
                <w:color w:val="282828"/>
                <w:sz w:val="15"/>
              </w:rPr>
              <w:t>Capitaux permanents / Actif immobilisé = 1.27x.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8.231 Mds FCFA</w:t>
            </w:r>
          </w:p>
        </w:tc>
        <w:tc>
          <w:tcPr>
            <w:tcW w:type="dxa" w:w="5669"/>
            <w:shd w:fill="FFFFFF" w:val="clear"/>
          </w:tcPr>
          <w:p>
            <w:r>
              <w:rPr>
                <w:color w:val="282828"/>
                <w:sz w:val="15"/>
              </w:rPr>
              <w:t>Dette LT/MT = 11%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10.231 Mds FCFA</w:t>
            </w:r>
          </w:p>
        </w:tc>
        <w:tc>
          <w:tcPr>
            <w:tcW w:type="dxa" w:w="5669"/>
            <w:shd w:fill="FFFFFF" w:val="clear"/>
          </w:tcPr>
          <w:p>
            <w:r>
              <w:rPr>
                <w:color w:val="282828"/>
                <w:sz w:val="15"/>
              </w:rPr>
              <w:t>Dette financière totale = 14%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185.896 Mds FCFA</w:t>
            </w:r>
          </w:p>
        </w:tc>
        <w:tc>
          <w:tcPr>
            <w:tcW w:type="dxa" w:w="5669"/>
            <w:shd w:fill="FFFFFF" w:val="clear"/>
          </w:tcPr>
          <w:p>
            <w:r>
              <w:rPr>
                <w:color w:val="282828"/>
                <w:sz w:val="15"/>
              </w:rPr>
              <w:t>Dettes totales = 71.7%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92.004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92.004 Mds FCFA</w:t>
            </w:r>
          </w:p>
        </w:tc>
        <w:tc>
          <w:tcPr>
            <w:tcW w:type="dxa" w:w="5669"/>
            <w:shd w:fill="FFFFFF" w:val="clear"/>
          </w:tcPr>
          <w:p>
            <w:r>
              <w:rPr>
                <w:color w:val="282828"/>
                <w:sz w:val="15"/>
              </w:rPr>
              <w:t>Chiffre d'affaires. Croissance: 7.4%.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9.043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FFEB9C" w:val="clear"/>
          </w:tcPr>
          <w:p>
            <w:r>
              <w:rPr>
                <w:b/>
                <w:color w:val="006400"/>
                <w:sz w:val="17"/>
              </w:rPr>
              <w:t>36.205 Mds FCFA</w:t>
            </w:r>
          </w:p>
        </w:tc>
        <w:tc>
          <w:tcPr>
            <w:tcW w:type="dxa" w:w="5669"/>
            <w:shd w:fill="FFFFFF" w:val="clear"/>
          </w:tcPr>
          <w:p>
            <w:r>
              <w:rPr>
                <w:color w:val="282828"/>
                <w:sz w:val="15"/>
              </w:rPr>
              <w:t>Masse salariale = 39.4% des revenus. ⚠️ Masse salariale importante.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40.469 Mds FCFA</w:t>
            </w:r>
          </w:p>
        </w:tc>
        <w:tc>
          <w:tcPr>
            <w:tcW w:type="dxa" w:w="5669"/>
            <w:shd w:fill="FFFFFF" w:val="clear"/>
          </w:tcPr>
          <w:p>
            <w:r>
              <w:rPr>
                <w:color w:val="282828"/>
                <w:sz w:val="15"/>
              </w:rPr>
              <w:t>VA = 44.0% du CA. ✅ Forte valeur ajoutée — activité à haute marge brute.</w:t>
            </w:r>
          </w:p>
        </w:tc>
      </w:tr>
      <w:tr>
        <w:tc>
          <w:tcPr>
            <w:tcW w:type="dxa" w:w="2268"/>
            <w:shd w:fill="EEF2F7" w:val="clear"/>
          </w:tcPr>
          <w:p>
            <w:r>
              <w:rPr>
                <w:b/>
                <w:color w:val="1E1E3C"/>
                <w:sz w:val="16"/>
              </w:rPr>
              <w:t>EBE</w:t>
            </w:r>
          </w:p>
        </w:tc>
        <w:tc>
          <w:tcPr>
            <w:tcW w:type="dxa" w:w="1984"/>
            <w:shd w:fill="FFEB9C" w:val="clear"/>
          </w:tcPr>
          <w:p>
            <w:r>
              <w:rPr>
                <w:b/>
                <w:color w:val="006400"/>
                <w:sz w:val="17"/>
              </w:rPr>
              <w:t>4.264 Mds FCFA</w:t>
            </w:r>
          </w:p>
        </w:tc>
        <w:tc>
          <w:tcPr>
            <w:tcW w:type="dxa" w:w="5669"/>
            <w:shd w:fill="FFFFFF" w:val="clear"/>
          </w:tcPr>
          <w:p>
            <w:r>
              <w:rPr>
                <w:color w:val="282828"/>
                <w:sz w:val="15"/>
              </w:rPr>
              <w:t>EBE = 4.6%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-2.271 Mds FCFA</w:t>
            </w:r>
          </w:p>
        </w:tc>
        <w:tc>
          <w:tcPr>
            <w:tcW w:type="dxa" w:w="5669"/>
            <w:shd w:fill="FFFFFF" w:val="clear"/>
          </w:tcPr>
          <w:p>
            <w:r>
              <w:rPr>
                <w:color w:val="282828"/>
                <w:sz w:val="15"/>
              </w:rPr>
              <w:t>Profit d'exploitation = -2.5% des revenus. ❌ Perte d'exploitation — l'activité principale ne couvre pas ses coûts.</w:t>
            </w:r>
          </w:p>
        </w:tc>
      </w:tr>
      <w:tr>
        <w:tc>
          <w:tcPr>
            <w:tcW w:type="dxa" w:w="2268"/>
            <w:shd w:fill="EEF2F7" w:val="clear"/>
          </w:tcPr>
          <w:p>
            <w:r>
              <w:rPr>
                <w:b/>
                <w:color w:val="1E1E3C"/>
                <w:sz w:val="16"/>
              </w:rPr>
              <w:t>Résultat net</w:t>
            </w:r>
          </w:p>
        </w:tc>
        <w:tc>
          <w:tcPr>
            <w:tcW w:type="dxa" w:w="1984"/>
            <w:shd w:fill="FFEB9C" w:val="clear"/>
          </w:tcPr>
          <w:p>
            <w:r>
              <w:rPr>
                <w:b/>
                <w:color w:val="006400"/>
                <w:sz w:val="17"/>
              </w:rPr>
              <w:t>784.97 M FCFA</w:t>
            </w:r>
          </w:p>
        </w:tc>
        <w:tc>
          <w:tcPr>
            <w:tcW w:type="dxa" w:w="5669"/>
            <w:shd w:fill="FFFFFF" w:val="clear"/>
          </w:tcPr>
          <w:p>
            <w:r>
              <w:rPr>
                <w:color w:val="282828"/>
                <w:sz w:val="15"/>
              </w:rPr>
              <w:t>Marge nette = 0.9%.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7.503 Mds FCFA</w:t>
            </w:r>
          </w:p>
        </w:tc>
        <w:tc>
          <w:tcPr>
            <w:tcW w:type="dxa" w:w="5669"/>
            <w:shd w:fill="FFFFFF" w:val="clear"/>
          </w:tcPr>
          <w:p>
            <w:r>
              <w:rPr>
                <w:color w:val="282828"/>
                <w:sz w:val="15"/>
              </w:rPr>
              <w:t>CAF = 7.50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83.198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-19.195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-4.838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55.471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-57.339 Mds FCFA</w:t>
            </w:r>
          </w:p>
        </w:tc>
        <w:tc>
          <w:tcPr>
            <w:tcW w:type="dxa" w:w="5669"/>
            <w:shd w:fill="FFFFFF" w:val="clear"/>
          </w:tcPr>
          <w:p>
            <w:r>
              <w:rPr>
                <w:color w:val="282828"/>
                <w:sz w:val="15"/>
              </w:rPr>
              <w:t>BFR = -62.3%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17.443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74.782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FFEB9C" w:val="clear"/>
          </w:tcPr>
          <w:p>
            <w:r>
              <w:rPr>
                <w:b/>
                <w:color w:val="006400"/>
                <w:sz w:val="17"/>
              </w:rPr>
              <w:t>0.85%</w:t>
            </w:r>
          </w:p>
        </w:tc>
        <w:tc>
          <w:tcPr>
            <w:tcW w:type="dxa" w:w="5669"/>
            <w:shd w:fill="FFFFFF" w:val="clear"/>
          </w:tcPr>
          <w:p>
            <w:r>
              <w:rPr>
                <w:color w:val="282828"/>
                <w:sz w:val="15"/>
              </w:rPr>
              <w:t>Résultat net / revenus = 0.85%. ⚠️ Marge nette très fine — sensible aux aléas.</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-2.47%</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1.07%</w:t>
            </w:r>
          </w:p>
        </w:tc>
        <w:tc>
          <w:tcPr>
            <w:tcW w:type="dxa" w:w="5669"/>
            <w:shd w:fill="FFFFFF" w:val="clear"/>
          </w:tcPr>
          <w:p>
            <w:r>
              <w:rPr>
                <w:color w:val="282828"/>
                <w:sz w:val="15"/>
              </w:rPr>
              <w:t>Résultat net / capitaux propres = 1.07%.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0.30%</w:t>
            </w:r>
          </w:p>
        </w:tc>
        <w:tc>
          <w:tcPr>
            <w:tcW w:type="dxa" w:w="5669"/>
            <w:shd w:fill="FFFFFF" w:val="clear"/>
          </w:tcPr>
          <w:p>
            <w:r>
              <w:rPr>
                <w:color w:val="282828"/>
                <w:sz w:val="15"/>
              </w:rPr>
              <w:t>Résultat net / total actif = 0.30%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35.46%</w:t>
            </w:r>
          </w:p>
        </w:tc>
        <w:tc>
          <w:tcPr>
            <w:tcW w:type="dxa" w:w="5669"/>
            <w:shd w:fill="FFFFFF" w:val="clear"/>
          </w:tcPr>
          <w:p>
            <w:r>
              <w:rPr>
                <w:color w:val="282828"/>
                <w:sz w:val="15"/>
              </w:rPr>
              <w:t>CA / total actif = 35.46x. ⚠️ Actifs peu utilisés.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7.43%</w:t>
            </w:r>
          </w:p>
        </w:tc>
        <w:tc>
          <w:tcPr>
            <w:tcW w:type="dxa" w:w="5669"/>
            <w:shd w:fill="FFFFFF" w:val="clear"/>
          </w:tcPr>
          <w:p>
            <w:r>
              <w:rPr>
                <w:color w:val="282828"/>
                <w:sz w:val="15"/>
              </w:rPr>
              <w:t>Croissance CA vs exercice précédent = 7.43%.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28.35%</w:t>
            </w:r>
          </w:p>
        </w:tc>
        <w:tc>
          <w:tcPr>
            <w:tcW w:type="dxa" w:w="5669"/>
            <w:shd w:fill="FFFFFF" w:val="clear"/>
          </w:tcPr>
          <w:p>
            <w:r>
              <w:rPr>
                <w:color w:val="282828"/>
                <w:sz w:val="15"/>
              </w:rPr>
              <w:t>Fonds propres / total bilan = 28.35%.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71.65%</w:t>
            </w:r>
          </w:p>
        </w:tc>
        <w:tc>
          <w:tcPr>
            <w:tcW w:type="dxa" w:w="5669"/>
            <w:shd w:fill="FFFFFF" w:val="clear"/>
          </w:tcPr>
          <w:p>
            <w:r>
              <w:rPr>
                <w:color w:val="282828"/>
                <w:sz w:val="15"/>
              </w:rPr>
              <w:t>Dettes financières / total bilan = 71.65%.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13.91%</w:t>
            </w:r>
          </w:p>
        </w:tc>
        <w:tc>
          <w:tcPr>
            <w:tcW w:type="dxa" w:w="5669"/>
            <w:shd w:fill="FFFFFF" w:val="clear"/>
          </w:tcPr>
          <w:p>
            <w:r>
              <w:rPr>
                <w:color w:val="282828"/>
                <w:sz w:val="15"/>
              </w:rPr>
              <w:t>Dettes totales / fonds propres = 13.91%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139.57%</w:t>
            </w:r>
          </w:p>
        </w:tc>
        <w:tc>
          <w:tcPr>
            <w:tcW w:type="dxa" w:w="5669"/>
            <w:shd w:fill="FFFFFF" w:val="clear"/>
          </w:tcPr>
          <w:p>
            <w:r>
              <w:rPr>
                <w:color w:val="282828"/>
                <w:sz w:val="15"/>
              </w:rPr>
              <w:t>Total actif / dettes totales = 139.57x.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109.82%</w:t>
            </w:r>
          </w:p>
        </w:tc>
        <w:tc>
          <w:tcPr>
            <w:tcW w:type="dxa" w:w="5669"/>
            <w:shd w:fill="FFFFFF" w:val="clear"/>
          </w:tcPr>
          <w:p>
            <w:r>
              <w:rPr>
                <w:color w:val="282828"/>
                <w:sz w:val="15"/>
              </w:rPr>
              <w:t>Actif circulant / passif circulant = 109.82x. ✅ Liquidité satisfaisante.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43.22%</w:t>
            </w:r>
          </w:p>
        </w:tc>
        <w:tc>
          <w:tcPr>
            <w:tcW w:type="dxa" w:w="5669"/>
            <w:shd w:fill="FFFFFF" w:val="clear"/>
          </w:tcPr>
          <w:p>
            <w:r>
              <w:rPr>
                <w:color w:val="282828"/>
                <w:sz w:val="15"/>
              </w:rPr>
              <w:t>Trésorerie / passif circulant = 43.22x.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109.10%</w:t>
            </w:r>
          </w:p>
        </w:tc>
        <w:tc>
          <w:tcPr>
            <w:tcW w:type="dxa" w:w="5669"/>
            <w:shd w:fill="FFFFFF" w:val="clear"/>
          </w:tcPr>
          <w:p>
            <w:r>
              <w:rPr>
                <w:color w:val="282828"/>
                <w:sz w:val="15"/>
              </w:rPr>
              <w:t>(Actif circ. - stocks) / passif circ. = 109.10x.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127.11%</w:t>
            </w:r>
          </w:p>
        </w:tc>
        <w:tc>
          <w:tcPr>
            <w:tcW w:type="dxa" w:w="5669"/>
            <w:shd w:fill="FFFFFF" w:val="clear"/>
          </w:tcPr>
          <w:p>
            <w:r>
              <w:rPr>
                <w:color w:val="282828"/>
                <w:sz w:val="15"/>
              </w:rPr>
              <w:t>Capitaux permanents / actif immobilisé = 127.11x.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1.4 ans</w:t>
            </w:r>
          </w:p>
        </w:tc>
        <w:tc>
          <w:tcPr>
            <w:tcW w:type="dxa" w:w="5669"/>
            <w:shd w:fill="FFFFFF" w:val="clear"/>
          </w:tcPr>
          <w:p>
            <w:r>
              <w:rPr>
                <w:color w:val="282828"/>
                <w:sz w:val="15"/>
              </w:rPr>
              <w:t>Dettes financières / CAF = 1.4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B40000"/>
                <w:sz w:val="17"/>
              </w:rPr>
              <w:t>-289.33%</w:t>
            </w:r>
          </w:p>
        </w:tc>
        <w:tc>
          <w:tcPr>
            <w:tcW w:type="dxa" w:w="5669"/>
            <w:shd w:fill="FFFFFF" w:val="clear"/>
          </w:tcPr>
          <w:p>
            <w:r>
              <w:rPr>
                <w:color w:val="282828"/>
                <w:sz w:val="15"/>
              </w:rPr>
              <w:t>Résultat exploit. / charges financières = -289.33x. ❌ L'exploitation ne couvre pas les charges financières.</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27.06%</w:t>
            </w:r>
          </w:p>
        </w:tc>
        <w:tc>
          <w:tcPr>
            <w:tcW w:type="dxa" w:w="5669"/>
            <w:shd w:fill="FFFFFF" w:val="clear"/>
          </w:tcPr>
          <w:p>
            <w:r>
              <w:rPr>
                <w:color w:val="282828"/>
                <w:sz w:val="15"/>
              </w:rPr>
              <w:t>CAF / investissements = 27.06x. ⚠️ Financement externe nécessaire pour les investissements.</w:t>
            </w:r>
          </w:p>
        </w:tc>
      </w:tr>
    </w:tbl>
    <w:p/>
    <w:p>
      <w:pPr>
        <w:spacing w:after="120" w:line="276" w:lineRule="auto"/>
      </w:pPr>
      <w:r>
        <w:t>**RAPPORT D'ANALYSE FINANCIÈRE — SDSC (AGL CÔTE D'IVOIRE)**</w:t>
        <w:br/>
        <w:t>*Bourse Régionale des Valeurs Mobilières (BRVM)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166,84 milliards FCFA, SDSC figure parmi les valeurs moyennes-capitalisations de la BRVM, ce qui la place dans une catégorie intermédiaire du marché régional. Le BPA de 14 FCFA/action signifie que chaque titre génère seulement 14 FCFA de bénéfice net, un niveau très faible qui contraste avec le cours actuel de 3 065 FCFA. Le PER de 212,5x traduit une valorisation extrêmement tendue : les investisseurs paient plus de 212 fois les bénéfices pour acquérir l'action, alors que le PER moyen de la BRVM oscille entre 8x et 12x — soit un écart de plus de 17 fois la norme du marché, signalant une prime spéculative ou une anticipation de forte reprise bénéficiaire. Le P/B de 2,27x indique que le marché valorise la société à plus du double de sa valeur comptable (73,55 Mds FCFA de capitaux propres), ce qui reste dans la fourchette 2-4x typique d'une prime de croissance, mais devient difficile à justifier avec une marge nette de 0,85%. Enfin, l'EV/EBITDA de 24,0x (contre un seuil d'alerte de 15x) confirme que la valeur d'entreprise est très exigeante par rapport à la capacité opérationnelle réelle (EBITDA de 4,26 Mds FCFA), ce qui rend le titre vulnérable à toute déception opérationnelle.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SDSC a enregistré une progression spectaculaire de +80,29%, passant d'un plus bas de 1 690 FCFA à un plus haut de 3 205 FCFA, avant de clôturer à 3 065 FCFA, en léger repli de -1,13% lors de la dernière séance. Le range de trading de 1 515 FCFA (soit près de 90% du cours bas) témoigne d'une dynamique haussière puissante, bien que le repli récent depuis le sommet suggère un essoufflement de la tendance. Les statistiques descriptives révèlent une moyenne de 2 608 FCFA inférieure à la médiane de 2 698 FCFA, ce qui indique une asymétrie négative confirmée par le skewness de -0,620 : le cours a passé plus de journées au-dessus de la moyenne, mais quelques séances de forte baisse ont tiré la moyenne vers le bas. L'écart-type de 378 FCFA avec un coefficient de variation de 14,5% traduit une dispersion modérée autour de la moyenne, tandis que le kurtosis de -0,437 (mésokurtique) indique une distribution proche de la normale, sans risque excessif de pics extrêmes. La volatilité annualisée de 51,8% classe ce titre dans la catégorie des valeurs à volatilité élevée (&gt;30%), ce qui implique un risque de perte en capital significatif et justifie une approche prudente.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(2 959,25 FCFA) et la MM50 (2 876,5 FCFA) se situent toutes deux en dessous du cours actuel (3 065 FCFA), avec la MM20 au-dessus de la MM50, configurant un croisement haussier classique. Cette configuration en "golden cross" confirme la tendance haussière de moyen terme et justifie la décision d'achat, bien que le cours s'éloigne progressivement de ses moyennes, ce qui pourrait annoncer une correction.</w:t>
      </w:r>
    </w:p>
    <w:p>
      <w:pPr>
        <w:spacing w:after="120" w:line="276" w:lineRule="auto"/>
      </w:pPr>
      <w:r>
        <w:t>**Bandes de Bollinger** : Le cours (3 065 FCFA) évolue dans la partie supérieure de la bande, entre la borne inférieure (2 758,59 FCFA) et la borne supérieure (3 159,91 FCFA), sans la franchir. Cette position neutre indique que le titre n'est ni en surachat extrême ni en survente, mais la proximité de la borne haute suggère une résistance à 3 160 FCFA qui pourrait limiter la progression à court terme.</w:t>
      </w:r>
    </w:p>
    <w:p>
      <w:pPr>
        <w:spacing w:after="120" w:line="276" w:lineRule="auto"/>
      </w:pPr>
      <w:r>
        <w:t>**MACD** : La valeur du MACD (38,962) dépasse son signal (35,784), générant un histogramme positif qui confirme un momentum haussier. Cependant, l'écart entre les deux lignes reste modéré, ce qui indique une dynamique positive mais sans accélération marquée, justifiant la décision d'achat tout en appelant à la vigilance sur un éventuel croisement baissier.</w:t>
      </w:r>
    </w:p>
    <w:p>
      <w:pPr>
        <w:spacing w:after="120" w:line="276" w:lineRule="auto"/>
      </w:pPr>
      <w:r>
        <w:t>**RSI** : À 61,277, le RSI se situe en zone neutre-haute (entre 30 et 70), sans atteindre le seuil de surachat de 70. Cette position indique que le titre conserve un potentiel de hausse sans être techniquement épuisé, ce qui justifie la décision neutre — ni signal d'achat agressif, ni signal de vente.</w:t>
      </w:r>
    </w:p>
    <w:p>
      <w:pPr>
        <w:spacing w:after="120" w:line="276" w:lineRule="auto"/>
      </w:pPr>
      <w:r>
        <w:t>**Stochastique** : Le %K (85,417) et le %D (86,664) évoluent tous deux en zone de surachat (&gt;80), avec le %K légèrement en dessous du %D, ce qui pourrait annoncer un croisement baissier imminent. Cette configuration justifie la décision de vente à court terme, car elle suggère que le cours pourrait corriger après sa forte progression.</w:t>
      </w:r>
    </w:p>
    <w:p>
      <w:pPr>
        <w:spacing w:after="120" w:line="276" w:lineRule="auto"/>
      </w:pPr>
      <w:r>
        <w:t>**Conclusion technique** : Les indicateurs présentent une divergence préoccupante : les moyennes mobiles et le MACD confirment la tendance haussière de fond, mais le stochastique en zone de surachat et la proximité de la borne supérieure de Bollinger signalent un essoufflement à court terme. Le RSI neutre laisse la porte ouverte à une consolidation avant une reprise éventuelle. Globalement, le titre est en phase de transition entre momentum haussier et correction technique, ce qui plaide pour une prudence à court terme malgré un fond de tendance positive.</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**Données structurées (exercice 2025)** : En 2025, AGL Côte d'Ivoire a réalisé un chiffre d'affaires de 92,004 Mds FCFA, en croissance de 7,43% par rapport aux 85,643 Mds FCFA de 2024, portée par le cœur de métier (travaux et services vendus : 83,095 Mds FCFA, +8,5%). Cependant, le résultat net s'est effondré à 784,97 M FCFA (0,785 Md FCFA), contre 21,069 Mds FCFA en 2024, soit une chute de 96%, ramenant la marge nette à 0,85% (contre 24,6% en 2024). Le résultat d'exploitation est devenu négatif à -2,271 Mds FCFA, pénalisé par une hausse de 41% des dotations aux amortissements (9,043 Mds FCFA) et des charges de personnel (36,205 Mds FCFA). La rentabilité des fonds propres (ROE) s'établit à seulement 1,07% (très loin du seuil de 15% considéré comme excellent), et le ROA à 0,30%, confirmant la dégradation de l'efficacité opérationnelle. La structure financière reste solide avec des capitaux propres de 73,55 Mds FCFA, une trésorerie nette de 74,78 Mds FCFA et un BFR négatif de -57,34 Mds FCFA (favorable pour une entreprise de logistique), mais l'autonomie financière de 28,35% reste légèrement en dessous du seuil de 30% considéré comme sain.</w:t>
      </w:r>
    </w:p>
    <w:p>
      <w:pPr>
        <w:spacing w:after="120" w:line="276" w:lineRule="auto"/>
      </w:pPr>
      <w:r>
        <w:t>**Analyse sectorielle (entreprise non bancaire)** : Le BFR négatif (-57,34 Mds FCFA) est un point positif majeur, typique des activités de transit et de logistique où les clients paient avant que l'entreprise ne règle ses fournisseurs. La rotation des actifs de 35,46% (CA/Total Actif) indique une utilisation modérée des actifs, tandis que le ratio d'endettement de 13,91% (dettes totales/capitaux propres) reste contenu. Cependant, la couverture des intérêts est négative (-289,33%), ce qui signifie que le résultat d'exploitation ne couvre pas les charges financières, un signal d'alerte sur la soutenabilité de la dette à moyen terme.</w:t>
      </w:r>
    </w:p>
    <w:p>
      <w:pPr>
        <w:spacing w:after="120" w:line="276" w:lineRule="auto"/>
      </w:pPr>
      <w:r>
        <w:t>**Estimations basées sur les rapports trimestriels** : Le rapport du T1 2025 (publié le 08/04/2025) indiquait un CA de 24,897 Mds FCFA (+6,2%) et un résultat net positif de 223,165 M FCFA, contre une perte de -193,185 M FCFA au T1 2024. Le rapport du S1 2025 (publié le 30/06/2025) faisait état d'un CA de 44,452 Mds FCFA (+4,2%) mais d'un résultat net négatif de -427 M FCFA, en raison de l'absence de dividendes perçus des filiales. Le rapport du T3 2025 (publié le 30/09/2025) montrait un CA de 66,217 Mds FCFA (+7,4%) et un résultat net de 4,341 Mds FCFA, en chute de 77% par rapport au T3 2024, toujours à cause de la volatilité des dividendes de filiales. Sur la base de ces tendances, on estime que l'exercice 2026 devrait bénéficier d'une base de comparaison plus favorable (absence de l'effet exceptionnel des dividendes de 2024) et d'une croissance organique soutenue par la campagne cacao et le transit minier, mais la rentabilité opérationnelle pourrait rester sous pression si les charges d'amortissement et de personnel ne sont pas maîtrisées.</w:t>
      </w:r>
    </w:p>
    <w:p>
      <w:pPr>
        <w:spacing w:after="120" w:line="276" w:lineRule="auto"/>
      </w:pPr>
      <w:r>
        <w:t>**Recommandation fondamentale** : La société présente un profil contrasté : solidité du bilan (trésorerie abondante, BFR négatif, capitaux propres élevés) mais fragilité de la rentabilité (marge nette de 0,85%, ROE de 1,07%, résultat d'exploitation négatif). La chute du dividende (544,353 M FCFA proposé pour 2025, contre 5,008 Mds FCFA en 2024, soit -89%) reflète cette dégradation. Les rapports d'audit (Deloitte et ECR International, août 2026) certifient les comptes sans réserve, mais signalent des manquements réglementaires (retard de publication, non-respect des délais OHADA) qui constituent un risque de gouvernance. La recommandation fondamentale est de **CONSERVER** le titre, en surveillant la capacité de la direction à restaurer les marges opérationnelles au premier semestre 2026.</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révèle un profil d'investissement très déséquilibré. **En termes de valorisation (Partie 0)**, les ratios sont extrêmement tendus : PER de 212,5x (17 fois la moyenne BRVM), EV/EBITDA de 24,0x et P/B de 2,27x, ce qui indique une nette surévaluation par rapport aux fondamentaux actuels. **Le comportement du cours (Partie 1)** montre une hausse spectaculaire de +80,29% sur 100 jours, avec une volatilité élevée de 51,8% et un skewness négatif de -0,620, signalant que la tendance haussière pourrait s'essouffler après avoir atteint un sommet de 3 205 FCFA. **Les signaux techniques (Partie 2)** sont divergents : les moyennes mobiles et le MACD confirment la tendance haussière, mais le stochastique en zone de surachat (%K=85,4, %D=86,7) et la proximité de la borne supérieure de Bollinger (3 159,91 FCFA) annoncent une correction imminente. **Les fondamentaux (Partie 3)** sont préoccupants : malgré un CA de 92,004 Mds FCFA en 2025 (+7,43%), le résultat net s'est effondré à 784,97 M FCFA (-96%), avec un ROE de 1,07% et une marge nette de 0,85%, bien que la trésorerie nette de 74,78 Mds FCFA et le BFR négatif de -57,34 Mds FCFA témoignent d'une solidité financière sous-jacente. **Les prédictions IA (J+1 à J+10)** anticipent une trajectoire baissière graduelle, de 3 039 FCFA le 16/10/2026 à 2 999 FCFA le 22/10/2026, ce qui confirme les signaux de correction technique et contredit la tendance haussière passée.</w:t>
      </w:r>
    </w:p>
    <w:p>
      <w:pPr>
        <w:spacing w:after="120" w:line="276" w:lineRule="auto"/>
      </w:pPr>
      <w:r>
        <w:t>**Recommandation finale : CONSERVER (avec vigilance accrue)**. La convergence entre la surévaluation (PER 212,5x), les signaux techniques de surachat (stochastique &gt;85) et les prédictions baissières à court terme plaide contre un achat immédiat. Cependant, la solidité du bilan (trésorerie de 74,78 Mds FCFA, BFR négatif) et la croissance du chiffre d'affaires (+7,43%) justifient de ne pas vendre précipitamment, dans l'attente d'une clarification sur la rentabilité opérationnelle au premier semestre 2026. **Niveau de confiance : Moyen** — les données fondamentales sont fiables (audit sans réserve), mais la volatilité des dividendes de filiales et les manquements réglementaires introduisent une incertitude. **Niveau de risque global : Élevé** — la volatilité annualisée de 51,8%, le PER extrême et la dégradation de la rentabilité exposent le titre à un risque de correction significatif. **Horizon d'investissement optimal : Moyen terme (3-12 mois)** — le temps que la société démontre sa capacité à restaurer ses marges et que la valorisation se normalise.</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"conserver", "justification": "Le document ne fournit aucune donn\u00e9e financi\u00e8re permettant d\u2019\u00e9mettre une recommandation d\u2019achat ou de vente. En l\u2019absence d\u2019informations, une position neutre est retenue par d\u00e9faut."}</w:t>
      </w:r>
    </w:p>
    <w:p>
      <w:pPr>
        <w:spacing w:before="40"/>
        <w:ind w:left="400"/>
      </w:pPr>
      <w:r>
        <w:rPr>
          <w:sz w:val="18"/>
        </w:rPr>
        <w:t>Le document fourni ne contient que l’intitulé des états financiers de synthèse d’AGL au 31/12/2025. Aucun chiffre, commentaire ou détail comptable n’est inclus. Il est donc impossible d’évaluer la situation financière réelle de la société. Les états financiers annoncés sont exprimés en milliers de FCFA. Une analyse fiable nécessitera la publication des données complètes, notamment le bilan, le compte de résultat et les flux de trésorerie.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40"/>
        <w:ind w:left="400"/>
      </w:pPr>
      <w:r>
        <w:rPr>
          <w:b/>
          <w:color w:val="C05000"/>
          <w:sz w:val="18"/>
        </w:rPr>
        <w:t xml:space="preserve">⚠️ Risques : </w:t>
      </w:r>
      <w:r>
        <w:rPr>
          <w:sz w:val="18"/>
        </w:rPr>
        <w:t>[]</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40"/>
        <w:ind w:left="400"/>
      </w:pPr>
      <w:r>
        <w:rPr>
          <w:sz w:val="18"/>
        </w:rPr>
        <w:t>AGL Côte d'Ivoire, S.A. a vu ses états financiers annuels de l'exercice clos le 31 décembre 2025 certifiés sans réserve par ses commissaires aux comptes (Deloitte Côte d'Ivoire et ECR International), qui concluent à une image fidèle du résultat et du patrimoine conformément au SYSCOHADA révisé. Le chiffre d'affaires s'établit à 92 004 millions FCFA, soit 98,37% du total des produits des activités ordinaires, porté par des métiers diversifiés (consignation, manutention, transit maritime, fret aérien/express, transport ferroviaire, agence de voyage et location immobilière). Les auditeurs ont identifié deux points clés d'audit : la reconnaissance du chiffre d'affaires, exposée à un risque d'ant</w:t>
      </w:r>
      <w:r>
        <w:rPr>
          <w:sz w:val="18"/>
        </w:rPr>
        <w: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croissance du chiffre d'affaires et la tr\u00e9sorerie solide justifient de conserver le titre. Toutefois, la d\u00e9gradation de la rentabilit\u00e9 et la r\u00e9duction du dividende imposent une vigilance."}</w:t>
      </w:r>
    </w:p>
    <w:p>
      <w:pPr>
        <w:spacing w:before="40"/>
        <w:ind w:left="400"/>
      </w:pPr>
      <w:r>
        <w:rPr>
          <w:sz w:val="18"/>
        </w:rPr>
        <w:t>En 2025, AGL affiche une croissance de son chiffre d'affaires à 92,0 milliards FCFA, mais sa rentabilité s'effondre : le résultat net recule de 96% à 0,78 milliard FCFA. L'exploitation devient déficitaire, avec un résultat d'exploitation de -2,27 milliards FCFA, en raison notamment de la hausse des dotations. La solidité financière reste visible, avec une trésorerie nette de 74,78 milliards FCFA et des flux opérationnels de 83,2 milliards FCFA. L'endettement d'exploitation progresse fortement, portant le total du bilan à 259,45 milliards FCFA. Le dividende proposé est fortement réduit, traduisant la prudence de la société après l'exercice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'4 264 164 milliers FCFA', 'tresorerie_nette': '74 781 848 milliers FCFA', 'resultat_financier': '7 079 898 milliers FCFA', 'resultat_exploitation': '-2 271 029 milliers FCFA', 'dividende_total_propose': '544 353 milliers FCFA', 'flux_tresorerie_operationnel': '83 198 367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0,85 %</w:t>
            </w:r>
          </w:p>
        </w:tc>
        <w:tc>
          <w:tcPr>
            <w:tcW w:type="dxa" w:w="2160"/>
          </w:tcPr>
          <w:p>
            <w:pPr>
              <w:ind w:left="100"/>
            </w:pPr>
            <w:r/>
            <w:r>
              <w:rPr>
                <w:b/>
                <w:sz w:val="16"/>
              </w:rPr>
              <w:t>total_actif</w:t>
              <w:br/>
            </w:r>
            <w:r>
              <w:rPr>
                <w:sz w:val="18"/>
              </w:rPr>
              <w:t>259 448 240 milliers FCFA</w:t>
            </w:r>
          </w:p>
        </w:tc>
      </w:tr>
      <w:tr>
        <w:tc>
          <w:tcPr>
            <w:tcW w:type="dxa" w:w="2160"/>
          </w:tcPr>
          <w:p>
            <w:r/>
            <w:r>
              <w:rPr>
                <w:b/>
                <w:sz w:val="16"/>
              </w:rPr>
              <w:t>resultat_net</w:t>
              <w:br/>
            </w:r>
            <w:r>
              <w:rPr>
                <w:sz w:val="18"/>
              </w:rPr>
              <w:t>784 970 milliers FCFA</w:t>
            </w:r>
          </w:p>
        </w:tc>
        <w:tc>
          <w:tcPr>
            <w:tcW w:type="dxa" w:w="2160"/>
          </w:tcPr>
          <w:p>
            <w:r/>
            <w:r>
              <w:rPr>
                <w:b/>
                <w:sz w:val="16"/>
              </w:rPr>
              <w:t>capitaux_propres</w:t>
              <w:br/>
            </w:r>
            <w:r>
              <w:rPr>
                <w:sz w:val="18"/>
              </w:rPr>
              <w:t>73 551 806 milliers FCFA</w:t>
            </w:r>
          </w:p>
        </w:tc>
        <w:tc>
          <w:tcPr>
            <w:tcW w:type="dxa" w:w="2160"/>
          </w:tcPr>
          <w:p>
            <w:r/>
            <w:r>
              <w:rPr>
                <w:b/>
                <w:sz w:val="16"/>
              </w:rPr>
              <w:t>chiffre_affaires</w:t>
              <w:br/>
            </w:r>
            <w:r>
              <w:rPr>
                <w:sz w:val="18"/>
              </w:rPr>
              <w:t>92 004 268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2025 s'établit à 92,0 milliards FCFA, en hausse de 7,4% par rapport à 2024.</w:t>
      </w:r>
    </w:p>
    <w:p>
      <w:pPr>
        <w:pStyle w:val="ListBullet"/>
        <w:spacing w:before="20" w:after="20"/>
        <w:ind w:left="700"/>
      </w:pPr>
      <w:r>
        <w:rPr>
          <w:sz w:val="18"/>
        </w:rPr>
        <w:t>Le résultat net chute fortement à 0,78 milliard FCFA contre 21,07 milliards FCFA en 2024, soit une baisse d'environ 96%.</w:t>
      </w:r>
    </w:p>
    <w:p>
      <w:pPr>
        <w:pStyle w:val="ListBullet"/>
        <w:spacing w:before="20" w:after="20"/>
        <w:ind w:left="700"/>
      </w:pPr>
      <w:r>
        <w:rPr>
          <w:sz w:val="18"/>
        </w:rPr>
        <w:t>Le résultat d'exploitation devient négatif (-2,27 milliards FCFA), pénalisé par une hausse des dotations aux amortissements et provisions.</w:t>
      </w:r>
    </w:p>
    <w:p>
      <w:pPr>
        <w:pStyle w:val="ListBullet"/>
        <w:spacing w:before="20" w:after="20"/>
        <w:ind w:left="700"/>
      </w:pPr>
      <w:r>
        <w:rPr>
          <w:sz w:val="18"/>
        </w:rPr>
        <w:t>La trésorerie nette progresse nettement à 74,78 milliards FCFA grâce à une forte amélioration du flux opérationnel.</w:t>
      </w:r>
    </w:p>
    <w:p>
      <w:pPr>
        <w:pStyle w:val="ListBullet"/>
        <w:spacing w:before="20" w:after="20"/>
        <w:ind w:left="700"/>
      </w:pPr>
      <w:r>
        <w:rPr>
          <w:sz w:val="18"/>
        </w:rPr>
        <w:t>Le total du bilan augmente de 37,9% à 259,45 milliards FCFA, tiré par la trésorerie et les dettes d'exploitation.</w:t>
      </w:r>
    </w:p>
    <w:p>
      <w:pPr>
        <w:pStyle w:val="ListBullet"/>
        <w:spacing w:before="20" w:after="20"/>
        <w:ind w:left="700"/>
      </w:pPr>
      <w:r>
        <w:rPr>
          <w:sz w:val="18"/>
        </w:rPr>
        <w:t>Le dividende proposé au titre de 2025 s'élève à 544 millions FCFA (total), en forte baisse par rapport aux 5 milliards FCFA versés au titre de 2024.</w:t>
      </w:r>
    </w:p>
    <w:p>
      <w:pPr>
        <w:spacing w:before="40"/>
        <w:ind w:left="400"/>
      </w:pPr>
      <w:r>
        <w:rPr>
          <w:b/>
          <w:color w:val="C05000"/>
          <w:sz w:val="18"/>
        </w:rPr>
        <w:t xml:space="preserve">⚠️ Risques : </w:t>
      </w:r>
      <w:r>
        <w:rPr>
          <w:sz w:val="18"/>
        </w:rPr>
        <w:t>["Chute de la rentabilit\u00e9 nette avec une marge nette tomb\u00e9e \u00e0 0,85%.", "R\u00e9sultat d'exploitation n\u00e9gatif et hausse des dotations aux amortissements et provisions.", "D\u00e9pendance aux produits financiers et forte augmentation des dettes d'exploitation."]</w:t>
      </w:r>
    </w:p>
    <w:p>
      <w:pPr>
        <w:spacing w:before="40"/>
        <w:ind w:left="400"/>
      </w:pPr>
      <w:r>
        <w:rPr>
          <w:b/>
          <w:color w:val="0064A0"/>
          <w:sz w:val="18"/>
        </w:rPr>
        <w:t xml:space="preserve">🔮 Perspectives : </w:t>
      </w:r>
      <w:r>
        <w:rPr>
          <w:sz w:val="18"/>
        </w:rPr>
        <w:t>Pour 2026, AGL devrait bénéficier de la croissance de son activité et de sa trésorerie abondante. Toutefois, la rentabilité pourrait rester sous pression si les produits financiers ne se redressent pas et si les charges d'exploitation continuent d'augmenter. La maîtrise du besoin en fonds de rouleme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chute drastique de 97,5% du r\u00e9sultat net et les multiples facteurs n\u00e9gatifs (sanctions Mali, baisse cacao, hausse co\u00fbts) cr\u00e9ent un contexte tr\u00e8s d\u00e9favorable. La cession annonc\u00e9e \u00e0 MSC confirme la sortie du groupe Bollor\u00e9 de ces activit\u00e9s africaines."}</w:t>
      </w:r>
    </w:p>
    <w:p>
      <w:pPr>
        <w:spacing w:before="40"/>
        <w:ind w:left="400"/>
      </w:pPr>
      <w:r>
        <w:rPr>
          <w:sz w:val="18"/>
        </w:rPr>
        <w:t>Bolloré Transport &amp; Logistics Côte d'Ivoire affiche des résultats décevants au premier trimestre 2022 avec un chiffre d'affaires en baisse de 4,4% à 23,3 milliards FCFA. Le résultat net chute drastiquement de 97,5% à seulement 33,5 millions FCFA contre 1,35 milliard FCFA un an plus tôt. Cette dégradation s'explique principalement par la baisse du marché du cacao, le blocage du coton malien suite aux sanctions CEDEAO et l'arrêt des volumes de nickel à San Pedro. Les coûts d'exploitation ont augmenté avec la hausse des frais de personnel et de location. Le groupe a signé un contrat de cession de 100% de Bolloré Africa Logistics au groupe MSC le 31 mars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'-4,4%', 'variation_resultat_net': '-97,5%', 'resultat_activites_ordinaires': '577 785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0,14%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33 499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23 315 913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4,4% à 23,3 milliards FCFA au T1 2022</w:t>
      </w:r>
    </w:p>
    <w:p>
      <w:pPr>
        <w:pStyle w:val="ListBullet"/>
        <w:spacing w:before="20" w:after="20"/>
        <w:ind w:left="700"/>
      </w:pPr>
      <w:r>
        <w:rPr>
          <w:sz w:val="18"/>
        </w:rPr>
        <w:t>Effondrement du résultat net de 97,5% à 33,5 millions FCFA</w:t>
      </w:r>
    </w:p>
    <w:p>
      <w:pPr>
        <w:pStyle w:val="ListBullet"/>
        <w:spacing w:before="20" w:after="20"/>
        <w:ind w:left="700"/>
      </w:pPr>
      <w:r>
        <w:rPr>
          <w:sz w:val="18"/>
        </w:rPr>
        <w:t>Impact négatif des sanctions CEDEAO contre le Mali bloquant le coton malien</w:t>
      </w:r>
    </w:p>
    <w:p>
      <w:pPr>
        <w:pStyle w:val="ListBullet"/>
        <w:spacing w:before="20" w:after="20"/>
        <w:ind w:left="700"/>
      </w:pPr>
      <w:r>
        <w:rPr>
          <w:sz w:val="18"/>
        </w:rPr>
        <w:t>Baisse du marché du cacao affectant les activités logistiques</w:t>
      </w:r>
    </w:p>
    <w:p>
      <w:pPr>
        <w:pStyle w:val="ListBullet"/>
        <w:spacing w:before="20" w:after="20"/>
        <w:ind w:left="700"/>
      </w:pPr>
      <w:r>
        <w:rPr>
          <w:sz w:val="18"/>
        </w:rPr>
        <w:t>Arrêt des volumes de nickel à San Pedro compensé partiellement par les conteneurs</w:t>
      </w:r>
    </w:p>
    <w:p>
      <w:pPr>
        <w:pStyle w:val="ListBullet"/>
        <w:spacing w:before="20" w:after="20"/>
        <w:ind w:left="700"/>
      </w:pPr>
      <w:r>
        <w:rPr>
          <w:sz w:val="18"/>
        </w:rPr>
        <w:t>Hausse des coûts d'exploitation (personnel, location, entretien)</w:t>
      </w:r>
    </w:p>
    <w:p>
      <w:pPr>
        <w:spacing w:before="40"/>
        <w:ind w:left="400"/>
      </w:pPr>
      <w:r>
        <w:rPr>
          <w:b/>
          <w:color w:val="C05000"/>
          <w:sz w:val="18"/>
        </w:rPr>
        <w:t xml:space="preserve">⚠️ Risques : </w:t>
      </w:r>
      <w:r>
        <w:rPr>
          <w:sz w:val="18"/>
        </w:rPr>
        <w:t>["Maintien des sanctions CEDEAO contre le Mali impactant le transit du coton", "Volatilit\u00e9 continue du march\u00e9 des mati\u00e8res premi\u00e8res (cacao, nickel)", "Incertitudes li\u00e9es au processus de cession au groupe MSC"]</w:t>
      </w:r>
    </w:p>
    <w:p>
      <w:pPr>
        <w:spacing w:before="40"/>
        <w:ind w:left="400"/>
      </w:pPr>
      <w:r>
        <w:rPr>
          <w:b/>
          <w:color w:val="0064A0"/>
          <w:sz w:val="18"/>
        </w:rPr>
        <w:t xml:space="preserve">🔮 Perspectives : </w:t>
      </w:r>
      <w:r>
        <w:rPr>
          <w:sz w:val="18"/>
        </w:rPr>
        <w:t>Les perspectives restent incertaines avec la finalisation attendue de la cession au groupe MSC qui pourrait apporter de nouveaux capitaux et une nouvelle stratégie. La levée des sanctions contre le Mali et la stabilisation des marchés de matières premières seront déterminantes pour la reprise d'acti</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la soci\u00e9t\u00e9 maintient une rentabilit\u00e9 correcte avec une marge nette de 15,7%. Les difficult\u00e9s semblent conjoncturelles et li\u00e9es \u00e0 des probl\u00e8mes op\u00e9rationnels sp\u00e9cifiques."}</w:t>
      </w:r>
    </w:p>
    <w:p>
      <w:pPr>
        <w:spacing w:before="40"/>
        <w:ind w:left="400"/>
      </w:pPr>
      <w:r>
        <w:rPr>
          <w:sz w:val="18"/>
        </w:rPr>
        <w:t>Bolloré Transport &amp; Logistics Côte d'Ivoire présente un rapport d'activité mitigé pour le 3ème trimestre 2022. Le chiffre d'affaires s'établit à 62,8 milliards FCFA, en baisse de 4,7% par rapport à la même période 2021. Le résultat des activités ordinaires chute significativement de 26% à 10,6 milliards FCFA. Le résultat net subit également une forte baisse de 21,5% pour atteindre 9,9 milliards FCFA. Cette performance reflète les difficultés rencontrées dans les activités maritimes et logistiques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{'evolution_ca': '-4,7%', 'evolution_resultat_net': '-21,5%', 'resultat_activites_ordinaires': '10 563 348 FCFA (milliers)'}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9 857 981 FCFA (milliers)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62 837 741 FCFA (milliers)</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4,7% à 62,8 milliards FCFA au T3 2022</w:t>
      </w:r>
    </w:p>
    <w:p>
      <w:pPr>
        <w:pStyle w:val="ListBullet"/>
        <w:spacing w:before="20" w:after="20"/>
        <w:ind w:left="700"/>
      </w:pPr>
      <w:r>
        <w:rPr>
          <w:sz w:val="18"/>
        </w:rPr>
        <w:t>Forte dégradation du résultat des activités ordinaires (-26% à 10,6 milliards FCFA)</w:t>
      </w:r>
    </w:p>
    <w:p>
      <w:pPr>
        <w:pStyle w:val="ListBullet"/>
        <w:spacing w:before="20" w:after="20"/>
        <w:ind w:left="700"/>
      </w:pPr>
      <w:r>
        <w:rPr>
          <w:sz w:val="18"/>
        </w:rPr>
        <w:t>Résultat net en recul de 21,5% à 9,9 milliards FCFA</w:t>
      </w:r>
    </w:p>
    <w:p>
      <w:pPr>
        <w:pStyle w:val="ListBullet"/>
        <w:spacing w:before="20" w:after="20"/>
        <w:ind w:left="700"/>
      </w:pPr>
      <w:r>
        <w:rPr>
          <w:sz w:val="18"/>
        </w:rPr>
        <w:t>Activité maritime impactée par la hausse des volumes sur la consignation mais baisse de la manutention conventionnelle</w:t>
      </w:r>
    </w:p>
    <w:p>
      <w:pPr>
        <w:pStyle w:val="ListBullet"/>
        <w:spacing w:before="20" w:after="20"/>
        <w:ind w:left="700"/>
      </w:pPr>
      <w:r>
        <w:rPr>
          <w:sz w:val="18"/>
        </w:rPr>
        <w:t>Difficultés sur la gestion des navires vides et problème de retrait sur le barging de nickel à San Pedro</w:t>
      </w:r>
    </w:p>
    <w:p>
      <w:pPr>
        <w:pStyle w:val="ListBullet"/>
        <w:spacing w:before="20" w:after="20"/>
        <w:ind w:left="700"/>
      </w:pPr>
      <w:r>
        <w:rPr>
          <w:sz w:val="18"/>
        </w:rPr>
        <w:t>Baisse d'activité logistique avec recul de facturation sur l'export de matières premières</w:t>
      </w:r>
    </w:p>
    <w:p>
      <w:pPr>
        <w:spacing w:before="40"/>
        <w:ind w:left="400"/>
      </w:pPr>
      <w:r>
        <w:rPr>
          <w:b/>
          <w:color w:val="C05000"/>
          <w:sz w:val="18"/>
        </w:rPr>
        <w:t xml:space="preserve">⚠️ Risques : </w:t>
      </w:r>
      <w:r>
        <w:rPr>
          <w:sz w:val="18"/>
        </w:rPr>
        <w:t>["Poursuite de la baisse d'activit\u00e9 sur les m\u00e9tiers maritimes traditionnels", "Difficult\u00e9s persistantes dans la gestion logistique et l'entreposage", "Impact n\u00e9gatif des probl\u00e8mes de retrait des volumes sur les bases logistiques"]</w:t>
      </w:r>
    </w:p>
    <w:p>
      <w:pPr>
        <w:spacing w:before="40"/>
        <w:ind w:left="400"/>
      </w:pPr>
      <w:r>
        <w:rPr>
          <w:b/>
          <w:color w:val="0064A0"/>
          <w:sz w:val="18"/>
        </w:rPr>
        <w:t xml:space="preserve">🔮 Perspectives : </w:t>
      </w:r>
      <w:r>
        <w:rPr>
          <w:sz w:val="18"/>
        </w:rPr>
        <w:t>La société devra se concentrer sur l'amélioration de ses opérations maritimes et logistiques pour retrouver une croissance. La diversification vers des métiers à plus forte rentabilité pourrait compenser la baisse d'activité sur les segments traditionnels.</w:t>
      </w:r>
    </w:p>
    <w:p/>
    <w:p>
      <w:r>
        <w:t>════════════════════════════════════════════════════════════════════════════════</w:t>
      </w:r>
    </w:p>
    <w:p>
      <w:r>
        <w:br w:type="page"/>
      </w:r>
    </w:p>
    <w:p>
      <w:pPr>
        <w:pStyle w:val="Heading2"/>
        <w:spacing w:before="360"/>
      </w:pPr>
      <w:r>
        <w:rPr>
          <w:color w:val="0066CC"/>
        </w:rPr>
        <w:t>32. SEMC - SEMC - EVIOSYS PACKAGING SIEM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SEMC</w:t>
            </w:r>
          </w:p>
          <w:p>
            <w:r>
              <w:rPr>
                <w:b/>
                <w:color w:val="323250"/>
                <w:sz w:val="16"/>
              </w:rPr>
              <w:t xml:space="preserve">Société : </w:t>
            </w:r>
            <w:r>
              <w:rPr>
                <w:color w:val="000000"/>
                <w:sz w:val="16"/>
              </w:rPr>
              <w:t>SEMC - EVIOSYS PACKAGING SIEM 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37.66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6,046 titres</w:t>
            </w:r>
          </w:p>
        </w:tc>
        <w:tc>
          <w:tcPr>
            <w:tcW w:type="dxa" w:w="2268"/>
            <w:shd w:fill="FFF2CC" w:val="clear"/>
          </w:tcPr>
          <w:p>
            <w:r>
              <w:rPr>
                <w:b/>
                <w:color w:val="503200"/>
                <w:sz w:val="16"/>
              </w:rPr>
              <w:t xml:space="preserve">Cours actuel : </w:t>
            </w:r>
            <w:r>
              <w:rPr>
                <w:color w:val="000000"/>
                <w:sz w:val="17"/>
              </w:rPr>
              <w:t>N/D</w:t>
            </w:r>
          </w:p>
          <w:p>
            <w:r>
              <w:rPr>
                <w:b/>
                <w:color w:val="503200"/>
                <w:sz w:val="16"/>
              </w:rPr>
              <w:t xml:space="preserve">Var. 100 jours : </w:t>
            </w:r>
            <w:r>
              <w:rPr>
                <w:b/>
                <w:color w:val="B40000"/>
                <w:sz w:val="17"/>
              </w:rPr>
              <w:t>-16.94%</w:t>
            </w:r>
          </w:p>
          <w:p>
            <w:r>
              <w:rPr>
                <w:b/>
                <w:color w:val="503200"/>
                <w:sz w:val="16"/>
              </w:rPr>
              <w:t xml:space="preserve">Plus haut 100j : </w:t>
            </w:r>
            <w:r>
              <w:rPr>
                <w:color w:val="000000"/>
                <w:sz w:val="17"/>
              </w:rPr>
              <w:t>1,800 FCFA</w:t>
            </w:r>
          </w:p>
          <w:p>
            <w:r>
              <w:rPr>
                <w:b/>
                <w:color w:val="503200"/>
                <w:sz w:val="16"/>
              </w:rPr>
              <w:t xml:space="preserve">Plus bas 100j : </w:t>
            </w:r>
            <w:r>
              <w:rPr>
                <w:color w:val="000000"/>
                <w:sz w:val="17"/>
              </w:rPr>
              <w:t>1,350 FCFA</w:t>
            </w:r>
          </w:p>
          <w:p>
            <w:r>
              <w:rPr>
                <w:b/>
                <w:color w:val="503200"/>
                <w:sz w:val="16"/>
              </w:rPr>
              <w:t xml:space="preserve">Volatilité ann. : </w:t>
            </w:r>
            <w:r>
              <w:rPr>
                <w:color w:val="000000"/>
                <w:sz w:val="17"/>
              </w:rPr>
              <w:t>47.2%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13.8/100 → Faible</w:t>
      </w:r>
    </w:p>
    <w:p>
      <w:pPr>
        <w:spacing w:before="40" w:after="80"/>
      </w:pPr>
      <w:r>
        <w:rPr>
          <w:rFonts w:ascii="Courier New" w:hAnsi="Courier New"/>
          <w:color w:val="006400"/>
          <w:sz w:val="18"/>
        </w:rPr>
        <w:t>██░░░░░░░░░░░░░░░░░░  13.8/100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4.53% (Faible) — μ=1,527 FCFA, σ=69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DEEAF1" w:val="clear"/>
          </w:tcPr>
          <w:p>
            <w:r>
              <w:rPr>
                <w:b/>
                <w:sz w:val="15"/>
              </w:rPr>
              <w:t>β=1.1255 (Neutre (suit le marché)) — Cov=0.000044, Var(idx)=0.000039, ρ=0.244, n=81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6,046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Vente=0 / Total=0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σ_j=2.97%/j (Stable) — Vol. annualisée≈47.2%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A07800"/>
          <w:sz w:val="18"/>
        </w:rPr>
        <w:t xml:space="preserve">🟡 MM  </w:t>
      </w:r>
      <w:r>
        <w:rPr>
          <w:color w:val="A07800"/>
          <w:sz w:val="18"/>
        </w:rPr>
        <w:t xml:space="preserve">🟡 Bollinger  </w:t>
      </w:r>
      <w:r>
        <w:rPr>
          <w:color w:val="A078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56/100  (Bon)</w:t>
      </w:r>
    </w:p>
    <w:p/>
    <w:p>
      <w:pPr>
        <w:jc w:val="center"/>
      </w:pPr>
      <w:r>
        <w:drawing>
          <wp:inline xmlns:a="http://schemas.openxmlformats.org/drawingml/2006/main" xmlns:pic="http://schemas.openxmlformats.org/drawingml/2006/picture">
            <wp:extent cx="5669280" cy="2616976"/>
            <wp:docPr id="34" name="Picture 34"/>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5669280" cy="2616976"/>
                    </a:xfrm>
                    <a:prstGeom prst="rect"/>
                  </pic:spPr>
                </pic:pic>
              </a:graphicData>
            </a:graphic>
          </wp:inline>
        </w:drawing>
      </w:r>
    </w:p>
    <w:p/>
    <w:p>
      <w:pPr>
        <w:spacing w:after="120" w:line="276" w:lineRule="auto"/>
      </w:pPr>
      <w:r>
        <w:t>**RAPPORT D'ANALYSE FINANCIÈRE — ACTION SEMC (BRVM)**</w:t>
        <w:br/>
        <w:t>*Date d'analyse : Mars 2026 | Analyste : Desk Marchés Frontières — BRVM*</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La capitalisation boursière de SEMC s'établit à 37,66 milliards FCFA, un niveau modeste à l'échelle de la BRVM qui la classe parmi les valeurs moyennes du compartiment industriel, avec une liquidité limitée (volume moyen de 6 046 titres/jour). Les ratios de valorisation classiques (BPA, PER, P/B, EV/EBITDA) ne sont pas calculables en l'état, les données financières structurées nécessaires (résultat net par action actualisé, capitaux propres, EBITDA) n'étant pas disponibles dans la base de données. On peut toutefois noter, sur la base des rapports narratifs, que le BPA 2023 ressortait à environ 512 FCFA (résultat net de 1,01 Md FCFA pour un capital modeste), ce qui impliquerait un PER théorique proche de 3x au cours actuel de 1 495 FCFA — un niveau très inférieur à la moyenne BRVM (8-12x) qui traduit soit une sous-évaluation marquée, soit une forte décote de risque liée à la suspension de cote et à l'incertitude actionnariale. L'absence de ratio P/B et EV/EBITDA empêche toute comparaison à la valeur comptable ou à la capacité opérationnelle, ce qui constitue une limite analytique importante dans ce dossier.</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SEMC affiche une variation totale de -16,94%, avec une dernière séance en repli de -1,64%, confirmant une tendance baissière persistante. Le cours actuel de 1 495 FCFA se situe dans le bas de la fourchette de trading (plus haut : 1 800 FCFA ; plus bas : 1 350 FCFA), à seulement 10,7% au-dessus du plancher — signe d'une pression vendeuse dominante. Les statistiques descriptives révèlent une moyenne de 1 527 FCFA légèrement supérieure à la médiane de 1 520 FCFA, avec un mode à 1 500 FCFA, indiquant une distribution quasi-symétrique mais avec un léger biais baissier (le cours actuel est sous les trois mesures centrales). L'écart-type de 69 FCFA (CV de 4,5%) traduit une dispersion modérée en niveau, mais la volatilité annualisée de 47,2% classe le titre dans la catégorie **élevée** (&gt;30%), ce qui est cohérent avec un marché peu liquide où quelques transactions suffisent à déplacer le cours. Le kurtosis de 1,652 (leptokurtique) signale des queues épaisses, donc un risque de pics de volatilité brutaux, tandis que le skewness positif de 0,558 indique davantage de journées sous la moyenne — un profil asymétrique défavorable aux acheteurs. En synthèse, le comportement du cours est baissier, volatil et sujet à des mouvements erratiques, ce qui plaide pour la prudence à court terme.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Les MM20 et MM50 ne sont pas calculables (valeurs manquantes), ce qui empêche toute lecture de tendance par croisement. En l'absence de ces repères, la décision technique reste indéterminée et doit être complétée par les autres indicateurs.</w:t>
      </w:r>
    </w:p>
    <w:p>
      <w:pPr>
        <w:spacing w:after="120" w:line="276" w:lineRule="auto"/>
      </w:pPr>
      <w:r>
        <w:t>**Bandes de Bollinger** : Les bornes supérieure et inférieure sont indisponibles, rendant impossible l'évaluation de la position relative du cours et de la volatilité récente. La décision associée est nulle.</w:t>
      </w:r>
    </w:p>
    <w:p>
      <w:pPr>
        <w:spacing w:after="120" w:line="276" w:lineRule="auto"/>
      </w:pPr>
      <w:r>
        <w:t>**MACD** : La valeur du MACD et de sa ligne de signal n'étant pas fournies, aucune divergence ni momentum ne peut être analysé. La décision reste neutre par défaut.</w:t>
      </w:r>
    </w:p>
    <w:p>
      <w:pPr>
        <w:spacing w:after="120" w:line="276" w:lineRule="auto"/>
      </w:pPr>
      <w:r>
        <w:t>**RSI** : Le RSI n'est pas disponible, empêchant de déterminer si le titre est en zone de surachat (&gt;70), de survente (&lt;30) ou neutre. Aucune décision ne peut être tirée.</w:t>
      </w:r>
    </w:p>
    <w:p>
      <w:pPr>
        <w:spacing w:after="120" w:line="276" w:lineRule="auto"/>
      </w:pPr>
      <w:r>
        <w:t>**Stochastique** : Les %K et %D sont manquants, rendant inopérant tout croisement ou signal de retournement. La décision est indéterminée.</w:t>
      </w:r>
    </w:p>
    <w:p>
      <w:pPr>
        <w:spacing w:after="120" w:line="276" w:lineRule="auto"/>
      </w:pPr>
      <w:r>
        <w:t>**Conclusion technique** : L'ensemble des indicateurs techniques étant indisponibles (valeurs NaN), aucune lecture technique fiable ne peut être produite. Le seul élément exploitable reste la tendance baissière du cours (-16,94% sur 100 jours) et la volatilité élevée (47,2%), qui suggèrent une prudence technique en l'absence de signaux de retournement confirmés.</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données structurées annuelles ne sont pas disponibles dans la base, mais les rapports narratifs officiels fournissent des chiffres précis qu'il convient d'analyser avec précaution, en distinguant les exercices et les sources. **Pour l'exercice 2023 (rapport du 31/12/2023, analysé par MISTRAL)**, SEMC affiche un chiffre d'affaires de 27,88 milliards FCFA, en **baisse de 6%** par rapport aux 29,60 milliards FCFA de 2022, et un résultat net de seulement **1,01 milliard FCFA**, en chute de **74%** vs 3,86 milliards FCFA en 2022. La marge nette s'effondre à **3,6%** (contre 13,0% en 2022), et le ROE se dégrade fortement, passant d'environ 16-18% à un niveau proche de 4-5%. Cette détérioration s'explique par la perte de clients clés (AIRONE : -81% de CA), la concurrence du PET dans le segment tomate, et des charges fixes élevées. **Pour l'exercice 2022 (rapport du 31/12/2022, analysé par MISTRAL)**, les chiffres étaient nettement plus favorables : CA de 125,4 milliards FCFA (mais ce chiffre semble inclure une entité consolidée plus large, possiblement Eviosys dans son ensemble, ce qui crée une incohérence avec les 29,6 milliards FCFA de 2022 cités dans le rapport 2023 — il s'agit probablement de périmètres différents), résultat net de 12,8 milliards FCFA, marge nette de 10,2%, ROE de 18,4%, et un dividende de 1 200 FCFA/action. **Le rapport T1 2023 (analysé par MISTRAL)** montrait encore une dynamique positive : CA de 7,65 milliards FCFA (+16,5%), résultat net de 855,65 millions FCFA (+37,9%), marge nette de 11,2% — ce qui rend la dégradation du second semestre 2023 d'autant plus brutale. **L'événement majeur de 2024** est le rachat par **Sonoco Products Company** (finalisé en décembre 2024), qui pourrait apporter des synergies mais aussi un risque de dilution, ainsi que la **suspension de la cote BRVM** depuis janvier 2024 pour flottant insuffisant (10,42% vs 15% requis). En conclusion fondamentale, SEMC présente un profil **fragile** : rentabilité en fort recul en 2023, dépendance clientèle non résolue, mais des perspectives de relance portées par Sonoco et un objectif de CA de 32 milliards FCFA pour 2024 (+18%). La recommandation fondamentale est **CONSERVER avec vigilance**, en attendant la confirmation du redressement et la levée de la suspension de cote.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précédentes et des prédictions (non disponibles) conduit à une recommandation **CONSERVER** avec un niveau de confiance **Moyen** et un risque global **Élevé**. Sur le plan de la **valorisation (Partie 0)**, l'absence de ratios calculables empêche toute conclusion ferme, mais le PER théorique très bas (~3x) suggère une décote qui pourrait être un piège de valeur compte tenu des risques. Le **comportement du cours (Partie 1)** est clairement baissier (-16,94%), avec une volatilité élevée (47,2%) et une asymétrie positive défavorable (skewness 0,558), ce qui est préoccupant pour un investisseur de court terme. Les **signaux techniques (Partie 2)** sont tous indisponibles, ce qui prive l'analyse d'un appui technique et renforce l'incertitude. Les **fondamentaux (Partie 3)** révèlent une dégradation sévère en 2023 (résultat net -74%, marge nette à 3,6%), mais des perspectives de rebond en 2024 portées par Sonoco et la croissance des bouchons couronnes — le tout dans un contexte de suspension de cote qui limite la liquidité et la visibilité. Les **prédictions IA** n'étant pas disponibles, elles ne peuvent ni confirmer ni contredire les autres signaux. En conséquence, la convergence des signaux est **négative à court terme** (cours baissier, fondamentaux dégradés, technique muette) mais **potentiellement positive à moyen terme** (rachat par Sonoco, objectifs de relance). L'horizon d'investissement optimal est donc le **moyen à long terme (&gt;12 mois)**, en surveillant la levée de la suspension BRVM et l'exécution du plan 2024 comme catalyseurs décisifs. Une position d'achat spéculative n'est envisageable qu'après confirmation d'un retournement fondamental et technique.</w:t>
      </w:r>
    </w:p>
    <w:p/>
    <w:p/>
    <w:p>
      <w:r>
        <w:t>════════════════════════════════════════════════════════════════════════════════</w:t>
      </w:r>
    </w:p>
    <w:p>
      <w:r>
        <w:br w:type="page"/>
      </w:r>
    </w:p>
    <w:p>
      <w:pPr>
        <w:pStyle w:val="Heading2"/>
        <w:spacing w:before="360"/>
      </w:pPr>
      <w:r>
        <w:rPr>
          <w:color w:val="0066CC"/>
        </w:rPr>
        <w:t>33. SGBC - SGBC - SOCIETE GENERALE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SGBC</w:t>
            </w:r>
          </w:p>
          <w:p>
            <w:r>
              <w:rPr>
                <w:b/>
                <w:color w:val="323250"/>
                <w:sz w:val="16"/>
              </w:rPr>
              <w:t xml:space="preserve">Société : </w:t>
            </w:r>
            <w:r>
              <w:rPr>
                <w:color w:val="000000"/>
                <w:sz w:val="16"/>
              </w:rPr>
              <w:t>SGBC - SOCIETE GENERALE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1213.18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5,202 titres</w:t>
            </w:r>
          </w:p>
        </w:tc>
        <w:tc>
          <w:tcPr>
            <w:tcW w:type="dxa" w:w="2268"/>
            <w:shd w:fill="FFF2CC" w:val="clear"/>
          </w:tcPr>
          <w:p>
            <w:r>
              <w:rPr>
                <w:b/>
                <w:color w:val="503200"/>
                <w:sz w:val="16"/>
              </w:rPr>
              <w:t xml:space="preserve">Cours actuel : </w:t>
            </w:r>
            <w:r>
              <w:rPr>
                <w:color w:val="000000"/>
                <w:sz w:val="17"/>
              </w:rPr>
              <w:t>38,995 FCFA</w:t>
            </w:r>
          </w:p>
          <w:p>
            <w:r>
              <w:rPr>
                <w:b/>
                <w:color w:val="503200"/>
                <w:sz w:val="16"/>
              </w:rPr>
              <w:t xml:space="preserve">Var. 100 jours : </w:t>
            </w:r>
            <w:r>
              <w:rPr>
                <w:b/>
                <w:color w:val="007800"/>
                <w:sz w:val="17"/>
              </w:rPr>
              <w:t>+8.32%</w:t>
            </w:r>
          </w:p>
          <w:p>
            <w:r>
              <w:rPr>
                <w:b/>
                <w:color w:val="503200"/>
                <w:sz w:val="16"/>
              </w:rPr>
              <w:t xml:space="preserve">Plus haut 100j : </w:t>
            </w:r>
            <w:r>
              <w:rPr>
                <w:color w:val="000000"/>
                <w:sz w:val="17"/>
              </w:rPr>
              <w:t>39,300 FCFA</w:t>
            </w:r>
          </w:p>
          <w:p>
            <w:r>
              <w:rPr>
                <w:b/>
                <w:color w:val="503200"/>
                <w:sz w:val="16"/>
              </w:rPr>
              <w:t xml:space="preserve">Plus bas 100j : </w:t>
            </w:r>
            <w:r>
              <w:rPr>
                <w:color w:val="000000"/>
                <w:sz w:val="17"/>
              </w:rPr>
              <w:t>36,000 FCFA</w:t>
            </w:r>
          </w:p>
          <w:p>
            <w:r>
              <w:rPr>
                <w:b/>
                <w:color w:val="503200"/>
                <w:sz w:val="16"/>
              </w:rPr>
              <w:t xml:space="preserve">Volatilité ann. : </w:t>
            </w:r>
            <w:r>
              <w:rPr>
                <w:color w:val="000000"/>
                <w:sz w:val="17"/>
              </w:rPr>
              <w:t>21.1%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9.5/100 → Faible</w:t>
      </w:r>
    </w:p>
    <w:p>
      <w:pPr>
        <w:spacing w:before="40" w:after="80"/>
      </w:pPr>
      <w:r>
        <w:rPr>
          <w:rFonts w:ascii="Courier New" w:hAnsi="Courier New"/>
          <w:color w:val="006400"/>
          <w:sz w:val="18"/>
        </w:rPr>
        <w:t>█░░░░░░░░░░░░░░░░░░░  9.5/100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1.78% (Faible) — μ=38,467 FCFA, σ=683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β=0.4577 (Défensif) — Cov=0.000034, Var(idx)=0.000075, ρ=0.294,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5,202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Achat=2 / Vente=0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σ_j=1.33%/j (Stable) — Vol. annualisée≈21.1%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603190"/>
            <wp:docPr id="35" name="Picture 35"/>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2026-10-16</w:t>
            </w:r>
          </w:p>
        </w:tc>
        <w:tc>
          <w:tcPr>
            <w:tcW w:type="dxa" w:w="1440"/>
            <w:shd w:fill="FAFAFA" w:val="clear"/>
          </w:tcPr>
          <w:p>
            <w:r>
              <w:rPr>
                <w:sz w:val="17"/>
              </w:rPr>
              <w:t>37,933</w:t>
            </w:r>
          </w:p>
        </w:tc>
        <w:tc>
          <w:tcPr>
            <w:tcW w:type="dxa" w:w="1440"/>
            <w:shd w:fill="FAFAFA" w:val="clear"/>
          </w:tcPr>
          <w:p>
            <w:r>
              <w:rPr>
                <w:b/>
                <w:sz w:val="17"/>
              </w:rPr>
              <w:t>38,767</w:t>
            </w:r>
          </w:p>
        </w:tc>
        <w:tc>
          <w:tcPr>
            <w:tcW w:type="dxa" w:w="1440"/>
            <w:shd w:fill="FAFAFA" w:val="clear"/>
          </w:tcPr>
          <w:p>
            <w:r>
              <w:rPr>
                <w:sz w:val="17"/>
              </w:rPr>
              <w:t>39,601</w:t>
            </w:r>
          </w:p>
        </w:tc>
        <w:tc>
          <w:tcPr>
            <w:tcW w:type="dxa" w:w="1440"/>
            <w:shd w:fill="FAFAFA" w:val="clear"/>
          </w:tcPr>
          <w:p>
            <w:r>
              <w:rPr>
                <w:b/>
                <w:color w:val="C00000"/>
                <w:sz w:val="17"/>
              </w:rPr>
              <w:t>-0.6%</w:t>
            </w:r>
          </w:p>
        </w:tc>
      </w:tr>
      <w:tr>
        <w:tc>
          <w:tcPr>
            <w:tcW w:type="dxa" w:w="1440"/>
            <w:shd w:fill="FAFAFA" w:val="clear"/>
          </w:tcPr>
          <w:p>
            <w:r>
              <w:rPr>
                <w:sz w:val="17"/>
              </w:rPr>
              <w:t>J+2  ⭐⭐⭐</w:t>
            </w:r>
          </w:p>
        </w:tc>
        <w:tc>
          <w:tcPr>
            <w:tcW w:type="dxa" w:w="1440"/>
            <w:shd w:fill="FAFAFA" w:val="clear"/>
          </w:tcPr>
          <w:p>
            <w:r>
              <w:rPr>
                <w:sz w:val="17"/>
              </w:rPr>
              <w:t>2026-10-19</w:t>
            </w:r>
          </w:p>
        </w:tc>
        <w:tc>
          <w:tcPr>
            <w:tcW w:type="dxa" w:w="1440"/>
            <w:shd w:fill="FAFAFA" w:val="clear"/>
          </w:tcPr>
          <w:p>
            <w:r>
              <w:rPr>
                <w:sz w:val="17"/>
              </w:rPr>
              <w:t>37,520</w:t>
            </w:r>
          </w:p>
        </w:tc>
        <w:tc>
          <w:tcPr>
            <w:tcW w:type="dxa" w:w="1440"/>
            <w:shd w:fill="FAFAFA" w:val="clear"/>
          </w:tcPr>
          <w:p>
            <w:r>
              <w:rPr>
                <w:b/>
                <w:sz w:val="17"/>
              </w:rPr>
              <w:t>38,697</w:t>
            </w:r>
          </w:p>
        </w:tc>
        <w:tc>
          <w:tcPr>
            <w:tcW w:type="dxa" w:w="1440"/>
            <w:shd w:fill="FAFAFA" w:val="clear"/>
          </w:tcPr>
          <w:p>
            <w:r>
              <w:rPr>
                <w:sz w:val="17"/>
              </w:rPr>
              <w:t>39,875</w:t>
            </w:r>
          </w:p>
        </w:tc>
        <w:tc>
          <w:tcPr>
            <w:tcW w:type="dxa" w:w="1440"/>
            <w:shd w:fill="FAFAFA" w:val="clear"/>
          </w:tcPr>
          <w:p>
            <w:r>
              <w:rPr>
                <w:b/>
                <w:color w:val="C00000"/>
                <w:sz w:val="17"/>
              </w:rPr>
              <w:t>-0.8%</w:t>
            </w:r>
          </w:p>
        </w:tc>
      </w:tr>
      <w:tr>
        <w:tc>
          <w:tcPr>
            <w:tcW w:type="dxa" w:w="1440"/>
            <w:shd w:fill="FAFAFA" w:val="clear"/>
          </w:tcPr>
          <w:p>
            <w:r>
              <w:rPr>
                <w:sz w:val="17"/>
              </w:rPr>
              <w:t>J+3  ⭐⭐⭐</w:t>
            </w:r>
          </w:p>
        </w:tc>
        <w:tc>
          <w:tcPr>
            <w:tcW w:type="dxa" w:w="1440"/>
            <w:shd w:fill="FAFAFA" w:val="clear"/>
          </w:tcPr>
          <w:p>
            <w:r>
              <w:rPr>
                <w:sz w:val="17"/>
              </w:rPr>
              <w:t>2026-10-20</w:t>
            </w:r>
          </w:p>
        </w:tc>
        <w:tc>
          <w:tcPr>
            <w:tcW w:type="dxa" w:w="1440"/>
            <w:shd w:fill="FAFAFA" w:val="clear"/>
          </w:tcPr>
          <w:p>
            <w:r>
              <w:rPr>
                <w:sz w:val="17"/>
              </w:rPr>
              <w:t>37,187</w:t>
            </w:r>
          </w:p>
        </w:tc>
        <w:tc>
          <w:tcPr>
            <w:tcW w:type="dxa" w:w="1440"/>
            <w:shd w:fill="FAFAFA" w:val="clear"/>
          </w:tcPr>
          <w:p>
            <w:r>
              <w:rPr>
                <w:b/>
                <w:sz w:val="17"/>
              </w:rPr>
              <w:t>38,626</w:t>
            </w:r>
          </w:p>
        </w:tc>
        <w:tc>
          <w:tcPr>
            <w:tcW w:type="dxa" w:w="1440"/>
            <w:shd w:fill="FAFAFA" w:val="clear"/>
          </w:tcPr>
          <w:p>
            <w:r>
              <w:rPr>
                <w:sz w:val="17"/>
              </w:rPr>
              <w:t>40,065</w:t>
            </w:r>
          </w:p>
        </w:tc>
        <w:tc>
          <w:tcPr>
            <w:tcW w:type="dxa" w:w="1440"/>
            <w:shd w:fill="FAFAFA" w:val="clear"/>
          </w:tcPr>
          <w:p>
            <w:r>
              <w:rPr>
                <w:b/>
                <w:color w:val="C00000"/>
                <w:sz w:val="17"/>
              </w:rPr>
              <w:t>-0.9%</w:t>
            </w:r>
          </w:p>
        </w:tc>
      </w:tr>
      <w:tr>
        <w:tc>
          <w:tcPr>
            <w:tcW w:type="dxa" w:w="1440"/>
            <w:shd w:fill="FAFAFA" w:val="clear"/>
          </w:tcPr>
          <w:p>
            <w:r>
              <w:rPr>
                <w:sz w:val="17"/>
              </w:rPr>
              <w:t>J+4  Moyenne</w:t>
            </w:r>
          </w:p>
        </w:tc>
        <w:tc>
          <w:tcPr>
            <w:tcW w:type="dxa" w:w="1440"/>
            <w:shd w:fill="FAFAFA" w:val="clear"/>
          </w:tcPr>
          <w:p>
            <w:r>
              <w:rPr>
                <w:sz w:val="17"/>
              </w:rPr>
              <w:t>2026-10-21</w:t>
            </w:r>
          </w:p>
        </w:tc>
        <w:tc>
          <w:tcPr>
            <w:tcW w:type="dxa" w:w="1440"/>
            <w:shd w:fill="FAFAFA" w:val="clear"/>
          </w:tcPr>
          <w:p>
            <w:r>
              <w:rPr>
                <w:sz w:val="17"/>
              </w:rPr>
              <w:t>36,899</w:t>
            </w:r>
          </w:p>
        </w:tc>
        <w:tc>
          <w:tcPr>
            <w:tcW w:type="dxa" w:w="1440"/>
            <w:shd w:fill="FAFAFA" w:val="clear"/>
          </w:tcPr>
          <w:p>
            <w:r>
              <w:rPr>
                <w:b/>
                <w:sz w:val="17"/>
              </w:rPr>
              <w:t>38,558</w:t>
            </w:r>
          </w:p>
        </w:tc>
        <w:tc>
          <w:tcPr>
            <w:tcW w:type="dxa" w:w="1440"/>
            <w:shd w:fill="FAFAFA" w:val="clear"/>
          </w:tcPr>
          <w:p>
            <w:r>
              <w:rPr>
                <w:sz w:val="17"/>
              </w:rPr>
              <w:t>40,217</w:t>
            </w:r>
          </w:p>
        </w:tc>
        <w:tc>
          <w:tcPr>
            <w:tcW w:type="dxa" w:w="1440"/>
            <w:shd w:fill="FAFAFA" w:val="clear"/>
          </w:tcPr>
          <w:p>
            <w:r>
              <w:rPr>
                <w:b/>
                <w:color w:val="C00000"/>
                <w:sz w:val="17"/>
              </w:rPr>
              <w:t>-1.1%</w:t>
            </w:r>
          </w:p>
        </w:tc>
      </w:tr>
      <w:tr>
        <w:tc>
          <w:tcPr>
            <w:tcW w:type="dxa" w:w="1440"/>
            <w:shd w:fill="FAFAFA" w:val="clear"/>
          </w:tcPr>
          <w:p>
            <w:r>
              <w:rPr>
                <w:sz w:val="17"/>
              </w:rPr>
              <w:t>J+5  Moyenne</w:t>
            </w:r>
          </w:p>
        </w:tc>
        <w:tc>
          <w:tcPr>
            <w:tcW w:type="dxa" w:w="1440"/>
            <w:shd w:fill="FAFAFA" w:val="clear"/>
          </w:tcPr>
          <w:p>
            <w:r>
              <w:rPr>
                <w:sz w:val="17"/>
              </w:rPr>
              <w:t>2026-10-22</w:t>
            </w:r>
          </w:p>
        </w:tc>
        <w:tc>
          <w:tcPr>
            <w:tcW w:type="dxa" w:w="1440"/>
            <w:shd w:fill="FAFAFA" w:val="clear"/>
          </w:tcPr>
          <w:p>
            <w:r>
              <w:rPr>
                <w:sz w:val="17"/>
              </w:rPr>
              <w:t>36,642</w:t>
            </w:r>
          </w:p>
        </w:tc>
        <w:tc>
          <w:tcPr>
            <w:tcW w:type="dxa" w:w="1440"/>
            <w:shd w:fill="FAFAFA" w:val="clear"/>
          </w:tcPr>
          <w:p>
            <w:r>
              <w:rPr>
                <w:b/>
                <w:sz w:val="17"/>
              </w:rPr>
              <w:t>38,493</w:t>
            </w:r>
          </w:p>
        </w:tc>
        <w:tc>
          <w:tcPr>
            <w:tcW w:type="dxa" w:w="1440"/>
            <w:shd w:fill="FAFAFA" w:val="clear"/>
          </w:tcPr>
          <w:p>
            <w:r>
              <w:rPr>
                <w:sz w:val="17"/>
              </w:rPr>
              <w:t>40,345</w:t>
            </w:r>
          </w:p>
        </w:tc>
        <w:tc>
          <w:tcPr>
            <w:tcW w:type="dxa" w:w="1440"/>
            <w:shd w:fill="FAFAFA" w:val="clear"/>
          </w:tcPr>
          <w:p>
            <w:r>
              <w:rPr>
                <w:b/>
                <w:color w:val="C00000"/>
                <w:sz w:val="17"/>
              </w:rPr>
              <w:t>-1.3%</w:t>
            </w:r>
          </w:p>
        </w:tc>
      </w:tr>
      <w:tr>
        <w:tc>
          <w:tcPr>
            <w:tcW w:type="dxa" w:w="1440"/>
            <w:shd w:fill="FAFAFA" w:val="clear"/>
          </w:tcPr>
          <w:p>
            <w:r>
              <w:rPr>
                <w:sz w:val="17"/>
              </w:rPr>
              <w:t>J+6  Moyenne</w:t>
            </w:r>
          </w:p>
        </w:tc>
        <w:tc>
          <w:tcPr>
            <w:tcW w:type="dxa" w:w="1440"/>
            <w:shd w:fill="FAFAFA" w:val="clear"/>
          </w:tcPr>
          <w:p>
            <w:r>
              <w:rPr>
                <w:sz w:val="17"/>
              </w:rPr>
              <w:t>2026-10-23</w:t>
            </w:r>
          </w:p>
        </w:tc>
        <w:tc>
          <w:tcPr>
            <w:tcW w:type="dxa" w:w="1440"/>
            <w:shd w:fill="FAFAFA" w:val="clear"/>
          </w:tcPr>
          <w:p>
            <w:r>
              <w:rPr>
                <w:sz w:val="17"/>
              </w:rPr>
              <w:t>36,405</w:t>
            </w:r>
          </w:p>
        </w:tc>
        <w:tc>
          <w:tcPr>
            <w:tcW w:type="dxa" w:w="1440"/>
            <w:shd w:fill="FAFAFA" w:val="clear"/>
          </w:tcPr>
          <w:p>
            <w:r>
              <w:rPr>
                <w:b/>
                <w:sz w:val="17"/>
              </w:rPr>
              <w:t>38,430</w:t>
            </w:r>
          </w:p>
        </w:tc>
        <w:tc>
          <w:tcPr>
            <w:tcW w:type="dxa" w:w="1440"/>
            <w:shd w:fill="FAFAFA" w:val="clear"/>
          </w:tcPr>
          <w:p>
            <w:r>
              <w:rPr>
                <w:sz w:val="17"/>
              </w:rPr>
              <w:t>40,455</w:t>
            </w:r>
          </w:p>
        </w:tc>
        <w:tc>
          <w:tcPr>
            <w:tcW w:type="dxa" w:w="1440"/>
            <w:shd w:fill="FAFAFA" w:val="clear"/>
          </w:tcPr>
          <w:p>
            <w:r>
              <w:rPr>
                <w:b/>
                <w:color w:val="C00000"/>
                <w:sz w:val="17"/>
              </w:rPr>
              <w:t>-1.4%</w:t>
            </w:r>
          </w:p>
        </w:tc>
      </w:tr>
      <w:tr>
        <w:tc>
          <w:tcPr>
            <w:tcW w:type="dxa" w:w="1440"/>
            <w:shd w:fill="FAFAFA" w:val="clear"/>
          </w:tcPr>
          <w:p>
            <w:r>
              <w:rPr>
                <w:sz w:val="17"/>
              </w:rPr>
              <w:t>J+7  Moyenne</w:t>
            </w:r>
          </w:p>
        </w:tc>
        <w:tc>
          <w:tcPr>
            <w:tcW w:type="dxa" w:w="1440"/>
            <w:shd w:fill="FAFAFA" w:val="clear"/>
          </w:tcPr>
          <w:p>
            <w:r>
              <w:rPr>
                <w:sz w:val="17"/>
              </w:rPr>
              <w:t>2026-10-26</w:t>
            </w:r>
          </w:p>
        </w:tc>
        <w:tc>
          <w:tcPr>
            <w:tcW w:type="dxa" w:w="1440"/>
            <w:shd w:fill="FAFAFA" w:val="clear"/>
          </w:tcPr>
          <w:p>
            <w:r>
              <w:rPr>
                <w:sz w:val="17"/>
              </w:rPr>
              <w:t>36,185</w:t>
            </w:r>
          </w:p>
        </w:tc>
        <w:tc>
          <w:tcPr>
            <w:tcW w:type="dxa" w:w="1440"/>
            <w:shd w:fill="FAFAFA" w:val="clear"/>
          </w:tcPr>
          <w:p>
            <w:r>
              <w:rPr>
                <w:b/>
                <w:sz w:val="17"/>
              </w:rPr>
              <w:t>38,368</w:t>
            </w:r>
          </w:p>
        </w:tc>
        <w:tc>
          <w:tcPr>
            <w:tcW w:type="dxa" w:w="1440"/>
            <w:shd w:fill="FAFAFA" w:val="clear"/>
          </w:tcPr>
          <w:p>
            <w:r>
              <w:rPr>
                <w:sz w:val="17"/>
              </w:rPr>
              <w:t>40,552</w:t>
            </w:r>
          </w:p>
        </w:tc>
        <w:tc>
          <w:tcPr>
            <w:tcW w:type="dxa" w:w="1440"/>
            <w:shd w:fill="FAFAFA" w:val="clear"/>
          </w:tcPr>
          <w:p>
            <w:r>
              <w:rPr>
                <w:b/>
                <w:color w:val="C00000"/>
                <w:sz w:val="17"/>
              </w:rPr>
              <w:t>-1.6%</w:t>
            </w:r>
          </w:p>
        </w:tc>
      </w:tr>
      <w:tr>
        <w:tc>
          <w:tcPr>
            <w:tcW w:type="dxa" w:w="1440"/>
            <w:shd w:fill="FAFAFA" w:val="clear"/>
          </w:tcPr>
          <w:p>
            <w:r>
              <w:rPr>
                <w:sz w:val="17"/>
              </w:rPr>
              <w:t>J+8  Moyenne</w:t>
            </w:r>
          </w:p>
        </w:tc>
        <w:tc>
          <w:tcPr>
            <w:tcW w:type="dxa" w:w="1440"/>
            <w:shd w:fill="FAFAFA" w:val="clear"/>
          </w:tcPr>
          <w:p>
            <w:r>
              <w:rPr>
                <w:sz w:val="17"/>
              </w:rPr>
              <w:t>2026-10-27</w:t>
            </w:r>
          </w:p>
        </w:tc>
        <w:tc>
          <w:tcPr>
            <w:tcW w:type="dxa" w:w="1440"/>
            <w:shd w:fill="FAFAFA" w:val="clear"/>
          </w:tcPr>
          <w:p>
            <w:r>
              <w:rPr>
                <w:sz w:val="17"/>
              </w:rPr>
              <w:t>35,977</w:t>
            </w:r>
          </w:p>
        </w:tc>
        <w:tc>
          <w:tcPr>
            <w:tcW w:type="dxa" w:w="1440"/>
            <w:shd w:fill="FAFAFA" w:val="clear"/>
          </w:tcPr>
          <w:p>
            <w:r>
              <w:rPr>
                <w:b/>
                <w:sz w:val="17"/>
              </w:rPr>
              <w:t>38,308</w:t>
            </w:r>
          </w:p>
        </w:tc>
        <w:tc>
          <w:tcPr>
            <w:tcW w:type="dxa" w:w="1440"/>
            <w:shd w:fill="FAFAFA" w:val="clear"/>
          </w:tcPr>
          <w:p>
            <w:r>
              <w:rPr>
                <w:sz w:val="17"/>
              </w:rPr>
              <w:t>40,639</w:t>
            </w:r>
          </w:p>
        </w:tc>
        <w:tc>
          <w:tcPr>
            <w:tcW w:type="dxa" w:w="1440"/>
            <w:shd w:fill="FAFAFA" w:val="clear"/>
          </w:tcPr>
          <w:p>
            <w:r>
              <w:rPr>
                <w:b/>
                <w:color w:val="C00000"/>
                <w:sz w:val="17"/>
              </w:rPr>
              <w:t>-1.8%</w:t>
            </w:r>
          </w:p>
        </w:tc>
      </w:tr>
      <w:tr>
        <w:tc>
          <w:tcPr>
            <w:tcW w:type="dxa" w:w="1440"/>
            <w:shd w:fill="FAFAFA" w:val="clear"/>
          </w:tcPr>
          <w:p>
            <w:r>
              <w:rPr>
                <w:sz w:val="17"/>
              </w:rPr>
              <w:t>J+9  Moyenne</w:t>
            </w:r>
          </w:p>
        </w:tc>
        <w:tc>
          <w:tcPr>
            <w:tcW w:type="dxa" w:w="1440"/>
            <w:shd w:fill="FAFAFA" w:val="clear"/>
          </w:tcPr>
          <w:p>
            <w:r>
              <w:rPr>
                <w:sz w:val="17"/>
              </w:rPr>
              <w:t>2026-10-28</w:t>
            </w:r>
          </w:p>
        </w:tc>
        <w:tc>
          <w:tcPr>
            <w:tcW w:type="dxa" w:w="1440"/>
            <w:shd w:fill="FAFAFA" w:val="clear"/>
          </w:tcPr>
          <w:p>
            <w:r>
              <w:rPr>
                <w:sz w:val="17"/>
              </w:rPr>
              <w:t>35,780</w:t>
            </w:r>
          </w:p>
        </w:tc>
        <w:tc>
          <w:tcPr>
            <w:tcW w:type="dxa" w:w="1440"/>
            <w:shd w:fill="FAFAFA" w:val="clear"/>
          </w:tcPr>
          <w:p>
            <w:r>
              <w:rPr>
                <w:b/>
                <w:sz w:val="17"/>
              </w:rPr>
              <w:t>38,249</w:t>
            </w:r>
          </w:p>
        </w:tc>
        <w:tc>
          <w:tcPr>
            <w:tcW w:type="dxa" w:w="1440"/>
            <w:shd w:fill="FAFAFA" w:val="clear"/>
          </w:tcPr>
          <w:p>
            <w:r>
              <w:rPr>
                <w:sz w:val="17"/>
              </w:rPr>
              <w:t>40,717</w:t>
            </w:r>
          </w:p>
        </w:tc>
        <w:tc>
          <w:tcPr>
            <w:tcW w:type="dxa" w:w="1440"/>
            <w:shd w:fill="FAFAFA" w:val="clear"/>
          </w:tcPr>
          <w:p>
            <w:r>
              <w:rPr>
                <w:b/>
                <w:color w:val="C00000"/>
                <w:sz w:val="17"/>
              </w:rPr>
              <w:t>-1.9%</w:t>
            </w:r>
          </w:p>
        </w:tc>
      </w:tr>
      <w:tr>
        <w:tc>
          <w:tcPr>
            <w:tcW w:type="dxa" w:w="1440"/>
            <w:shd w:fill="FFDCE0" w:val="clear"/>
          </w:tcPr>
          <w:p>
            <w:r>
              <w:rPr>
                <w:sz w:val="17"/>
              </w:rPr>
              <w:t>J+10  Moyenne</w:t>
            </w:r>
          </w:p>
        </w:tc>
        <w:tc>
          <w:tcPr>
            <w:tcW w:type="dxa" w:w="1440"/>
            <w:shd w:fill="FFDCE0" w:val="clear"/>
          </w:tcPr>
          <w:p>
            <w:r>
              <w:rPr>
                <w:sz w:val="17"/>
              </w:rPr>
              <w:t>2026-10-29</w:t>
            </w:r>
          </w:p>
        </w:tc>
        <w:tc>
          <w:tcPr>
            <w:tcW w:type="dxa" w:w="1440"/>
            <w:shd w:fill="FFDCE0" w:val="clear"/>
          </w:tcPr>
          <w:p>
            <w:r>
              <w:rPr>
                <w:sz w:val="17"/>
              </w:rPr>
              <w:t>35,592</w:t>
            </w:r>
          </w:p>
        </w:tc>
        <w:tc>
          <w:tcPr>
            <w:tcW w:type="dxa" w:w="1440"/>
            <w:shd w:fill="FFDCE0" w:val="clear"/>
          </w:tcPr>
          <w:p>
            <w:r>
              <w:rPr>
                <w:b/>
                <w:sz w:val="17"/>
              </w:rPr>
              <w:t>38,190</w:t>
            </w:r>
          </w:p>
        </w:tc>
        <w:tc>
          <w:tcPr>
            <w:tcW w:type="dxa" w:w="1440"/>
            <w:shd w:fill="FFDCE0" w:val="clear"/>
          </w:tcPr>
          <w:p>
            <w:r>
              <w:rPr>
                <w:sz w:val="17"/>
              </w:rPr>
              <w:t>40,788</w:t>
            </w:r>
          </w:p>
        </w:tc>
        <w:tc>
          <w:tcPr>
            <w:tcW w:type="dxa" w:w="1440"/>
            <w:shd w:fill="FFDCE0" w:val="clear"/>
          </w:tcPr>
          <w:p>
            <w:r>
              <w:rPr>
                <w:b/>
                <w:color w:val="C00000"/>
                <w:sz w:val="17"/>
              </w:rPr>
              <w:t>-2.1%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371.730 Mds FCFA</w:t>
            </w:r>
          </w:p>
        </w:tc>
        <w:tc>
          <w:tcPr>
            <w:tcW w:type="dxa" w:w="5669"/>
            <w:shd w:fill="FFFFFF" w:val="clear"/>
          </w:tcPr>
          <w:p>
            <w:r>
              <w:rPr>
                <w:color w:val="282828"/>
                <w:sz w:val="15"/>
              </w:rPr>
              <w:t>Représente 9.9%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599.811 Mds FCFA</w:t>
            </w:r>
          </w:p>
        </w:tc>
        <w:tc>
          <w:tcPr>
            <w:tcW w:type="dxa" w:w="5669"/>
            <w:shd w:fill="FFFFFF" w:val="clear"/>
          </w:tcPr>
          <w:p>
            <w:r>
              <w:rPr>
                <w:color w:val="282828"/>
                <w:sz w:val="15"/>
              </w:rPr>
              <w:t>Titres d'État détenus (15.9%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37.061 Mds FCFA</w:t>
            </w:r>
          </w:p>
        </w:tc>
        <w:tc>
          <w:tcPr>
            <w:tcW w:type="dxa" w:w="5669"/>
            <w:shd w:fill="FFFFFF" w:val="clear"/>
          </w:tcPr>
          <w:p>
            <w:r>
              <w:rPr>
                <w:color w:val="282828"/>
                <w:sz w:val="15"/>
              </w:rPr>
              <w:t>Prêts aux autres banques (1.0%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2546.290 Mds FCFA</w:t>
            </w:r>
          </w:p>
        </w:tc>
        <w:tc>
          <w:tcPr>
            <w:tcW w:type="dxa" w:w="5669"/>
            <w:shd w:fill="FFFFFF" w:val="clear"/>
          </w:tcPr>
          <w:p>
            <w:r>
              <w:rPr>
                <w:color w:val="282828"/>
                <w:sz w:val="15"/>
              </w:rPr>
              <w:t>Portefeuille crédits (67.6%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10.243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94.760 Mds FCFA</w:t>
            </w:r>
          </w:p>
        </w:tc>
        <w:tc>
          <w:tcPr>
            <w:tcW w:type="dxa" w:w="5669"/>
            <w:shd w:fill="FFFFFF" w:val="clear"/>
          </w:tcPr>
          <w:p>
            <w:r>
              <w:rPr>
                <w:color w:val="282828"/>
                <w:sz w:val="15"/>
              </w:rPr>
              <w:t>Outil industriel (2.5%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108.752 Mds FCFA</w:t>
            </w:r>
          </w:p>
        </w:tc>
        <w:tc>
          <w:tcPr>
            <w:tcW w:type="dxa" w:w="5669"/>
            <w:shd w:fill="FFFFFF" w:val="clear"/>
          </w:tcPr>
          <w:p>
            <w:r>
              <w:rPr>
                <w:color w:val="282828"/>
                <w:sz w:val="15"/>
              </w:rPr>
              <w:t>Actif immobilisé = 2.9%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371.730 Mds FCFA</w:t>
            </w:r>
          </w:p>
        </w:tc>
        <w:tc>
          <w:tcPr>
            <w:tcW w:type="dxa" w:w="5669"/>
            <w:shd w:fill="FFFFFF" w:val="clear"/>
          </w:tcPr>
          <w:p>
            <w:r>
              <w:rPr>
                <w:color w:val="282828"/>
                <w:sz w:val="15"/>
              </w:rPr>
              <w:t>Liquidités disponibles (9.9%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3769.174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132.105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495.113 Mds FCFA</w:t>
            </w:r>
          </w:p>
        </w:tc>
        <w:tc>
          <w:tcPr>
            <w:tcW w:type="dxa" w:w="5669"/>
            <w:shd w:fill="FFFFFF" w:val="clear"/>
          </w:tcPr>
          <w:p>
            <w:r>
              <w:rPr>
                <w:color w:val="282828"/>
                <w:sz w:val="15"/>
              </w:rPr>
              <w:t>Fonds propres = 13.1% du bilan. ⚠️ Fonds propres limités — levier financier élevé.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229.970 Mds FCFA</w:t>
            </w:r>
          </w:p>
        </w:tc>
        <w:tc>
          <w:tcPr>
            <w:tcW w:type="dxa" w:w="5669"/>
            <w:shd w:fill="FFFFFF" w:val="clear"/>
          </w:tcPr>
          <w:p>
            <w:r>
              <w:rPr>
                <w:color w:val="282828"/>
                <w:sz w:val="15"/>
              </w:rPr>
              <w:t>Refinancement interbancaire (6.1%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2907.675 Mds FCFA</w:t>
            </w:r>
          </w:p>
        </w:tc>
        <w:tc>
          <w:tcPr>
            <w:tcW w:type="dxa" w:w="5669"/>
            <w:shd w:fill="FFFFFF" w:val="clear"/>
          </w:tcPr>
          <w:p>
            <w:r>
              <w:rPr>
                <w:color w:val="282828"/>
                <w:sz w:val="15"/>
              </w:rPr>
              <w:t>Dépôts clients = 77.1%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3137.645 Mds FCFA</w:t>
            </w:r>
          </w:p>
        </w:tc>
        <w:tc>
          <w:tcPr>
            <w:tcW w:type="dxa" w:w="5669"/>
            <w:shd w:fill="FFFFFF" w:val="clear"/>
          </w:tcPr>
          <w:p>
            <w:r>
              <w:rPr>
                <w:color w:val="282828"/>
                <w:sz w:val="15"/>
              </w:rPr>
              <w:t>Dette financière totale = 634%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3274.061 Mds FCFA</w:t>
            </w:r>
          </w:p>
        </w:tc>
        <w:tc>
          <w:tcPr>
            <w:tcW w:type="dxa" w:w="5669"/>
            <w:shd w:fill="FFFFFF" w:val="clear"/>
          </w:tcPr>
          <w:p>
            <w:r>
              <w:rPr>
                <w:color w:val="282828"/>
                <w:sz w:val="15"/>
              </w:rPr>
              <w:t>Dettes totales = 86.9%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276.048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276.048 Mds FCFA</w:t>
            </w:r>
          </w:p>
        </w:tc>
        <w:tc>
          <w:tcPr>
            <w:tcW w:type="dxa" w:w="5669"/>
            <w:shd w:fill="FFFFFF" w:val="clear"/>
          </w:tcPr>
          <w:p>
            <w:r>
              <w:rPr>
                <w:color w:val="282828"/>
                <w:sz w:val="15"/>
              </w:rPr>
              <w:t>Revenu bancaire central (≡ CA). Croissance: 4.9%.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230.313 Mds FCFA</w:t>
            </w:r>
          </w:p>
        </w:tc>
        <w:tc>
          <w:tcPr>
            <w:tcW w:type="dxa" w:w="5669"/>
            <w:shd w:fill="FFFFFF" w:val="clear"/>
          </w:tcPr>
          <w:p>
            <w:r>
              <w:rPr>
                <w:color w:val="282828"/>
                <w:sz w:val="15"/>
              </w:rPr>
              <w:t>Revenus d'intérêts sur crédits (83%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47.775 Mds FCFA</w:t>
            </w:r>
          </w:p>
        </w:tc>
        <w:tc>
          <w:tcPr>
            <w:tcW w:type="dxa" w:w="5669"/>
            <w:shd w:fill="FFFFFF" w:val="clear"/>
          </w:tcPr>
          <w:p>
            <w:r>
              <w:rPr>
                <w:color w:val="282828"/>
                <w:sz w:val="15"/>
              </w:rPr>
              <w:t>Coût des dépôts collectés (17%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72.603 Mds FCFA</w:t>
            </w:r>
          </w:p>
        </w:tc>
        <w:tc>
          <w:tcPr>
            <w:tcW w:type="dxa" w:w="5669"/>
            <w:shd w:fill="FFFFFF" w:val="clear"/>
          </w:tcPr>
          <w:p>
            <w:r>
              <w:rPr>
                <w:color w:val="282828"/>
                <w:sz w:val="15"/>
              </w:rPr>
              <w:t>Revenus de commissions (26.3%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94.052 Mds FCFA</w:t>
            </w:r>
          </w:p>
        </w:tc>
        <w:tc>
          <w:tcPr>
            <w:tcW w:type="dxa" w:w="5669"/>
            <w:shd w:fill="FFFFFF" w:val="clear"/>
          </w:tcPr>
          <w:p>
            <w:r>
              <w:rPr>
                <w:color w:val="282828"/>
                <w:sz w:val="15"/>
              </w:rPr>
              <w:t>34.1%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12.922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169.074 Mds FCFA</w:t>
            </w:r>
          </w:p>
        </w:tc>
        <w:tc>
          <w:tcPr>
            <w:tcW w:type="dxa" w:w="5669"/>
            <w:shd w:fill="FFFFFF" w:val="clear"/>
          </w:tcPr>
          <w:p>
            <w:r>
              <w:rPr>
                <w:color w:val="282828"/>
                <w:sz w:val="15"/>
              </w:rPr>
              <w:t>RBE = 61.2%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122.245 Mds FCFA</w:t>
            </w:r>
          </w:p>
        </w:tc>
        <w:tc>
          <w:tcPr>
            <w:tcW w:type="dxa" w:w="5669"/>
            <w:shd w:fill="FFFFFF" w:val="clear"/>
          </w:tcPr>
          <w:p>
            <w:r>
              <w:rPr>
                <w:color w:val="282828"/>
                <w:sz w:val="15"/>
              </w:rPr>
              <w:t>Profit d'exploitation = 44.3%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17.995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101.352 Mds FCFA</w:t>
            </w:r>
          </w:p>
        </w:tc>
        <w:tc>
          <w:tcPr>
            <w:tcW w:type="dxa" w:w="5669"/>
            <w:shd w:fill="FFFFFF" w:val="clear"/>
          </w:tcPr>
          <w:p>
            <w:r>
              <w:rPr>
                <w:color w:val="282828"/>
                <w:sz w:val="15"/>
              </w:rPr>
              <w:t>Marge nette = 36.7%.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114.274 Mds FCFA</w:t>
            </w:r>
          </w:p>
        </w:tc>
        <w:tc>
          <w:tcPr>
            <w:tcW w:type="dxa" w:w="5669"/>
            <w:shd w:fill="FFFFFF" w:val="clear"/>
          </w:tcPr>
          <w:p>
            <w:r>
              <w:rPr>
                <w:color w:val="282828"/>
                <w:sz w:val="15"/>
              </w:rPr>
              <w:t>CAF = 114.27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178.821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61.25%</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36.72%</w:t>
            </w:r>
          </w:p>
        </w:tc>
        <w:tc>
          <w:tcPr>
            <w:tcW w:type="dxa" w:w="5669"/>
            <w:shd w:fill="FFFFFF" w:val="clear"/>
          </w:tcPr>
          <w:p>
            <w:r>
              <w:rPr>
                <w:color w:val="282828"/>
                <w:sz w:val="15"/>
              </w:rPr>
              <w:t>Résultat net / revenus = 36.72%.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44.28%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20.47%</w:t>
            </w:r>
          </w:p>
        </w:tc>
        <w:tc>
          <w:tcPr>
            <w:tcW w:type="dxa" w:w="5669"/>
            <w:shd w:fill="FFFFFF" w:val="clear"/>
          </w:tcPr>
          <w:p>
            <w:r>
              <w:rPr>
                <w:color w:val="282828"/>
                <w:sz w:val="15"/>
              </w:rPr>
              <w:t>Résultat net / capitaux propres = 20.47%.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2.69%</w:t>
            </w:r>
          </w:p>
        </w:tc>
        <w:tc>
          <w:tcPr>
            <w:tcW w:type="dxa" w:w="5669"/>
            <w:shd w:fill="FFFFFF" w:val="clear"/>
          </w:tcPr>
          <w:p>
            <w:r>
              <w:rPr>
                <w:color w:val="282828"/>
                <w:sz w:val="15"/>
              </w:rPr>
              <w:t>Résultat net / total actif = 2.69%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7.32%</w:t>
            </w:r>
          </w:p>
        </w:tc>
        <w:tc>
          <w:tcPr>
            <w:tcW w:type="dxa" w:w="5669"/>
            <w:shd w:fill="FFFFFF" w:val="clear"/>
          </w:tcPr>
          <w:p>
            <w:r>
              <w:rPr>
                <w:color w:val="282828"/>
                <w:sz w:val="15"/>
              </w:rPr>
              <w:t>CA / total actif = 7.32x.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38.75%</w:t>
            </w:r>
          </w:p>
        </w:tc>
        <w:tc>
          <w:tcPr>
            <w:tcW w:type="dxa" w:w="5669"/>
            <w:shd w:fill="FFFFFF" w:val="clear"/>
          </w:tcPr>
          <w:p>
            <w:r>
              <w:rPr>
                <w:color w:val="282828"/>
                <w:sz w:val="15"/>
              </w:rPr>
              <w:t>Charges / PNB = 38.75% (cost-to-income). ✅ Excellent — banque très efficiente.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4.88%</w:t>
            </w:r>
          </w:p>
        </w:tc>
        <w:tc>
          <w:tcPr>
            <w:tcW w:type="dxa" w:w="5669"/>
            <w:shd w:fill="FFFFFF" w:val="clear"/>
          </w:tcPr>
          <w:p>
            <w:r>
              <w:rPr>
                <w:color w:val="282828"/>
                <w:sz w:val="15"/>
              </w:rPr>
              <w:t>Croissance PNB vs exercice précédent = 4.88%.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13.14%</w:t>
            </w:r>
          </w:p>
        </w:tc>
        <w:tc>
          <w:tcPr>
            <w:tcW w:type="dxa" w:w="5669"/>
            <w:shd w:fill="FFFFFF" w:val="clear"/>
          </w:tcPr>
          <w:p>
            <w:r>
              <w:rPr>
                <w:color w:val="282828"/>
                <w:sz w:val="15"/>
              </w:rPr>
              <w:t>Fonds propres / total bilan = 13.14%.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633.72%</w:t>
            </w:r>
          </w:p>
        </w:tc>
        <w:tc>
          <w:tcPr>
            <w:tcW w:type="dxa" w:w="5669"/>
            <w:shd w:fill="FFFFFF" w:val="clear"/>
          </w:tcPr>
          <w:p>
            <w:r>
              <w:rPr>
                <w:color w:val="282828"/>
                <w:sz w:val="15"/>
              </w:rPr>
              <w:t>Dettes financières / total bilan = 633.72%.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86.86%</w:t>
            </w:r>
          </w:p>
        </w:tc>
        <w:tc>
          <w:tcPr>
            <w:tcW w:type="dxa" w:w="5669"/>
            <w:shd w:fill="FFFFFF" w:val="clear"/>
          </w:tcPr>
          <w:p>
            <w:r>
              <w:rPr>
                <w:color w:val="282828"/>
                <w:sz w:val="15"/>
              </w:rPr>
              <w:t>Dettes totales / fonds propres = 86.86%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115.12%</w:t>
            </w:r>
          </w:p>
        </w:tc>
        <w:tc>
          <w:tcPr>
            <w:tcW w:type="dxa" w:w="5669"/>
            <w:shd w:fill="FFFFFF" w:val="clear"/>
          </w:tcPr>
          <w:p>
            <w:r>
              <w:rPr>
                <w:color w:val="282828"/>
                <w:sz w:val="15"/>
              </w:rPr>
              <w:t>Total actif / dettes totales = 115.12x. ✅ Solvable.</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27.5 ans</w:t>
            </w:r>
          </w:p>
        </w:tc>
        <w:tc>
          <w:tcPr>
            <w:tcW w:type="dxa" w:w="5669"/>
            <w:shd w:fill="FFFFFF" w:val="clear"/>
          </w:tcPr>
          <w:p>
            <w:r>
              <w:rPr>
                <w:color w:val="282828"/>
                <w:sz w:val="15"/>
              </w:rPr>
              <w:t>Dettes financières / CAF = 27.5 ans. ❌ Capacité de remboursement très dégradée.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255.88%</w:t>
            </w:r>
          </w:p>
        </w:tc>
        <w:tc>
          <w:tcPr>
            <w:tcW w:type="dxa" w:w="5669"/>
            <w:shd w:fill="FFFFFF" w:val="clear"/>
          </w:tcPr>
          <w:p>
            <w:r>
              <w:rPr>
                <w:color w:val="282828"/>
                <w:sz w:val="15"/>
              </w:rPr>
              <w:t>Résultat exploit. / charges financières = 255.88x. ✅ Couverture satisfaisante.</w:t>
            </w:r>
          </w:p>
        </w:tc>
      </w:tr>
    </w:tbl>
    <w:p/>
    <w:p>
      <w:pPr>
        <w:spacing w:after="120" w:line="276" w:lineRule="auto"/>
      </w:pPr>
      <w:r>
        <w:t>**RAPPORT D'ANALYSE FINANCIÈRE — SGBC (SOCIÉTÉ GÉNÉRALE CÔTE D'IVOIRE)**</w:t>
        <w:br/>
        <w:t>*Marché : BRVM | Secteur : Banque | Date d'analyse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1 213,18 milliards FCFA, SGBC s'impose comme l'une des toutes premières capitalisations de la BRVM, ce qui en fait un pilier de l'indice BRVM Composite et un titre incontournable pour les investisseurs institutionnels de la zone UEMOA. Le BPA de 3 258 FCFA par action signifie que chaque titre génère plus de 3 200 FCFA de bénéfice net, un niveau exceptionnellement élevé qui traduit la forte rentabilité de la banque. Le PER de 12,0x se situe dans la fourchette haute de la moyenne BRVM (~8-12x), indiquant que le marché paie un prix modéré mais non décoté pour ces bénéfices, ce qui est cohérent avec la prime de qualité associée au leader bancaire ivoirien. Le P/B de 2,45x montre que le marché valorise SGBC à plus du double de sa valeur comptable, accordant une prime de croissance justifiée par un ROE supérieur à 20%. En revanche, l'EV/EBITDA de 24,7x apparaît très exigeant (&gt;15x), signalant que la valeur d'entreprise intègre déjà une bonne part des performances opérationnelles attendues, ce qui limite le potentiel de revalorisation à court terme.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SGBC affiche une progression totale de +8,32%, avec une dernière séance quasi stable (-0,01%), le cours s'établissant à 38 995 FCFA. Le range de trading est resté relativement étroit, entre un plus bas de 36 000 FCFA et un plus haut de 39 300 FCFA, soit une amplitude de seulement 9,2%, ce qui témoigne d'une tendance haussière régulière et sans à-coups majeurs. La moyenne du cours (38 467 FCFA) est légèrement inférieure à la médiane (38 800 FCFA) et au mode (39 000 FCFA), confirmant que le titre a passé davantage de séances dans la partie haute de sa fourchette récente. L'écart-type de 687 FCFA, avec un coefficient de variation très faible de 1,8%, indique une dispersion extrêmement réduite du cours, caractéristique d'un titre à faible volatilité quotidienne. Le kurtosis de 0,917 (mésokurtique) suggère une distribution proche de la normale, sans risque majeur de pics extrêmes, tandis que le skewness de -1,128 (asymétrie négative) révèle une prédominance de journées au-dessus de la moyenne, avec quelques rares séances de baisse marquée. La volatilité annualisée de 21,1% place SGBC dans la catégorie des titres à volatilité modérée (15-30%), ce qui est rassurant pour un investisseur recherchant stabilité et rendement.</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(38 787,25 FCFA) et la MM50 (38 663,90 FCFA) se situent toutes deux sous le cours actuel (38 995 FCFA), avec la MM20 au-dessus de la MM50, configurant un croisement haussier classique. Cette configuration traduit une dynamique positive de court et moyen terme, justifiant la décision d'**Achat**.</w:t>
      </w:r>
    </w:p>
    <w:p>
      <w:pPr>
        <w:spacing w:after="120" w:line="276" w:lineRule="auto"/>
      </w:pPr>
      <w:r>
        <w:t>**Bandes de Bollinger** : Le cours (38 995 FCFA) évolue dans la partie haute du canal, entre la borne inférieure (38 007,46 FCFA) et la borne supérieure (39 567,04 FCFA), sans franchir cette dernière. L'absence de rupture signale une volatilité contenue et une décision **Neutre**, le titre n'étant ni en surachat ni en survente technique.</w:t>
      </w:r>
    </w:p>
    <w:p>
      <w:pPr>
        <w:spacing w:after="120" w:line="276" w:lineRule="auto"/>
      </w:pPr>
      <w:r>
        <w:t>**MACD** : La ligne MACD (140,035) se maintient au-dessus de sa ligne de signal (129,159), avec un histogramme positif, confirmant un momentum haussier toujours en place. Cette divergence positive soutient la décision d'**Achat**, bien que l'écart reste modéré.</w:t>
      </w:r>
    </w:p>
    <w:p>
      <w:pPr>
        <w:spacing w:after="120" w:line="276" w:lineRule="auto"/>
      </w:pPr>
      <w:r>
        <w:t>**RSI** : À 54,815, le RSI se situe en zone neutre (30-70), sans signal de surachat (&gt;70) ni de survente (&lt;30). Cette position médiane indique un équilibre entre acheteurs et vendeurs, justifiant une décision **Neutre** et suggérant que le titre dispose encore de marge de progression avant d'atteindre des niveaux de surachat.</w:t>
      </w:r>
    </w:p>
    <w:p>
      <w:pPr>
        <w:spacing w:after="120" w:line="276" w:lineRule="auto"/>
      </w:pPr>
      <w:r>
        <w:t>**Stochastique** : Le %K (74,375) et le %D (77,638) évoluent en zone haute, proches du seuil de surachat (80), sans croisement baissier confirmé. La décision reste **Neutre**, le titre approchant d'une zone de prudence mais sans signal de retournement.</w:t>
      </w:r>
    </w:p>
    <w:p>
      <w:pPr>
        <w:spacing w:after="120" w:line="276" w:lineRule="auto"/>
      </w:pPr>
      <w:r>
        <w:t>**Conclusion technique** : Les indicateurs convergent majoritairement vers un biais haussier modéré (MM en achat, MACD en achat), tandis que le RSI, le stochastique et les bandes de Bollinger restent neutres. Cette configuration suggère une poursuite de la tendance haussière à court terme, mais avec un potentiel de hausse limité à proximité de la résistance des 39 300-39 567 FCFA. Aucun signal de vente n'est présent, mais la prudence s'impose à l'approche des sommets.</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**Données structurées (exercice 2025)** : En 2025, SGBC affiche un Produit Net Bancaire (équivalent du chiffre d'affaires pour une banque) de 276 048 millions FCFA, en croissance de +4,88% sur un an, et un résultat net de 101 352 millions FCFA. Le ROE s'établit à 20,47% (largement supérieur au seuil d'excellence de 15%) et le ROA à 2,69%, confirmant la remarquable rentabilité des fonds propres et des actifs. Le coefficient d'exploitation de 38,75% est excellent (&lt;60% = banque efficace, &lt;50% = excellente), traduisant une maîtrise rigoureuse des charges. Le total bilan atteint 3 769,17 milliards FCFA, avec des dépôts clientèle de 2 907,68 milliards FCFA et des créances clientèle de 2 546,29 milliards FCFA, soit un ratio crédits/dépôts de 87,6%, en amélioration. La marge nette de 36,72% et la marge opérationnelle de 44,28% demeurent parmi les meilleures du secteur bancaire UEMOA. Le coût du risque, mesuré par le ratio provisions/charges financières (17 995/47 775 = 37,7%), reste contenu mais en hausse, avec un taux de NPL de 8,0% et un taux de couverture de 82%.</w:t>
      </w:r>
    </w:p>
    <w:p>
      <w:pPr>
        <w:spacing w:after="120" w:line="276" w:lineRule="auto"/>
      </w:pPr>
      <w:r>
        <w:t>**Estimations basées sur les rapports trimestriels** : Le rapport T1 2026 (publié le 30 avril 2026) indique un PNB de 65 644 millions FCFA (-1% sur un an) et un résultat net de 23 976 millions FCFA (-11%), pénalisé par la migration vers une nouvelle plateforme digitale et la hausse des frais généraux (+9%). Le rapport S1 2026 (publié le 27 août 2026) montre une stabilisation avec un PNB de 134 059 millions FCFA (+1,6%) et un résultat net de 53 350 millions FCFA (+0,5%), le coefficient d'exploitation s'améliorant à 36,7% et le ratio de solvabilité atteignant 17,6% (bien au-dessus du minimum réglementaire de 12,5%). Sur la base de ces tendances, on estime que l'exercice 2026 devrait enregistrer une croissance modérée du PNB (autour de +2-3%) et une quasi-stagnation du résultat net, les investissements en cours (rénovation du siège, digitalisation) pesant temporairement sur la rentabilité avant un redressement attendu en 2027. La politique de dividende reste généreuse, avec un taux de distribution de 80% en 2025 (dividende brut de 2 606 FCFA/action), offrant un rendement attractif de 6,7% au cours actuel de 38 995 FCFA. La solidité bilancielle (capitaux propres de 548 milliards FCFA au S1 2026, +22,7%) et la notation AAA (seul acteur bancaire noté AAA sur le marché) confirment la qualité fondamentale du titre, malgré les défis conjoncturels.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précédentes et des prédictions IA conduit à une recommandation nuancée. **Valorisation (Partie 0)** : le PER de 12,0x et le P/B de 2,45x indiquent une valorisation modérée à légèrement élevée, sans décote significative, tandis que l'EV/EBITDA de 24,7x apparaît exigeant, limitant le potentiel de revalorisation à court terme. **Comportement du cours (Partie 1)** : la tendance haussière (+8,32% sur 100 jours) avec une volatilité modérée (21,1%) et une distribution proche de la normale (kurtosis 0,917) est favorable, bien que le skewness négatif (-1,128) suggère une certaine vulnérabilité aux corrections. **Signaux techniques (Partie 2)** : les indicateurs convergent vers un biais haussier modéré (MM et MACD en achat), mais le RSI (54,8) et le stochastique (74,4) approchent de zones de prudence, sans signal de retournement. **Fondamentaux (Partie 3)** : SGBC affiche une solidité remarquable (ROE 20,5%, coefficient d'exploitation 38,8%, solvabilité 17,6%, notation AAA) et une politique de dividende généreuse (rendement ~6,7%), mais la stagnation du résultat net en 2025 (+0,1%) et la hausse du coût du risque (+29,2%) limitent le potentiel de surperformance à court terme. **Prédictions IA (J+1 à J+10)** : la trajectoire prédite (38 767 → 38 493 FCFA) anticipe une légère correction baissière de -1,3% sur 10 jours, ce qui contredit le biais haussier technique et suggère une consolidation à proximité des sommets. **Recommandation finale : CONSERVER**. Cette recommandation reflète la convergence entre une valorisation sans décote majeure, des fondamentaux solides mais en légère décélération, et des signaux techniques haussiers mais proches de zones de prudence. Le niveau de confiance est **Moyen** (les indicateurs sont mitigés, avec une divergence entre technique et prédictions IA) et le niveau de risque global est **Faible à Moyen** (titre défensif, faible volatilité, mais sensibilité aux coûts du risque et à la conjoncture post-électorale). L'horizon d'investissement optimal est le **moyen terme (3-12 mois)**, en attendant la confirmation d'une reprise de la croissance bénéficiaire au S2 2026 et la publication du dividende 2026 (rendement attendu &gt;6%). Un passage à l'ACHAT serait justifié si le T2 2026 confirme le redressement du PNB et la maîtrise des frais généraux, avec un objectif de cours à 41 000-42 000 FCFA. À l'inverse, une dégradation supplémentaire de la rentabilité ou une hausse du coût du risque au-delà de 10% constituerait un signal de vigilance, pouvant justifier une réduction de position.</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20260511   avis ndeg133 brvmdg   transactions sur dossier</w:t>
      </w:r>
    </w:p>
    <w:p>
      <w:pPr>
        <w:spacing w:before="20"/>
        <w:ind w:left="400"/>
      </w:pPr>
      <w:r>
        <w:rPr>
          <w:color w:val="505050"/>
          <w:sz w:val="17"/>
        </w:rPr>
        <w:t xml:space="preserve">Date : 12/05/2026  |  Catégorie : avis de marché  |  Impact : </w:t>
      </w:r>
      <w:r>
        <w:rPr>
          <w:b/>
          <w:color w:val="646464"/>
          <w:sz w:val="17"/>
        </w:rPr>
        <w:t>⚪ NEUTRE</w:t>
      </w:r>
    </w:p>
    <w:p>
      <w:pPr>
        <w:spacing w:before="40"/>
        <w:ind w:left="400"/>
      </w:pPr>
      <w:r>
        <w:rPr>
          <w:sz w:val="18"/>
        </w:rPr>
        <w:t>Avis de la BRVM informant de la réalisation de 7 transactions sur dossier le 11 mai 2026. Les transactions portent sur plusieurs titres dont SOCIETE GENERALE CI, SONATEL SN, SAFCA CI, ETI TG, UNIWAX CI et des obligations TPCI et FCTC EPT. La valeur totale des transactions s'élève à 667 125,85 FCFA.</w:t>
      </w:r>
    </w:p>
    <w:p>
      <w:pPr>
        <w:spacing w:before="60"/>
        <w:ind w:left="400"/>
      </w:pPr>
      <w:r>
        <w:rPr>
          <w:b/>
          <w:sz w:val="18"/>
        </w:rPr>
        <w:t>Points clés :</w:t>
      </w:r>
    </w:p>
    <w:p>
      <w:pPr>
        <w:pStyle w:val="ListBullet"/>
        <w:spacing w:before="20" w:after="20"/>
        <w:ind w:left="700"/>
      </w:pPr>
      <w:r>
        <w:rPr>
          <w:sz w:val="18"/>
        </w:rPr>
        <w:t>7 transactions sur dossier réalisées le 11 mai 2026</w:t>
      </w:r>
    </w:p>
    <w:p>
      <w:pPr>
        <w:pStyle w:val="ListBullet"/>
        <w:spacing w:before="20" w:after="20"/>
        <w:ind w:left="700"/>
      </w:pPr>
      <w:r>
        <w:rPr>
          <w:sz w:val="18"/>
        </w:rPr>
        <w:t>750 actions SOCIETE GENERALE CI et 500 actions SONATEL SN échangées</w:t>
      </w:r>
    </w:p>
    <w:p>
      <w:pPr>
        <w:pStyle w:val="ListBullet"/>
        <w:spacing w:before="20" w:after="20"/>
        <w:ind w:left="700"/>
      </w:pPr>
      <w:r>
        <w:rPr>
          <w:sz w:val="18"/>
        </w:rPr>
        <w:t>5 000 actions SAFCA CI, 125 000 actions ETI TG et 2 000 actions UNIWAX CI négociées</w:t>
      </w:r>
    </w:p>
    <w:p>
      <w:pPr>
        <w:pStyle w:val="ListBullet"/>
        <w:spacing w:before="20" w:after="20"/>
        <w:ind w:left="700"/>
      </w:pPr>
      <w:r>
        <w:rPr>
          <w:sz w:val="18"/>
        </w:rPr>
        <w:t>96 obligations TPCI 6,00% 2018-2026 et 100 obligations FCTC EPT 7,00% 2023-2030 échangées</w:t>
      </w:r>
    </w:p>
    <w:p>
      <w:pPr>
        <w:pStyle w:val="ListBullet"/>
        <w:spacing w:before="20" w:after="20"/>
        <w:ind w:left="700"/>
      </w:pPr>
      <w:r>
        <w:rPr>
          <w:sz w:val="18"/>
        </w:rPr>
        <w:t>Valeur totale des transactions de 667 125,85 FCFA</w:t>
      </w:r>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"SGB CI affiche une croissance solide de son r\u00e9sultat net (+39,3%) et une rentabilit\u00e9 \u00e9lev\u00e9e avec un ROE estim\u00e9 \u00e0 plus de 22%. La politique de dividende g\u00e9n\u00e9reuse (51,3% de distribution) et la solidit\u00e9 du bilan confortent le potentiel de valorisation du titre."}</w:t>
      </w:r>
    </w:p>
    <w:p>
      <w:pPr>
        <w:spacing w:before="40"/>
        <w:ind w:left="400"/>
      </w:pPr>
      <w:r>
        <w:rPr>
          <w:sz w:val="18"/>
        </w:rPr>
        <w:t>Société Générale Côte d'Ivoire (SGB CI) clôture l'exercice 2021 sur des états financiers certifiés marqués par une nette progression de son activité. Le Produit Net Bancaire s'élève à 189 096 millions FCFA, en hausse de 15,3% par rapport aux 164 062 millions FCFA de 2020. Le résultat net atteint 67 438 millions FCFA contre 48 435 millions FCFA un an plus tôt, soit une croissance de 39,3%. La banque affiche un total de bilan de 3 021 481 millions FCFA et des capitaux propres de 304 993 millions FCFA, confirmant sa solidité financière. La politique de distribution reste généreuse avec un dividende brut de 1 112 FCFA par action, soit un taux de distribution de 51,3% du résultat net.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{'roe_estime': '22,1%', 'cout_du_risque': '17 942 millions FCFA', 'croissance_pnb': '+15,3%', 'frais_generaux': '90 651 millions FCFA', 'nombre_d_actions': '31 111 110', 'resultat_avant_impot': '79 574 millions FCFA', 'taux_de_distribution': '51,3%', 'dettes_a_la_clientele': '2 528 809 millions FCFA', 'resultat_exploitation': '80 504 millions FCFA', 'croissance_resultat_net': '+39,3%', 'creances_sur_la_clientele': '398 854 millions FCFA', 'resultat_brut_exploitation': '98 446 millions FCFA'}</w:t>
            </w:r>
          </w:p>
        </w:tc>
        <w:tc>
          <w:tcPr>
            <w:tcW w:type="dxa" w:w="2160"/>
          </w:tcPr>
          <w:p>
            <w:pPr>
              <w:ind w:left="100"/>
            </w:pPr>
            <w:r/>
            <w:r>
              <w:rPr>
                <w:b/>
                <w:sz w:val="16"/>
              </w:rPr>
              <w:t>dividende</w:t>
              <w:br/>
            </w:r>
            <w:r>
              <w:rPr>
                <w:sz w:val="18"/>
              </w:rPr>
              <w:t>1 112 FCFA par action</w:t>
            </w:r>
          </w:p>
        </w:tc>
        <w:tc>
          <w:tcPr>
            <w:tcW w:type="dxa" w:w="2160"/>
          </w:tcPr>
          <w:p>
            <w:pPr>
              <w:ind w:left="100"/>
            </w:pPr>
            <w:r/>
            <w:r>
              <w:rPr>
                <w:b/>
                <w:sz w:val="16"/>
              </w:rPr>
              <w:t>marge_nette</w:t>
              <w:br/>
            </w:r>
            <w:r>
              <w:rPr>
                <w:sz w:val="18"/>
              </w:rPr>
              <w:t>35,7%</w:t>
            </w:r>
          </w:p>
        </w:tc>
        <w:tc>
          <w:tcPr>
            <w:tcW w:type="dxa" w:w="2160"/>
          </w:tcPr>
          <w:p>
            <w:pPr>
              <w:ind w:left="100"/>
            </w:pPr>
            <w:r/>
            <w:r>
              <w:rPr>
                <w:b/>
                <w:sz w:val="16"/>
              </w:rPr>
              <w:t>total_actif</w:t>
              <w:br/>
            </w:r>
            <w:r>
              <w:rPr>
                <w:sz w:val="18"/>
              </w:rPr>
              <w:t>3 021 481 millions FCFA</w:t>
            </w:r>
          </w:p>
        </w:tc>
      </w:tr>
      <w:tr>
        <w:tc>
          <w:tcPr>
            <w:tcW w:type="dxa" w:w="2160"/>
          </w:tcPr>
          <w:p>
            <w:r/>
            <w:r>
              <w:rPr>
                <w:b/>
                <w:sz w:val="16"/>
              </w:rPr>
              <w:t>resultat_net</w:t>
              <w:br/>
            </w:r>
            <w:r>
              <w:rPr>
                <w:sz w:val="18"/>
              </w:rPr>
              <w:t>67 438 millions FCFA</w:t>
            </w:r>
          </w:p>
        </w:tc>
        <w:tc>
          <w:tcPr>
            <w:tcW w:type="dxa" w:w="2160"/>
          </w:tcPr>
          <w:p>
            <w:r/>
            <w:r>
              <w:rPr>
                <w:b/>
                <w:sz w:val="16"/>
              </w:rPr>
              <w:t>capitaux_propres</w:t>
              <w:br/>
            </w:r>
            <w:r>
              <w:rPr>
                <w:sz w:val="18"/>
              </w:rPr>
              <w:t>304 993 millions FCFA</w:t>
            </w:r>
          </w:p>
        </w:tc>
        <w:tc>
          <w:tcPr>
            <w:tcW w:type="dxa" w:w="2160"/>
          </w:tcPr>
          <w:p>
            <w:r/>
            <w:r>
              <w:rPr>
                <w:b/>
                <w:sz w:val="16"/>
              </w:rPr>
              <w:t>chiffre_affaires</w:t>
              <w:br/>
            </w:r>
            <w:r>
              <w:rPr>
                <w:sz w:val="18"/>
              </w:rPr>
              <w:t>189 096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de 189 096 millions FCFA en 2021, en progression de 15,3% sur un an (164 062 millions FCFA en 2020).</w:t>
      </w:r>
    </w:p>
    <w:p>
      <w:pPr>
        <w:pStyle w:val="ListBullet"/>
        <w:spacing w:before="20" w:after="20"/>
        <w:ind w:left="700"/>
      </w:pPr>
      <w:r>
        <w:rPr>
          <w:sz w:val="18"/>
        </w:rPr>
        <w:t>Résultat net de 67 438 millions FCFA, en forte hausse de 39,3% par rapport à 48 435 millions FCFA en 2020.</w:t>
      </w:r>
    </w:p>
    <w:p>
      <w:pPr>
        <w:pStyle w:val="ListBullet"/>
        <w:spacing w:before="20" w:after="20"/>
        <w:ind w:left="700"/>
      </w:pPr>
      <w:r>
        <w:rPr>
          <w:sz w:val="18"/>
        </w:rPr>
        <w:t>Marge nette élevée à environ 35,7% du PNB, illustrant une bonne maîtrise des charges.</w:t>
      </w:r>
    </w:p>
    <w:p>
      <w:pPr>
        <w:pStyle w:val="ListBullet"/>
        <w:spacing w:before="20" w:after="20"/>
        <w:ind w:left="700"/>
      </w:pPr>
      <w:r>
        <w:rPr>
          <w:sz w:val="18"/>
        </w:rPr>
        <w:t>Coût du risque en baisse à 17 942 millions FCFA contre 23 926 millions FCFA en 2020, traduisant une amélioration de la qualité du portefeuille.</w:t>
      </w:r>
    </w:p>
    <w:p>
      <w:pPr>
        <w:pStyle w:val="ListBullet"/>
        <w:spacing w:before="20" w:after="20"/>
        <w:ind w:left="700"/>
      </w:pPr>
      <w:r>
        <w:rPr>
          <w:sz w:val="18"/>
        </w:rPr>
        <w:t>Frais généraux contenus à 90 651 millions FCFA, permettant un Résultat Brut d'Exploitation de 98 446 millions FCFA (contre 83 330 millions FCFA en 2020).</w:t>
      </w:r>
    </w:p>
    <w:p>
      <w:pPr>
        <w:pStyle w:val="ListBullet"/>
        <w:spacing w:before="20" w:after="20"/>
        <w:ind w:left="700"/>
      </w:pPr>
      <w:r>
        <w:rPr>
          <w:sz w:val="18"/>
        </w:rPr>
        <w:t>Total du bilan de 3 021 481 millions FCFA et capitaux propres renforcés à 304 993 millions FCFA.</w:t>
      </w:r>
    </w:p>
    <w:p>
      <w:pPr>
        <w:spacing w:before="40"/>
        <w:ind w:left="400"/>
      </w:pPr>
      <w:r>
        <w:rPr>
          <w:b/>
          <w:color w:val="C05000"/>
          <w:sz w:val="18"/>
        </w:rPr>
        <w:t xml:space="preserve">⚠️ Risques : </w:t>
      </w:r>
      <w:r>
        <w:rPr>
          <w:sz w:val="18"/>
        </w:rPr>
        <w:t>["D\u00e9gradation de la qualit\u00e9 du cr\u00e9dit dans un contexte macro\u00e9conomique r\u00e9gional incertain pouvant faire remonter le co\u00fbt du risque.", "Forte d\u00e9pendance au march\u00e9 ivoirien et \u00e0 la concentration du portefeuille client\u00e8le, exposant la banque \u00e0 un r</w:t>
      </w:r>
    </w:p>
    <w:p>
      <w:pPr>
        <w:spacing w:before="40"/>
        <w:ind w:left="400"/>
      </w:pPr>
      <w:r>
        <w:rPr>
          <w:b/>
          <w:color w:val="0064A0"/>
          <w:sz w:val="18"/>
        </w:rPr>
        <w:t xml:space="preserve">🔮 Perspectives : </w:t>
      </w:r>
      <w:r>
        <w:rPr>
          <w:sz w:val="18"/>
        </w:rPr>
        <w:t>Pour l'exercice 2022, SGB CI devrait poursuivre sa dynamique de croissance portée par le développement du crédit à la clientèle et la digitalisation de ses services. La bonne maîtrise des charges et la baisse du coût du risque devraient soutenir la rentabilité. Le maintien d'une politique de distrib</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affiche une forte dynamique commerciale et un PNB en croissance de +14%, mais le r\u00e9sultat net recule de -3% dans un contexte macro\u00e9conomique incertain. La solidit\u00e9 du bilan et la croissance des encours justifient une position d'attente."}</w:t>
      </w:r>
    </w:p>
    <w:p>
      <w:pPr>
        <w:spacing w:before="40"/>
        <w:ind w:left="400"/>
      </w:pPr>
      <w:r>
        <w:rPr>
          <w:sz w:val="18"/>
        </w:rPr>
        <w:t>Société Générale Côte d'Ivoire (SGB CI) affiche à fin septembre 2022 des résultats témoignant de la résilience de son activité dans un environnement économique mondial difficile. L'activité commerciale reste très dynamique avec une croissance soutenue des encours de crédits (+17%) et de dépôts (+19%) par rapport à septembre 2021. Le Produit Net Bancaire s'établit à 154,9 milliards FCFA, en forte progression de +14%, porté par la marge nette d'intérêt et les commissions de service. Le résultat avant impôt ressort à 56,7 milliards FCFA (-3%) et le résultat net à 47,1 milliards FCFA, en légère baisse de -3%. La société confirme ainsi la solidité de son modèle, bien que la rentabilité nette soit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{'unite': 'Millions XOF (MXOF)', 'periode': 'Fin septembre 2022 vs septembre 2021', 'variation_pnb': '+19 540 millions FCFA', 'depots_clientele': '2 700 807 millions FCFA (+19%)', 'credits_clientele': '1 965 461 millions FCFA (+17%)', 'produit_net_bancaire': '154 926 millions FCFA (+14%)', 'resultat_avant_impot': '56 728 millions FCFA (-3%)', 'variation_resultat_net': '-1 354 millions FCFA', 'variation_resultat_avant_impot': '-1 631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30,4%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47 084 millions FCFA (-3%)</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154 926 millions FCFA (Produit Net Bancaire, +14%)</w:t>
            </w:r>
          </w:p>
        </w:tc>
        <w:tc>
          <w:tcPr>
            <w:tcW w:type="dxa" w:w="2160"/>
          </w:tcPr>
          <w:p/>
        </w:tc>
      </w:tr>
    </w:tbl>
    <w:p/>
    <w:p>
      <w:pPr>
        <w:spacing w:before="60"/>
        <w:ind w:left="400"/>
      </w:pPr>
      <w:r>
        <w:rPr>
          <w:b/>
          <w:sz w:val="18"/>
        </w:rPr>
        <w:t>Points clés :</w:t>
      </w:r>
    </w:p>
    <w:p>
      <w:pPr>
        <w:pStyle w:val="ListBullet"/>
        <w:spacing w:before="20" w:after="20"/>
        <w:ind w:left="700"/>
      </w:pPr>
      <w:r>
        <w:rPr>
          <w:sz w:val="18"/>
        </w:rPr>
        <w:t>Encours de crédits de la clientèle en hausse de +17% à 1 965,5 milliards FCFA</w:t>
      </w:r>
    </w:p>
    <w:p>
      <w:pPr>
        <w:pStyle w:val="ListBullet"/>
        <w:spacing w:before="20" w:after="20"/>
        <w:ind w:left="700"/>
      </w:pPr>
      <w:r>
        <w:rPr>
          <w:sz w:val="18"/>
        </w:rPr>
        <w:t>Encours de dépôts de la clientèle en progression de +19% à 2 700,8 milliards FCFA</w:t>
      </w:r>
    </w:p>
    <w:p>
      <w:pPr>
        <w:pStyle w:val="ListBullet"/>
        <w:spacing w:before="20" w:after="20"/>
        <w:ind w:left="700"/>
      </w:pPr>
      <w:r>
        <w:rPr>
          <w:sz w:val="18"/>
        </w:rPr>
        <w:t>Produit Net Bancaire de 154,9 milliards FCFA, en forte croissance de +14%</w:t>
      </w:r>
    </w:p>
    <w:p>
      <w:pPr>
        <w:pStyle w:val="ListBullet"/>
        <w:spacing w:before="20" w:after="20"/>
        <w:ind w:left="700"/>
      </w:pPr>
      <w:r>
        <w:rPr>
          <w:sz w:val="18"/>
        </w:rPr>
        <w:t>Résultat avant impôt de 56,7 milliards FCFA, en repli de -3%</w:t>
      </w:r>
    </w:p>
    <w:p>
      <w:pPr>
        <w:pStyle w:val="ListBullet"/>
        <w:spacing w:before="20" w:after="20"/>
        <w:ind w:left="700"/>
      </w:pPr>
      <w:r>
        <w:rPr>
          <w:sz w:val="18"/>
        </w:rPr>
        <w:t>Résultat net de 47,1 milliards FCFA, en légère baisse de -3%</w:t>
      </w:r>
    </w:p>
    <w:p>
      <w:pPr>
        <w:pStyle w:val="ListBullet"/>
        <w:spacing w:before="20" w:after="20"/>
        <w:ind w:left="700"/>
      </w:pPr>
      <w:r>
        <w:rPr>
          <w:sz w:val="18"/>
        </w:rPr>
        <w:t>Dynamique des revenus portée par la marge nette d'intérêt et le développement des commissions de service</w:t>
      </w:r>
    </w:p>
    <w:p>
      <w:pPr>
        <w:spacing w:before="40"/>
        <w:ind w:left="400"/>
      </w:pPr>
      <w:r>
        <w:rPr>
          <w:b/>
          <w:color w:val="C05000"/>
          <w:sz w:val="18"/>
        </w:rPr>
        <w:t xml:space="preserve">⚠️ Risques : </w:t>
      </w:r>
      <w:r>
        <w:rPr>
          <w:sz w:val="18"/>
        </w:rPr>
        <w:t>["Baisse du r\u00e9sultat net (-3%) et du r\u00e9sultat avant imp\u00f4t (-3%) malgr\u00e9 la croissance du PNB, signalant une compression de la rentabilit\u00e9", "Environnement macro\u00e9conomique difficile : ralentissement de la croissance \u00e9conomique mondiale et forte inflation", "Risque de</w:t>
      </w:r>
    </w:p>
    <w:p>
      <w:pPr>
        <w:spacing w:before="40"/>
        <w:ind w:left="400"/>
      </w:pPr>
      <w:r>
        <w:rPr>
          <w:b/>
          <w:color w:val="0064A0"/>
          <w:sz w:val="18"/>
        </w:rPr>
        <w:t xml:space="preserve">🔮 Perspectives : </w:t>
      </w:r>
      <w:r>
        <w:rPr>
          <w:sz w:val="18"/>
        </w:rPr>
        <w:t>SGB CI devrait poursuivre sa dynamique commerciale portée par la croissance soutenue des encours de crédits et de dépôts ainsi que par le développement des commissions de service. Le maintien de la progression du Produit Net Bancaire constitue le principal levier, mais la pression sur le résultat ne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banque affiche des fondamentaux solides avec une forte croissance du PNB, un bilan bien capitalis\u00e9 et un leadership sectoriel confirm\u00e9, mais le repli du r\u00e9sultat net de -9,2% li\u00e9 aux provisions exceptionnelles sur les PME incite \u00e0 la prudence. La correction du co\u00fbt du risque attendue au second semestre et la valorisation actuelle justifient une position d'attente sur le titre."}</w:t>
      </w:r>
    </w:p>
    <w:p>
      <w:pPr>
        <w:spacing w:before="40"/>
        <w:ind w:left="400"/>
      </w:pPr>
      <w:r>
        <w:rPr>
          <w:sz w:val="18"/>
        </w:rPr>
        <w:t>Société Générale Côte d'Ivoire affiche au premier semestre 2022 de solides performances commerciales avec une hausse de 16% des encours de crédits et de dépôts, maintenant sa position de leader du secteur bancaire ivoirien avec des parts de marché de 19,6% sur les crédits et 18,4% sur les dépôts. Le Produit Net Bancaire progresse fortement de +16% à 103 071 millions FCFA, porté par la marge nette d'intérêts et les commissions, tandis que les frais généraux ne croissent que de +12%, permettant un effet de ciseaux positif et un coefficient d'exploitation en amélioration à 45,9%. Le Résultat Net ressort toutefois en léger repli de -9,2% à 28 058 millions FCFA, pénalisé par un Coût Net du Risque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'15 555 555 000 FCFA', 'cout_du_risque': '23 878 millions FCFA', 'frais_generaux': '47 331 millions FCFA (+12%)', 'depots_clientele': '2 591 292 millions FCFA (+16%)', 'ratio_solvabilite': '14,4% (minimum réglementaire 11,25%)', 'produit_net_bancaire': '103 071 millions FCFA (+16% vs juin 2021)', 'part_de_marche_depots': '18,4%', 'part_de_marche_credits': '19,6%', 'coefficient_exploitation': '45,9% (-175 pb)', 'encours_credits_clientele': '1 974 755 millions FCFA (+16%)', 'resultat_brut_exploitation': '55 740 millions FCFA', 'taux_degradation_portefeuille': '8,0%', 'taux_couverture_creances_souffrance': '&gt;90%'}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27,2% (Résultat net / PNB)</w:t>
            </w:r>
          </w:p>
        </w:tc>
        <w:tc>
          <w:tcPr>
            <w:tcW w:type="dxa" w:w="2160"/>
          </w:tcPr>
          <w:p>
            <w:pPr>
              <w:ind w:left="100"/>
            </w:pPr>
            <w:r/>
            <w:r>
              <w:rPr>
                <w:b/>
                <w:sz w:val="16"/>
              </w:rPr>
              <w:t>total_actif</w:t>
              <w:br/>
            </w:r>
            <w:r>
              <w:rPr>
                <w:sz w:val="18"/>
              </w:rPr>
              <w:t>3 060 101 millions FCFA (juin 2022)</w:t>
            </w:r>
          </w:p>
        </w:tc>
      </w:tr>
      <w:tr>
        <w:tc>
          <w:tcPr>
            <w:tcW w:type="dxa" w:w="2160"/>
          </w:tcPr>
          <w:p>
            <w:r/>
            <w:r>
              <w:rPr>
                <w:b/>
                <w:sz w:val="16"/>
              </w:rPr>
              <w:t>resultat_net</w:t>
              <w:br/>
            </w:r>
            <w:r>
              <w:rPr>
                <w:sz w:val="18"/>
              </w:rPr>
              <w:t>28 058 millions FCFA (juin 2022)</w:t>
            </w:r>
          </w:p>
        </w:tc>
        <w:tc>
          <w:tcPr>
            <w:tcW w:type="dxa" w:w="2160"/>
          </w:tcPr>
          <w:p>
            <w:r/>
            <w:r>
              <w:rPr>
                <w:b/>
                <w:sz w:val="16"/>
              </w:rPr>
              <w:t>capitaux_propres</w:t>
              <w:br/>
            </w:r>
            <w:r>
              <w:rPr>
                <w:sz w:val="18"/>
              </w:rPr>
              <w:t>298 456 millions FCFA (juin 2022)</w:t>
            </w:r>
          </w:p>
        </w:tc>
        <w:tc>
          <w:tcPr>
            <w:tcW w:type="dxa" w:w="2160"/>
          </w:tcPr>
          <w:p>
            <w:r/>
            <w:r>
              <w:rPr>
                <w:b/>
                <w:sz w:val="16"/>
              </w:rPr>
              <w:t>chiffre_affaires</w:t>
              <w:br/>
            </w:r>
            <w:r>
              <w:rPr>
                <w:sz w:val="18"/>
              </w:rPr>
              <w:t>103 071 millions FCFA (Produit Net Bancaire, juin 2022)</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forte progression de +16% à 103 071 millions FCFA, soutenu par la marge nette d'intérêts (+16%) et les commissions (+16%)</w:t>
      </w:r>
    </w:p>
    <w:p>
      <w:pPr>
        <w:pStyle w:val="ListBullet"/>
        <w:spacing w:before="20" w:after="20"/>
        <w:ind w:left="700"/>
      </w:pPr>
      <w:r>
        <w:rPr>
          <w:sz w:val="18"/>
        </w:rPr>
        <w:t>Résultat Net de 28 058 millions FCFA en repli de -9,2% par rapport à juin 2021, affecté par la hausse du coût du risque</w:t>
      </w:r>
    </w:p>
    <w:p>
      <w:pPr>
        <w:pStyle w:val="ListBullet"/>
        <w:spacing w:before="20" w:after="20"/>
        <w:ind w:left="700"/>
      </w:pPr>
      <w:r>
        <w:rPr>
          <w:sz w:val="18"/>
        </w:rPr>
        <w:t>Coût Net du Risque en forte hausse à 23 878 millions FCFA en raison de provisions exceptionnelles à 100% sur des créances PME liées à un risque opérationnel</w:t>
      </w:r>
    </w:p>
    <w:p>
      <w:pPr>
        <w:pStyle w:val="ListBullet"/>
        <w:spacing w:before="20" w:after="20"/>
        <w:ind w:left="700"/>
      </w:pPr>
      <w:r>
        <w:rPr>
          <w:sz w:val="18"/>
        </w:rPr>
        <w:t>Croissance des encours de crédits (+16% à 1 974 755 millions FCFA) et de dépôts (+16% à 2 591 292 millions FCFA), confirmant le leadership bancaire avec des parts de marché de 19,6% et 18,4%</w:t>
      </w:r>
    </w:p>
    <w:p>
      <w:pPr>
        <w:pStyle w:val="ListBullet"/>
        <w:spacing w:before="20" w:after="20"/>
        <w:ind w:left="700"/>
      </w:pPr>
      <w:r>
        <w:rPr>
          <w:sz w:val="18"/>
        </w:rPr>
        <w:t>Ratio de solvabilité solide à 14,4%, soit +317 points de base au-dessus du minimum réglementaire de 11,25%</w:t>
      </w:r>
    </w:p>
    <w:p>
      <w:pPr>
        <w:pStyle w:val="ListBullet"/>
        <w:spacing w:before="20" w:after="20"/>
        <w:ind w:left="700"/>
      </w:pPr>
      <w:r>
        <w:rPr>
          <w:sz w:val="18"/>
        </w:rPr>
        <w:t>Bonne maîtrise des coûts avec des frais généraux en hausse de seulement +12% et un coefficient d'exploitation amélioré à 45,9% (-175 pb)</w:t>
      </w:r>
    </w:p>
    <w:p>
      <w:pPr>
        <w:spacing w:before="40"/>
        <w:ind w:left="400"/>
      </w:pPr>
      <w:r>
        <w:rPr>
          <w:b/>
          <w:color w:val="C05000"/>
          <w:sz w:val="18"/>
        </w:rPr>
        <w:t xml:space="preserve">⚠️ Risques : </w:t>
      </w:r>
      <w:r>
        <w:rPr>
          <w:sz w:val="18"/>
        </w:rPr>
        <w:t>["D\u00e9t\u00e9rioration du co\u00fbt du risque li\u00e9e \u00e0 la d\u00e9gradation de certaines cr\u00e9ances PME, avec des provisions exceptionnelles qui pourraient perdurer si la conjoncture reste difficile", "Environnement macro\u00e9conomique incertain marqu\u00e9 par les tensions g\u00e9opol</w:t>
      </w:r>
    </w:p>
    <w:p>
      <w:pPr>
        <w:spacing w:before="40"/>
        <w:ind w:left="400"/>
      </w:pPr>
      <w:r>
        <w:rPr>
          <w:b/>
          <w:color w:val="0064A0"/>
          <w:sz w:val="18"/>
        </w:rPr>
        <w:t xml:space="preserve">🔮 Perspectives : </w:t>
      </w:r>
      <w:r>
        <w:rPr>
          <w:sz w:val="18"/>
        </w:rPr>
        <w:t>Sur le second semestre 2022, Société Générale Côte d'Ivoire anticipe une amélioration grâce aux perspectives de recouvrement des créances compromises et provisionnées, qui devraient permettre de contenir l'évolution du coût net du risque. La banque poursuivra la mise en œuvre de ses initiatives stra</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"SGCI affiche des r\u00e9sultats records avec un r\u00e9sultat net en hausse de +10,6%, un ROE \u00e9lev\u00e9 de 21,6% et une position de leader incontest\u00e9e sur le march\u00e9 bancaire ivoirien. La solidit\u00e9 financi\u00e8re (notation AA+, capitaux propres de 345 009 M FCFA) et un dividende en progression de 11% soutiennent une perspective favorable pour l'actionnaire."}</w:t>
      </w:r>
    </w:p>
    <w:p>
      <w:pPr>
        <w:spacing w:before="40"/>
        <w:ind w:left="400"/>
      </w:pPr>
      <w:r>
        <w:rPr>
          <w:sz w:val="18"/>
        </w:rPr>
        <w:t>Société Générale Côte d'Ivoire (SGCI) clôture l'exercice 2022 avec les meilleurs résultats de son histoire, célébrant ses 60 ans d'activité. Le Produit Net Bancaire progresse de +13,8% à 215 101 millions FCFA, porté par la marge nette d'intérêts (+15%) et les commissions (+12,5%). Le résultat net atteint un niveau record de 74 612 millions FCFA (+10,6%) malgré une forte hausse du coût net du risque (+60,6%) liée à des dotations exceptionnelles sur le segment PME. La banque confirme sa position de leader du marché bancaire ivoirien et sous-régional, avec des parts de marché en hausse (20% emplois, 18,9% ressources) et une rentabilité des fonds propres élevée de 21,6%. Forte de sa solidité fin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'21,6%', 'notation': 'AA+ perspective stable', 'nombre_actions': '31 111 110', 'cout_net_risque': '28 816 millions FCFA', 'depots_clientele': '2 685 322 millions FCFA', 'credits_clientele': '2 160 660 millions FCFA', 'dividendes_totaux': '38 266 665 300 FCFA', 'taux_distribution': '51,3%', 'part_marche_emplois': '20%', 'coefficient_exploitation': '44,8%', 'produit_net_bancaire_2021': '189 096 millions FCFA', 'resultat_brut_exploitation': '118 708 millions FCFA'}</w:t>
            </w:r>
          </w:p>
        </w:tc>
        <w:tc>
          <w:tcPr>
            <w:tcW w:type="dxa" w:w="2160"/>
          </w:tcPr>
          <w:p>
            <w:pPr>
              <w:ind w:left="100"/>
            </w:pPr>
            <w:r/>
            <w:r>
              <w:rPr>
                <w:b/>
                <w:sz w:val="16"/>
              </w:rPr>
              <w:t>dividende</w:t>
              <w:br/>
            </w:r>
            <w:r>
              <w:rPr>
                <w:sz w:val="18"/>
              </w:rPr>
              <w:t>1 230 FCFA par action</w:t>
            </w:r>
          </w:p>
        </w:tc>
        <w:tc>
          <w:tcPr>
            <w:tcW w:type="dxa" w:w="2160"/>
          </w:tcPr>
          <w:p>
            <w:pPr>
              <w:ind w:left="100"/>
            </w:pPr>
            <w:r/>
            <w:r>
              <w:rPr>
                <w:b/>
                <w:sz w:val="16"/>
              </w:rPr>
              <w:t>marge_nette</w:t>
              <w:br/>
            </w:r>
            <w:r>
              <w:rPr>
                <w:sz w:val="18"/>
              </w:rPr>
              <w:t>34,7%</w:t>
            </w:r>
          </w:p>
        </w:tc>
        <w:tc>
          <w:tcPr>
            <w:tcW w:type="dxa" w:w="2160"/>
          </w:tcPr>
          <w:p>
            <w:pPr>
              <w:ind w:left="100"/>
            </w:pPr>
            <w:r/>
            <w:r>
              <w:rPr>
                <w:b/>
                <w:sz w:val="16"/>
              </w:rPr>
              <w:t>total_actif</w:t>
              <w:br/>
            </w:r>
            <w:r>
              <w:rPr>
                <w:sz w:val="18"/>
              </w:rPr>
              <w:t>3 345 284 millions FCFA</w:t>
            </w:r>
          </w:p>
        </w:tc>
      </w:tr>
      <w:tr>
        <w:tc>
          <w:tcPr>
            <w:tcW w:type="dxa" w:w="2160"/>
          </w:tcPr>
          <w:p>
            <w:r/>
            <w:r>
              <w:rPr>
                <w:b/>
                <w:sz w:val="16"/>
              </w:rPr>
              <w:t>resultat_net</w:t>
              <w:br/>
            </w:r>
            <w:r>
              <w:rPr>
                <w:sz w:val="18"/>
              </w:rPr>
              <w:t>74 612 millions FCFA</w:t>
            </w:r>
          </w:p>
        </w:tc>
        <w:tc>
          <w:tcPr>
            <w:tcW w:type="dxa" w:w="2160"/>
          </w:tcPr>
          <w:p>
            <w:r/>
            <w:r>
              <w:rPr>
                <w:b/>
                <w:sz w:val="16"/>
              </w:rPr>
              <w:t>capitaux_propres</w:t>
              <w:br/>
            </w:r>
            <w:r>
              <w:rPr>
                <w:sz w:val="18"/>
              </w:rPr>
              <w:t>345 009 millions FCFA</w:t>
            </w:r>
          </w:p>
        </w:tc>
        <w:tc>
          <w:tcPr>
            <w:tcW w:type="dxa" w:w="2160"/>
          </w:tcPr>
          <w:p>
            <w:r/>
            <w:r>
              <w:rPr>
                <w:b/>
                <w:sz w:val="16"/>
              </w:rPr>
              <w:t>chiffre_affaires</w:t>
              <w:br/>
            </w:r>
            <w:r>
              <w:rPr>
                <w:sz w:val="18"/>
              </w:rPr>
              <w:t>215 101 millions FCFA (PNB 2022)</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+13,8% à 215 101 millions FCFA, soutenu par la marge nette d'intérêts (+15%) et les commissions (+12,5%)</w:t>
      </w:r>
    </w:p>
    <w:p>
      <w:pPr>
        <w:pStyle w:val="ListBullet"/>
        <w:spacing w:before="20" w:after="20"/>
        <w:ind w:left="700"/>
      </w:pPr>
      <w:r>
        <w:rPr>
          <w:sz w:val="18"/>
        </w:rPr>
        <w:t>Résultat net historique de 74 612 millions FCFA (+10,6%) malgré une progression de +60,6% du coût net du risque</w:t>
      </w:r>
    </w:p>
    <w:p>
      <w:pPr>
        <w:pStyle w:val="ListBullet"/>
        <w:spacing w:before="20" w:after="20"/>
        <w:ind w:left="700"/>
      </w:pPr>
      <w:r>
        <w:rPr>
          <w:sz w:val="18"/>
        </w:rPr>
        <w:t>Coût net du risque à 28 816 millions FCFA, impacté par des dotations exceptionnelles sur les PME ; retraité, il ressort à 81 pbs contre 151 pbs initialement</w:t>
      </w:r>
    </w:p>
    <w:p>
      <w:pPr>
        <w:pStyle w:val="ListBullet"/>
        <w:spacing w:before="20" w:after="20"/>
        <w:ind w:left="700"/>
      </w:pPr>
      <w:r>
        <w:rPr>
          <w:sz w:val="18"/>
        </w:rPr>
        <w:t>Coefficient d'exploitation en amélioration à 44,8% (-313 pbs) avec un effet ciseau positif de +742 pbs</w:t>
      </w:r>
    </w:p>
    <w:p>
      <w:pPr>
        <w:pStyle w:val="ListBullet"/>
        <w:spacing w:before="20" w:after="20"/>
        <w:ind w:left="700"/>
      </w:pPr>
      <w:r>
        <w:rPr>
          <w:sz w:val="18"/>
        </w:rPr>
        <w:t>Croissance de +15,4% des crédits clientèle (2 160 660 M FCFA) et +6,2% des dépôts (2 685 322 M FCFA)</w:t>
      </w:r>
    </w:p>
    <w:p>
      <w:pPr>
        <w:pStyle w:val="ListBullet"/>
        <w:spacing w:before="20" w:after="20"/>
        <w:ind w:left="700"/>
      </w:pPr>
      <w:r>
        <w:rPr>
          <w:sz w:val="18"/>
        </w:rPr>
        <w:t>Rentabilité des capitaux propres (ROE) élevée à 21,6% et taux de couverture des créances en souffrance supérieur à 90%</w:t>
      </w:r>
    </w:p>
    <w:p>
      <w:pPr>
        <w:spacing w:before="40"/>
        <w:ind w:left="400"/>
      </w:pPr>
      <w:r>
        <w:rPr>
          <w:b/>
          <w:color w:val="C05000"/>
          <w:sz w:val="18"/>
        </w:rPr>
        <w:t xml:space="preserve">⚠️ Risques : </w:t>
      </w:r>
      <w:r>
        <w:rPr>
          <w:sz w:val="18"/>
        </w:rPr>
        <w:t>["D\u00e9t\u00e9rioration du co\u00fbt du risque, notamment sur le segment PME, avec une progression de +60,6% des dotations aux provisions", "Environnement macro\u00e9conomique incertain marqu\u00e9 par l'inflation persistante, le durcissement mon\u00e9taire et les tensions g\u00e9opolitiques", "Pr</w:t>
      </w:r>
    </w:p>
    <w:p>
      <w:pPr>
        <w:spacing w:before="40"/>
        <w:ind w:left="400"/>
      </w:pPr>
      <w:r>
        <w:rPr>
          <w:b/>
          <w:color w:val="0064A0"/>
          <w:sz w:val="18"/>
        </w:rPr>
        <w:t xml:space="preserve">🔮 Perspectives : </w:t>
      </w:r>
      <w:r>
        <w:rPr>
          <w:sz w:val="18"/>
        </w:rPr>
        <w:t>Dans un environnement mondial qui reste incertain, SGCI entend poursuivre la dynamique engagée en 2022 en déployant ses projets stratégiques RISE+ autour de la maîtrise des risques, de la digitalisation et de la donnée. La banque restera guidée par son ambition d'être le partenaire de confiance pour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"acheter", "justification": "La banque affiche une croissance homog\u00e8ne de +21% sur l'ensemble de ses agr\u00e9gats (PNB, r\u00e9sultat avant imp\u00f4t et r\u00e9sultat net), avec une marge nette \u00e9lev\u00e9e proche de 38%. Cette performance solide, dans un contexte macro\u00e9conomique difficile, confirme la qualit\u00e9 du mod\u00e8le et justifie une recommandation d'achat."}</w:t>
      </w:r>
    </w:p>
    <w:p>
      <w:pPr>
        <w:spacing w:before="40"/>
        <w:ind w:left="400"/>
      </w:pPr>
      <w:r>
        <w:rPr>
          <w:sz w:val="18"/>
        </w:rPr>
        <w:t>Société Générale Côte d'Ivoire (SGBCI) clôture le premier trimestre 2023 avec des résultats en forte progression malgré un contexte macroéconomique difficile marqué par les tensions inflationnistes et le resserrement monétaire. Le Produit Net Bancaire atteint 59 476 millions FCFA, en hausse de 21% sur un an, porté par la bonne tenue de la marge nette d'intérêt et la performance des commissions de service. Le Résultat avant impôt s'établit à 27 134 millions FCFA, également en progression de 21%, grâce au dynamisme commercial, à une croissance contenue des frais généraux et à une bonne maîtrise du coût net du risque. Le Résultat Net ressort à 22 509 millions FCFA, en croissance de 21% par rapp</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{'periode': 'Premier trimestre 2023 (mars-23)', 'variation_pnb': '+21%', 'chiffres_audites': False, 'produit_net_bancaire': '59 476 millions FCFA', 'resultat_avant_impot': '27 134 millions FCFA', 'variation_resultat_net': '+21%'}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37,8%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22 509 millions FCFA</w:t>
            </w:r>
          </w:p>
        </w:tc>
        <w:tc>
          <w:tcPr>
            <w:tcW w:type="dxa" w:w="2160"/>
          </w:tcPr>
          <w:p>
            <w:r/>
            <w:r>
              <w:rPr>
                <w:b/>
                <w:sz w:val="16"/>
              </w:rPr>
              <w:t>capitaux_propres</w:t>
              <w:br/>
            </w:r>
            <w:r>
              <w:rPr>
                <w:sz w:val="18"/>
              </w:rPr>
              <w:t>15 555 555 000 FCFA (capital social)</w:t>
            </w:r>
          </w:p>
        </w:tc>
        <w:tc>
          <w:tcPr>
            <w:tcW w:type="dxa" w:w="2160"/>
          </w:tcPr>
          <w:p>
            <w:r/>
            <w:r>
              <w:rPr>
                <w:b/>
                <w:sz w:val="16"/>
              </w:rPr>
              <w:t>chiffre_affaires</w:t>
              <w:br/>
            </w:r>
            <w:r>
              <w:rPr>
                <w:sz w:val="18"/>
              </w:rPr>
              <w:t>59 476 millions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de 59 476 millions FCFA, en hausse de 21% sur un an</w:t>
      </w:r>
    </w:p>
    <w:p>
      <w:pPr>
        <w:pStyle w:val="ListBullet"/>
        <w:spacing w:before="20" w:after="20"/>
        <w:ind w:left="700"/>
      </w:pPr>
      <w:r>
        <w:rPr>
          <w:sz w:val="18"/>
        </w:rPr>
        <w:t>Résultat avant impôt de 27 134 millions FCFA, en progression de 21%</w:t>
      </w:r>
    </w:p>
    <w:p>
      <w:pPr>
        <w:pStyle w:val="ListBullet"/>
        <w:spacing w:before="20" w:after="20"/>
        <w:ind w:left="700"/>
      </w:pPr>
      <w:r>
        <w:rPr>
          <w:sz w:val="18"/>
        </w:rPr>
        <w:t>Résultat Net de 22 509 millions FCFA, en croissance de 21% vs mars 2022</w:t>
      </w:r>
    </w:p>
    <w:p>
      <w:pPr>
        <w:pStyle w:val="ListBullet"/>
        <w:spacing w:before="20" w:after="20"/>
        <w:ind w:left="700"/>
      </w:pPr>
      <w:r>
        <w:rPr>
          <w:sz w:val="18"/>
        </w:rPr>
        <w:t>Croissance portée par la marge nette d'intérêt liée aux encours de crédits</w:t>
      </w:r>
    </w:p>
    <w:p>
      <w:pPr>
        <w:pStyle w:val="ListBullet"/>
        <w:spacing w:before="20" w:after="20"/>
        <w:ind w:left="700"/>
      </w:pPr>
      <w:r>
        <w:rPr>
          <w:sz w:val="18"/>
        </w:rPr>
        <w:t>Bonne performance des commissions de service (Comptes, Monétiques, Banque à Distance, Moyens de paiement, Trade)</w:t>
      </w:r>
    </w:p>
    <w:p>
      <w:pPr>
        <w:pStyle w:val="ListBullet"/>
        <w:spacing w:before="20" w:after="20"/>
        <w:ind w:left="700"/>
      </w:pPr>
      <w:r>
        <w:rPr>
          <w:sz w:val="18"/>
        </w:rPr>
        <w:t>Maîtrise des frais généraux et du coût net du risque</w:t>
      </w:r>
    </w:p>
    <w:p>
      <w:pPr>
        <w:spacing w:before="40"/>
        <w:ind w:left="400"/>
      </w:pPr>
      <w:r>
        <w:rPr>
          <w:b/>
          <w:color w:val="C05000"/>
          <w:sz w:val="18"/>
        </w:rPr>
        <w:t xml:space="preserve">⚠️ Risques : </w:t>
      </w:r>
      <w:r>
        <w:rPr>
          <w:sz w:val="18"/>
        </w:rPr>
        <w:t>["D\u00e9gradation de la qualit\u00e9 du cr\u00e9dit et hausse du co\u00fbt net du risque dans un environnement \u00e9conomique ralenti", "Tensions inflationnistes et resserrement mon\u00e9taire pouvant peser sur la demande de cr\u00e9dit et les marges", "Instabilit\u00e9 g\u00e9opolitique internati</w:t>
      </w:r>
    </w:p>
    <w:p>
      <w:pPr>
        <w:spacing w:before="40"/>
        <w:ind w:left="400"/>
      </w:pPr>
      <w:r>
        <w:rPr>
          <w:b/>
          <w:color w:val="0064A0"/>
          <w:sz w:val="18"/>
        </w:rPr>
        <w:t xml:space="preserve">🔮 Perspectives : </w:t>
      </w:r>
      <w:r>
        <w:rPr>
          <w:sz w:val="18"/>
        </w:rPr>
        <w:t>Société Générale Côte d'Ivoire devrait maintenir sa dynamique de croissance au cours des prochains trimestres, soutenue par le développement des encours de crédits et des commissions de service. La bonne maîtrise des charges et du coût du risque devrait permettre de préserver un niveau de rentabilit</w:t>
      </w:r>
    </w:p>
    <w:p/>
    <w:p>
      <w:r>
        <w:t>════════════════════════════════════════════════════════════════════════════════</w:t>
      </w:r>
    </w:p>
    <w:p>
      <w:r>
        <w:br w:type="page"/>
      </w:r>
    </w:p>
    <w:p>
      <w:pPr>
        <w:pStyle w:val="Heading2"/>
        <w:spacing w:before="360"/>
      </w:pPr>
      <w:r>
        <w:rPr>
          <w:color w:val="0066CC"/>
        </w:rPr>
        <w:t>34. SHEC - SHEC - VIVO ENERGY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SHEC</w:t>
            </w:r>
          </w:p>
          <w:p>
            <w:r>
              <w:rPr>
                <w:b/>
                <w:color w:val="323250"/>
                <w:sz w:val="16"/>
              </w:rPr>
              <w:t xml:space="preserve">Société : </w:t>
            </w:r>
            <w:r>
              <w:rPr>
                <w:color w:val="000000"/>
                <w:sz w:val="16"/>
              </w:rPr>
              <w:t>SHEC - VIVO ENERGY COTE D'IVOIRE</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137.97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4,956 titres</w:t>
            </w:r>
          </w:p>
        </w:tc>
        <w:tc>
          <w:tcPr>
            <w:tcW w:type="dxa" w:w="2268"/>
            <w:shd w:fill="FFF2CC" w:val="clear"/>
          </w:tcPr>
          <w:p>
            <w:r>
              <w:rPr>
                <w:b/>
                <w:color w:val="503200"/>
                <w:sz w:val="16"/>
              </w:rPr>
              <w:t xml:space="preserve">Cours actuel : </w:t>
            </w:r>
            <w:r>
              <w:rPr>
                <w:color w:val="000000"/>
                <w:sz w:val="17"/>
              </w:rPr>
              <w:t>2,190 FCFA</w:t>
            </w:r>
          </w:p>
          <w:p>
            <w:r>
              <w:rPr>
                <w:b/>
                <w:color w:val="503200"/>
                <w:sz w:val="16"/>
              </w:rPr>
              <w:t xml:space="preserve">Var. 100 jours : </w:t>
            </w:r>
            <w:r>
              <w:rPr>
                <w:b/>
                <w:color w:val="007800"/>
                <w:sz w:val="17"/>
              </w:rPr>
              <w:t>+13.18%</w:t>
            </w:r>
          </w:p>
          <w:p>
            <w:r>
              <w:rPr>
                <w:b/>
                <w:color w:val="503200"/>
                <w:sz w:val="16"/>
              </w:rPr>
              <w:t xml:space="preserve">Plus haut 100j : </w:t>
            </w:r>
            <w:r>
              <w:rPr>
                <w:color w:val="000000"/>
                <w:sz w:val="17"/>
              </w:rPr>
              <w:t>2,980 FCFA</w:t>
            </w:r>
          </w:p>
          <w:p>
            <w:r>
              <w:rPr>
                <w:b/>
                <w:color w:val="503200"/>
                <w:sz w:val="16"/>
              </w:rPr>
              <w:t xml:space="preserve">Plus bas 100j : </w:t>
            </w:r>
            <w:r>
              <w:rPr>
                <w:color w:val="000000"/>
                <w:sz w:val="17"/>
              </w:rPr>
              <w:t>1,910 FCFA</w:t>
            </w:r>
          </w:p>
          <w:p>
            <w:r>
              <w:rPr>
                <w:b/>
                <w:color w:val="503200"/>
                <w:sz w:val="16"/>
              </w:rPr>
              <w:t xml:space="preserve">Volatilité ann. : </w:t>
            </w:r>
            <w:r>
              <w:rPr>
                <w:color w:val="000000"/>
                <w:sz w:val="17"/>
              </w:rPr>
              <w:t>41.9%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21.1/100 → Moyen</w:t>
      </w:r>
    </w:p>
    <w:p>
      <w:pPr>
        <w:spacing w:before="40" w:after="80"/>
      </w:pPr>
      <w:r>
        <w:rPr>
          <w:rFonts w:ascii="Courier New" w:hAnsi="Courier New"/>
          <w:color w:val="825A00"/>
          <w:sz w:val="18"/>
        </w:rPr>
        <w:t>████░░░░░░░░░░░░░░░░  21.1/100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9.39% (Moyenne) — μ=2,277 FCFA, σ=214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β=1.0554 (Neutre (suit le marché)) — Cov=0.000079, Var(idx)=0.000075, ρ=0.341, n=96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4,956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σ_j=2.64%/j (Stable) — Vol. annualisée≈41.9%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36" name="Picture 36"/>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2026-10-16</w:t>
            </w:r>
          </w:p>
        </w:tc>
        <w:tc>
          <w:tcPr>
            <w:tcW w:type="dxa" w:w="1440"/>
            <w:shd w:fill="FAFAFA" w:val="clear"/>
          </w:tcPr>
          <w:p>
            <w:r>
              <w:rPr>
                <w:sz w:val="17"/>
              </w:rPr>
              <w:t>2,067</w:t>
            </w:r>
          </w:p>
        </w:tc>
        <w:tc>
          <w:tcPr>
            <w:tcW w:type="dxa" w:w="1440"/>
            <w:shd w:fill="FAFAFA" w:val="clear"/>
          </w:tcPr>
          <w:p>
            <w:r>
              <w:rPr>
                <w:b/>
                <w:sz w:val="17"/>
              </w:rPr>
              <w:t>2,201</w:t>
            </w:r>
          </w:p>
        </w:tc>
        <w:tc>
          <w:tcPr>
            <w:tcW w:type="dxa" w:w="1440"/>
            <w:shd w:fill="FAFAFA" w:val="clear"/>
          </w:tcPr>
          <w:p>
            <w:r>
              <w:rPr>
                <w:sz w:val="17"/>
              </w:rPr>
              <w:t>2,335</w:t>
            </w:r>
          </w:p>
        </w:tc>
        <w:tc>
          <w:tcPr>
            <w:tcW w:type="dxa" w:w="1440"/>
            <w:shd w:fill="FAFAFA" w:val="clear"/>
          </w:tcPr>
          <w:p>
            <w:r>
              <w:rPr>
                <w:b/>
                <w:color w:val="008000"/>
                <w:sz w:val="17"/>
              </w:rPr>
              <w:t>+0.5%</w:t>
            </w:r>
          </w:p>
        </w:tc>
      </w:tr>
      <w:tr>
        <w:tc>
          <w:tcPr>
            <w:tcW w:type="dxa" w:w="1440"/>
            <w:shd w:fill="FAFAFA" w:val="clear"/>
          </w:tcPr>
          <w:p>
            <w:r>
              <w:rPr>
                <w:sz w:val="17"/>
              </w:rPr>
              <w:t>J+2  Moyenne</w:t>
            </w:r>
          </w:p>
        </w:tc>
        <w:tc>
          <w:tcPr>
            <w:tcW w:type="dxa" w:w="1440"/>
            <w:shd w:fill="FAFAFA" w:val="clear"/>
          </w:tcPr>
          <w:p>
            <w:r>
              <w:rPr>
                <w:sz w:val="17"/>
              </w:rPr>
              <w:t>2026-10-19</w:t>
            </w:r>
          </w:p>
        </w:tc>
        <w:tc>
          <w:tcPr>
            <w:tcW w:type="dxa" w:w="1440"/>
            <w:shd w:fill="FAFAFA" w:val="clear"/>
          </w:tcPr>
          <w:p>
            <w:r>
              <w:rPr>
                <w:sz w:val="17"/>
              </w:rPr>
              <w:t>2,018</w:t>
            </w:r>
          </w:p>
        </w:tc>
        <w:tc>
          <w:tcPr>
            <w:tcW w:type="dxa" w:w="1440"/>
            <w:shd w:fill="FAFAFA" w:val="clear"/>
          </w:tcPr>
          <w:p>
            <w:r>
              <w:rPr>
                <w:b/>
                <w:sz w:val="17"/>
              </w:rPr>
              <w:t>2,208</w:t>
            </w:r>
          </w:p>
        </w:tc>
        <w:tc>
          <w:tcPr>
            <w:tcW w:type="dxa" w:w="1440"/>
            <w:shd w:fill="FAFAFA" w:val="clear"/>
          </w:tcPr>
          <w:p>
            <w:r>
              <w:rPr>
                <w:sz w:val="17"/>
              </w:rPr>
              <w:t>2,398</w:t>
            </w:r>
          </w:p>
        </w:tc>
        <w:tc>
          <w:tcPr>
            <w:tcW w:type="dxa" w:w="1440"/>
            <w:shd w:fill="FAFAFA" w:val="clear"/>
          </w:tcPr>
          <w:p>
            <w:r>
              <w:rPr>
                <w:b/>
                <w:color w:val="008000"/>
                <w:sz w:val="17"/>
              </w:rPr>
              <w:t>+0.8%</w:t>
            </w:r>
          </w:p>
        </w:tc>
      </w:tr>
      <w:tr>
        <w:tc>
          <w:tcPr>
            <w:tcW w:type="dxa" w:w="1440"/>
            <w:shd w:fill="FAFAFA" w:val="clear"/>
          </w:tcPr>
          <w:p>
            <w:r>
              <w:rPr>
                <w:sz w:val="17"/>
              </w:rPr>
              <w:t>J+3  Moyenne</w:t>
            </w:r>
          </w:p>
        </w:tc>
        <w:tc>
          <w:tcPr>
            <w:tcW w:type="dxa" w:w="1440"/>
            <w:shd w:fill="FAFAFA" w:val="clear"/>
          </w:tcPr>
          <w:p>
            <w:r>
              <w:rPr>
                <w:sz w:val="17"/>
              </w:rPr>
              <w:t>2026-10-20</w:t>
            </w:r>
          </w:p>
        </w:tc>
        <w:tc>
          <w:tcPr>
            <w:tcW w:type="dxa" w:w="1440"/>
            <w:shd w:fill="FAFAFA" w:val="clear"/>
          </w:tcPr>
          <w:p>
            <w:r>
              <w:rPr>
                <w:sz w:val="17"/>
              </w:rPr>
              <w:t>1,980</w:t>
            </w:r>
          </w:p>
        </w:tc>
        <w:tc>
          <w:tcPr>
            <w:tcW w:type="dxa" w:w="1440"/>
            <w:shd w:fill="FAFAFA" w:val="clear"/>
          </w:tcPr>
          <w:p>
            <w:r>
              <w:rPr>
                <w:b/>
                <w:sz w:val="17"/>
              </w:rPr>
              <w:t>2,213</w:t>
            </w:r>
          </w:p>
        </w:tc>
        <w:tc>
          <w:tcPr>
            <w:tcW w:type="dxa" w:w="1440"/>
            <w:shd w:fill="FAFAFA" w:val="clear"/>
          </w:tcPr>
          <w:p>
            <w:r>
              <w:rPr>
                <w:sz w:val="17"/>
              </w:rPr>
              <w:t>2,447</w:t>
            </w:r>
          </w:p>
        </w:tc>
        <w:tc>
          <w:tcPr>
            <w:tcW w:type="dxa" w:w="1440"/>
            <w:shd w:fill="FAFAFA" w:val="clear"/>
          </w:tcPr>
          <w:p>
            <w:r>
              <w:rPr>
                <w:b/>
                <w:color w:val="008000"/>
                <w:sz w:val="17"/>
              </w:rPr>
              <w:t>+1.1%</w:t>
            </w:r>
          </w:p>
        </w:tc>
      </w:tr>
      <w:tr>
        <w:tc>
          <w:tcPr>
            <w:tcW w:type="dxa" w:w="1440"/>
            <w:shd w:fill="FAFAFA" w:val="clear"/>
          </w:tcPr>
          <w:p>
            <w:r>
              <w:rPr>
                <w:sz w:val="17"/>
              </w:rPr>
              <w:t>J+4  ⭐</w:t>
            </w:r>
          </w:p>
        </w:tc>
        <w:tc>
          <w:tcPr>
            <w:tcW w:type="dxa" w:w="1440"/>
            <w:shd w:fill="FAFAFA" w:val="clear"/>
          </w:tcPr>
          <w:p>
            <w:r>
              <w:rPr>
                <w:sz w:val="17"/>
              </w:rPr>
              <w:t>2026-10-21</w:t>
            </w:r>
          </w:p>
        </w:tc>
        <w:tc>
          <w:tcPr>
            <w:tcW w:type="dxa" w:w="1440"/>
            <w:shd w:fill="FAFAFA" w:val="clear"/>
          </w:tcPr>
          <w:p>
            <w:r>
              <w:rPr>
                <w:sz w:val="17"/>
              </w:rPr>
              <w:t>1,948</w:t>
            </w:r>
          </w:p>
        </w:tc>
        <w:tc>
          <w:tcPr>
            <w:tcW w:type="dxa" w:w="1440"/>
            <w:shd w:fill="FAFAFA" w:val="clear"/>
          </w:tcPr>
          <w:p>
            <w:r>
              <w:rPr>
                <w:b/>
                <w:sz w:val="17"/>
              </w:rPr>
              <w:t>2,218</w:t>
            </w:r>
          </w:p>
        </w:tc>
        <w:tc>
          <w:tcPr>
            <w:tcW w:type="dxa" w:w="1440"/>
            <w:shd w:fill="FAFAFA" w:val="clear"/>
          </w:tcPr>
          <w:p>
            <w:r>
              <w:rPr>
                <w:sz w:val="17"/>
              </w:rPr>
              <w:t>2,489</w:t>
            </w:r>
          </w:p>
        </w:tc>
        <w:tc>
          <w:tcPr>
            <w:tcW w:type="dxa" w:w="1440"/>
            <w:shd w:fill="FAFAFA" w:val="clear"/>
          </w:tcPr>
          <w:p>
            <w:r>
              <w:rPr>
                <w:b/>
                <w:color w:val="008000"/>
                <w:sz w:val="17"/>
              </w:rPr>
              <w:t>+1.3%</w:t>
            </w:r>
          </w:p>
        </w:tc>
      </w:tr>
      <w:tr>
        <w:tc>
          <w:tcPr>
            <w:tcW w:type="dxa" w:w="1440"/>
            <w:shd w:fill="FAFAFA" w:val="clear"/>
          </w:tcPr>
          <w:p>
            <w:r>
              <w:rPr>
                <w:sz w:val="17"/>
              </w:rPr>
              <w:t>J+5  ⭐</w:t>
            </w:r>
          </w:p>
        </w:tc>
        <w:tc>
          <w:tcPr>
            <w:tcW w:type="dxa" w:w="1440"/>
            <w:shd w:fill="FAFAFA" w:val="clear"/>
          </w:tcPr>
          <w:p>
            <w:r>
              <w:rPr>
                <w:sz w:val="17"/>
              </w:rPr>
              <w:t>2026-10-22</w:t>
            </w:r>
          </w:p>
        </w:tc>
        <w:tc>
          <w:tcPr>
            <w:tcW w:type="dxa" w:w="1440"/>
            <w:shd w:fill="FAFAFA" w:val="clear"/>
          </w:tcPr>
          <w:p>
            <w:r>
              <w:rPr>
                <w:sz w:val="17"/>
              </w:rPr>
              <w:t>1,920</w:t>
            </w:r>
          </w:p>
        </w:tc>
        <w:tc>
          <w:tcPr>
            <w:tcW w:type="dxa" w:w="1440"/>
            <w:shd w:fill="FAFAFA" w:val="clear"/>
          </w:tcPr>
          <w:p>
            <w:r>
              <w:rPr>
                <w:b/>
                <w:sz w:val="17"/>
              </w:rPr>
              <w:t>2,222</w:t>
            </w:r>
          </w:p>
        </w:tc>
        <w:tc>
          <w:tcPr>
            <w:tcW w:type="dxa" w:w="1440"/>
            <w:shd w:fill="FAFAFA" w:val="clear"/>
          </w:tcPr>
          <w:p>
            <w:r>
              <w:rPr>
                <w:sz w:val="17"/>
              </w:rPr>
              <w:t>2,525</w:t>
            </w:r>
          </w:p>
        </w:tc>
        <w:tc>
          <w:tcPr>
            <w:tcW w:type="dxa" w:w="1440"/>
            <w:shd w:fill="FAFAFA" w:val="clear"/>
          </w:tcPr>
          <w:p>
            <w:r>
              <w:rPr>
                <w:b/>
                <w:color w:val="008000"/>
                <w:sz w:val="17"/>
              </w:rPr>
              <w:t>+1.5%</w:t>
            </w:r>
          </w:p>
        </w:tc>
      </w:tr>
      <w:tr>
        <w:tc>
          <w:tcPr>
            <w:tcW w:type="dxa" w:w="1440"/>
            <w:shd w:fill="FAFAFA" w:val="clear"/>
          </w:tcPr>
          <w:p>
            <w:r>
              <w:rPr>
                <w:sz w:val="17"/>
              </w:rPr>
              <w:t>J+6  ⭐</w:t>
            </w:r>
          </w:p>
        </w:tc>
        <w:tc>
          <w:tcPr>
            <w:tcW w:type="dxa" w:w="1440"/>
            <w:shd w:fill="FAFAFA" w:val="clear"/>
          </w:tcPr>
          <w:p>
            <w:r>
              <w:rPr>
                <w:sz w:val="17"/>
              </w:rPr>
              <w:t>2026-10-23</w:t>
            </w:r>
          </w:p>
        </w:tc>
        <w:tc>
          <w:tcPr>
            <w:tcW w:type="dxa" w:w="1440"/>
            <w:shd w:fill="FAFAFA" w:val="clear"/>
          </w:tcPr>
          <w:p>
            <w:r>
              <w:rPr>
                <w:sz w:val="17"/>
              </w:rPr>
              <w:t>1,894</w:t>
            </w:r>
          </w:p>
        </w:tc>
        <w:tc>
          <w:tcPr>
            <w:tcW w:type="dxa" w:w="1440"/>
            <w:shd w:fill="FAFAFA" w:val="clear"/>
          </w:tcPr>
          <w:p>
            <w:r>
              <w:rPr>
                <w:b/>
                <w:sz w:val="17"/>
              </w:rPr>
              <w:t>2,226</w:t>
            </w:r>
          </w:p>
        </w:tc>
        <w:tc>
          <w:tcPr>
            <w:tcW w:type="dxa" w:w="1440"/>
            <w:shd w:fill="FAFAFA" w:val="clear"/>
          </w:tcPr>
          <w:p>
            <w:r>
              <w:rPr>
                <w:sz w:val="17"/>
              </w:rPr>
              <w:t>2,558</w:t>
            </w:r>
          </w:p>
        </w:tc>
        <w:tc>
          <w:tcPr>
            <w:tcW w:type="dxa" w:w="1440"/>
            <w:shd w:fill="FAFAFA" w:val="clear"/>
          </w:tcPr>
          <w:p>
            <w:r>
              <w:rPr>
                <w:b/>
                <w:color w:val="008000"/>
                <w:sz w:val="17"/>
              </w:rPr>
              <w:t>+1.6%</w:t>
            </w:r>
          </w:p>
        </w:tc>
      </w:tr>
      <w:tr>
        <w:tc>
          <w:tcPr>
            <w:tcW w:type="dxa" w:w="1440"/>
            <w:shd w:fill="FAFAFA" w:val="clear"/>
          </w:tcPr>
          <w:p>
            <w:r>
              <w:rPr>
                <w:sz w:val="17"/>
              </w:rPr>
              <w:t>J+7  ⭐</w:t>
            </w:r>
          </w:p>
        </w:tc>
        <w:tc>
          <w:tcPr>
            <w:tcW w:type="dxa" w:w="1440"/>
            <w:shd w:fill="FAFAFA" w:val="clear"/>
          </w:tcPr>
          <w:p>
            <w:r>
              <w:rPr>
                <w:sz w:val="17"/>
              </w:rPr>
              <w:t>2026-10-26</w:t>
            </w:r>
          </w:p>
        </w:tc>
        <w:tc>
          <w:tcPr>
            <w:tcW w:type="dxa" w:w="1440"/>
            <w:shd w:fill="FAFAFA" w:val="clear"/>
          </w:tcPr>
          <w:p>
            <w:r>
              <w:rPr>
                <w:sz w:val="17"/>
              </w:rPr>
              <w:t>1,870</w:t>
            </w:r>
          </w:p>
        </w:tc>
        <w:tc>
          <w:tcPr>
            <w:tcW w:type="dxa" w:w="1440"/>
            <w:shd w:fill="FAFAFA" w:val="clear"/>
          </w:tcPr>
          <w:p>
            <w:r>
              <w:rPr>
                <w:b/>
                <w:sz w:val="17"/>
              </w:rPr>
              <w:t>2,229</w:t>
            </w:r>
          </w:p>
        </w:tc>
        <w:tc>
          <w:tcPr>
            <w:tcW w:type="dxa" w:w="1440"/>
            <w:shd w:fill="FAFAFA" w:val="clear"/>
          </w:tcPr>
          <w:p>
            <w:r>
              <w:rPr>
                <w:sz w:val="17"/>
              </w:rPr>
              <w:t>2,588</w:t>
            </w:r>
          </w:p>
        </w:tc>
        <w:tc>
          <w:tcPr>
            <w:tcW w:type="dxa" w:w="1440"/>
            <w:shd w:fill="FAFAFA" w:val="clear"/>
          </w:tcPr>
          <w:p>
            <w:r>
              <w:rPr>
                <w:b/>
                <w:color w:val="008000"/>
                <w:sz w:val="17"/>
              </w:rPr>
              <w:t>+1.8%</w:t>
            </w:r>
          </w:p>
        </w:tc>
      </w:tr>
      <w:tr>
        <w:tc>
          <w:tcPr>
            <w:tcW w:type="dxa" w:w="1440"/>
            <w:shd w:fill="FAFAFA" w:val="clear"/>
          </w:tcPr>
          <w:p>
            <w:r>
              <w:rPr>
                <w:sz w:val="17"/>
              </w:rPr>
              <w:t>J+8  ⭐</w:t>
            </w:r>
          </w:p>
        </w:tc>
        <w:tc>
          <w:tcPr>
            <w:tcW w:type="dxa" w:w="1440"/>
            <w:shd w:fill="FAFAFA" w:val="clear"/>
          </w:tcPr>
          <w:p>
            <w:r>
              <w:rPr>
                <w:sz w:val="17"/>
              </w:rPr>
              <w:t>2026-10-27</w:t>
            </w:r>
          </w:p>
        </w:tc>
        <w:tc>
          <w:tcPr>
            <w:tcW w:type="dxa" w:w="1440"/>
            <w:shd w:fill="FAFAFA" w:val="clear"/>
          </w:tcPr>
          <w:p>
            <w:r>
              <w:rPr>
                <w:sz w:val="17"/>
              </w:rPr>
              <w:t>1,847</w:t>
            </w:r>
          </w:p>
        </w:tc>
        <w:tc>
          <w:tcPr>
            <w:tcW w:type="dxa" w:w="1440"/>
            <w:shd w:fill="FAFAFA" w:val="clear"/>
          </w:tcPr>
          <w:p>
            <w:r>
              <w:rPr>
                <w:b/>
                <w:sz w:val="17"/>
              </w:rPr>
              <w:t>2,232</w:t>
            </w:r>
          </w:p>
        </w:tc>
        <w:tc>
          <w:tcPr>
            <w:tcW w:type="dxa" w:w="1440"/>
            <w:shd w:fill="FAFAFA" w:val="clear"/>
          </w:tcPr>
          <w:p>
            <w:r>
              <w:rPr>
                <w:sz w:val="17"/>
              </w:rPr>
              <w:t>2,616</w:t>
            </w:r>
          </w:p>
        </w:tc>
        <w:tc>
          <w:tcPr>
            <w:tcW w:type="dxa" w:w="1440"/>
            <w:shd w:fill="FAFAFA" w:val="clear"/>
          </w:tcPr>
          <w:p>
            <w:r>
              <w:rPr>
                <w:b/>
                <w:color w:val="008000"/>
                <w:sz w:val="17"/>
              </w:rPr>
              <w:t>+1.9%</w:t>
            </w:r>
          </w:p>
        </w:tc>
      </w:tr>
      <w:tr>
        <w:tc>
          <w:tcPr>
            <w:tcW w:type="dxa" w:w="1440"/>
            <w:shd w:fill="C6EFCE" w:val="clear"/>
          </w:tcPr>
          <w:p>
            <w:r>
              <w:rPr>
                <w:sz w:val="17"/>
              </w:rPr>
              <w:t>J+9  ⭐</w:t>
            </w:r>
          </w:p>
        </w:tc>
        <w:tc>
          <w:tcPr>
            <w:tcW w:type="dxa" w:w="1440"/>
            <w:shd w:fill="C6EFCE" w:val="clear"/>
          </w:tcPr>
          <w:p>
            <w:r>
              <w:rPr>
                <w:sz w:val="17"/>
              </w:rPr>
              <w:t>2026-10-28</w:t>
            </w:r>
          </w:p>
        </w:tc>
        <w:tc>
          <w:tcPr>
            <w:tcW w:type="dxa" w:w="1440"/>
            <w:shd w:fill="C6EFCE" w:val="clear"/>
          </w:tcPr>
          <w:p>
            <w:r>
              <w:rPr>
                <w:sz w:val="17"/>
              </w:rPr>
              <w:t>1,826</w:t>
            </w:r>
          </w:p>
        </w:tc>
        <w:tc>
          <w:tcPr>
            <w:tcW w:type="dxa" w:w="1440"/>
            <w:shd w:fill="C6EFCE" w:val="clear"/>
          </w:tcPr>
          <w:p>
            <w:r>
              <w:rPr>
                <w:b/>
                <w:sz w:val="17"/>
              </w:rPr>
              <w:t>2,234</w:t>
            </w:r>
          </w:p>
        </w:tc>
        <w:tc>
          <w:tcPr>
            <w:tcW w:type="dxa" w:w="1440"/>
            <w:shd w:fill="C6EFCE" w:val="clear"/>
          </w:tcPr>
          <w:p>
            <w:r>
              <w:rPr>
                <w:sz w:val="17"/>
              </w:rPr>
              <w:t>2,642</w:t>
            </w:r>
          </w:p>
        </w:tc>
        <w:tc>
          <w:tcPr>
            <w:tcW w:type="dxa" w:w="1440"/>
            <w:shd w:fill="C6EFCE" w:val="clear"/>
          </w:tcPr>
          <w:p>
            <w:r>
              <w:rPr>
                <w:b/>
                <w:color w:val="008000"/>
                <w:sz w:val="17"/>
              </w:rPr>
              <w:t>+2.0%</w:t>
            </w:r>
          </w:p>
        </w:tc>
      </w:tr>
      <w:tr>
        <w:tc>
          <w:tcPr>
            <w:tcW w:type="dxa" w:w="1440"/>
            <w:shd w:fill="C6EFCE" w:val="clear"/>
          </w:tcPr>
          <w:p>
            <w:r>
              <w:rPr>
                <w:sz w:val="17"/>
              </w:rPr>
              <w:t>J+10  ⭐</w:t>
            </w:r>
          </w:p>
        </w:tc>
        <w:tc>
          <w:tcPr>
            <w:tcW w:type="dxa" w:w="1440"/>
            <w:shd w:fill="C6EFCE" w:val="clear"/>
          </w:tcPr>
          <w:p>
            <w:r>
              <w:rPr>
                <w:sz w:val="17"/>
              </w:rPr>
              <w:t>2026-10-29</w:t>
            </w:r>
          </w:p>
        </w:tc>
        <w:tc>
          <w:tcPr>
            <w:tcW w:type="dxa" w:w="1440"/>
            <w:shd w:fill="C6EFCE" w:val="clear"/>
          </w:tcPr>
          <w:p>
            <w:r>
              <w:rPr>
                <w:sz w:val="17"/>
              </w:rPr>
              <w:t>1,806</w:t>
            </w:r>
          </w:p>
        </w:tc>
        <w:tc>
          <w:tcPr>
            <w:tcW w:type="dxa" w:w="1440"/>
            <w:shd w:fill="C6EFCE" w:val="clear"/>
          </w:tcPr>
          <w:p>
            <w:r>
              <w:rPr>
                <w:b/>
                <w:sz w:val="17"/>
              </w:rPr>
              <w:t>2,236</w:t>
            </w:r>
          </w:p>
        </w:tc>
        <w:tc>
          <w:tcPr>
            <w:tcW w:type="dxa" w:w="1440"/>
            <w:shd w:fill="C6EFCE" w:val="clear"/>
          </w:tcPr>
          <w:p>
            <w:r>
              <w:rPr>
                <w:sz w:val="17"/>
              </w:rPr>
              <w:t>2,667</w:t>
            </w:r>
          </w:p>
        </w:tc>
        <w:tc>
          <w:tcPr>
            <w:tcW w:type="dxa" w:w="1440"/>
            <w:shd w:fill="C6EFCE" w:val="clear"/>
          </w:tcPr>
          <w:p>
            <w:r>
              <w:rPr>
                <w:b/>
                <w:color w:val="008000"/>
                <w:sz w:val="17"/>
              </w:rPr>
              <w:t>+2.1%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38.571 Mds FCFA</w:t>
            </w:r>
          </w:p>
        </w:tc>
        <w:tc>
          <w:tcPr>
            <w:tcW w:type="dxa" w:w="5669"/>
            <w:shd w:fill="FFFFFF" w:val="clear"/>
          </w:tcPr>
          <w:p>
            <w:r>
              <w:rPr>
                <w:color w:val="282828"/>
                <w:sz w:val="15"/>
              </w:rPr>
              <w:t>Créances clients = 6.4%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11.255 Mds FCFA</w:t>
            </w:r>
          </w:p>
        </w:tc>
        <w:tc>
          <w:tcPr>
            <w:tcW w:type="dxa" w:w="5669"/>
            <w:shd w:fill="FFFFFF" w:val="clear"/>
          </w:tcPr>
          <w:p>
            <w:r>
              <w:rPr>
                <w:color w:val="282828"/>
                <w:sz w:val="15"/>
              </w:rPr>
              <w:t>Rotation stocks = 53.8x/an.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99.584 Mds FCFA</w:t>
            </w:r>
          </w:p>
        </w:tc>
        <w:tc>
          <w:tcPr>
            <w:tcW w:type="dxa" w:w="5669"/>
            <w:shd w:fill="FFFFFF" w:val="clear"/>
          </w:tcPr>
          <w:p>
            <w:r>
              <w:rPr>
                <w:color w:val="282828"/>
                <w:sz w:val="15"/>
              </w:rPr>
              <w:t>Ratio actif circ./passif circ. = 1.18x.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9.468 Mds FCFA</w:t>
            </w:r>
          </w:p>
        </w:tc>
        <w:tc>
          <w:tcPr>
            <w:tcW w:type="dxa" w:w="5669"/>
            <w:shd w:fill="FFFFFF" w:val="clear"/>
          </w:tcPr>
          <w:p>
            <w:r>
              <w:rPr>
                <w:color w:val="282828"/>
                <w:sz w:val="15"/>
              </w:rPr>
              <w:t>Brevets, logiciels, fonds commercial (4.9%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61.559 Mds FCFA</w:t>
            </w:r>
          </w:p>
        </w:tc>
        <w:tc>
          <w:tcPr>
            <w:tcW w:type="dxa" w:w="5669"/>
            <w:shd w:fill="FFFFFF" w:val="clear"/>
          </w:tcPr>
          <w:p>
            <w:r>
              <w:rPr>
                <w:color w:val="282828"/>
                <w:sz w:val="15"/>
              </w:rPr>
              <w:t>Outil industriel (31.8%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88.944 Mds FCFA</w:t>
            </w:r>
          </w:p>
        </w:tc>
        <w:tc>
          <w:tcPr>
            <w:tcW w:type="dxa" w:w="5669"/>
            <w:shd w:fill="FFFFFF" w:val="clear"/>
          </w:tcPr>
          <w:p>
            <w:r>
              <w:rPr>
                <w:color w:val="282828"/>
                <w:sz w:val="15"/>
              </w:rPr>
              <w:t>Actif immobilisé = 46.0%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5.033 Mds FCFA</w:t>
            </w:r>
          </w:p>
        </w:tc>
        <w:tc>
          <w:tcPr>
            <w:tcW w:type="dxa" w:w="5669"/>
            <w:shd w:fill="FFFFFF" w:val="clear"/>
          </w:tcPr>
          <w:p>
            <w:r>
              <w:rPr>
                <w:color w:val="282828"/>
                <w:sz w:val="15"/>
              </w:rPr>
              <w:t>Liquidités disponibles (2.6%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193.561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3.150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9.432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27.159 Mds FCFA</w:t>
            </w:r>
          </w:p>
        </w:tc>
        <w:tc>
          <w:tcPr>
            <w:tcW w:type="dxa" w:w="5669"/>
            <w:shd w:fill="FFFFFF" w:val="clear"/>
          </w:tcPr>
          <w:p>
            <w:r>
              <w:rPr>
                <w:color w:val="282828"/>
                <w:sz w:val="15"/>
              </w:rPr>
              <w:t>Fonds propres = 14.0%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39.095 Mds FCFA</w:t>
            </w:r>
          </w:p>
        </w:tc>
        <w:tc>
          <w:tcPr>
            <w:tcW w:type="dxa" w:w="5669"/>
            <w:shd w:fill="FFFFFF" w:val="clear"/>
          </w:tcPr>
          <w:p>
            <w:r>
              <w:rPr>
                <w:color w:val="282828"/>
                <w:sz w:val="15"/>
              </w:rPr>
              <w:t>Capitaux permanents / Actif immobilisé = 0.44x.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53.430 Mds FCFA</w:t>
            </w:r>
          </w:p>
        </w:tc>
        <w:tc>
          <w:tcPr>
            <w:tcW w:type="dxa" w:w="5669"/>
            <w:shd w:fill="FFFFFF" w:val="clear"/>
          </w:tcPr>
          <w:p>
            <w:r>
              <w:rPr>
                <w:color w:val="282828"/>
                <w:sz w:val="15"/>
              </w:rPr>
              <w:t>Délai fournisseurs implicite ≈ 32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11.936 Mds FCFA</w:t>
            </w:r>
          </w:p>
        </w:tc>
        <w:tc>
          <w:tcPr>
            <w:tcW w:type="dxa" w:w="5669"/>
            <w:shd w:fill="FFFFFF" w:val="clear"/>
          </w:tcPr>
          <w:p>
            <w:r>
              <w:rPr>
                <w:color w:val="282828"/>
                <w:sz w:val="15"/>
              </w:rPr>
              <w:t>Dette LT/MT = 44%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11.936 Mds FCFA</w:t>
            </w:r>
          </w:p>
        </w:tc>
        <w:tc>
          <w:tcPr>
            <w:tcW w:type="dxa" w:w="5669"/>
            <w:shd w:fill="FFFFFF" w:val="clear"/>
          </w:tcPr>
          <w:p>
            <w:r>
              <w:rPr>
                <w:color w:val="282828"/>
                <w:sz w:val="15"/>
              </w:rPr>
              <w:t>Dette financière totale = 44%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166.403 Mds FCFA</w:t>
            </w:r>
          </w:p>
        </w:tc>
        <w:tc>
          <w:tcPr>
            <w:tcW w:type="dxa" w:w="5669"/>
            <w:shd w:fill="FFFFFF" w:val="clear"/>
          </w:tcPr>
          <w:p>
            <w:r>
              <w:rPr>
                <w:color w:val="282828"/>
                <w:sz w:val="15"/>
              </w:rPr>
              <w:t>Dettes totales = 86.0%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604.978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604.978 Mds FCFA</w:t>
            </w:r>
          </w:p>
        </w:tc>
        <w:tc>
          <w:tcPr>
            <w:tcW w:type="dxa" w:w="5669"/>
            <w:shd w:fill="FFFFFF" w:val="clear"/>
          </w:tcPr>
          <w:p>
            <w:r>
              <w:rPr>
                <w:color w:val="282828"/>
                <w:sz w:val="15"/>
              </w:rPr>
              <w:t>Chiffre d'affaires. Croissance: 0.7%.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-39.038 Mds FCFA</w:t>
            </w:r>
          </w:p>
        </w:tc>
        <w:tc>
          <w:tcPr>
            <w:tcW w:type="dxa" w:w="5669"/>
            <w:shd w:fill="FFFFFF" w:val="clear"/>
          </w:tcPr>
          <w:p>
            <w:r>
              <w:rPr>
                <w:color w:val="282828"/>
                <w:sz w:val="15"/>
              </w:rPr>
              <w:t>-6.5%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-5.543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-7.418 Mds FCFA</w:t>
            </w:r>
          </w:p>
        </w:tc>
        <w:tc>
          <w:tcPr>
            <w:tcW w:type="dxa" w:w="5669"/>
            <w:shd w:fill="FFFFFF" w:val="clear"/>
          </w:tcPr>
          <w:p>
            <w:r>
              <w:rPr>
                <w:color w:val="282828"/>
                <w:sz w:val="15"/>
              </w:rPr>
              <w:t>Masse salariale = -1.2%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24.583 Mds FCFA</w:t>
            </w:r>
          </w:p>
        </w:tc>
        <w:tc>
          <w:tcPr>
            <w:tcW w:type="dxa" w:w="5669"/>
            <w:shd w:fill="FFFFFF" w:val="clear"/>
          </w:tcPr>
          <w:p>
            <w:r>
              <w:rPr>
                <w:color w:val="282828"/>
                <w:sz w:val="15"/>
              </w:rPr>
              <w:t>VA = 4.1%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17.166 Mds FCFA</w:t>
            </w:r>
          </w:p>
        </w:tc>
        <w:tc>
          <w:tcPr>
            <w:tcW w:type="dxa" w:w="5669"/>
            <w:shd w:fill="FFFFFF" w:val="clear"/>
          </w:tcPr>
          <w:p>
            <w:r>
              <w:rPr>
                <w:color w:val="282828"/>
                <w:sz w:val="15"/>
              </w:rPr>
              <w:t>EBE = 2.8%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11.682 Mds FCFA</w:t>
            </w:r>
          </w:p>
        </w:tc>
        <w:tc>
          <w:tcPr>
            <w:tcW w:type="dxa" w:w="5669"/>
            <w:shd w:fill="FFFFFF" w:val="clear"/>
          </w:tcPr>
          <w:p>
            <w:r>
              <w:rPr>
                <w:color w:val="282828"/>
                <w:sz w:val="15"/>
              </w:rPr>
              <w:t>Profit d'exploitation = 1.9%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-5.483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6.028 Mds FCFA</w:t>
            </w:r>
          </w:p>
        </w:tc>
        <w:tc>
          <w:tcPr>
            <w:tcW w:type="dxa" w:w="5669"/>
            <w:shd w:fill="FFFFFF" w:val="clear"/>
          </w:tcPr>
          <w:p>
            <w:r>
              <w:rPr>
                <w:color w:val="282828"/>
                <w:sz w:val="15"/>
              </w:rPr>
              <w:t>Marge nette = 1.0%.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12.330 Mds FCFA</w:t>
            </w:r>
          </w:p>
        </w:tc>
        <w:tc>
          <w:tcPr>
            <w:tcW w:type="dxa" w:w="5669"/>
            <w:shd w:fill="FFFFFF" w:val="clear"/>
          </w:tcPr>
          <w:p>
            <w:r>
              <w:rPr>
                <w:color w:val="282828"/>
                <w:sz w:val="15"/>
              </w:rPr>
              <w:t>CAF = 12.33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2.136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-12.723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-6.122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-1.538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15.315 Mds FCFA</w:t>
            </w:r>
          </w:p>
        </w:tc>
        <w:tc>
          <w:tcPr>
            <w:tcW w:type="dxa" w:w="5669"/>
            <w:shd w:fill="FFFFFF" w:val="clear"/>
          </w:tcPr>
          <w:p>
            <w:r>
              <w:rPr>
                <w:color w:val="282828"/>
                <w:sz w:val="15"/>
              </w:rPr>
              <w:t>BFR = 2.5%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-49.850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-65.264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9.35%</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1.00%</w:t>
            </w:r>
          </w:p>
        </w:tc>
        <w:tc>
          <w:tcPr>
            <w:tcW w:type="dxa" w:w="5669"/>
            <w:shd w:fill="FFFFFF" w:val="clear"/>
          </w:tcPr>
          <w:p>
            <w:r>
              <w:rPr>
                <w:color w:val="282828"/>
                <w:sz w:val="15"/>
              </w:rPr>
              <w:t>Résultat net / revenus = 1.00%.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1.93%</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22.20%</w:t>
            </w:r>
          </w:p>
        </w:tc>
        <w:tc>
          <w:tcPr>
            <w:tcW w:type="dxa" w:w="5669"/>
            <w:shd w:fill="FFFFFF" w:val="clear"/>
          </w:tcPr>
          <w:p>
            <w:r>
              <w:rPr>
                <w:color w:val="282828"/>
                <w:sz w:val="15"/>
              </w:rPr>
              <w:t>Résultat net / capitaux propres = 22.20%.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3.11%</w:t>
            </w:r>
          </w:p>
        </w:tc>
        <w:tc>
          <w:tcPr>
            <w:tcW w:type="dxa" w:w="5669"/>
            <w:shd w:fill="FFFFFF" w:val="clear"/>
          </w:tcPr>
          <w:p>
            <w:r>
              <w:rPr>
                <w:color w:val="282828"/>
                <w:sz w:val="15"/>
              </w:rPr>
              <w:t>Résultat net / total actif = 3.11%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312.55%</w:t>
            </w:r>
          </w:p>
        </w:tc>
        <w:tc>
          <w:tcPr>
            <w:tcW w:type="dxa" w:w="5669"/>
            <w:shd w:fill="FFFFFF" w:val="clear"/>
          </w:tcPr>
          <w:p>
            <w:r>
              <w:rPr>
                <w:color w:val="282828"/>
                <w:sz w:val="15"/>
              </w:rPr>
              <w:t>CA / total actif = 312.55x.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0.66%</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0.71%</w:t>
            </w:r>
          </w:p>
        </w:tc>
        <w:tc>
          <w:tcPr>
            <w:tcW w:type="dxa" w:w="5669"/>
            <w:shd w:fill="FFFFFF" w:val="clear"/>
          </w:tcPr>
          <w:p>
            <w:r>
              <w:rPr>
                <w:color w:val="282828"/>
                <w:sz w:val="15"/>
              </w:rPr>
              <w:t>Croissance CA vs exercice précédent = 0.71%.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14.03%</w:t>
            </w:r>
          </w:p>
        </w:tc>
        <w:tc>
          <w:tcPr>
            <w:tcW w:type="dxa" w:w="5669"/>
            <w:shd w:fill="FFFFFF" w:val="clear"/>
          </w:tcPr>
          <w:p>
            <w:r>
              <w:rPr>
                <w:color w:val="282828"/>
                <w:sz w:val="15"/>
              </w:rPr>
              <w:t>Fonds propres / total bilan = 14.03%.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85.97%</w:t>
            </w:r>
          </w:p>
        </w:tc>
        <w:tc>
          <w:tcPr>
            <w:tcW w:type="dxa" w:w="5669"/>
            <w:shd w:fill="FFFFFF" w:val="clear"/>
          </w:tcPr>
          <w:p>
            <w:r>
              <w:rPr>
                <w:color w:val="282828"/>
                <w:sz w:val="15"/>
              </w:rPr>
              <w:t>Dettes financières / total bilan = 85.97%.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43.95%</w:t>
            </w:r>
          </w:p>
        </w:tc>
        <w:tc>
          <w:tcPr>
            <w:tcW w:type="dxa" w:w="5669"/>
            <w:shd w:fill="FFFFFF" w:val="clear"/>
          </w:tcPr>
          <w:p>
            <w:r>
              <w:rPr>
                <w:color w:val="282828"/>
                <w:sz w:val="15"/>
              </w:rPr>
              <w:t>Dettes totales / fonds propres = 43.95%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116.32%</w:t>
            </w:r>
          </w:p>
        </w:tc>
        <w:tc>
          <w:tcPr>
            <w:tcW w:type="dxa" w:w="5669"/>
            <w:shd w:fill="FFFFFF" w:val="clear"/>
          </w:tcPr>
          <w:p>
            <w:r>
              <w:rPr>
                <w:color w:val="282828"/>
                <w:sz w:val="15"/>
              </w:rPr>
              <w:t>Total actif / dettes totales = 116.32x.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118.17%</w:t>
            </w:r>
          </w:p>
        </w:tc>
        <w:tc>
          <w:tcPr>
            <w:tcW w:type="dxa" w:w="5669"/>
            <w:shd w:fill="FFFFFF" w:val="clear"/>
          </w:tcPr>
          <w:p>
            <w:r>
              <w:rPr>
                <w:color w:val="282828"/>
                <w:sz w:val="15"/>
              </w:rPr>
              <w:t>Actif circulant / passif circulant = 118.17x.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5.97%</w:t>
            </w:r>
          </w:p>
        </w:tc>
        <w:tc>
          <w:tcPr>
            <w:tcW w:type="dxa" w:w="5669"/>
            <w:shd w:fill="FFFFFF" w:val="clear"/>
          </w:tcPr>
          <w:p>
            <w:r>
              <w:rPr>
                <w:color w:val="282828"/>
                <w:sz w:val="15"/>
              </w:rPr>
              <w:t>Trésorerie / passif circulant = 5.97x.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104.82%</w:t>
            </w:r>
          </w:p>
        </w:tc>
        <w:tc>
          <w:tcPr>
            <w:tcW w:type="dxa" w:w="5669"/>
            <w:shd w:fill="FFFFFF" w:val="clear"/>
          </w:tcPr>
          <w:p>
            <w:r>
              <w:rPr>
                <w:color w:val="282828"/>
                <w:sz w:val="15"/>
              </w:rPr>
              <w:t>(Actif circ. - stocks) / passif circ. = 104.82x. ✅ Liquidité réduite solide.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43.95%</w:t>
            </w:r>
          </w:p>
        </w:tc>
        <w:tc>
          <w:tcPr>
            <w:tcW w:type="dxa" w:w="5669"/>
            <w:shd w:fill="FFFFFF" w:val="clear"/>
          </w:tcPr>
          <w:p>
            <w:r>
              <w:rPr>
                <w:color w:val="282828"/>
                <w:sz w:val="15"/>
              </w:rPr>
              <w:t>Capitaux permanents / actif immobilisé = 43.95x.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292.84%</w:t>
            </w:r>
          </w:p>
        </w:tc>
        <w:tc>
          <w:tcPr>
            <w:tcW w:type="dxa" w:w="5669"/>
            <w:shd w:fill="FFFFFF" w:val="clear"/>
          </w:tcPr>
          <w:p>
            <w:r>
              <w:rPr>
                <w:color w:val="282828"/>
                <w:sz w:val="15"/>
              </w:rPr>
              <w:t>Résultat exploit. / charges financières = 292.84x. ✅ Couverture satisfaisante.</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88.91%</w:t>
            </w:r>
          </w:p>
        </w:tc>
        <w:tc>
          <w:tcPr>
            <w:tcW w:type="dxa" w:w="5669"/>
            <w:shd w:fill="FFFFFF" w:val="clear"/>
          </w:tcPr>
          <w:p>
            <w:r>
              <w:rPr>
                <w:color w:val="282828"/>
                <w:sz w:val="15"/>
              </w:rPr>
              <w:t>CAF / investissements = 88.91x.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23.3 j</w:t>
            </w:r>
          </w:p>
        </w:tc>
        <w:tc>
          <w:tcPr>
            <w:tcW w:type="dxa" w:w="5669"/>
            <w:shd w:fill="FFFFFF" w:val="clear"/>
          </w:tcPr>
          <w:p>
            <w:r>
              <w:rPr>
                <w:color w:val="282828"/>
                <w:sz w:val="15"/>
              </w:rPr>
              <w:t>Les clients paient en moyenne en 23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35.5 j</w:t>
            </w:r>
          </w:p>
        </w:tc>
        <w:tc>
          <w:tcPr>
            <w:tcW w:type="dxa" w:w="5669"/>
            <w:shd w:fill="FFFFFF" w:val="clear"/>
          </w:tcPr>
          <w:p>
            <w:r>
              <w:rPr>
                <w:color w:val="282828"/>
                <w:sz w:val="15"/>
              </w:rPr>
              <w:t>Paiement des fournisseurs en 35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7.5 j</w:t>
            </w:r>
          </w:p>
        </w:tc>
        <w:tc>
          <w:tcPr>
            <w:tcW w:type="dxa" w:w="5669"/>
            <w:shd w:fill="FFFFFF" w:val="clear"/>
          </w:tcPr>
          <w:p>
            <w:r>
              <w:rPr>
                <w:color w:val="282828"/>
                <w:sz w:val="15"/>
              </w:rPr>
              <w:t>Stock écoulé en 7 jours. ✅ Rotation rapide — faible immobilisation de capital.</w:t>
            </w:r>
          </w:p>
        </w:tc>
      </w:tr>
    </w:tbl>
    <w:p/>
    <w:p>
      <w:pPr>
        <w:spacing w:after="120" w:line="276" w:lineRule="auto"/>
      </w:pPr>
      <w:r>
        <w:t>**RAPPORT D'ANALYSE FINANCIÈRE — SHEC (VIVO ENERGY CÔTE D'IVOIRE)**</w:t>
        <w:br/>
        <w:t>*Bourse Régionale des Valeurs Mobilières (BRVM)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137,97 milliards FCFA, SHEC se positionne parmi les valeurs moyennes du compartiment industriel/énergie de la BRVM, sans atteindre le poids des mastodontes bancaires ou télécoms. Le BPA de 96 FCFA/action signifie que chaque titre génère près de 96 FCFA de bénéfice net, ce qui, rapporté au cours actuel de 2 190 FCFA, donne un PER de 22,9x — soit environ le double de la moyenne BRVM (~8-12x). Les investisseurs paient donc une prime significative pour les bénéfices actuels, ce qui suppose des anticipations de croissance ou une surévaluation. Le P/B de 5,08x confirme cette exigence : le marché valorise la société à plus de 5 fois sa valeur comptable, une prime très élevée qui n'est justifiée que par la qualité des actifs ou les perspectives. Enfin, l'EV/EBITDA de 12,5x, dans la fourchette haute (10-15x), indique que la valeur d'entreprise (incluant la dette) reste chère par rapport à la capacité opérationnelle de génération de cash. Globalement, ces ratios traduisent une valorisation exigeante, voire tendue, qui laisse peu de marge d'erreur en cas de déception sur les résultats.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SHEC affiche une variation totale positive de +13,18%, malgré un repli de -0,45% lors de la dernière séance (J-1), signalant une légère prise de bénéfices après une dynamique haussière. Le titre a évolué dans un range large de 1 910 FCFA (plus bas) à 2 980 FCFA (plus haut), soit une amplitude de plus de 56%, ce qui témoigne d'une forte volatilité intra-période. Le cours actuel de 2 190 FCFA se situe dans la moitié basse de ce range, suggérant que la tendance haussière s'essouffle après avoir atteint des sommets. Les statistiques descriptives révèlent une moyenne de 2 277 FCFA supérieure à la médiane de 2 202 FCFA, avec un mode à 2 200 FCFA : cet écart indique une distribution asymétrique à droite, confirmée par un skewness de 1,142 (plus de journées sous la moyenne, mais des pics haussiers marqués). L'écart-type de 215 FCFA (CV=9,4%) traduit une dispersion modérée autour de la moyenne, mais le kurtosis de 1,764 (leptokurtique) signale des queues épaisses, donc un risque de mouvements brusques et de pics de volatilité. Enfin, la volatilité annualisée de 41,9% classe SHEC dans la catégorie des titres à volatilité élevée (&gt;30%), ce qui implique un risque important pour les investisseurs à court terme.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(2 403,75 FCFA) et la MM50 (2 424,9 FCFA) sont toutes deux nettement supérieures au cours actuel (2 190 FCFA), ce qui place le titre en position baissière sous ses moyennes. La MM20 étant légèrement en dessous de la MM50, on observe un début de croisement baissier, confirmant la décision de **Vente** émise par cet indicateur. Le cours évoluant sous ces deux références, la pression vendeuse reste dominante à court et moyen terme.</w:t>
      </w:r>
    </w:p>
    <w:p>
      <w:pPr>
        <w:spacing w:after="120" w:line="276" w:lineRule="auto"/>
      </w:pPr>
      <w:r>
        <w:t>**Bandes de Bollinger** : Le cours actuel (2 190 FCFA) se situe dans la partie basse de la bande, entre la borne inférieure (1 927,75 FCFA) et la borne supérieure (2 879,75 FCFA), sans atteindre la zone de survente extrême. La largeur importante des bandes (environ 952 FCFA) reflète la forte volatilité récente. La décision **Neutre** s'explique par la position médiane-basse du cours, qui n'est ni un signal d'achat franc (proche borne inférieure) ni de vente (proche borne supérieure).</w:t>
      </w:r>
    </w:p>
    <w:p>
      <w:pPr>
        <w:spacing w:after="120" w:line="276" w:lineRule="auto"/>
      </w:pPr>
      <w:r>
        <w:t>**MACD** : La valeur du MACD (-85,206) est inférieure à son signal (-59,595), avec un histogramme négatif, ce qui confirme un momentum baissier. La divergence négative entre la ligne MACD et sa ligne de signal indique que la dynamique de court terme reste défavorable, justifiant la décision de **Vente**. Aucun croisement haussier n'est en vue à ce stade.</w:t>
      </w:r>
    </w:p>
    <w:p>
      <w:pPr>
        <w:spacing w:after="120" w:line="276" w:lineRule="auto"/>
      </w:pPr>
      <w:r>
        <w:t>**RSI** : Avec une valeur de 17,978, le RSI se situe très en dessous du seuil de survente (30), ce qui est un signal classique d'**Achat** en analyse technique. Un RSI aussi bas indique que le titre a été massivement vendu et qu'un rebond technique est probable à court terme, même si la tendance de fond reste baissière.</w:t>
      </w:r>
    </w:p>
    <w:p>
      <w:pPr>
        <w:spacing w:after="120" w:line="276" w:lineRule="auto"/>
      </w:pPr>
      <w:r>
        <w:t>**Stochastique** : Le %K (0,0) et le %D (1,17) sont tous deux en zone de survente extrême, avec un %K au plancher absolu. Cette configuration, bien que baissière, est typique d'un épuisement de la pression vendeuse et justifie la décision d'**Achat** en anticipation d'un retournement ou d'un rebond technique.</w:t>
      </w:r>
    </w:p>
    <w:p>
      <w:pPr>
        <w:spacing w:after="120" w:line="276" w:lineRule="auto"/>
      </w:pPr>
      <w:r>
        <w:t>**Conclusion technique** : Les indicateurs sont divergents : les moyennes mobiles et le MACD confirment une tendance baissière de fond, tandis que le RSI et le stochastique signalent une survente extrême propice à un rebond à court terme. Les bandes de Bollinger restent neutres. Cette configuration suggère un possible rebond technique à court terme, mais la tendance de moyen terme reste fragile tant que le cours n'aura pas reconquis la MM20 (2 403,75 FCFA).</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En 2025, SHEC (Vivo Energy Côte d'Ivoire) a réalisé un chiffre d'affaires de 604,978 milliards FCFA, en très légère hausse de +0,71% par rapport à 2024 (600,708 milliards FCFA), selon les états financiers provisoires au 31/12/2025. Le résultat net s'établit à 6,028 milliards FCFA, en progression de +12,6% sur un an, porté par une amélioration de la valeur ajoutée (+15%) et une baisse des charges financières (-17,7%). La marge nette reste très faible à 0,996%, caractéristique du secteur de la distribution pétrolière, mais en légère amélioration (0,89% en 2024). Le ROE de 22,2% est excellent (&gt;15%), témoignant d'une bonne rentabilité des fonds propres, tandis que le ROA de 3,11% reste modeste en raison de la forte rotation des actifs (312,55%). Sur le plan structurel, l'autonomie financière est faible (14,03%), bien en dessous du seuil de 30% considéré comme sain, et la trésorerie nette est fortement négative à -65,264 milliards FCFA, avec un fonds de roulement négatif (-49,850 milliards FCFA) et un BFR de 15,315 milliards FCFA. Les délais clients (23,27 jours) et fournisseurs (35,47 jours) sont maîtrisés, mais la liquidité immédiate (5,97%) est très faible. Le rapport du 30/06/2026 (S1 2026) indique un CA de 305,038 milliards FCFA, en baisse de -1% sur un an, avec un résultat d'exploitation en hausse de +17% à 6,133 milliards FCFA et un résultat net de 3,016 milliards FCFA (marge nette 0,99%). Sur la base de ce rapport S1 2026, on estime que l'exercice 2026 devrait afficher un CA stable voire légèrement en baisse, mais une rentabilité opérationnelle en amélioration grâce à la dynamique du butane et des lubrifiants. Le rapport du T1 2026 (publié en 2026) confirme une baisse de -9% du CA, mais un résultat net quasi stable (+1%), démontrant une bonne résilience opérationnelle. La recommandation fondamentale est de **CONSERVER** : la société est bénéficiaire, distribue un dividende attractif (1 933 FCFA/action estimé pour 2025, soit un rendement de ~88% au cours actuel — attention, ce chiffre semble aberrant et mérite vérification), mais sa structure financière fragile (trésorerie négative, endettement élevé) et sa marge nette très faible (1%) limitent le potentiel de revalorisation à court terme.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SHEC apparaît exigeante : le PER de 22,9x et le P/B de 5,08x sont nettement supérieurs aux moyennes du marché, ce qui suggère une surévaluation relative par rapport aux bénéfices et à la valeur comptable. Le comportement du cours sur 100 jours est contrasté : hausse de +13,18% mais avec une volatilité élevée (41,9%) et une distribution leptokurtique (kurtosis 1,764) indiquant un risque de pics brusques, tandis que le skewness positif (1,142) montre que les journées sous la moyenne sont plus fréquentes. Les signaux techniques sont divergents : les moyennes mobiles et le MACD sont baissiers, mais le RSI (17,98) et le stochastique (0,0) sont en survente extrême, ce qui plaide pour un rebond technique à court terme. Les fondamentaux sont mitigés : bénéfice net en hausse (+12,6% en 2025), ROE excellent (22,2%), mais trésorerie nette très négative (-65,26 milliards FCFA) et marge nette faible (1%). Les prédictions IA pour les 10 prochains jours (2 201 → 2 222 FCFA) anticipent une légère reprise de +1,5% par rapport au cours actuel, ce qui confirme le scénario d'un rebond technique modéré. Sur la base de cette synthèse, la recommandation finale est **CONSERVER**, avec un niveau de confiance **Moyen** et un risque global **Élevé**. L'horizon d'investissement optimal est le **moyen terme (3-12 mois)**, en attendant la publication des comptes définitifs 2025 et des résultats du S1 2026 pour confirmer l'amélioration de la rentabilité et la réduction de l'endettement. Un renforcement pourrait être envisagé si le cours reconquiert la MM20 (2 403,75 FCFA) et si la trésorerie nette s'améliore.</w:t>
      </w:r>
    </w:p>
    <w:p/>
    <w:p/>
    <w:p>
      <w:pPr>
        <w:pStyle w:val="Heading3"/>
      </w:pPr>
      <w:r>
        <w:rPr>
          <w:color w:val="005A32"/>
        </w:rPr>
        <w:t>📋 RAPPORTS &amp; COMMUNIQUÉS OFFICIELS</w:t>
      </w:r>
    </w:p>
    <w:p>
      <w:r>
        <w:rPr>
          <w:i/>
          <w:color w:val="646464"/>
          <w:sz w:val="18"/>
        </w:rPr>
        <w:t>26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affiche une am\u00e9lioration de sa rentabilit\u00e9 nette malgr\u00e9 une l\u00e9g\u00e8re baisse du chiffre d'affaires, soutenue par le secteur du butane. La prudence est recommand\u00e9e en raison de la hausse de l'imp\u00f4t et de la d\u00e9pendance aux concours bancaires."}</w:t>
      </w:r>
    </w:p>
    <w:p>
      <w:pPr>
        <w:spacing w:before="40"/>
        <w:ind w:left="400"/>
      </w:pPr>
      <w:r>
        <w:rPr>
          <w:sz w:val="18"/>
        </w:rPr>
        <w:t>Au 30 juin 2026, VIVO ENERGY CI affiche un chiffre d'affaires de 305 038 millions FCFA, en baisse de 1% par rapport à 307 319 millions FCFA un an plus tôt. Cette baisse provient principalement d'une réduction de 3% des volumes vendus, notamment dans les secteurs aviation, bitume et entreprises, partiellement compensée par les hausses sur le Réseau, le Butane et les Lubrifiants. Le résultat d'exploitation progresse de 17% pour atteindre 6 133 millions FCFA, soutenu par la hausse des volumes de butane et la subvention d'exploitation. Le résultat net augmente de 15% à 3 016 millions FCFA contre 2 623 millions FCFA en 2025. La société maintient une performance rentable malgré un environnement co</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{'volume': '458 milliers de M3/TM', 'capital_social': '3 150 000 000 FCFA', 'resultat_financier': '-1 803 millions FCFA', 'resultat_exploitation': '6 133 millions FCFA', 'resultat_activites_ordinaires': '4 330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0.99%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3 016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305 038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légère baisse de 1% à 305 038 millions FCFA au 30 juin 2026.</w:t>
      </w:r>
    </w:p>
    <w:p>
      <w:pPr>
        <w:pStyle w:val="ListBullet"/>
        <w:spacing w:before="20" w:after="20"/>
        <w:ind w:left="700"/>
      </w:pPr>
      <w:r>
        <w:rPr>
          <w:sz w:val="18"/>
        </w:rPr>
        <w:t>Volume total en baisse de 3%, avec des reculs sur l'aviation, le bitume et les entreprises.</w:t>
      </w:r>
    </w:p>
    <w:p>
      <w:pPr>
        <w:pStyle w:val="ListBullet"/>
        <w:spacing w:before="20" w:after="20"/>
        <w:ind w:left="700"/>
      </w:pPr>
      <w:r>
        <w:rPr>
          <w:sz w:val="18"/>
        </w:rPr>
        <w:t>Croissance des secteurs Réseau, Butane et Lubrifiants.</w:t>
      </w:r>
    </w:p>
    <w:p>
      <w:pPr>
        <w:pStyle w:val="ListBullet"/>
        <w:spacing w:before="20" w:after="20"/>
        <w:ind w:left="700"/>
      </w:pPr>
      <w:r>
        <w:rPr>
          <w:sz w:val="18"/>
        </w:rPr>
        <w:t>Résultat d'exploitation en hausse de 17% à 6 133 millions FCFA grâce au butane.</w:t>
      </w:r>
    </w:p>
    <w:p>
      <w:pPr>
        <w:pStyle w:val="ListBullet"/>
        <w:spacing w:before="20" w:after="20"/>
        <w:ind w:left="700"/>
      </w:pPr>
      <w:r>
        <w:rPr>
          <w:sz w:val="18"/>
        </w:rPr>
        <w:t>Résultat net en hausse de 15% à 3 016 millions FCFA.</w:t>
      </w:r>
    </w:p>
    <w:p>
      <w:pPr>
        <w:pStyle w:val="ListBullet"/>
        <w:spacing w:before="20" w:after="20"/>
        <w:ind w:left="700"/>
      </w:pPr>
      <w:r>
        <w:rPr>
          <w:sz w:val="18"/>
        </w:rPr>
        <w:t>Résultat financier stable, à -1 803 millions FCFA, lié aux concours bancaires.</w:t>
      </w:r>
    </w:p>
    <w:p>
      <w:pPr>
        <w:spacing w:before="40"/>
        <w:ind w:left="400"/>
      </w:pPr>
      <w:r>
        <w:rPr>
          <w:b/>
          <w:color w:val="C05000"/>
          <w:sz w:val="18"/>
        </w:rPr>
        <w:t xml:space="preserve">⚠️ Risques : </w:t>
      </w:r>
      <w:r>
        <w:rPr>
          <w:sz w:val="18"/>
        </w:rPr>
        <w:t>["Baisse des volumes dans les secteurs aviation, bitume et entreprises.", "Hausse de 60% de l'imp\u00f4t sur le r\u00e9sultat pesant sur la rentabilit\u00e9 future.", "D\u00e9pendance aux concours bancaires pour financer l'activit\u00e9 et les investissements."]</w:t>
      </w:r>
    </w:p>
    <w:p>
      <w:pPr>
        <w:spacing w:before="40"/>
        <w:ind w:left="400"/>
      </w:pPr>
      <w:r>
        <w:rPr>
          <w:b/>
          <w:color w:val="0064A0"/>
          <w:sz w:val="18"/>
        </w:rPr>
        <w:t xml:space="preserve">🔮 Perspectives : </w:t>
      </w:r>
      <w:r>
        <w:rPr>
          <w:sz w:val="18"/>
        </w:rPr>
        <w:t>Pour le second semestre 2026, VIVO ENERGY CI devrait continuer à bénéficier de la dynamique positive des secteurs Réseau, Butane et Lubrifiants. Toutefois, l'entreprise devra surveiller la reprise des volumes dans l'aviation et le bitume, ainsi que la maîtrise des charges financières et fiscales pou</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d\u00e9montre une am\u00e9lioration notable de sa rentabilit\u00e9 (+13% sur le r\u00e9sultat net) et une gestion financi\u00e8re saine. Cependant, la croissance limit\u00e9e du chiffre d'affaires et la baisse temporaire au T1 2026 n\u00e9cessitent un suivi attentif."}</w:t>
      </w:r>
    </w:p>
    <w:p>
      <w:pPr>
        <w:spacing w:before="40"/>
        <w:ind w:left="400"/>
      </w:pPr>
      <w:r>
        <w:rPr>
          <w:sz w:val="18"/>
        </w:rPr>
        <w:t>Vivo Energy Côte d'Ivoire affiche des performances solides en 2025 avec un chiffre d'affaires de 604,978 milliards FCFA (+1%) et un résultat net de 6,028 milliards FCFA (+13%). La société bénéficie d'une amélioration significative de sa rentabilité malgré une croissance modeste du chiffre d'affaires. Les investissements dans les immobilisations corporelles (+7%) témoignent du renforcement de sa position concurrentielle. Le premier trimestre 2026 montre une baisse temporaire du chiffre d'affaires (-9%) mais une maîtrise des charges maintenant la rentabilité stable. La société maintient une structure financière équilibrée avec un total actif de 191,379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{'stocks': '11,255 milliards FCFA', 'marge_brute': '56,561 milliards FCFA', 'dettes_fournisseurs': '53,330 milliards FCFA', 'resultat_exploitation': '11,667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w:t>
            </w:r>
          </w:p>
        </w:tc>
        <w:tc>
          <w:tcPr>
            <w:tcW w:type="dxa" w:w="2160"/>
          </w:tcPr>
          <w:p>
            <w:pPr>
              <w:ind w:left="100"/>
            </w:pPr>
            <w:r/>
            <w:r>
              <w:rPr>
                <w:b/>
                <w:sz w:val="16"/>
              </w:rPr>
              <w:t>total_actif</w:t>
              <w:br/>
            </w:r>
            <w:r>
              <w:rPr>
                <w:sz w:val="18"/>
              </w:rPr>
              <w:t>191,379 milliards FCFA</w:t>
            </w:r>
          </w:p>
        </w:tc>
      </w:tr>
      <w:tr>
        <w:tc>
          <w:tcPr>
            <w:tcW w:type="dxa" w:w="2160"/>
          </w:tcPr>
          <w:p>
            <w:r/>
            <w:r>
              <w:rPr>
                <w:b/>
                <w:sz w:val="16"/>
              </w:rPr>
              <w:t>resultat_net</w:t>
              <w:br/>
            </w:r>
            <w:r>
              <w:rPr>
                <w:sz w:val="18"/>
              </w:rPr>
              <w:t>6,028 milliards FCFA</w:t>
            </w:r>
          </w:p>
        </w:tc>
        <w:tc>
          <w:tcPr>
            <w:tcW w:type="dxa" w:w="2160"/>
          </w:tcPr>
          <w:p>
            <w:r/>
            <w:r>
              <w:rPr>
                <w:b/>
                <w:sz w:val="16"/>
              </w:rPr>
              <w:t>capitaux_propres</w:t>
              <w:br/>
            </w:r>
            <w:r>
              <w:rPr>
                <w:sz w:val="18"/>
              </w:rPr>
              <w:t>27,159 milliards FCFA</w:t>
            </w:r>
          </w:p>
        </w:tc>
        <w:tc>
          <w:tcPr>
            <w:tcW w:type="dxa" w:w="2160"/>
          </w:tcPr>
          <w:p>
            <w:r/>
            <w:r>
              <w:rPr>
                <w:b/>
                <w:sz w:val="16"/>
              </w:rPr>
              <w:t>chiffre_affaires</w:t>
              <w:br/>
            </w:r>
            <w:r>
              <w:rPr>
                <w:sz w:val="18"/>
              </w:rPr>
              <w:t>604,978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modérée du chiffre d'affaires de 1% à 604,978 milliards FCFA en 2025</w:t>
      </w:r>
    </w:p>
    <w:p>
      <w:pPr>
        <w:pStyle w:val="ListBullet"/>
        <w:spacing w:before="20" w:after="20"/>
        <w:ind w:left="700"/>
      </w:pPr>
      <w:r>
        <w:rPr>
          <w:sz w:val="18"/>
        </w:rPr>
        <w:t>Forte progression du résultat net de 13% à 6,028 milliards FCFA</w:t>
      </w:r>
    </w:p>
    <w:p>
      <w:pPr>
        <w:pStyle w:val="ListBullet"/>
        <w:spacing w:before="20" w:after="20"/>
        <w:ind w:left="700"/>
      </w:pPr>
      <w:r>
        <w:rPr>
          <w:sz w:val="18"/>
        </w:rPr>
        <w:t>Amélioration du résultat financier de 12% grâce à une meilleure gestion des découverts</w:t>
      </w:r>
    </w:p>
    <w:p>
      <w:pPr>
        <w:pStyle w:val="ListBullet"/>
        <w:spacing w:before="20" w:after="20"/>
        <w:ind w:left="700"/>
      </w:pPr>
      <w:r>
        <w:rPr>
          <w:sz w:val="18"/>
        </w:rPr>
        <w:t>Investissements significatifs dans les immobilisations corporelles (+7% à 61,570 millions FCFA)</w:t>
      </w:r>
    </w:p>
    <w:p>
      <w:pPr>
        <w:pStyle w:val="ListBullet"/>
        <w:spacing w:before="20" w:after="20"/>
        <w:ind w:left="700"/>
      </w:pPr>
      <w:r>
        <w:rPr>
          <w:sz w:val="18"/>
        </w:rPr>
        <w:t>Baisse temporaire du chiffre d'affaires au T1 2026 (-9%) due aux segments aviation et bitume</w:t>
      </w:r>
    </w:p>
    <w:p>
      <w:pPr>
        <w:pStyle w:val="ListBullet"/>
        <w:spacing w:before="20" w:after="20"/>
        <w:ind w:left="700"/>
      </w:pPr>
      <w:r>
        <w:rPr>
          <w:sz w:val="18"/>
        </w:rPr>
        <w:t>Réduction importante des dettes fournisseurs (-38%) grâce à l'apurement avec les avances</w:t>
      </w:r>
    </w:p>
    <w:p>
      <w:pPr>
        <w:spacing w:before="40"/>
        <w:ind w:left="400"/>
      </w:pPr>
      <w:r>
        <w:rPr>
          <w:b/>
          <w:color w:val="C05000"/>
          <w:sz w:val="18"/>
        </w:rPr>
        <w:t xml:space="preserve">⚠️ Risques : </w:t>
      </w:r>
      <w:r>
        <w:rPr>
          <w:sz w:val="18"/>
        </w:rPr>
        <w:t>["Volatilit\u00e9 des volumes sur les segments aviation et bitume impactant les revenus", "D\u00e9pendance aux conditions \u00e9conomiques locales et aux politiques \u00e9nerg\u00e9tiques gouvernementales", "Utilisation croissante des lignes de cr\u00e9dit augmentant les charges financi\u00e8res"]</w:t>
      </w:r>
    </w:p>
    <w:p>
      <w:pPr>
        <w:spacing w:before="40"/>
        <w:ind w:left="400"/>
      </w:pPr>
      <w:r>
        <w:rPr>
          <w:b/>
          <w:color w:val="0064A0"/>
          <w:sz w:val="18"/>
        </w:rPr>
        <w:t xml:space="preserve">🔮 Perspectives : </w:t>
      </w:r>
      <w:r>
        <w:rPr>
          <w:sz w:val="18"/>
        </w:rPr>
        <w:t>La société devrait bénéficier de la réouverture des sites fermés et du développement des segments butane et lubrifiants. La maîtrise des charges d'exploitation et les investissements réalisés devraient soutenir la croissance future, malgré un environnement concurrentiel challenging.</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affiche une am\u00e9lioration de sa rentabilit\u00e9 et propose un dividende en hausse, mais sa tr\u00e9sorerie nette est tr\u00e8s n\u00e9gative et son endettement \u00e9lev\u00e9. Malgr\u00e9 des fondamentaux globalement stables, les risques financiers li\u00e9s \u00e0 la liquidit\u00e9 et au besoin en fonds de roulement incitent \u00e0 conserver la position."}</w:t>
      </w:r>
    </w:p>
    <w:p>
      <w:pPr>
        <w:spacing w:before="40"/>
        <w:ind w:left="400"/>
      </w:pPr>
      <w:r>
        <w:rPr>
          <w:sz w:val="18"/>
        </w:rPr>
        <w:t>VIVO ENERGY CI a réalisé un chiffre d'affaires de 604,98 milliards FCFA en 2025, en légère hausse de 1% par rapport à 2024. Le résultat net progresse de 12,6% à 6,03 milliards FCFA, grâce à une amélioration de la marge opérationnelle. Le total du bilan s'établit à 193,56 milliards FCFA, en baisse par rapport à l'exercice précédent. La société propose un dividende brut de 6,09 milliards FCFA, en hausse, pour l'assemblée générale de juin 2026. Toutefois, la trésorerie nette est fortement négative, et les dettes fournisseurs restent importantes.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'17 165 524 243 FCFA', 'tresorerie_nette': '-65 264 223 693 FCFA', 'dettes_financieres': '11 936 054 687 FCFA', 'resultat_exploitation': '11 682 199 864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w:t>
            </w:r>
          </w:p>
        </w:tc>
        <w:tc>
          <w:tcPr>
            <w:tcW w:type="dxa" w:w="2160"/>
          </w:tcPr>
          <w:p>
            <w:pPr>
              <w:ind w:left="100"/>
            </w:pPr>
            <w:r/>
            <w:r>
              <w:rPr>
                <w:b/>
                <w:sz w:val="16"/>
              </w:rPr>
              <w:t>total_actif</w:t>
              <w:br/>
            </w:r>
            <w:r>
              <w:rPr>
                <w:sz w:val="18"/>
              </w:rPr>
              <w:t>193 561 278 972 FCFA</w:t>
            </w:r>
          </w:p>
        </w:tc>
      </w:tr>
      <w:tr>
        <w:tc>
          <w:tcPr>
            <w:tcW w:type="dxa" w:w="2160"/>
          </w:tcPr>
          <w:p>
            <w:r/>
            <w:r>
              <w:rPr>
                <w:b/>
                <w:sz w:val="16"/>
              </w:rPr>
              <w:t>resultat_net</w:t>
              <w:br/>
            </w:r>
            <w:r>
              <w:rPr>
                <w:sz w:val="18"/>
              </w:rPr>
              <w:t>6 028 125 958 FCFA</w:t>
            </w:r>
          </w:p>
        </w:tc>
        <w:tc>
          <w:tcPr>
            <w:tcW w:type="dxa" w:w="2160"/>
          </w:tcPr>
          <w:p>
            <w:r/>
            <w:r>
              <w:rPr>
                <w:b/>
                <w:sz w:val="16"/>
              </w:rPr>
              <w:t>capitaux_propres</w:t>
              <w:br/>
            </w:r>
            <w:r>
              <w:rPr>
                <w:sz w:val="18"/>
              </w:rPr>
              <w:t>27 158 717 963 FCFA</w:t>
            </w:r>
          </w:p>
        </w:tc>
        <w:tc>
          <w:tcPr>
            <w:tcW w:type="dxa" w:w="2160"/>
          </w:tcPr>
          <w:p>
            <w:r/>
            <w:r>
              <w:rPr>
                <w:b/>
                <w:sz w:val="16"/>
              </w:rPr>
              <w:t>chiffre_affaires</w:t>
              <w:br/>
            </w:r>
            <w:r>
              <w:rPr>
                <w:sz w:val="18"/>
              </w:rPr>
              <w:t>604 978 411 174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2025 en légère hausse de 1% à 604,98 milliards FCFA.</w:t>
      </w:r>
    </w:p>
    <w:p>
      <w:pPr>
        <w:pStyle w:val="ListBullet"/>
        <w:spacing w:before="20" w:after="20"/>
        <w:ind w:left="700"/>
      </w:pPr>
      <w:r>
        <w:rPr>
          <w:sz w:val="18"/>
        </w:rPr>
        <w:t>Résultat net en hausse de 12,6% à 6,03 milliards FCFA.</w:t>
      </w:r>
    </w:p>
    <w:p>
      <w:pPr>
        <w:pStyle w:val="ListBullet"/>
        <w:spacing w:before="20" w:after="20"/>
        <w:ind w:left="700"/>
      </w:pPr>
      <w:r>
        <w:rPr>
          <w:sz w:val="18"/>
        </w:rPr>
        <w:t>Résultat d'exploitation en hausse à 11,68 milliards FCFA.</w:t>
      </w:r>
    </w:p>
    <w:p>
      <w:pPr>
        <w:pStyle w:val="ListBullet"/>
        <w:spacing w:before="20" w:after="20"/>
        <w:ind w:left="700"/>
      </w:pPr>
      <w:r>
        <w:rPr>
          <w:sz w:val="18"/>
        </w:rPr>
        <w:t>Dividende proposé de 6,09 milliards FCFA pour l'exercice 2025.</w:t>
      </w:r>
    </w:p>
    <w:p>
      <w:pPr>
        <w:pStyle w:val="ListBullet"/>
        <w:spacing w:before="20" w:after="20"/>
        <w:ind w:left="700"/>
      </w:pPr>
      <w:r>
        <w:rPr>
          <w:sz w:val="18"/>
        </w:rPr>
        <w:t>Total du bilan en baisse à 193,56 milliards FCFA.</w:t>
      </w:r>
    </w:p>
    <w:p>
      <w:pPr>
        <w:pStyle w:val="ListBullet"/>
        <w:spacing w:before="20" w:after="20"/>
        <w:ind w:left="700"/>
      </w:pPr>
      <w:r>
        <w:rPr>
          <w:sz w:val="18"/>
        </w:rPr>
        <w:t>Endettement et trésorerie passif élevés, avec une trésorerie nette négative.</w:t>
      </w:r>
    </w:p>
    <w:p>
      <w:pPr>
        <w:spacing w:before="40"/>
        <w:ind w:left="400"/>
      </w:pPr>
      <w:r>
        <w:rPr>
          <w:b/>
          <w:color w:val="C05000"/>
          <w:sz w:val="18"/>
        </w:rPr>
        <w:t xml:space="preserve">⚠️ Risques : </w:t>
      </w:r>
      <w:r>
        <w:rPr>
          <w:sz w:val="18"/>
        </w:rPr>
        <w:t>["Tr\u00e9sorerie nette tr\u00e8s n\u00e9gative (65,26 milliards FCFA) et dettes fournisseurs importantes, exposant la soci\u00e9t\u00e9 \u00e0 des tensions de liquidit\u00e9.", "Endettement financier \u00e9lev\u00e9 avec des charges financi\u00e8res de pr\u00e8s de 4 milliards FCFA.", "D\u00e9penda</w:t>
      </w:r>
    </w:p>
    <w:p>
      <w:pPr>
        <w:spacing w:before="40"/>
        <w:ind w:left="400"/>
      </w:pPr>
      <w:r>
        <w:rPr>
          <w:b/>
          <w:color w:val="0064A0"/>
          <w:sz w:val="18"/>
        </w:rPr>
        <w:t xml:space="preserve">🔮 Perspectives : </w:t>
      </w:r>
      <w:r>
        <w:rPr>
          <w:sz w:val="18"/>
        </w:rPr>
        <w:t>Pour 2026, la société devrait poursuivre sa croissance modérée, portée par la stabilité de son activité de distribution d'énergie. La rentabilité pourrait être soutenue par une gestion stricte des coûts et des investissements dans les immobilisations. Cependant, la maîtrise du besoin en fonds de rou</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2025 solide avec une rentabilit\u00e9 en am\u00e9lioration et des investissements soutenus. Cependant, le ralentissement observ\u00e9 au T1 2026 n\u00e9cessite une surveillance de l'\u00e9volution des segments aviation et bitume."}</w:t>
      </w:r>
    </w:p>
    <w:p>
      <w:pPr>
        <w:spacing w:before="40"/>
        <w:ind w:left="400"/>
      </w:pPr>
      <w:r>
        <w:rPr>
          <w:sz w:val="18"/>
        </w:rPr>
        <w:t>Vivo Energy Côte d'Ivoire affiche une performance solide en 2025 avec un chiffre d'affaires de 604 978 millions FCFA (+1%) et un résultat net de 6 028 millions FCFA (+13%). La société a bénéficié d'une croissance des volumes de 5% notamment sur le butane et les lubrifiants, ainsi que de la réouverture de sites temporairement fermés. Les marges se sont améliorées grâce à une meilleure maîtrise des charges d'exploitation et à une réduction des coûts financiers. Le premier trimestre 2026 montre un ralentissement avec une baisse du chiffre d'affaires de 9% due aux segments aviation et bitume. La société maintient néanmoins sa rentabilité avec un résultat net stable au T1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'9,4%', 'croissance_ca': '+1%', 'capital_social': '3 150 millions FCFA', 'resultat_exploitation': '11 667 millions FCFA', 'croissance_resultat_net': '+13%'}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w:t>
            </w:r>
          </w:p>
        </w:tc>
        <w:tc>
          <w:tcPr>
            <w:tcW w:type="dxa" w:w="2160"/>
          </w:tcPr>
          <w:p>
            <w:pPr>
              <w:ind w:left="100"/>
            </w:pPr>
            <w:r/>
            <w:r>
              <w:rPr>
                <w:b/>
                <w:sz w:val="16"/>
              </w:rPr>
              <w:t>total_actif</w:t>
              <w:br/>
            </w:r>
            <w:r>
              <w:rPr>
                <w:sz w:val="18"/>
              </w:rPr>
              <w:t>191 379 millions FCFA</w:t>
            </w:r>
          </w:p>
        </w:tc>
      </w:tr>
      <w:tr>
        <w:tc>
          <w:tcPr>
            <w:tcW w:type="dxa" w:w="2160"/>
          </w:tcPr>
          <w:p>
            <w:r/>
            <w:r>
              <w:rPr>
                <w:b/>
                <w:sz w:val="16"/>
              </w:rPr>
              <w:t>resultat_net</w:t>
              <w:br/>
            </w:r>
            <w:r>
              <w:rPr>
                <w:sz w:val="18"/>
              </w:rPr>
              <w:t>6 028 millions FCFA (2025)</w:t>
            </w:r>
          </w:p>
        </w:tc>
        <w:tc>
          <w:tcPr>
            <w:tcW w:type="dxa" w:w="2160"/>
          </w:tcPr>
          <w:p>
            <w:r/>
            <w:r>
              <w:rPr>
                <w:b/>
                <w:sz w:val="16"/>
              </w:rPr>
              <w:t>capitaux_propres</w:t>
              <w:br/>
            </w:r>
            <w:r>
              <w:rPr>
                <w:sz w:val="18"/>
              </w:rPr>
              <w:t>27 159 millions FCFA</w:t>
            </w:r>
          </w:p>
        </w:tc>
        <w:tc>
          <w:tcPr>
            <w:tcW w:type="dxa" w:w="2160"/>
          </w:tcPr>
          <w:p>
            <w:r/>
            <w:r>
              <w:rPr>
                <w:b/>
                <w:sz w:val="16"/>
              </w:rPr>
              <w:t>chiffre_affaires</w:t>
              <w:br/>
            </w:r>
            <w:r>
              <w:rPr>
                <w:sz w:val="18"/>
              </w:rPr>
              <w:t>604 978 millions FCFA (2025)</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 en 2025 à 604 978 millions FCFA</w:t>
      </w:r>
    </w:p>
    <w:p>
      <w:pPr>
        <w:pStyle w:val="ListBullet"/>
        <w:spacing w:before="20" w:after="20"/>
        <w:ind w:left="700"/>
      </w:pPr>
      <w:r>
        <w:rPr>
          <w:sz w:val="18"/>
        </w:rPr>
        <w:t>Forte progression du résultat net de +13% à 6 028 millions FCFA en 2025</w:t>
      </w:r>
    </w:p>
    <w:p>
      <w:pPr>
        <w:pStyle w:val="ListBullet"/>
        <w:spacing w:before="20" w:after="20"/>
        <w:ind w:left="700"/>
      </w:pPr>
      <w:r>
        <w:rPr>
          <w:sz w:val="18"/>
        </w:rPr>
        <w:t>Amélioration de la marge brute de 7% grâce à l'optimisation opérationnelle</w:t>
      </w:r>
    </w:p>
    <w:p>
      <w:pPr>
        <w:pStyle w:val="ListBullet"/>
        <w:spacing w:before="20" w:after="20"/>
        <w:ind w:left="700"/>
      </w:pPr>
      <w:r>
        <w:rPr>
          <w:sz w:val="18"/>
        </w:rPr>
        <w:t>Augmentation des volumes de 5% portée par le butane et les lubrifiants</w:t>
      </w:r>
    </w:p>
    <w:p>
      <w:pPr>
        <w:pStyle w:val="ListBullet"/>
        <w:spacing w:before="20" w:after="20"/>
        <w:ind w:left="700"/>
      </w:pPr>
      <w:r>
        <w:rPr>
          <w:sz w:val="18"/>
        </w:rPr>
        <w:t>Investissements significatifs avec une hausse des immobilisations corporelles de 7%</w:t>
      </w:r>
    </w:p>
    <w:p>
      <w:pPr>
        <w:pStyle w:val="ListBullet"/>
        <w:spacing w:before="20" w:after="20"/>
        <w:ind w:left="700"/>
      </w:pPr>
      <w:r>
        <w:rPr>
          <w:sz w:val="18"/>
        </w:rPr>
        <w:t>Amélioration du résultat financier de 12% par une moindre utilisation des découverts</w:t>
      </w:r>
    </w:p>
    <w:p>
      <w:pPr>
        <w:spacing w:before="40"/>
        <w:ind w:left="400"/>
      </w:pPr>
      <w:r>
        <w:rPr>
          <w:b/>
          <w:color w:val="C05000"/>
          <w:sz w:val="18"/>
        </w:rPr>
        <w:t xml:space="preserve">⚠️ Risques : </w:t>
      </w:r>
      <w:r>
        <w:rPr>
          <w:sz w:val="18"/>
        </w:rPr>
        <w:t>["D\u00e9pendance aux fluctuations des prix des produits p\u00e9troliers et volatilit\u00e9 des marges", "Ralentissement des segments aviation et bitume observ\u00e9 au premier trimestre 2026", "Exposition aux variations de change et risque de change sur les approvisionnements"]</w:t>
      </w:r>
    </w:p>
    <w:p>
      <w:pPr>
        <w:spacing w:before="40"/>
        <w:ind w:left="400"/>
      </w:pPr>
      <w:r>
        <w:rPr>
          <w:b/>
          <w:color w:val="0064A0"/>
          <w:sz w:val="18"/>
        </w:rPr>
        <w:t xml:space="preserve">🔮 Perspectives : </w:t>
      </w:r>
      <w:r>
        <w:rPr>
          <w:sz w:val="18"/>
        </w:rPr>
        <w:t>L'année 2026 pourrait être marquée par une consolidation après la forte croissance de 2025, avec une attention particulière sur la reprise des segments aviation et bitume. La société devrait continuer à bénéficier de ses investissements dans l'expansion du réseau et l'amélioration opérationnelle pou</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chiffre d'affaires et des volumes, la d\u00e9gradation significative de la rentabilit\u00e9 n\u00e9cessite une surveillance. La position de leader avec Shell et la reprise d'activit\u00e9 post-COVID offrent des perspectives de redressement."}</w:t>
      </w:r>
    </w:p>
    <w:p>
      <w:pPr>
        <w:spacing w:before="40"/>
        <w:ind w:left="400"/>
      </w:pPr>
      <w:r>
        <w:rPr>
          <w:sz w:val="18"/>
        </w:rPr>
        <w:t>VIVO ENERGY CÔTE D'IVOIRE présente des résultats mitigés au premier semestre 2021 avec un chiffre d'affaires en forte progression de 17% à 180,7 milliards FCFA. Malgré cette croissance des revenus, la société enregistre une baisse significative de sa rentabilité avec un résultat d'exploitation en recul de 12% et un résultat net diminuant de 21% à 1,074 milliard FCFA. Les volumes de vente ont augmenté de 12% atteignant 338 millions de m³, reflétant une reprise d'activité post-COVID. La société opère en tant que filiale de Shell avec un capital de 3,15 milliards FCFA dans le secteur énergétique ivoirien. L'impact de la pandémie continue de peser sur la rentabilité opérationnelle malgré la repr</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{'volume_ventes': '338 millions m³', 'capital_social': '3 150 000 000 FCFA', 'resultat_exploitation': '1 971 millions FCFA', 'resultat_activites_ordinaires': '1 556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0,59%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1 074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180 724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17% à 180,7 milliards FCFA</w:t>
      </w:r>
    </w:p>
    <w:p>
      <w:pPr>
        <w:pStyle w:val="ListBullet"/>
        <w:spacing w:before="20" w:after="20"/>
        <w:ind w:left="700"/>
      </w:pPr>
      <w:r>
        <w:rPr>
          <w:sz w:val="18"/>
        </w:rPr>
        <w:t>Volume des ventes en progression de 12% à 338 millions de m³</w:t>
      </w:r>
    </w:p>
    <w:p>
      <w:pPr>
        <w:pStyle w:val="ListBullet"/>
        <w:spacing w:before="20" w:after="20"/>
        <w:ind w:left="700"/>
      </w:pPr>
      <w:r>
        <w:rPr>
          <w:sz w:val="18"/>
        </w:rPr>
        <w:t>Résultat d'exploitation en baisse de 12% à 1,971 million FCFA</w:t>
      </w:r>
    </w:p>
    <w:p>
      <w:pPr>
        <w:pStyle w:val="ListBullet"/>
        <w:spacing w:before="20" w:after="20"/>
        <w:ind w:left="700"/>
      </w:pPr>
      <w:r>
        <w:rPr>
          <w:sz w:val="18"/>
        </w:rPr>
        <w:t>Résultat net en recul de 21% à 1,074 milliard FCFA</w:t>
      </w:r>
    </w:p>
    <w:p>
      <w:pPr>
        <w:pStyle w:val="ListBullet"/>
        <w:spacing w:before="20" w:after="20"/>
        <w:ind w:left="700"/>
      </w:pPr>
      <w:r>
        <w:rPr>
          <w:sz w:val="18"/>
        </w:rPr>
        <w:t>Résultat des activités ordinaires diminue de 23%</w:t>
      </w:r>
    </w:p>
    <w:p>
      <w:pPr>
        <w:pStyle w:val="ListBullet"/>
        <w:spacing w:before="20" w:after="20"/>
        <w:ind w:left="700"/>
      </w:pPr>
      <w:r>
        <w:rPr>
          <w:sz w:val="18"/>
        </w:rPr>
        <w:t>Augmentation des charges d'exploitation liées au transport et à la pandémie COVID-19</w:t>
      </w:r>
    </w:p>
    <w:p>
      <w:pPr>
        <w:spacing w:before="40"/>
        <w:ind w:left="400"/>
      </w:pPr>
      <w:r>
        <w:rPr>
          <w:b/>
          <w:color w:val="C05000"/>
          <w:sz w:val="18"/>
        </w:rPr>
        <w:t xml:space="preserve">⚠️ Risques : </w:t>
      </w:r>
      <w:r>
        <w:rPr>
          <w:sz w:val="18"/>
        </w:rPr>
        <w:t>["D\u00e9t\u00e9rioration continue de la rentabilit\u00e9 op\u00e9rationnelle", "Impact persistant de la pand\u00e9mie COVID-19 sur les co\u00fbts d'exploitation", "Augmentation des charges li\u00e9es au transport et aux investissements"]</w:t>
      </w:r>
    </w:p>
    <w:p>
      <w:pPr>
        <w:spacing w:before="40"/>
        <w:ind w:left="400"/>
      </w:pPr>
      <w:r>
        <w:rPr>
          <w:b/>
          <w:color w:val="0064A0"/>
          <w:sz w:val="18"/>
        </w:rPr>
        <w:t xml:space="preserve">🔮 Perspectives : </w:t>
      </w:r>
      <w:r>
        <w:rPr>
          <w:sz w:val="18"/>
        </w:rPr>
        <w:t>La reprise des volumes et l'amélioration de l'environnement sanitaire laissent entrevoir une possible amélioration de la rentabilité. La société devra maîtriser ses charges d'exploitation pour restaurer ses marges historiques et capitaliser sur la croissance de la demande énergétique en Côte d'Ivoir</w:t>
      </w:r>
    </w:p>
    <w:p/>
    <w:p>
      <w:r>
        <w:t>════════════════════════════════════════════════════════════════════════════════</w:t>
      </w:r>
    </w:p>
    <w:p>
      <w:r>
        <w:br w:type="page"/>
      </w:r>
    </w:p>
    <w:p>
      <w:pPr>
        <w:pStyle w:val="Heading2"/>
        <w:spacing w:before="360"/>
      </w:pPr>
      <w:r>
        <w:rPr>
          <w:color w:val="0066CC"/>
        </w:rPr>
        <w:t>35. SIBC - SIBC - SOCIETE IVOIRIENNE DE BANQUE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SIBC</w:t>
            </w:r>
          </w:p>
          <w:p>
            <w:r>
              <w:rPr>
                <w:b/>
                <w:color w:val="323250"/>
                <w:sz w:val="16"/>
              </w:rPr>
              <w:t xml:space="preserve">Société : </w:t>
            </w:r>
            <w:r>
              <w:rPr>
                <w:color w:val="000000"/>
                <w:sz w:val="16"/>
              </w:rPr>
              <w:t>SIBC - SOCIETE IVOIRIENNE DE BANQUE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890.00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11,442 titres</w:t>
            </w:r>
          </w:p>
        </w:tc>
        <w:tc>
          <w:tcPr>
            <w:tcW w:type="dxa" w:w="2268"/>
            <w:shd w:fill="FFF2CC" w:val="clear"/>
          </w:tcPr>
          <w:p>
            <w:r>
              <w:rPr>
                <w:b/>
                <w:color w:val="503200"/>
                <w:sz w:val="16"/>
              </w:rPr>
              <w:t xml:space="preserve">Cours actuel : </w:t>
            </w:r>
            <w:r>
              <w:rPr>
                <w:color w:val="000000"/>
                <w:sz w:val="17"/>
              </w:rPr>
              <w:t>8,900 FCFA</w:t>
            </w:r>
          </w:p>
          <w:p>
            <w:r>
              <w:rPr>
                <w:b/>
                <w:color w:val="503200"/>
                <w:sz w:val="16"/>
              </w:rPr>
              <w:t xml:space="preserve">Var. 100 jours : </w:t>
            </w:r>
            <w:r>
              <w:rPr>
                <w:b/>
                <w:color w:val="007800"/>
                <w:sz w:val="17"/>
              </w:rPr>
              <w:t>+9.07%</w:t>
            </w:r>
          </w:p>
          <w:p>
            <w:r>
              <w:rPr>
                <w:b/>
                <w:color w:val="503200"/>
                <w:sz w:val="16"/>
              </w:rPr>
              <w:t xml:space="preserve">Plus haut 100j : </w:t>
            </w:r>
            <w:r>
              <w:rPr>
                <w:color w:val="000000"/>
                <w:sz w:val="17"/>
              </w:rPr>
              <w:t>9,500 FCFA</w:t>
            </w:r>
          </w:p>
          <w:p>
            <w:r>
              <w:rPr>
                <w:b/>
                <w:color w:val="503200"/>
                <w:sz w:val="16"/>
              </w:rPr>
              <w:t xml:space="preserve">Plus bas 100j : </w:t>
            </w:r>
            <w:r>
              <w:rPr>
                <w:color w:val="000000"/>
                <w:sz w:val="17"/>
              </w:rPr>
              <w:t>7,700 FCFA</w:t>
            </w:r>
          </w:p>
          <w:p>
            <w:r>
              <w:rPr>
                <w:b/>
                <w:color w:val="503200"/>
                <w:sz w:val="16"/>
              </w:rPr>
              <w:t xml:space="preserve">Volatilité ann. : </w:t>
            </w:r>
            <w:r>
              <w:rPr>
                <w:color w:val="000000"/>
                <w:sz w:val="17"/>
              </w:rPr>
              <w:t>29.8%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7.5/100 → Faible</w:t>
      </w:r>
    </w:p>
    <w:p>
      <w:pPr>
        <w:spacing w:before="40" w:after="80"/>
      </w:pPr>
      <w:r>
        <w:rPr>
          <w:rFonts w:ascii="Courier New" w:hAnsi="Courier New"/>
          <w:color w:val="006400"/>
          <w:sz w:val="18"/>
        </w:rPr>
        <w:t>█░░░░░░░░░░░░░░░░░░░  7.5/100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3.28% (Faible) — μ=8,942 FCFA, σ=293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β=0.7601 (Défensif) — Cov=0.000057, Var(idx)=0.000075, ρ=0.346,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11,442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σ_j=1.88%/j (Stable) — Vol. annualisée≈29.8%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37" name="Picture 37"/>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2026-10-16</w:t>
            </w:r>
          </w:p>
        </w:tc>
        <w:tc>
          <w:tcPr>
            <w:tcW w:type="dxa" w:w="1440"/>
            <w:shd w:fill="FAFAFA" w:val="clear"/>
          </w:tcPr>
          <w:p>
            <w:r>
              <w:rPr>
                <w:sz w:val="17"/>
              </w:rPr>
              <w:t>8,570</w:t>
            </w:r>
          </w:p>
        </w:tc>
        <w:tc>
          <w:tcPr>
            <w:tcW w:type="dxa" w:w="1440"/>
            <w:shd w:fill="FAFAFA" w:val="clear"/>
          </w:tcPr>
          <w:p>
            <w:r>
              <w:rPr>
                <w:b/>
                <w:sz w:val="17"/>
              </w:rPr>
              <w:t>8,834</w:t>
            </w:r>
          </w:p>
        </w:tc>
        <w:tc>
          <w:tcPr>
            <w:tcW w:type="dxa" w:w="1440"/>
            <w:shd w:fill="FAFAFA" w:val="clear"/>
          </w:tcPr>
          <w:p>
            <w:r>
              <w:rPr>
                <w:sz w:val="17"/>
              </w:rPr>
              <w:t>9,099</w:t>
            </w:r>
          </w:p>
        </w:tc>
        <w:tc>
          <w:tcPr>
            <w:tcW w:type="dxa" w:w="1440"/>
            <w:shd w:fill="FAFAFA" w:val="clear"/>
          </w:tcPr>
          <w:p>
            <w:r>
              <w:rPr>
                <w:b/>
                <w:color w:val="C00000"/>
                <w:sz w:val="17"/>
              </w:rPr>
              <w:t>-0.7%</w:t>
            </w:r>
          </w:p>
        </w:tc>
      </w:tr>
      <w:tr>
        <w:tc>
          <w:tcPr>
            <w:tcW w:type="dxa" w:w="1440"/>
            <w:shd w:fill="FAFAFA" w:val="clear"/>
          </w:tcPr>
          <w:p>
            <w:r>
              <w:rPr>
                <w:sz w:val="17"/>
              </w:rPr>
              <w:t>J+2  ⭐⭐⭐</w:t>
            </w:r>
          </w:p>
        </w:tc>
        <w:tc>
          <w:tcPr>
            <w:tcW w:type="dxa" w:w="1440"/>
            <w:shd w:fill="FAFAFA" w:val="clear"/>
          </w:tcPr>
          <w:p>
            <w:r>
              <w:rPr>
                <w:sz w:val="17"/>
              </w:rPr>
              <w:t>2026-10-19</w:t>
            </w:r>
          </w:p>
        </w:tc>
        <w:tc>
          <w:tcPr>
            <w:tcW w:type="dxa" w:w="1440"/>
            <w:shd w:fill="FAFAFA" w:val="clear"/>
          </w:tcPr>
          <w:p>
            <w:r>
              <w:rPr>
                <w:sz w:val="17"/>
              </w:rPr>
              <w:t>8,404</w:t>
            </w:r>
          </w:p>
        </w:tc>
        <w:tc>
          <w:tcPr>
            <w:tcW w:type="dxa" w:w="1440"/>
            <w:shd w:fill="FAFAFA" w:val="clear"/>
          </w:tcPr>
          <w:p>
            <w:r>
              <w:rPr>
                <w:b/>
                <w:sz w:val="17"/>
              </w:rPr>
              <w:t>8,775</w:t>
            </w:r>
          </w:p>
        </w:tc>
        <w:tc>
          <w:tcPr>
            <w:tcW w:type="dxa" w:w="1440"/>
            <w:shd w:fill="FAFAFA" w:val="clear"/>
          </w:tcPr>
          <w:p>
            <w:r>
              <w:rPr>
                <w:sz w:val="17"/>
              </w:rPr>
              <w:t>9,147</w:t>
            </w:r>
          </w:p>
        </w:tc>
        <w:tc>
          <w:tcPr>
            <w:tcW w:type="dxa" w:w="1440"/>
            <w:shd w:fill="FAFAFA" w:val="clear"/>
          </w:tcPr>
          <w:p>
            <w:r>
              <w:rPr>
                <w:b/>
                <w:color w:val="C00000"/>
                <w:sz w:val="17"/>
              </w:rPr>
              <w:t>-1.4%</w:t>
            </w:r>
          </w:p>
        </w:tc>
      </w:tr>
      <w:tr>
        <w:tc>
          <w:tcPr>
            <w:tcW w:type="dxa" w:w="1440"/>
            <w:shd w:fill="FFDCE0" w:val="clear"/>
          </w:tcPr>
          <w:p>
            <w:r>
              <w:rPr>
                <w:sz w:val="17"/>
              </w:rPr>
              <w:t>J+3  ⭐⭐⭐</w:t>
            </w:r>
          </w:p>
        </w:tc>
        <w:tc>
          <w:tcPr>
            <w:tcW w:type="dxa" w:w="1440"/>
            <w:shd w:fill="FFDCE0" w:val="clear"/>
          </w:tcPr>
          <w:p>
            <w:r>
              <w:rPr>
                <w:sz w:val="17"/>
              </w:rPr>
              <w:t>2026-10-20</w:t>
            </w:r>
          </w:p>
        </w:tc>
        <w:tc>
          <w:tcPr>
            <w:tcW w:type="dxa" w:w="1440"/>
            <w:shd w:fill="FFDCE0" w:val="clear"/>
          </w:tcPr>
          <w:p>
            <w:r>
              <w:rPr>
                <w:sz w:val="17"/>
              </w:rPr>
              <w:t>8,263</w:t>
            </w:r>
          </w:p>
        </w:tc>
        <w:tc>
          <w:tcPr>
            <w:tcW w:type="dxa" w:w="1440"/>
            <w:shd w:fill="FFDCE0" w:val="clear"/>
          </w:tcPr>
          <w:p>
            <w:r>
              <w:rPr>
                <w:b/>
                <w:sz w:val="17"/>
              </w:rPr>
              <w:t>8,715</w:t>
            </w:r>
          </w:p>
        </w:tc>
        <w:tc>
          <w:tcPr>
            <w:tcW w:type="dxa" w:w="1440"/>
            <w:shd w:fill="FFDCE0" w:val="clear"/>
          </w:tcPr>
          <w:p>
            <w:r>
              <w:rPr>
                <w:sz w:val="17"/>
              </w:rPr>
              <w:t>9,167</w:t>
            </w:r>
          </w:p>
        </w:tc>
        <w:tc>
          <w:tcPr>
            <w:tcW w:type="dxa" w:w="1440"/>
            <w:shd w:fill="FFDCE0" w:val="clear"/>
          </w:tcPr>
          <w:p>
            <w:r>
              <w:rPr>
                <w:b/>
                <w:color w:val="C00000"/>
                <w:sz w:val="17"/>
              </w:rPr>
              <w:t>-2.1%</w:t>
            </w:r>
          </w:p>
        </w:tc>
      </w:tr>
      <w:tr>
        <w:tc>
          <w:tcPr>
            <w:tcW w:type="dxa" w:w="1440"/>
            <w:shd w:fill="FFDCE0" w:val="clear"/>
          </w:tcPr>
          <w:p>
            <w:r>
              <w:rPr>
                <w:sz w:val="17"/>
              </w:rPr>
              <w:t>J+4  Moyenne</w:t>
            </w:r>
          </w:p>
        </w:tc>
        <w:tc>
          <w:tcPr>
            <w:tcW w:type="dxa" w:w="1440"/>
            <w:shd w:fill="FFDCE0" w:val="clear"/>
          </w:tcPr>
          <w:p>
            <w:r>
              <w:rPr>
                <w:sz w:val="17"/>
              </w:rPr>
              <w:t>2026-10-21</w:t>
            </w:r>
          </w:p>
        </w:tc>
        <w:tc>
          <w:tcPr>
            <w:tcW w:type="dxa" w:w="1440"/>
            <w:shd w:fill="FFDCE0" w:val="clear"/>
          </w:tcPr>
          <w:p>
            <w:r>
              <w:rPr>
                <w:sz w:val="17"/>
              </w:rPr>
              <w:t>8,141</w:t>
            </w:r>
          </w:p>
        </w:tc>
        <w:tc>
          <w:tcPr>
            <w:tcW w:type="dxa" w:w="1440"/>
            <w:shd w:fill="FFDCE0" w:val="clear"/>
          </w:tcPr>
          <w:p>
            <w:r>
              <w:rPr>
                <w:b/>
                <w:sz w:val="17"/>
              </w:rPr>
              <w:t>8,660</w:t>
            </w:r>
          </w:p>
        </w:tc>
        <w:tc>
          <w:tcPr>
            <w:tcW w:type="dxa" w:w="1440"/>
            <w:shd w:fill="FFDCE0" w:val="clear"/>
          </w:tcPr>
          <w:p>
            <w:r>
              <w:rPr>
                <w:sz w:val="17"/>
              </w:rPr>
              <w:t>9,179</w:t>
            </w:r>
          </w:p>
        </w:tc>
        <w:tc>
          <w:tcPr>
            <w:tcW w:type="dxa" w:w="1440"/>
            <w:shd w:fill="FFDCE0" w:val="clear"/>
          </w:tcPr>
          <w:p>
            <w:r>
              <w:rPr>
                <w:b/>
                <w:color w:val="C00000"/>
                <w:sz w:val="17"/>
              </w:rPr>
              <w:t>-2.7%</w:t>
            </w:r>
          </w:p>
        </w:tc>
      </w:tr>
      <w:tr>
        <w:tc>
          <w:tcPr>
            <w:tcW w:type="dxa" w:w="1440"/>
            <w:shd w:fill="FFDCE0" w:val="clear"/>
          </w:tcPr>
          <w:p>
            <w:r>
              <w:rPr>
                <w:sz w:val="17"/>
              </w:rPr>
              <w:t>J+5  Moyenne</w:t>
            </w:r>
          </w:p>
        </w:tc>
        <w:tc>
          <w:tcPr>
            <w:tcW w:type="dxa" w:w="1440"/>
            <w:shd w:fill="FFDCE0" w:val="clear"/>
          </w:tcPr>
          <w:p>
            <w:r>
              <w:rPr>
                <w:sz w:val="17"/>
              </w:rPr>
              <w:t>2026-10-22</w:t>
            </w:r>
          </w:p>
        </w:tc>
        <w:tc>
          <w:tcPr>
            <w:tcW w:type="dxa" w:w="1440"/>
            <w:shd w:fill="FFDCE0" w:val="clear"/>
          </w:tcPr>
          <w:p>
            <w:r>
              <w:rPr>
                <w:sz w:val="17"/>
              </w:rPr>
              <w:t>8,034</w:t>
            </w:r>
          </w:p>
        </w:tc>
        <w:tc>
          <w:tcPr>
            <w:tcW w:type="dxa" w:w="1440"/>
            <w:shd w:fill="FFDCE0" w:val="clear"/>
          </w:tcPr>
          <w:p>
            <w:r>
              <w:rPr>
                <w:b/>
                <w:sz w:val="17"/>
              </w:rPr>
              <w:t>8,610</w:t>
            </w:r>
          </w:p>
        </w:tc>
        <w:tc>
          <w:tcPr>
            <w:tcW w:type="dxa" w:w="1440"/>
            <w:shd w:fill="FFDCE0" w:val="clear"/>
          </w:tcPr>
          <w:p>
            <w:r>
              <w:rPr>
                <w:sz w:val="17"/>
              </w:rPr>
              <w:t>9,187</w:t>
            </w:r>
          </w:p>
        </w:tc>
        <w:tc>
          <w:tcPr>
            <w:tcW w:type="dxa" w:w="1440"/>
            <w:shd w:fill="FFDCE0" w:val="clear"/>
          </w:tcPr>
          <w:p>
            <w:r>
              <w:rPr>
                <w:b/>
                <w:color w:val="C00000"/>
                <w:sz w:val="17"/>
              </w:rPr>
              <w:t>-3.3%</w:t>
            </w:r>
          </w:p>
        </w:tc>
      </w:tr>
      <w:tr>
        <w:tc>
          <w:tcPr>
            <w:tcW w:type="dxa" w:w="1440"/>
            <w:shd w:fill="FFDCE0" w:val="clear"/>
          </w:tcPr>
          <w:p>
            <w:r>
              <w:rPr>
                <w:sz w:val="17"/>
              </w:rPr>
              <w:t>J+6  Moyenne</w:t>
            </w:r>
          </w:p>
        </w:tc>
        <w:tc>
          <w:tcPr>
            <w:tcW w:type="dxa" w:w="1440"/>
            <w:shd w:fill="FFDCE0" w:val="clear"/>
          </w:tcPr>
          <w:p>
            <w:r>
              <w:rPr>
                <w:sz w:val="17"/>
              </w:rPr>
              <w:t>2026-10-23</w:t>
            </w:r>
          </w:p>
        </w:tc>
        <w:tc>
          <w:tcPr>
            <w:tcW w:type="dxa" w:w="1440"/>
            <w:shd w:fill="FFDCE0" w:val="clear"/>
          </w:tcPr>
          <w:p>
            <w:r>
              <w:rPr>
                <w:sz w:val="17"/>
              </w:rPr>
              <w:t>7,938</w:t>
            </w:r>
          </w:p>
        </w:tc>
        <w:tc>
          <w:tcPr>
            <w:tcW w:type="dxa" w:w="1440"/>
            <w:shd w:fill="FFDCE0" w:val="clear"/>
          </w:tcPr>
          <w:p>
            <w:r>
              <w:rPr>
                <w:b/>
                <w:sz w:val="17"/>
              </w:rPr>
              <w:t>8,566</w:t>
            </w:r>
          </w:p>
        </w:tc>
        <w:tc>
          <w:tcPr>
            <w:tcW w:type="dxa" w:w="1440"/>
            <w:shd w:fill="FFDCE0" w:val="clear"/>
          </w:tcPr>
          <w:p>
            <w:r>
              <w:rPr>
                <w:sz w:val="17"/>
              </w:rPr>
              <w:t>9,194</w:t>
            </w:r>
          </w:p>
        </w:tc>
        <w:tc>
          <w:tcPr>
            <w:tcW w:type="dxa" w:w="1440"/>
            <w:shd w:fill="FFDCE0" w:val="clear"/>
          </w:tcPr>
          <w:p>
            <w:r>
              <w:rPr>
                <w:b/>
                <w:color w:val="C00000"/>
                <w:sz w:val="17"/>
              </w:rPr>
              <w:t>-3.8%</w:t>
            </w:r>
          </w:p>
        </w:tc>
      </w:tr>
      <w:tr>
        <w:tc>
          <w:tcPr>
            <w:tcW w:type="dxa" w:w="1440"/>
            <w:shd w:fill="FFDCE0" w:val="clear"/>
          </w:tcPr>
          <w:p>
            <w:r>
              <w:rPr>
                <w:sz w:val="17"/>
              </w:rPr>
              <w:t>J+7  Moyenne</w:t>
            </w:r>
          </w:p>
        </w:tc>
        <w:tc>
          <w:tcPr>
            <w:tcW w:type="dxa" w:w="1440"/>
            <w:shd w:fill="FFDCE0" w:val="clear"/>
          </w:tcPr>
          <w:p>
            <w:r>
              <w:rPr>
                <w:sz w:val="17"/>
              </w:rPr>
              <w:t>2026-10-26</w:t>
            </w:r>
          </w:p>
        </w:tc>
        <w:tc>
          <w:tcPr>
            <w:tcW w:type="dxa" w:w="1440"/>
            <w:shd w:fill="FFDCE0" w:val="clear"/>
          </w:tcPr>
          <w:p>
            <w:r>
              <w:rPr>
                <w:sz w:val="17"/>
              </w:rPr>
              <w:t>7,849</w:t>
            </w:r>
          </w:p>
        </w:tc>
        <w:tc>
          <w:tcPr>
            <w:tcW w:type="dxa" w:w="1440"/>
            <w:shd w:fill="FFDCE0" w:val="clear"/>
          </w:tcPr>
          <w:p>
            <w:r>
              <w:rPr>
                <w:b/>
                <w:sz w:val="17"/>
              </w:rPr>
              <w:t>8,525</w:t>
            </w:r>
          </w:p>
        </w:tc>
        <w:tc>
          <w:tcPr>
            <w:tcW w:type="dxa" w:w="1440"/>
            <w:shd w:fill="FFDCE0" w:val="clear"/>
          </w:tcPr>
          <w:p>
            <w:r>
              <w:rPr>
                <w:sz w:val="17"/>
              </w:rPr>
              <w:t>9,200</w:t>
            </w:r>
          </w:p>
        </w:tc>
        <w:tc>
          <w:tcPr>
            <w:tcW w:type="dxa" w:w="1440"/>
            <w:shd w:fill="FFDCE0" w:val="clear"/>
          </w:tcPr>
          <w:p>
            <w:r>
              <w:rPr>
                <w:b/>
                <w:color w:val="C00000"/>
                <w:sz w:val="17"/>
              </w:rPr>
              <w:t>-4.2%</w:t>
            </w:r>
          </w:p>
        </w:tc>
      </w:tr>
      <w:tr>
        <w:tc>
          <w:tcPr>
            <w:tcW w:type="dxa" w:w="1440"/>
            <w:shd w:fill="FFDCE0" w:val="clear"/>
          </w:tcPr>
          <w:p>
            <w:r>
              <w:rPr>
                <w:sz w:val="17"/>
              </w:rPr>
              <w:t>J+8  Moyenne</w:t>
            </w:r>
          </w:p>
        </w:tc>
        <w:tc>
          <w:tcPr>
            <w:tcW w:type="dxa" w:w="1440"/>
            <w:shd w:fill="FFDCE0" w:val="clear"/>
          </w:tcPr>
          <w:p>
            <w:r>
              <w:rPr>
                <w:sz w:val="17"/>
              </w:rPr>
              <w:t>2026-10-27</w:t>
            </w:r>
          </w:p>
        </w:tc>
        <w:tc>
          <w:tcPr>
            <w:tcW w:type="dxa" w:w="1440"/>
            <w:shd w:fill="FFDCE0" w:val="clear"/>
          </w:tcPr>
          <w:p>
            <w:r>
              <w:rPr>
                <w:sz w:val="17"/>
              </w:rPr>
              <w:t>7,768</w:t>
            </w:r>
          </w:p>
        </w:tc>
        <w:tc>
          <w:tcPr>
            <w:tcW w:type="dxa" w:w="1440"/>
            <w:shd w:fill="FFDCE0" w:val="clear"/>
          </w:tcPr>
          <w:p>
            <w:r>
              <w:rPr>
                <w:b/>
                <w:sz w:val="17"/>
              </w:rPr>
              <w:t>8,486</w:t>
            </w:r>
          </w:p>
        </w:tc>
        <w:tc>
          <w:tcPr>
            <w:tcW w:type="dxa" w:w="1440"/>
            <w:shd w:fill="FFDCE0" w:val="clear"/>
          </w:tcPr>
          <w:p>
            <w:r>
              <w:rPr>
                <w:sz w:val="17"/>
              </w:rPr>
              <w:t>9,205</w:t>
            </w:r>
          </w:p>
        </w:tc>
        <w:tc>
          <w:tcPr>
            <w:tcW w:type="dxa" w:w="1440"/>
            <w:shd w:fill="FFDCE0" w:val="clear"/>
          </w:tcPr>
          <w:p>
            <w:r>
              <w:rPr>
                <w:b/>
                <w:color w:val="C00000"/>
                <w:sz w:val="17"/>
              </w:rPr>
              <w:t>-4.6%</w:t>
            </w:r>
          </w:p>
        </w:tc>
      </w:tr>
      <w:tr>
        <w:tc>
          <w:tcPr>
            <w:tcW w:type="dxa" w:w="1440"/>
            <w:shd w:fill="FFDCE0" w:val="clear"/>
          </w:tcPr>
          <w:p>
            <w:r>
              <w:rPr>
                <w:sz w:val="17"/>
              </w:rPr>
              <w:t>J+9  Moyenne</w:t>
            </w:r>
          </w:p>
        </w:tc>
        <w:tc>
          <w:tcPr>
            <w:tcW w:type="dxa" w:w="1440"/>
            <w:shd w:fill="FFDCE0" w:val="clear"/>
          </w:tcPr>
          <w:p>
            <w:r>
              <w:rPr>
                <w:sz w:val="17"/>
              </w:rPr>
              <w:t>2026-10-28</w:t>
            </w:r>
          </w:p>
        </w:tc>
        <w:tc>
          <w:tcPr>
            <w:tcW w:type="dxa" w:w="1440"/>
            <w:shd w:fill="FFDCE0" w:val="clear"/>
          </w:tcPr>
          <w:p>
            <w:r>
              <w:rPr>
                <w:sz w:val="17"/>
              </w:rPr>
              <w:t>7,692</w:t>
            </w:r>
          </w:p>
        </w:tc>
        <w:tc>
          <w:tcPr>
            <w:tcW w:type="dxa" w:w="1440"/>
            <w:shd w:fill="FFDCE0" w:val="clear"/>
          </w:tcPr>
          <w:p>
            <w:r>
              <w:rPr>
                <w:b/>
                <w:sz w:val="17"/>
              </w:rPr>
              <w:t>8,451</w:t>
            </w:r>
          </w:p>
        </w:tc>
        <w:tc>
          <w:tcPr>
            <w:tcW w:type="dxa" w:w="1440"/>
            <w:shd w:fill="FFDCE0" w:val="clear"/>
          </w:tcPr>
          <w:p>
            <w:r>
              <w:rPr>
                <w:sz w:val="17"/>
              </w:rPr>
              <w:t>9,210</w:t>
            </w:r>
          </w:p>
        </w:tc>
        <w:tc>
          <w:tcPr>
            <w:tcW w:type="dxa" w:w="1440"/>
            <w:shd w:fill="FFDCE0" w:val="clear"/>
          </w:tcPr>
          <w:p>
            <w:r>
              <w:rPr>
                <w:b/>
                <w:color w:val="C00000"/>
                <w:sz w:val="17"/>
              </w:rPr>
              <w:t>-5.0%</w:t>
            </w:r>
          </w:p>
        </w:tc>
      </w:tr>
      <w:tr>
        <w:tc>
          <w:tcPr>
            <w:tcW w:type="dxa" w:w="1440"/>
            <w:shd w:fill="FFDCE0" w:val="clear"/>
          </w:tcPr>
          <w:p>
            <w:r>
              <w:rPr>
                <w:sz w:val="17"/>
              </w:rPr>
              <w:t>J+10  Moyenne</w:t>
            </w:r>
          </w:p>
        </w:tc>
        <w:tc>
          <w:tcPr>
            <w:tcW w:type="dxa" w:w="1440"/>
            <w:shd w:fill="FFDCE0" w:val="clear"/>
          </w:tcPr>
          <w:p>
            <w:r>
              <w:rPr>
                <w:sz w:val="17"/>
              </w:rPr>
              <w:t>2026-10-29</w:t>
            </w:r>
          </w:p>
        </w:tc>
        <w:tc>
          <w:tcPr>
            <w:tcW w:type="dxa" w:w="1440"/>
            <w:shd w:fill="FFDCE0" w:val="clear"/>
          </w:tcPr>
          <w:p>
            <w:r>
              <w:rPr>
                <w:sz w:val="17"/>
              </w:rPr>
              <w:t>7,620</w:t>
            </w:r>
          </w:p>
        </w:tc>
        <w:tc>
          <w:tcPr>
            <w:tcW w:type="dxa" w:w="1440"/>
            <w:shd w:fill="FFDCE0" w:val="clear"/>
          </w:tcPr>
          <w:p>
            <w:r>
              <w:rPr>
                <w:b/>
                <w:sz w:val="17"/>
              </w:rPr>
              <w:t>8,417</w:t>
            </w:r>
          </w:p>
        </w:tc>
        <w:tc>
          <w:tcPr>
            <w:tcW w:type="dxa" w:w="1440"/>
            <w:shd w:fill="FFDCE0" w:val="clear"/>
          </w:tcPr>
          <w:p>
            <w:r>
              <w:rPr>
                <w:sz w:val="17"/>
              </w:rPr>
              <w:t>9,214</w:t>
            </w:r>
          </w:p>
        </w:tc>
        <w:tc>
          <w:tcPr>
            <w:tcW w:type="dxa" w:w="1440"/>
            <w:shd w:fill="FFDCE0" w:val="clear"/>
          </w:tcPr>
          <w:p>
            <w:r>
              <w:rPr>
                <w:b/>
                <w:color w:val="C00000"/>
                <w:sz w:val="17"/>
              </w:rPr>
              <w:t>-5.4%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98.820 Mds FCFA</w:t>
            </w:r>
          </w:p>
        </w:tc>
        <w:tc>
          <w:tcPr>
            <w:tcW w:type="dxa" w:w="5669"/>
            <w:shd w:fill="FFFFFF" w:val="clear"/>
          </w:tcPr>
          <w:p>
            <w:r>
              <w:rPr>
                <w:color w:val="282828"/>
                <w:sz w:val="15"/>
              </w:rPr>
              <w:t>Représente 5.3%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375.561 Mds FCFA</w:t>
            </w:r>
          </w:p>
        </w:tc>
        <w:tc>
          <w:tcPr>
            <w:tcW w:type="dxa" w:w="5669"/>
            <w:shd w:fill="FFFFFF" w:val="clear"/>
          </w:tcPr>
          <w:p>
            <w:r>
              <w:rPr>
                <w:color w:val="282828"/>
                <w:sz w:val="15"/>
              </w:rPr>
              <w:t>Titres d'État détenus (20.0%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61.521 Mds FCFA</w:t>
            </w:r>
          </w:p>
        </w:tc>
        <w:tc>
          <w:tcPr>
            <w:tcW w:type="dxa" w:w="5669"/>
            <w:shd w:fill="FFFFFF" w:val="clear"/>
          </w:tcPr>
          <w:p>
            <w:r>
              <w:rPr>
                <w:color w:val="282828"/>
                <w:sz w:val="15"/>
              </w:rPr>
              <w:t>Prêts aux autres banques (3.3%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1226.720 Mds FCFA</w:t>
            </w:r>
          </w:p>
        </w:tc>
        <w:tc>
          <w:tcPr>
            <w:tcW w:type="dxa" w:w="5669"/>
            <w:shd w:fill="FFFFFF" w:val="clear"/>
          </w:tcPr>
          <w:p>
            <w:r>
              <w:rPr>
                <w:color w:val="282828"/>
                <w:sz w:val="15"/>
              </w:rPr>
              <w:t>Portefeuille crédits (65.2%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965.00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25.594 Mds FCFA</w:t>
            </w:r>
          </w:p>
        </w:tc>
        <w:tc>
          <w:tcPr>
            <w:tcW w:type="dxa" w:w="5669"/>
            <w:shd w:fill="FFFFFF" w:val="clear"/>
          </w:tcPr>
          <w:p>
            <w:r>
              <w:rPr>
                <w:color w:val="282828"/>
                <w:sz w:val="15"/>
              </w:rPr>
              <w:t>Outil industriel (1.4%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1881.733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129.141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204.765 Mds FCFA</w:t>
            </w:r>
          </w:p>
        </w:tc>
        <w:tc>
          <w:tcPr>
            <w:tcW w:type="dxa" w:w="5669"/>
            <w:shd w:fill="FFFFFF" w:val="clear"/>
          </w:tcPr>
          <w:p>
            <w:r>
              <w:rPr>
                <w:color w:val="282828"/>
                <w:sz w:val="15"/>
              </w:rPr>
              <w:t>Fonds propres = 10.9%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218.889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104.261 Mds FCFA</w:t>
            </w:r>
          </w:p>
        </w:tc>
        <w:tc>
          <w:tcPr>
            <w:tcW w:type="dxa" w:w="5669"/>
            <w:shd w:fill="FFFFFF" w:val="clear"/>
          </w:tcPr>
          <w:p>
            <w:r>
              <w:rPr>
                <w:color w:val="282828"/>
                <w:sz w:val="15"/>
              </w:rPr>
              <w:t>Refinancement interbancaire (5.5%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1503.441 Mds FCFA</w:t>
            </w:r>
          </w:p>
        </w:tc>
        <w:tc>
          <w:tcPr>
            <w:tcW w:type="dxa" w:w="5669"/>
            <w:shd w:fill="FFFFFF" w:val="clear"/>
          </w:tcPr>
          <w:p>
            <w:r>
              <w:rPr>
                <w:color w:val="282828"/>
                <w:sz w:val="15"/>
              </w:rPr>
              <w:t>Dépôts clients = 79.9%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104.261 Mds FCFA</w:t>
            </w:r>
          </w:p>
        </w:tc>
        <w:tc>
          <w:tcPr>
            <w:tcW w:type="dxa" w:w="5669"/>
            <w:shd w:fill="FFFFFF" w:val="clear"/>
          </w:tcPr>
          <w:p>
            <w:r>
              <w:rPr>
                <w:color w:val="282828"/>
                <w:sz w:val="15"/>
              </w:rPr>
              <w:t>Dette financière totale = 51%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1676.968 Mds FCFA</w:t>
            </w:r>
          </w:p>
        </w:tc>
        <w:tc>
          <w:tcPr>
            <w:tcW w:type="dxa" w:w="5669"/>
            <w:shd w:fill="FFFFFF" w:val="clear"/>
          </w:tcPr>
          <w:p>
            <w:r>
              <w:rPr>
                <w:color w:val="282828"/>
                <w:sz w:val="15"/>
              </w:rPr>
              <w:t>Dettes totales = 89.1%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108.663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108.663 Mds FCFA</w:t>
            </w:r>
          </w:p>
        </w:tc>
        <w:tc>
          <w:tcPr>
            <w:tcW w:type="dxa" w:w="5669"/>
            <w:shd w:fill="FFFFFF" w:val="clear"/>
          </w:tcPr>
          <w:p>
            <w:r>
              <w:rPr>
                <w:color w:val="282828"/>
                <w:sz w:val="15"/>
              </w:rPr>
              <w:t>Revenu bancaire central (≡ CA). Croissance: 5.7%.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91.138 Mds FCFA</w:t>
            </w:r>
          </w:p>
        </w:tc>
        <w:tc>
          <w:tcPr>
            <w:tcW w:type="dxa" w:w="5669"/>
            <w:shd w:fill="FFFFFF" w:val="clear"/>
          </w:tcPr>
          <w:p>
            <w:r>
              <w:rPr>
                <w:color w:val="282828"/>
                <w:sz w:val="15"/>
              </w:rPr>
              <w:t>Revenus d'intérêts sur crédits (84%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16.320 Mds FCFA</w:t>
            </w:r>
          </w:p>
        </w:tc>
        <w:tc>
          <w:tcPr>
            <w:tcW w:type="dxa" w:w="5669"/>
            <w:shd w:fill="FFFFFF" w:val="clear"/>
          </w:tcPr>
          <w:p>
            <w:r>
              <w:rPr>
                <w:color w:val="282828"/>
                <w:sz w:val="15"/>
              </w:rPr>
              <w:t>Coût des dépôts collectés (15%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29.714 Mds FCFA</w:t>
            </w:r>
          </w:p>
        </w:tc>
        <w:tc>
          <w:tcPr>
            <w:tcW w:type="dxa" w:w="5669"/>
            <w:shd w:fill="FFFFFF" w:val="clear"/>
          </w:tcPr>
          <w:p>
            <w:r>
              <w:rPr>
                <w:color w:val="282828"/>
                <w:sz w:val="15"/>
              </w:rPr>
              <w:t>Revenus de commissions (27.3%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38.800 Mds FCFA</w:t>
            </w:r>
          </w:p>
        </w:tc>
        <w:tc>
          <w:tcPr>
            <w:tcW w:type="dxa" w:w="5669"/>
            <w:shd w:fill="FFFFFF" w:val="clear"/>
          </w:tcPr>
          <w:p>
            <w:r>
              <w:rPr>
                <w:color w:val="282828"/>
                <w:sz w:val="15"/>
              </w:rPr>
              <w:t>35.7%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3.129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66.734 Mds FCFA</w:t>
            </w:r>
          </w:p>
        </w:tc>
        <w:tc>
          <w:tcPr>
            <w:tcW w:type="dxa" w:w="5669"/>
            <w:shd w:fill="FFFFFF" w:val="clear"/>
          </w:tcPr>
          <w:p>
            <w:r>
              <w:rPr>
                <w:color w:val="282828"/>
                <w:sz w:val="15"/>
              </w:rPr>
              <w:t>RBE = 61.4%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63.095 Mds FCFA</w:t>
            </w:r>
          </w:p>
        </w:tc>
        <w:tc>
          <w:tcPr>
            <w:tcW w:type="dxa" w:w="5669"/>
            <w:shd w:fill="FFFFFF" w:val="clear"/>
          </w:tcPr>
          <w:p>
            <w:r>
              <w:rPr>
                <w:color w:val="282828"/>
                <w:sz w:val="15"/>
              </w:rPr>
              <w:t>Profit d'exploitation = 58.1%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14.124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55.623 Mds FCFA</w:t>
            </w:r>
          </w:p>
        </w:tc>
        <w:tc>
          <w:tcPr>
            <w:tcW w:type="dxa" w:w="5669"/>
            <w:shd w:fill="FFFFFF" w:val="clear"/>
          </w:tcPr>
          <w:p>
            <w:r>
              <w:rPr>
                <w:color w:val="282828"/>
                <w:sz w:val="15"/>
              </w:rPr>
              <w:t>Marge nette = 51.2%.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58.752 Mds FCFA</w:t>
            </w:r>
          </w:p>
        </w:tc>
        <w:tc>
          <w:tcPr>
            <w:tcW w:type="dxa" w:w="5669"/>
            <w:shd w:fill="FFFFFF" w:val="clear"/>
          </w:tcPr>
          <w:p>
            <w:r>
              <w:rPr>
                <w:color w:val="282828"/>
                <w:sz w:val="15"/>
              </w:rPr>
              <w:t>CAF = 58.75 Mds FCFA (résultat + amort.). ✅ Forte capacité à financer les investissements et rembourser les dettes.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51.19%</w:t>
            </w:r>
          </w:p>
        </w:tc>
        <w:tc>
          <w:tcPr>
            <w:tcW w:type="dxa" w:w="5669"/>
            <w:shd w:fill="FFFFFF" w:val="clear"/>
          </w:tcPr>
          <w:p>
            <w:r>
              <w:rPr>
                <w:color w:val="282828"/>
                <w:sz w:val="15"/>
              </w:rPr>
              <w:t>Résultat net / revenus = 51.19%.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58.06%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27.16%</w:t>
            </w:r>
          </w:p>
        </w:tc>
        <w:tc>
          <w:tcPr>
            <w:tcW w:type="dxa" w:w="5669"/>
            <w:shd w:fill="FFFFFF" w:val="clear"/>
          </w:tcPr>
          <w:p>
            <w:r>
              <w:rPr>
                <w:color w:val="282828"/>
                <w:sz w:val="15"/>
              </w:rPr>
              <w:t>Résultat net / capitaux propres = 27.16%.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2.96%</w:t>
            </w:r>
          </w:p>
        </w:tc>
        <w:tc>
          <w:tcPr>
            <w:tcW w:type="dxa" w:w="5669"/>
            <w:shd w:fill="FFFFFF" w:val="clear"/>
          </w:tcPr>
          <w:p>
            <w:r>
              <w:rPr>
                <w:color w:val="282828"/>
                <w:sz w:val="15"/>
              </w:rPr>
              <w:t>Résultat net / total actif = 2.96%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5.77%</w:t>
            </w:r>
          </w:p>
        </w:tc>
        <w:tc>
          <w:tcPr>
            <w:tcW w:type="dxa" w:w="5669"/>
            <w:shd w:fill="FFFFFF" w:val="clear"/>
          </w:tcPr>
          <w:p>
            <w:r>
              <w:rPr>
                <w:color w:val="282828"/>
                <w:sz w:val="15"/>
              </w:rPr>
              <w:t>CA / total actif = 5.77x.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38.59%</w:t>
            </w:r>
          </w:p>
        </w:tc>
        <w:tc>
          <w:tcPr>
            <w:tcW w:type="dxa" w:w="5669"/>
            <w:shd w:fill="FFFFFF" w:val="clear"/>
          </w:tcPr>
          <w:p>
            <w:r>
              <w:rPr>
                <w:color w:val="282828"/>
                <w:sz w:val="15"/>
              </w:rPr>
              <w:t>Charges / PNB = 38.59%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363900000000.00%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5.74%</w:t>
            </w:r>
          </w:p>
        </w:tc>
        <w:tc>
          <w:tcPr>
            <w:tcW w:type="dxa" w:w="5669"/>
            <w:shd w:fill="FFFFFF" w:val="clear"/>
          </w:tcPr>
          <w:p>
            <w:r>
              <w:rPr>
                <w:color w:val="282828"/>
                <w:sz w:val="15"/>
              </w:rPr>
              <w:t>Croissance PNB vs exercice précédent = 5.74%.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10.88%</w:t>
            </w:r>
          </w:p>
        </w:tc>
        <w:tc>
          <w:tcPr>
            <w:tcW w:type="dxa" w:w="5669"/>
            <w:shd w:fill="FFFFFF" w:val="clear"/>
          </w:tcPr>
          <w:p>
            <w:r>
              <w:rPr>
                <w:color w:val="282828"/>
                <w:sz w:val="15"/>
              </w:rPr>
              <w:t>Fonds propres / total bilan = 10.88%.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89.12%</w:t>
            </w:r>
          </w:p>
        </w:tc>
        <w:tc>
          <w:tcPr>
            <w:tcW w:type="dxa" w:w="5669"/>
            <w:shd w:fill="FFFFFF" w:val="clear"/>
          </w:tcPr>
          <w:p>
            <w:r>
              <w:rPr>
                <w:color w:val="282828"/>
                <w:sz w:val="15"/>
              </w:rPr>
              <w:t>Dettes financières / total bilan = 89.12%.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50.92%</w:t>
            </w:r>
          </w:p>
        </w:tc>
        <w:tc>
          <w:tcPr>
            <w:tcW w:type="dxa" w:w="5669"/>
            <w:shd w:fill="FFFFFF" w:val="clear"/>
          </w:tcPr>
          <w:p>
            <w:r>
              <w:rPr>
                <w:color w:val="282828"/>
                <w:sz w:val="15"/>
              </w:rPr>
              <w:t>Dettes totales / fonds propres = 50.92%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112.21%</w:t>
            </w:r>
          </w:p>
        </w:tc>
        <w:tc>
          <w:tcPr>
            <w:tcW w:type="dxa" w:w="5669"/>
            <w:shd w:fill="FFFFFF" w:val="clear"/>
          </w:tcPr>
          <w:p>
            <w:r>
              <w:rPr>
                <w:color w:val="282828"/>
                <w:sz w:val="15"/>
              </w:rPr>
              <w:t>Total actif / dettes totales = 112.21x. ✅ Solvable.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408.91%</w:t>
            </w:r>
          </w:p>
        </w:tc>
        <w:tc>
          <w:tcPr>
            <w:tcW w:type="dxa" w:w="5669"/>
            <w:shd w:fill="FFFFFF" w:val="clear"/>
          </w:tcPr>
          <w:p>
            <w:r>
              <w:rPr>
                <w:color w:val="282828"/>
                <w:sz w:val="15"/>
              </w:rPr>
              <w:t>Résultat exploit. / charges financières = 408.91x. ✅ Excellente couverture des intérêts.</w:t>
            </w:r>
          </w:p>
        </w:tc>
      </w:tr>
    </w:tbl>
    <w:p/>
    <w:p>
      <w:pPr>
        <w:spacing w:after="120" w:line="276" w:lineRule="auto"/>
      </w:pPr>
      <w:r>
        <w:t>**RAPPORT D'ANALYSE FINANCIÈRE — SIBC (Société Ivoirienne de Banque)**</w:t>
        <w:br/>
        <w:t>**Bourse Régionale des Valeurs Mobilières (BRVM) — Secteur Bancaire**</w:t>
        <w:br/>
        <w:t>*Date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890,00 milliards FCFA, la SIBC s'impose comme l'une des valeurs les plus capitalisées de la cote BRVM, témoignant de son statut de pilier du secteur bancaire sous-régional. Le BPA de 556 FCFA par action indique que chaque titre génère un bénéfice net substantiel, conférant au titre un PER de 16,0x — un niveau modéré mais supérieur à la moyenne du marché BRVM (estimée entre 8x et 12x), ce qui suggère que les investisseurs intègrent déjà une prime de qualité dans le cours. Le ratio P/B de 4,35x révèle que le marché valorise la banque à plus de quatre fois sa valeur comptable, une prime exigeante qui traduit la confiance dans la rentabilité structurelle de l'établissement (ROE de 27,16% en 2025). Enfin, l'EV/EBITDA de 14,9x, bien qu'élevé dans l'absolu, reste cohérent avec les standards du secteur bancaire où la capacité bénéficiaire est forte et récurrente ; l'ensemble de ces ratios dessine une valorisation raisonnable mais sans décote évidente, le marché ayant déjà intégré les bonnes performances de la banque.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SIBC affiche une progression totale de +9,07%, avec une dernière séance en hausse de +1,14%, confirmant une dynamique haussière de fond malgré quelques accès de faiblesse. Le cours actuel de 8 900 FCFA se situe dans la partie médiane de la fourchette de trading, le plus haut ayant atteint 9 500 FCFA et le plus bas 7 700 FCFA, soit un range de 1 800 FCFA (23,4% d'amplitude) qui témoigne d'une volatilité non négligeable. Les statistiques descriptives révèlent une moyenne de 8 942 FCFA légèrement supérieure à la médiane de 8 995 FCFA — un écart marginal qui indique une distribution quasi symétrique autour de la tendance centrale, bien que le mode à 9 000 FCFA suggère une zone de consolidation naturelle. L'écart-type de 295 FCFA (CV de 3,3%) traduit une dispersion modérée du cours, mais le kurtosis de 4,071 (leptokurtique) signale des queues épaisses, c'est-à-dire un risque de pics de volatilité brutaux ; le skewness négatif de -1,506 indique par ailleurs une asymétrie où les journées de hausse sont plus fréquentes mais de moindre amplitude que les baisses, ce qui peut annoncer une pression vendeuse latente. La volatilité annualisée de 29,8% positionne le titre dans la catégorie des valeurs à volatilité modérée à élevée (seuil de 30%), ce qui est cohérent avec un titre bancaire de grande capitalisation mais dont le flottant reste limité sur la BRVM.</w:t>
      </w:r>
    </w:p>
    <w:p>
      <w:pPr>
        <w:spacing w:after="120" w:line="276" w:lineRule="auto"/>
      </w:pPr>
      <w:r>
        <w:t>---</w:t>
      </w:r>
    </w:p>
    <w:p>
      <w:pPr>
        <w:spacing w:after="120" w:line="276" w:lineRule="auto"/>
      </w:pPr>
      <w:r>
        <w:t>### PARTIE 2 : ANALYSE TECHNIQUE DÉTAILLÉE</w:t>
      </w:r>
    </w:p>
    <w:p>
      <w:pPr>
        <w:spacing w:after="120" w:line="276" w:lineRule="auto"/>
      </w:pPr>
      <w:r>
        <w:t>**Moyennes Mobiles** : La MM20 (8 953,5 FCFA) et la MM50 (9 109,5 FCFA) se situent toutes deux au-dessus du cours actuel (8 900 FCFA), avec une MM20 inférieure à la MM50 — configuration baissière classique. Le cours évoluant sous ses deux moyennes, la pression vendeuse domine à court et moyen terme, ce qui justifie la décision technique de **Vente**. La MM50 en pente descendante confirme la perte de momentum haussier observée depuis le plus haut de 9 500 FCFA.</w:t>
      </w:r>
    </w:p>
    <w:p>
      <w:pPr>
        <w:spacing w:after="120" w:line="276" w:lineRule="auto"/>
      </w:pPr>
      <w:r>
        <w:t>**Bandes de Bollinger** : Le cours (8 900 FCFA) se situe à 42% de la bande inférieure (8 556,36 FCFA) et à 58% de la bande supérieure (9 350,64 FCFA), soit une position quasi médiane qui traduit une absence de signal directionnel fort. L'amplitude des bandes (794 FCFA) reflète une volatilité contenue mais non négligeable. La décision **Neutre** s'impose car le cours n'est ni en surachat (proche borne supérieure) ni en survente (proche borne inférieure), laissant la porte ouverte à une cassure dans les deux sens.</w:t>
      </w:r>
    </w:p>
    <w:p>
      <w:pPr>
        <w:spacing w:after="120" w:line="276" w:lineRule="auto"/>
      </w:pPr>
      <w:r>
        <w:t>**MACD** : La ligne MACD (-87,769) est inférieure à sa ligne de signal (-72,355), avec un histogramme négatif — configuration baissière persistante. Le momentum reste négatif et la divergence entre les deux lignes ne montre aucun signe de retournement imminent, ce qui justifie la décision de **Vente**. Une cassure de la ligne MACD au-dessus de son signal serait nécessaire pour envisager un retournement.</w:t>
      </w:r>
    </w:p>
    <w:p>
      <w:pPr>
        <w:spacing w:after="120" w:line="276" w:lineRule="auto"/>
      </w:pPr>
      <w:r>
        <w:t>**RSI** : À 50,0, le RSI se situe exactement à mi-chemin entre surachat (&gt;70) et survente (&lt;30), traduisant un équilibre parfait entre acheteurs et vendeurs. Cette neutralité indique l'absence de pression directionnelle dominante, justifiant la décision **Neutre**. Le RSI ne fournit aucun signal exploitable en l'état, mais sa position médiane laisse une marge de manœuvre pour une accélération dans un sens ou dans l'autre.</w:t>
      </w:r>
    </w:p>
    <w:p>
      <w:pPr>
        <w:spacing w:after="120" w:line="276" w:lineRule="auto"/>
      </w:pPr>
      <w:r>
        <w:t>**Stochastique** : Le %K (43,478) est supérieur au %D (31,483), avec un croisement haussier récent qui pourrait signaler un début de rebond à court terme. Cependant, les deux lignes restent en zone basse (sous 50), ce qui tempère la portée du signal. La décision **Neutre** s'explique par ce croisement naissant mais non confirmé, qui nécessiterait une poursuite de la hausse du %K au-dessus de 50 pour valider un véritable retournement.</w:t>
      </w:r>
    </w:p>
    <w:p>
      <w:pPr>
        <w:spacing w:after="120" w:line="276" w:lineRule="auto"/>
      </w:pPr>
      <w:r>
        <w:t>**Conclusion technique** : Les indicateurs techniques présentent un tableau mitigé à tendance baissière : les moyennes mobiles sont baissières (cours sous MM20 et MM50), le MACD confirme cette pression vendeuse, tandis que le RSI et les Bandes de Bollinger affichent une neutralité qui traduit l'indécision du marché. Seul le stochastique esquisse un timide signal haussier, mais trop faible pour inverser la tendance. Dans l'ensemble, la configuration technique plaide pour une **prudence à court terme**, avec un risque de poursuite de la correction vers la borne inférieure des Bandes de Bollinger (8 556 FCFA) avant tout rebond durable.</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la SIBC affiche un Produit Net Bancaire (PNB) de 108,663 milliards FCFA, un résultat net de 55,623 milliards FCFA, un ROE exceptionnel de 27,16% et un ROA de 2,96%. Le coefficient d'exploitation s'établit à 38,59%, largement inférieur au seuil de 60% — signe d'une efficacité opérationnelle remarquable. Le ratio dépôts/crédits (1 503,441 Mds de dépôts clientèle pour 1 226,720 Mds de créances clientèle) atteint 122,6%, indiquant une surliquidité structurelle et une capacité de transformation maîtrisée. Le coût du risque, bien que libellé avec une valeur aberrante dans les données (3,639 milliards %), doit être interprété avec prudence : les provisions de 14,124 Mds FCFA rapportées aux charges financières de 16,320 Mds FCFA suggèrent un portefeuille globalement sain, mais une vigilance reste de mise. La marge nette de 51,19% et la marge opérationnelle de 58,06% confirment la robustesse du modèle.</w:t>
      </w:r>
    </w:p>
    <w:p>
      <w:pPr>
        <w:spacing w:after="120" w:line="276" w:lineRule="auto"/>
      </w:pPr>
      <w:r>
        <w:t>**Estimations basées sur les rapports trimestriels** : Le rapport du **T1 2026 (publié le 07/05/2026)** indique un PNB de 27,7 Mds FCFA (+4% en glissement annuel) et un résultat net de 15,2 Mds FCFA (+11%), avec une marge nette de 54,9% — en amélioration par rapport à 2025. Le rapport du **S1 2026 (analysé le 29/09/2026)** confirme cette dynamique avec un PNB de 56,592 Mds FCFA (+4,2%) et un résultat net de 32,140 Mds FCFA (+9,3%), porté par une croissance de 12% des crédits (1 169 Mds FCFA) et des dépôts (1 581 Mds FCFA). Sur la base de ces tendances, on peut estimer que l'exercice 2026 devrait afficher un PNB annuel d'environ 113-115 Mds FCFA et un résultat net de l'ordre de 58-60 Mds FCFA, soit une progression de 5 à 8% par rapport à 2025. Le coût du risque quasi nul au S1 2026 (287 M FCFA, -75,3%) constitue un signal très favorable pour la qualité du portefeuille. La recommandation fondamentale est **solide** : la SIBC affiche une rentabilité parmi les meilleures du secteur bancaire ouest-africain, une croissance à deux chiffres de son activité et une solidité financière confirmée (ratio de solvabilité &gt;11,5%). Les principaux risques résident dans la concurrence accrue, la dépendance à la conjoncture ivoirienne et l'absence de visibilité sur la politique de dividende pour 2026.</w:t>
      </w:r>
    </w:p>
    <w:p>
      <w:pPr>
        <w:spacing w:after="120" w:line="276" w:lineRule="auto"/>
      </w:pPr>
      <w:r>
        <w:t>---</w:t>
      </w:r>
    </w:p>
    <w:p>
      <w:pPr>
        <w:spacing w:after="120" w:line="276" w:lineRule="auto"/>
      </w:pPr>
      <w:r>
        <w:t>### PARTIE 4 : CONCLUSION D'INVESTISSEMENT</w:t>
      </w:r>
    </w:p>
    <w:p>
      <w:pPr>
        <w:spacing w:after="120" w:line="276" w:lineRule="auto"/>
      </w:pPr>
      <w:r>
        <w:t>La valorisation (Partie 0) présente un profil équilibré : le PER de 16,0x et le P/B de 4,35x indiquent que le marché paie une prime de qualité, sans décote évidente, ce qui limite le potentiel de réévaluation à court terme. Le comportement du cours (Partie 1) révèle une tendance haussière sur 100 jours (+9,07%) mais des statistiques préoccupantes — kurtosis élevé (4,071) et skewness négatif (-1,506) — qui signalent un risque de pics baissiers brutaux. Les signaux techniques (Partie 2) sont majoritairement baissiers : cours sous MM20 et MM50, MACD négatif, décision de vente sur les moyennes mobiles, seul le stochastique esquissant un timide rebond. Les fondamentaux (Partie 3) restent excellents : ROE de 27,16%, coefficient d'exploitation de 38,59%, croissance du résultat net de +9,3% au S1 2026, et une trajectoire estimée à 58-60 Mds FCFA de résultat net pour 2026. Les prédictions IA (J+1 à J+10) anticipent une baisse continue de 8 834 FCFA à 8 610 FCFA, confirmant la pression baissière technique à court terme. **Synthèse** : la convergence entre technique baissière et prédictions IA négatives contraste avec des fondamentaux solides et une valorisation sans excès. **Recommandation finale : CONSERVER** — les investisseurs déjà positionnés peuvent conserver le titre pour son rendement et sa solidité, mais les nouveaux entrants devraient attendre une correction vers 8 500-8 600 FCFA (zone de support technique) avant d'envisager un achat. Le niveau de confiance est **Moyen** (divergence technique/fondamental) et le risque global **Moyen** (volatilité modérée, qualité de l'actif solide). L'horizon optimal est le **moyen terme (3-12 mois)**, le temps que la correction technique s'achève et que les résultats annuels 2026 confirment la tendance bénéficiaire.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"conserver", "justification": "La SIB affiche une croissance solide de ses r\u00e9sultats et une solidit\u00e9 financi\u00e8re confirm\u00e9e, avec un ratio de solvabilit\u00e9 confortable. Toutefois, l'absence d'information sur le dividende et la valorisation limite le potentiel d'achat \u00e0 court terme."}</w:t>
      </w:r>
    </w:p>
    <w:p>
      <w:pPr>
        <w:spacing w:before="40"/>
        <w:ind w:left="400"/>
      </w:pPr>
      <w:r>
        <w:rPr>
          <w:sz w:val="18"/>
        </w:rPr>
        <w:t>La Société Ivoirienne de Banque (SIB) a réalisé une performance solide au premier semestre 2026, avec un Produit Net Bancaire de 56,6 milliards FCFA en hausse de 4% et un Résultat Net de 32,1 milliards FCFA en progression de 9%. La dynamique commerciale est confirmée par une croissance de 12% des crédits à la clientèle (1 169 milliards FCFA) et des dépôts (1 581 milliards FCFA). La banque maintient une solidité financière avec un ratio de solvabilité bien supérieur au minimum réglementaire de 11,5%. Ces résultats ont été salués par une double distinction internationale aux International Banker Awards 2026. Pour le second semestre, la SIB entend poursuivre son plan stratégique en accélérant 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'1 581 milliards FCFA', 'credits_clientele': '1 169 milliards FCFA', 'ratio_solvabilite': '&gt; 11,5%', 'produit_net_bancaire': '56,6 milliards FCFA', 'resultat_brut_exploitation': '36,6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1 968 296 millions FCFA</w:t>
            </w:r>
          </w:p>
        </w:tc>
      </w:tr>
      <w:tr>
        <w:tc>
          <w:tcPr>
            <w:tcW w:type="dxa" w:w="2160"/>
          </w:tcPr>
          <w:p>
            <w:r/>
            <w:r>
              <w:rPr>
                <w:b/>
                <w:sz w:val="16"/>
              </w:rPr>
              <w:t>resultat_net</w:t>
              <w:br/>
            </w:r>
            <w:r>
              <w:rPr>
                <w:sz w:val="18"/>
              </w:rPr>
              <w:t>32,1 milliards FCFA</w:t>
            </w:r>
          </w:p>
        </w:tc>
        <w:tc>
          <w:tcPr>
            <w:tcW w:type="dxa" w:w="2160"/>
          </w:tcPr>
          <w:p>
            <w:r/>
            <w:r>
              <w:rPr>
                <w:b/>
                <w:sz w:val="16"/>
              </w:rPr>
              <w:t>capitaux_propres</w:t>
              <w:br/>
            </w:r>
            <w:r>
              <w:rPr>
                <w:sz w:val="18"/>
              </w:rPr>
              <w:t>204 764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4% à 56,6 milliards FCFA</w:t>
      </w:r>
    </w:p>
    <w:p>
      <w:pPr>
        <w:pStyle w:val="ListBullet"/>
        <w:spacing w:before="20" w:after="20"/>
        <w:ind w:left="700"/>
      </w:pPr>
      <w:r>
        <w:rPr>
          <w:sz w:val="18"/>
        </w:rPr>
        <w:t>Résultat Net en progression de 9% à 32,1 milliards FCFA</w:t>
      </w:r>
    </w:p>
    <w:p>
      <w:pPr>
        <w:pStyle w:val="ListBullet"/>
        <w:spacing w:before="20" w:after="20"/>
        <w:ind w:left="700"/>
      </w:pPr>
      <w:r>
        <w:rPr>
          <w:sz w:val="18"/>
        </w:rPr>
        <w:t>Crédits à la clientèle en croissance de 12% à 1 169 milliards FCFA</w:t>
      </w:r>
    </w:p>
    <w:p>
      <w:pPr>
        <w:pStyle w:val="ListBullet"/>
        <w:spacing w:before="20" w:after="20"/>
        <w:ind w:left="700"/>
      </w:pPr>
      <w:r>
        <w:rPr>
          <w:sz w:val="18"/>
        </w:rPr>
        <w:t>Dépôts de la clientèle en hausse de 12% à 1 581 milliards FCFA</w:t>
      </w:r>
    </w:p>
    <w:p>
      <w:pPr>
        <w:pStyle w:val="ListBullet"/>
        <w:spacing w:before="20" w:after="20"/>
        <w:ind w:left="700"/>
      </w:pPr>
      <w:r>
        <w:rPr>
          <w:sz w:val="18"/>
        </w:rPr>
        <w:t>Résultat Brut d'Exploitation en augmentation de 6% à 36,6 milliards FCFA</w:t>
      </w:r>
    </w:p>
    <w:p>
      <w:pPr>
        <w:pStyle w:val="ListBullet"/>
        <w:spacing w:before="20" w:after="20"/>
        <w:ind w:left="700"/>
      </w:pPr>
      <w:r>
        <w:rPr>
          <w:sz w:val="18"/>
        </w:rPr>
        <w:t>Ratio de solvabilité largement supérieur au seuil réglementaire de 11,5%</w:t>
      </w:r>
    </w:p>
    <w:p>
      <w:pPr>
        <w:spacing w:before="40"/>
        <w:ind w:left="400"/>
      </w:pPr>
      <w:r>
        <w:rPr>
          <w:b/>
          <w:color w:val="C05000"/>
          <w:sz w:val="18"/>
        </w:rPr>
        <w:t xml:space="preserve">⚠️ Risques : </w:t>
      </w:r>
      <w:r>
        <w:rPr>
          <w:sz w:val="18"/>
        </w:rPr>
        <w:t>["Concurrence bancaire accrue dans un environnement de march\u00e9 exigeant", "Renforcement des standards r\u00e9glementaires pouvant impacter les co\u00fbts de conformit\u00e9", "Exposition \u00e0 des chocs exog\u00e8nes majeurs dans un environnement r\u00e9gional incertain"]</w:t>
      </w:r>
    </w:p>
    <w:p>
      <w:pPr>
        <w:spacing w:before="40"/>
        <w:ind w:left="400"/>
      </w:pPr>
      <w:r>
        <w:rPr>
          <w:b/>
          <w:color w:val="0064A0"/>
          <w:sz w:val="18"/>
        </w:rPr>
        <w:t xml:space="preserve">🔮 Perspectives : </w:t>
      </w:r>
      <w:r>
        <w:rPr>
          <w:sz w:val="18"/>
        </w:rPr>
        <w:t xml:space="preserve">Pour le second semestre 2026, la SIB poursuivra l'exécution de son plan stratégique en accélérant la modernisation de ses services et en renforçant ses standards de gouvernance. La banque bénéficie d'un environnement régional globalement porteur, sous réserve de l'absence de chocs exogènes majeurs.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"acheter", "justification": "La SIB d\u00e9montre une croissance rentable avec un r\u00e9sultat net en hausse de 11% et une expansion \u00e9quilibr\u00e9e de son activit\u00e9. Le mod\u00e8le \u00e9conomique solide et les perspectives favorables dans l'\u00e9conomie ivoirienne soutiennent une recommandation d'achat."}</w:t>
      </w:r>
    </w:p>
    <w:p>
      <w:pPr>
        <w:spacing w:before="40"/>
        <w:ind w:left="400"/>
      </w:pPr>
      <w:r>
        <w:rPr>
          <w:sz w:val="18"/>
        </w:rPr>
        <w:t>La SIB affiche des performances solides au T1 2026 avec un résultat net en hausse de 11% à 15,2 milliards FCFA. Les dépôts clientèle progressent de 9% à 1 495 milliards FCFA tandis que les crédits augmentent de 7% à 1 112 milliards FCFA. Le Produit Net Bancaire croît modérément de 4% à 27,7 milliards FCFA, reflétant une activité soutenue. La banque maintient une gestion rigoureuse des charges et des risques dans un environnement économique ivoirien favorable. Les perspectives pour 2026 demeurent positives avec un renforcement du positionnement de référence sur le marché.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'1 495 milliards FCFA', 'credits_clientele': '1 112 milliards FCFA', 'produit_net_bancaire': '27,7 milliards FCFA', 'resultat_exploitation': '17,5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progression de 11% à 15,2 milliards FCFA au T1 2026</w:t>
      </w:r>
    </w:p>
    <w:p>
      <w:pPr>
        <w:pStyle w:val="ListBullet"/>
        <w:spacing w:before="20" w:after="20"/>
        <w:ind w:left="700"/>
      </w:pPr>
      <w:r>
        <w:rPr>
          <w:sz w:val="18"/>
        </w:rPr>
        <w:t>Croissance soutenue des dépôts clientèle de 9% atteignant 1 495 milliards FCFA</w:t>
      </w:r>
    </w:p>
    <w:p>
      <w:pPr>
        <w:pStyle w:val="ListBullet"/>
        <w:spacing w:before="20" w:after="20"/>
        <w:ind w:left="700"/>
      </w:pPr>
      <w:r>
        <w:rPr>
          <w:sz w:val="18"/>
        </w:rPr>
        <w:t>Progression des encours de crédits de 7% à 1 112 milliards FCFA</w:t>
      </w:r>
    </w:p>
    <w:p>
      <w:pPr>
        <w:pStyle w:val="ListBullet"/>
        <w:spacing w:before="20" w:after="20"/>
        <w:ind w:left="700"/>
      </w:pPr>
      <w:r>
        <w:rPr>
          <w:sz w:val="18"/>
        </w:rPr>
        <w:t>Produit Net Bancaire en hausse de 4% à 27,7 milliards FCFA</w:t>
      </w:r>
    </w:p>
    <w:p>
      <w:pPr>
        <w:pStyle w:val="ListBullet"/>
        <w:spacing w:before="20" w:after="20"/>
        <w:ind w:left="700"/>
      </w:pPr>
      <w:r>
        <w:rPr>
          <w:sz w:val="18"/>
        </w:rPr>
        <w:t>Résultat d'exploitation en amélioration de 11% à 17,5 milliards FCFA</w:t>
      </w:r>
    </w:p>
    <w:p>
      <w:pPr>
        <w:pStyle w:val="ListBullet"/>
        <w:spacing w:before="20" w:after="20"/>
        <w:ind w:left="700"/>
      </w:pPr>
      <w:r>
        <w:rPr>
          <w:sz w:val="18"/>
        </w:rPr>
        <w:t>Gestion rigoureuse des charges d'exploitation et approche prudente des risques</w:t>
      </w:r>
    </w:p>
    <w:p>
      <w:pPr>
        <w:spacing w:before="40"/>
        <w:ind w:left="400"/>
      </w:pPr>
      <w:r>
        <w:rPr>
          <w:b/>
          <w:color w:val="C05000"/>
          <w:sz w:val="18"/>
        </w:rPr>
        <w:t xml:space="preserve">⚠️ Risques : </w:t>
      </w:r>
      <w:r>
        <w:rPr>
          <w:sz w:val="18"/>
        </w:rPr>
        <w:t>["Exposition au ralentissement potentiel de l'\u00e9conomie ivoirienne", "Intensification de la concurrence bancaire dans un environnement exigeant", "Risque de cr\u00e9dit li\u00e9 \u00e0 l'expansion des encours de pr\u00eats"]</w:t>
      </w:r>
    </w:p>
    <w:p>
      <w:pPr>
        <w:spacing w:before="40"/>
        <w:ind w:left="400"/>
      </w:pPr>
      <w:r>
        <w:rPr>
          <w:b/>
          <w:color w:val="0064A0"/>
          <w:sz w:val="18"/>
        </w:rPr>
        <w:t xml:space="preserve">🔮 Perspectives : </w:t>
      </w:r>
      <w:r>
        <w:rPr>
          <w:sz w:val="18"/>
        </w:rPr>
        <w:t>Les perspectives pour 2026 demeurent favorables selon la direction, soutenues par la dynamique économique positive de la Côte d'Ivoire. La SIB vise à consolider durablement son positionnement de partenaire bancaire de référence au service du développement économique. La banque devrait maintenir sa 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"Excellente performance financi\u00e8re avec une rentabilit\u00e9 parmi les meilleures du march\u00e9 ivoirien et une am\u00e9lioration notable de la qualit\u00e9 des actifs. La banque b\u00e9n\u00e9ficie d'une capitalisation solide et d'une dynamique commerciale retrouv\u00e9e pour poursuivre sa croissance."}</w:t>
      </w:r>
    </w:p>
    <w:p>
      <w:pPr>
        <w:spacing w:before="40"/>
        <w:ind w:left="400"/>
      </w:pPr>
      <w:r>
        <w:rPr>
          <w:sz w:val="18"/>
        </w:rPr>
        <w:t>La Société Ivoirienne de Banque (SIB) démontre une performance solide en 2021 malgré le contexte sanitaire difficile. Le total bilan progresse de 7,5% à 1 316,5 milliards XOF, soutenu par une forte croissance des dépôts clients (+13,8%) et une progression modérée des crédits (+4,1%). Le résultat net s'améliore de 12,5% à 34,031 milliards XOF, bénéficiant d'une forte réduction du coût du risque (-78,7%). La banque maintient des ratios de rentabilité parmi les meilleurs du marché avec un ROE de 28,51% et un coefficient d'exploitation maîtrisé à 45%. La capitalisation reste solide avec un ratio de solvabilité de 13,42%, bien au-dessus des normes réglementaires.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'2,59%', 'ROE': '28,51%', 'ratio_solvabilite': '13,42%', 'creances_douteuses': '4,55%', 'coefficient_exploitation': '45,09%', 'taux_couverture_creances': '95,5%'}</w:t>
            </w:r>
          </w:p>
        </w:tc>
        <w:tc>
          <w:tcPr>
            <w:tcW w:type="dxa" w:w="2160"/>
          </w:tcPr>
          <w:p>
            <w:pPr>
              <w:ind w:left="100"/>
            </w:pPr>
            <w:r/>
            <w:r>
              <w:rPr>
                <w:b/>
                <w:sz w:val="16"/>
              </w:rPr>
              <w:t>dividende</w:t>
              <w:br/>
            </w:r>
            <w:r>
              <w:rPr>
                <w:sz w:val="18"/>
              </w:rPr>
              <w:t>450 XOF par action</w:t>
            </w:r>
          </w:p>
        </w:tc>
        <w:tc>
          <w:tcPr>
            <w:tcW w:type="dxa" w:w="2160"/>
          </w:tcPr>
          <w:p>
            <w:pPr>
              <w:ind w:left="100"/>
            </w:pPr>
            <w:r/>
            <w:r>
              <w:rPr>
                <w:b/>
                <w:sz w:val="16"/>
              </w:rPr>
              <w:t>marge_nette</w:t>
              <w:br/>
            </w:r>
            <w:r>
              <w:rPr>
                <w:sz w:val="18"/>
              </w:rPr>
              <w:t>44,5%</w:t>
            </w:r>
          </w:p>
        </w:tc>
        <w:tc>
          <w:tcPr>
            <w:tcW w:type="dxa" w:w="2160"/>
          </w:tcPr>
          <w:p>
            <w:pPr>
              <w:ind w:left="100"/>
            </w:pPr>
            <w:r/>
            <w:r>
              <w:rPr>
                <w:b/>
                <w:sz w:val="16"/>
              </w:rPr>
              <w:t>total_actif</w:t>
              <w:br/>
            </w:r>
            <w:r>
              <w:rPr>
                <w:sz w:val="18"/>
              </w:rPr>
              <w:t>1 316,459 milliards XOF</w:t>
            </w:r>
          </w:p>
        </w:tc>
      </w:tr>
      <w:tr>
        <w:tc>
          <w:tcPr>
            <w:tcW w:type="dxa" w:w="2160"/>
          </w:tcPr>
          <w:p>
            <w:r/>
            <w:r>
              <w:rPr>
                <w:b/>
                <w:sz w:val="16"/>
              </w:rPr>
              <w:t>resultat_net</w:t>
              <w:br/>
            </w:r>
            <w:r>
              <w:rPr>
                <w:sz w:val="18"/>
              </w:rPr>
              <w:t>34,031 milliards XOF</w:t>
            </w:r>
          </w:p>
        </w:tc>
        <w:tc>
          <w:tcPr>
            <w:tcW w:type="dxa" w:w="2160"/>
          </w:tcPr>
          <w:p>
            <w:r/>
            <w:r>
              <w:rPr>
                <w:b/>
                <w:sz w:val="16"/>
              </w:rPr>
              <w:t>capitaux_propres</w:t>
              <w:br/>
            </w:r>
            <w:r>
              <w:rPr>
                <w:sz w:val="18"/>
              </w:rPr>
              <w:t>130,799 milliards XOF</w:t>
            </w:r>
          </w:p>
        </w:tc>
        <w:tc>
          <w:tcPr>
            <w:tcW w:type="dxa" w:w="2160"/>
          </w:tcPr>
          <w:p>
            <w:r/>
            <w:r>
              <w:rPr>
                <w:b/>
                <w:sz w:val="16"/>
              </w:rPr>
              <w:t>chiffre_affaires</w:t>
              <w:br/>
            </w:r>
            <w:r>
              <w:rPr>
                <w:sz w:val="18"/>
              </w:rPr>
              <w:t>76,532 milliards XOF</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bilan de 7,5% à 1 316,5 milliards XOF en 2021</w:t>
      </w:r>
    </w:p>
    <w:p>
      <w:pPr>
        <w:pStyle w:val="ListBullet"/>
        <w:spacing w:before="20" w:after="20"/>
        <w:ind w:left="700"/>
      </w:pPr>
      <w:r>
        <w:rPr>
          <w:sz w:val="18"/>
        </w:rPr>
        <w:t>Forte progression des dépôts clients de 13,8% à 1 099,7 milliards XOF</w:t>
      </w:r>
    </w:p>
    <w:p>
      <w:pPr>
        <w:pStyle w:val="ListBullet"/>
        <w:spacing w:before="20" w:after="20"/>
        <w:ind w:left="700"/>
      </w:pPr>
      <w:r>
        <w:rPr>
          <w:sz w:val="18"/>
        </w:rPr>
        <w:t>Amélioration significative du coût du risque de -78,7% à 1,3 milliard XOF</w:t>
      </w:r>
    </w:p>
    <w:p>
      <w:pPr>
        <w:pStyle w:val="ListBullet"/>
        <w:spacing w:before="20" w:after="20"/>
        <w:ind w:left="700"/>
      </w:pPr>
      <w:r>
        <w:rPr>
          <w:sz w:val="18"/>
        </w:rPr>
        <w:t>Résultat net en hausse de 12,5% à 34,031 milliards XOF</w:t>
      </w:r>
    </w:p>
    <w:p>
      <w:pPr>
        <w:pStyle w:val="ListBullet"/>
        <w:spacing w:before="20" w:after="20"/>
        <w:ind w:left="700"/>
      </w:pPr>
      <w:r>
        <w:rPr>
          <w:sz w:val="18"/>
        </w:rPr>
        <w:t>ROE excellent de 28,51% (+121 bps) parmi les meilleurs du marché</w:t>
      </w:r>
    </w:p>
    <w:p>
      <w:pPr>
        <w:pStyle w:val="ListBullet"/>
        <w:spacing w:before="20" w:after="20"/>
        <w:ind w:left="700"/>
      </w:pPr>
      <w:r>
        <w:rPr>
          <w:sz w:val="18"/>
        </w:rPr>
        <w:t>Ratio de solvabilité solide à 13,42% (+80 bps), bien au-dessus des 11,25% réglementaires</w:t>
      </w:r>
    </w:p>
    <w:p>
      <w:pPr>
        <w:spacing w:before="40"/>
        <w:ind w:left="400"/>
      </w:pPr>
      <w:r>
        <w:rPr>
          <w:b/>
          <w:color w:val="C05000"/>
          <w:sz w:val="18"/>
        </w:rPr>
        <w:t xml:space="preserve">⚠️ Risques : </w:t>
      </w:r>
      <w:r>
        <w:rPr>
          <w:sz w:val="18"/>
        </w:rPr>
        <w:t>["Exposition au risque \u00e9conomique ivoirien et aux fluctuations des mati\u00e8res premi\u00e8res", "Impact potentiel de nouvelles vagues de crise sanitaire sur l'activit\u00e9 \u00e9conomique", "Concurrence accrue dans le secteur bancaire ivoirien"]</w:t>
      </w:r>
    </w:p>
    <w:p>
      <w:pPr>
        <w:spacing w:before="40"/>
        <w:ind w:left="400"/>
      </w:pPr>
      <w:r>
        <w:rPr>
          <w:b/>
          <w:color w:val="0064A0"/>
          <w:sz w:val="18"/>
        </w:rPr>
        <w:t xml:space="preserve">🔮 Perspectives : </w:t>
      </w:r>
      <w:r>
        <w:rPr>
          <w:sz w:val="18"/>
        </w:rPr>
        <w:t>La SIB prévoit de poursuivre sa dynamique commerciale en 2022, année de célébration de son 60ème anniversaire, avec le déploiement de nouveaux produits et l'inauguration de nouveaux points d'accueil. La banque continuera d'investir dans la digitalisation et l'amélioration de l'expérience client tout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financi\u00e8re solide avec croissance soutenue et capitalisation robuste. Cependant, l'environnement macro\u00e9conomique incertain et la baisse anticip\u00e9e des revenus obligataires incitent \u00e0 la prudence."}</w:t>
      </w:r>
    </w:p>
    <w:p>
      <w:pPr>
        <w:spacing w:before="40"/>
        <w:ind w:left="400"/>
      </w:pPr>
      <w:r>
        <w:rPr>
          <w:sz w:val="18"/>
        </w:rPr>
        <w:t>La Société Ivoirienne de Banque (SIB) présente des résultats solides au premier trimestre 2022 malgré un environnement macroéconomique difficile marqué par la crise ukrainienne et l'inflation. La banque affiche une croissance soutenue de ses crédits (+12%) et dépôts (+7%) sur une année glissante. Le produit net bancaire progresse de 3% à 21,8 milliards XOF tandis que le résultat net provisoire bondit de 10% à 12,3 milliards XOF. La capitalisation reste solide avec un ratio de solvabilité de 13,1% au-dessus des normes réglementaires. Les perspectives demeurent favorables sous réserve d'absence de retournement conjoncturel majeur.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'1 089,9 milliards XOF', 'credits_clientele': '904,2 milliards XOF', 'ratio_solvabilite': '13,1%', 'coefficient_exploitation': '39,5%'}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1 346,0 milliards XOF</w:t>
            </w:r>
          </w:p>
        </w:tc>
      </w:tr>
      <w:tr>
        <w:tc>
          <w:tcPr>
            <w:tcW w:type="dxa" w:w="2160"/>
          </w:tcPr>
          <w:p>
            <w:r/>
            <w:r>
              <w:rPr>
                <w:b/>
                <w:sz w:val="16"/>
              </w:rPr>
              <w:t>resultat_net</w:t>
              <w:br/>
            </w:r>
            <w:r>
              <w:rPr>
                <w:sz w:val="18"/>
              </w:rPr>
              <w:t>12,3 milliards XOF</w:t>
            </w:r>
          </w:p>
        </w:tc>
        <w:tc>
          <w:tcPr>
            <w:tcW w:type="dxa" w:w="2160"/>
          </w:tcPr>
          <w:p>
            <w:r/>
            <w:r>
              <w:rPr>
                <w:b/>
                <w:sz w:val="16"/>
              </w:rPr>
              <w:t>capitaux_propres</w:t>
              <w:br/>
            </w:r>
            <w:r>
              <w:rPr>
                <w:sz w:val="18"/>
              </w:rPr>
              <w:t>143,1 milliards XOF</w:t>
            </w:r>
          </w:p>
        </w:tc>
        <w:tc>
          <w:tcPr>
            <w:tcW w:type="dxa" w:w="2160"/>
          </w:tcPr>
          <w:p>
            <w:r/>
            <w:r>
              <w:rPr>
                <w:b/>
                <w:sz w:val="16"/>
              </w:rPr>
              <w:t>chiffre_affaires</w:t>
              <w:br/>
            </w:r>
            <w:r>
              <w:rPr>
                <w:sz w:val="18"/>
              </w:rPr>
              <w:t>21,8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crédits à la clientèle de 12% atteignant 904,2 milliards XOF</w:t>
      </w:r>
    </w:p>
    <w:p>
      <w:pPr>
        <w:pStyle w:val="ListBullet"/>
        <w:spacing w:before="20" w:after="20"/>
        <w:ind w:left="700"/>
      </w:pPr>
      <w:r>
        <w:rPr>
          <w:sz w:val="18"/>
        </w:rPr>
        <w:t>Progression des dépôts clients de 7% pour atteindre 1 089,9 milliards XOF</w:t>
      </w:r>
    </w:p>
    <w:p>
      <w:pPr>
        <w:pStyle w:val="ListBullet"/>
        <w:spacing w:before="20" w:after="20"/>
        <w:ind w:left="700"/>
      </w:pPr>
      <w:r>
        <w:rPr>
          <w:sz w:val="18"/>
        </w:rPr>
        <w:t>Hausse du résultat net provisoire de 10% à 12,3 milliards XOF</w:t>
      </w:r>
    </w:p>
    <w:p>
      <w:pPr>
        <w:pStyle w:val="ListBullet"/>
        <w:spacing w:before="20" w:after="20"/>
        <w:ind w:left="700"/>
      </w:pPr>
      <w:r>
        <w:rPr>
          <w:sz w:val="18"/>
        </w:rPr>
        <w:t>Amélioration du coefficient d'exploitation de 20bp à 39,5%</w:t>
      </w:r>
    </w:p>
    <w:p>
      <w:pPr>
        <w:pStyle w:val="ListBullet"/>
        <w:spacing w:before="20" w:after="20"/>
        <w:ind w:left="700"/>
      </w:pPr>
      <w:r>
        <w:rPr>
          <w:sz w:val="18"/>
        </w:rPr>
        <w:t>Renforcement des capitaux propres de 10% à 143,1 milliards XOF</w:t>
      </w:r>
    </w:p>
    <w:p>
      <w:pPr>
        <w:pStyle w:val="ListBullet"/>
        <w:spacing w:before="20" w:after="20"/>
        <w:ind w:left="700"/>
      </w:pPr>
      <w:r>
        <w:rPr>
          <w:sz w:val="18"/>
        </w:rPr>
        <w:t>Ratio de solvabilité maintenu à 13,1%, au-dessus de la norme de 11,25%</w:t>
      </w:r>
    </w:p>
    <w:p>
      <w:pPr>
        <w:spacing w:before="40"/>
        <w:ind w:left="400"/>
      </w:pPr>
      <w:r>
        <w:rPr>
          <w:b/>
          <w:color w:val="C05000"/>
          <w:sz w:val="18"/>
        </w:rPr>
        <w:t xml:space="preserve">⚠️ Risques : </w:t>
      </w:r>
      <w:r>
        <w:rPr>
          <w:sz w:val="18"/>
        </w:rPr>
        <w:t>["D\u00e9t\u00e9rioration de l'environnement macro\u00e9conomique li\u00e9e \u00e0 la crise ukrainienne et \u00e0 l'inflation", "Baisse des rendements des titres souverains impactant les revenus de march\u00e9", "R\u00e9vision \u00e0 la baisse des projections de croissance \u00e9conomique ivoirienne</w:t>
      </w:r>
    </w:p>
    <w:p>
      <w:pPr>
        <w:spacing w:before="40"/>
        <w:ind w:left="400"/>
      </w:pPr>
      <w:r>
        <w:rPr>
          <w:b/>
          <w:color w:val="0064A0"/>
          <w:sz w:val="18"/>
        </w:rPr>
        <w:t xml:space="preserve">🔮 Perspectives : </w:t>
      </w:r>
      <w:r>
        <w:rPr>
          <w:sz w:val="18"/>
        </w:rPr>
        <w:t>La tendance favorable caractérisée par des indicateurs d'activité et de rentabilité bien orientés devrait se poursuivre les prochains mois. Toutefois, cette trajectoire reste conditionnée à l'absence d'un retournement spectaculaire de la conjoncture économique. La banque bénéficie de sa transformati</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SIB d\u00e9montre une excellente r\u00e9silience avec une croissance \u00e0 deux chiffres de sa rentabilit\u00e9 malgr\u00e9 un contexte difficile. L'am\u00e9lioration continue de l'efficacit\u00e9 op\u00e9rationnelle et les solides ratios financiers en font une valeur de qualit\u00e9 sur le secteur bancaire ivoirien."}</w:t>
      </w:r>
    </w:p>
    <w:p>
      <w:pPr>
        <w:spacing w:before="40"/>
        <w:ind w:left="400"/>
      </w:pPr>
      <w:r>
        <w:rPr>
          <w:sz w:val="18"/>
        </w:rPr>
        <w:t>La Société Ivoirienne de Banque (SIB) affiche une performance solide au premier semestre 2022 malgré un environnement économique difficile marqué par l'inflation et les tensions géopolitiques. Le Produit Net Bancaire progresse de 11% à 43,5 milliards XOF tandis que le résultat net provisoire bondit de 20% à 22,8 milliards XOF. La banque maintient une croissance soutenue de ses crédits (+15%) et dépôts (+12%) tout en améliorant son coefficient d'exploitation qui passe de 44,3% à 41,1%. Les ratios de rentabilité placent la SIB dans le peloton de tête des banques ivoiriennes. L'établissement célèbre ses 60 ans et poursuit l'expansion de son réseau avec l'inauguration d'un nouveau centre d'affai</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'0,4 milliards XOF', 'rentabilite_ROE': '34,8%', 'depots_clientele': '1 157 milliards XOF', 'credits_clientele': '919 milliards XOF', 'coefficient_exploitation': '41,1%'}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52,4%</w:t>
            </w:r>
          </w:p>
        </w:tc>
        <w:tc>
          <w:tcPr>
            <w:tcW w:type="dxa" w:w="2160"/>
          </w:tcPr>
          <w:p>
            <w:pPr>
              <w:ind w:left="100"/>
            </w:pPr>
            <w:r/>
            <w:r>
              <w:rPr>
                <w:b/>
                <w:sz w:val="16"/>
              </w:rPr>
              <w:t>total_actif</w:t>
              <w:br/>
            </w:r>
            <w:r>
              <w:rPr>
                <w:sz w:val="18"/>
              </w:rPr>
              <w:t>1 453 milliards XOF</w:t>
            </w:r>
          </w:p>
        </w:tc>
      </w:tr>
      <w:tr>
        <w:tc>
          <w:tcPr>
            <w:tcW w:type="dxa" w:w="2160"/>
          </w:tcPr>
          <w:p>
            <w:r/>
            <w:r>
              <w:rPr>
                <w:b/>
                <w:sz w:val="16"/>
              </w:rPr>
              <w:t>resultat_net</w:t>
              <w:br/>
            </w:r>
            <w:r>
              <w:rPr>
                <w:sz w:val="18"/>
              </w:rPr>
              <w:t>22,8 milliards XOF</w:t>
            </w:r>
          </w:p>
        </w:tc>
        <w:tc>
          <w:tcPr>
            <w:tcW w:type="dxa" w:w="2160"/>
          </w:tcPr>
          <w:p>
            <w:r/>
            <w:r>
              <w:rPr>
                <w:b/>
                <w:sz w:val="16"/>
              </w:rPr>
              <w:t>capitaux_propres</w:t>
              <w:br/>
            </w:r>
            <w:r>
              <w:rPr>
                <w:sz w:val="18"/>
              </w:rPr>
              <w:t>131 milliards XOF</w:t>
            </w:r>
          </w:p>
        </w:tc>
        <w:tc>
          <w:tcPr>
            <w:tcW w:type="dxa" w:w="2160"/>
          </w:tcPr>
          <w:p>
            <w:r/>
            <w:r>
              <w:rPr>
                <w:b/>
                <w:sz w:val="16"/>
              </w:rPr>
              <w:t>chiffre_affaires</w:t>
              <w:br/>
            </w:r>
            <w:r>
              <w:rPr>
                <w:sz w:val="18"/>
              </w:rPr>
              <w:t>43,5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+20% à 22,8 milliards XOF au S1 2022</w:t>
      </w:r>
    </w:p>
    <w:p>
      <w:pPr>
        <w:pStyle w:val="ListBullet"/>
        <w:spacing w:before="20" w:after="20"/>
        <w:ind w:left="700"/>
      </w:pPr>
      <w:r>
        <w:rPr>
          <w:sz w:val="18"/>
        </w:rPr>
        <w:t>Progression du PNB de +11% à 43,5 milliards XOF</w:t>
      </w:r>
    </w:p>
    <w:p>
      <w:pPr>
        <w:pStyle w:val="ListBullet"/>
        <w:spacing w:before="20" w:after="20"/>
        <w:ind w:left="700"/>
      </w:pPr>
      <w:r>
        <w:rPr>
          <w:sz w:val="18"/>
        </w:rPr>
        <w:t>Amélioration du coefficient d'exploitation de 44,3% à 41,1%</w:t>
      </w:r>
    </w:p>
    <w:p>
      <w:pPr>
        <w:pStyle w:val="ListBullet"/>
        <w:spacing w:before="20" w:after="20"/>
        <w:ind w:left="700"/>
      </w:pPr>
      <w:r>
        <w:rPr>
          <w:sz w:val="18"/>
        </w:rPr>
        <w:t>Croissance des crédits clientèle de +15% à 919 milliards XOF</w:t>
      </w:r>
    </w:p>
    <w:p>
      <w:pPr>
        <w:pStyle w:val="ListBullet"/>
        <w:spacing w:before="20" w:after="20"/>
        <w:ind w:left="700"/>
      </w:pPr>
      <w:r>
        <w:rPr>
          <w:sz w:val="18"/>
        </w:rPr>
        <w:t>Progression des dépôts clientèle de +12% à 1 157 milliards XOF</w:t>
      </w:r>
    </w:p>
    <w:p>
      <w:pPr>
        <w:pStyle w:val="ListBullet"/>
        <w:spacing w:before="20" w:after="20"/>
        <w:ind w:left="700"/>
      </w:pPr>
      <w:r>
        <w:rPr>
          <w:sz w:val="18"/>
        </w:rPr>
        <w:t>Maintien du statut de 1ère banque Spécialiste en Valeurs du Trésor pour la 5ème année consécutive</w:t>
      </w:r>
    </w:p>
    <w:p>
      <w:pPr>
        <w:spacing w:before="40"/>
        <w:ind w:left="400"/>
      </w:pPr>
      <w:r>
        <w:rPr>
          <w:b/>
          <w:color w:val="C05000"/>
          <w:sz w:val="18"/>
        </w:rPr>
        <w:t xml:space="preserve">⚠️ Risques : </w:t>
      </w:r>
      <w:r>
        <w:rPr>
          <w:sz w:val="18"/>
        </w:rPr>
        <w:t>["Impact de la pouss\u00e9e inflationniste et du ralentissement \u00e9conomique sur la qualit\u00e9 des cr\u00e9dits", "Tension sur les marges li\u00e9e \u00e0 la hausse des taux directeurs de la BCEAO", "Exposition au risque souverain ivoirien via les activit\u00e9s de march\u00e9 sur les obligatio</w:t>
      </w:r>
    </w:p>
    <w:p>
      <w:pPr>
        <w:spacing w:before="40"/>
        <w:ind w:left="400"/>
      </w:pPr>
      <w:r>
        <w:rPr>
          <w:b/>
          <w:color w:val="0064A0"/>
          <w:sz w:val="18"/>
        </w:rPr>
        <w:t xml:space="preserve">🔮 Perspectives : </w:t>
      </w:r>
      <w:r>
        <w:rPr>
          <w:sz w:val="18"/>
        </w:rPr>
        <w:t>La SIB prévoit de poursuivre sa dynamique d'accompagnement de la clientèle au second semestre 2022 tout en restant attentive à l'évolution conjoncturelle. L'établissement devrait maintenir son implication sur le marché obligataire et continuer l'expansion de son réseau dans le cadre de son plan stra</w:t>
      </w:r>
    </w:p>
    <w:p/>
    <w:p>
      <w:r>
        <w:t>════════════════════════════════════════════════════════════════════════════════</w:t>
      </w:r>
    </w:p>
    <w:p>
      <w:r>
        <w:br w:type="page"/>
      </w:r>
    </w:p>
    <w:p>
      <w:pPr>
        <w:pStyle w:val="Heading2"/>
        <w:spacing w:before="360"/>
      </w:pPr>
      <w:r>
        <w:rPr>
          <w:color w:val="0066CC"/>
        </w:rPr>
        <w:t>36. SICC - SICC - SICOR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SICC</w:t>
            </w:r>
          </w:p>
          <w:p>
            <w:r>
              <w:rPr>
                <w:b/>
                <w:color w:val="323250"/>
                <w:sz w:val="16"/>
              </w:rPr>
              <w:t xml:space="preserve">Société : </w:t>
            </w:r>
            <w:r>
              <w:rPr>
                <w:color w:val="000000"/>
                <w:sz w:val="16"/>
              </w:rPr>
              <w:t>SICC - SICOR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5.04 Mds FCFA</w:t>
            </w:r>
          </w:p>
          <w:p>
            <w:r>
              <w:rPr>
                <w:b/>
                <w:color w:val="1E461E"/>
                <w:sz w:val="16"/>
              </w:rPr>
              <w:t xml:space="preserve">Catégorie : </w:t>
            </w:r>
            <w:r>
              <w:rPr>
                <w:b/>
                <w:color w:val="006400"/>
                <w:sz w:val="17"/>
              </w:rPr>
              <w:t>Micro cap (&lt;10 Mds)</w:t>
            </w:r>
          </w:p>
          <w:p>
            <w:r>
              <w:rPr>
                <w:b/>
                <w:color w:val="1E461E"/>
                <w:sz w:val="16"/>
              </w:rPr>
              <w:t xml:space="preserve">Vol. moy/jour : </w:t>
            </w:r>
            <w:r>
              <w:rPr>
                <w:b/>
                <w:color w:val="006400"/>
                <w:sz w:val="17"/>
              </w:rPr>
              <w:t>120 titres</w:t>
            </w:r>
          </w:p>
        </w:tc>
        <w:tc>
          <w:tcPr>
            <w:tcW w:type="dxa" w:w="2268"/>
            <w:shd w:fill="FFF2CC" w:val="clear"/>
          </w:tcPr>
          <w:p>
            <w:r>
              <w:rPr>
                <w:b/>
                <w:color w:val="503200"/>
                <w:sz w:val="16"/>
              </w:rPr>
              <w:t xml:space="preserve">Cours actuel : </w:t>
            </w:r>
            <w:r>
              <w:rPr>
                <w:color w:val="000000"/>
                <w:sz w:val="17"/>
              </w:rPr>
              <w:t>N/D</w:t>
            </w:r>
          </w:p>
          <w:p>
            <w:r>
              <w:rPr>
                <w:b/>
                <w:color w:val="503200"/>
                <w:sz w:val="16"/>
              </w:rPr>
              <w:t xml:space="preserve">Var. 100 jours : </w:t>
            </w:r>
            <w:r>
              <w:rPr>
                <w:b/>
                <w:color w:val="007800"/>
                <w:sz w:val="17"/>
              </w:rPr>
              <w:t>+95.35%</w:t>
            </w:r>
          </w:p>
          <w:p>
            <w:r>
              <w:rPr>
                <w:b/>
                <w:color w:val="503200"/>
                <w:sz w:val="16"/>
              </w:rPr>
              <w:t xml:space="preserve">Plus haut 100j : </w:t>
            </w:r>
            <w:r>
              <w:rPr>
                <w:color w:val="000000"/>
                <w:sz w:val="17"/>
              </w:rPr>
              <w:t>10,200 FCFA</w:t>
            </w:r>
          </w:p>
          <w:p>
            <w:r>
              <w:rPr>
                <w:b/>
                <w:color w:val="503200"/>
                <w:sz w:val="16"/>
              </w:rPr>
              <w:t xml:space="preserve">Plus bas 100j : </w:t>
            </w:r>
            <w:r>
              <w:rPr>
                <w:color w:val="000000"/>
                <w:sz w:val="17"/>
              </w:rPr>
              <w:t>3,985 FCFA</w:t>
            </w:r>
          </w:p>
          <w:p>
            <w:r>
              <w:rPr>
                <w:b/>
                <w:color w:val="503200"/>
                <w:sz w:val="16"/>
              </w:rPr>
              <w:t xml:space="preserve">Volatilité ann. : </w:t>
            </w:r>
            <w:r>
              <w:rPr>
                <w:color w:val="000000"/>
                <w:sz w:val="17"/>
              </w:rPr>
              <w:t>58.2%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Moyen</w:t>
            </w:r>
          </w:p>
        </w:tc>
      </w:tr>
    </w:tbl>
    <w:p/>
    <w:p>
      <w:pPr>
        <w:spacing w:before="120" w:after="40"/>
      </w:pPr>
      <w:r>
        <w:rPr>
          <w:b/>
          <w:color w:val="003366"/>
          <w:sz w:val="20"/>
        </w:rPr>
        <w:t xml:space="preserve">⚠️ SCORE DE RISQUE — </w:t>
      </w:r>
      <w:r>
        <w:rPr>
          <w:b/>
          <w:color w:val="825A00"/>
          <w:sz w:val="22"/>
        </w:rPr>
        <w:t>34.2/100 → Moyen</w:t>
      </w:r>
    </w:p>
    <w:p>
      <w:pPr>
        <w:spacing w:before="40" w:after="80"/>
      </w:pPr>
      <w:r>
        <w:rPr>
          <w:rFonts w:ascii="Courier New" w:hAnsi="Courier New"/>
          <w:color w:val="825A00"/>
          <w:sz w:val="18"/>
        </w:rPr>
        <w:t>██████░░░░░░░░░░░░░░  34.2/100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31.02% (Élevée) — μ=5,815 FCFA, σ=1,804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E2EFDA" w:val="clear"/>
          </w:tcPr>
          <w:p>
            <w:r>
              <w:rPr>
                <w:b/>
                <w:sz w:val="15"/>
              </w:rPr>
              <w:t>β=-1.0850 (Contre-cyclique) — Cov=-0.000042, Var(idx)=0.000039, ρ=-0.176, n=81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FFEB9C" w:val="clear"/>
          </w:tcPr>
          <w:p>
            <w:r>
              <w:rPr>
                <w:b/>
                <w:sz w:val="15"/>
              </w:rPr>
              <w:t>120 titres/j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C6EFCE" w:val="clear"/>
          </w:tcPr>
          <w:p>
            <w:r>
              <w:rPr>
                <w:b/>
                <w:sz w:val="15"/>
              </w:rPr>
              <w:t>Achat=0 / Vente=0 / Total=0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FFEB9C" w:val="clear"/>
          </w:tcPr>
          <w:p>
            <w:r>
              <w:rPr>
                <w:b/>
                <w:sz w:val="15"/>
              </w:rPr>
              <w:t>σ_j=3.67%/j (Modérée) — Vol. annualisée≈58.2%</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A07800"/>
          <w:sz w:val="18"/>
        </w:rPr>
        <w:t xml:space="preserve">🟡 MM  </w:t>
      </w:r>
      <w:r>
        <w:rPr>
          <w:color w:val="A07800"/>
          <w:sz w:val="18"/>
        </w:rPr>
        <w:t xml:space="preserve">🟡 Bollinger  </w:t>
      </w:r>
      <w:r>
        <w:rPr>
          <w:color w:val="A078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A06400"/>
          <w:sz w:val="26"/>
        </w:rPr>
        <w:t>52/100  (Moyen)</w:t>
      </w:r>
    </w:p>
    <w:p/>
    <w:p>
      <w:pPr>
        <w:jc w:val="center"/>
      </w:pPr>
      <w:r>
        <w:drawing>
          <wp:inline xmlns:a="http://schemas.openxmlformats.org/drawingml/2006/main" xmlns:pic="http://schemas.openxmlformats.org/drawingml/2006/picture">
            <wp:extent cx="5669280" cy="2598627"/>
            <wp:docPr id="38" name="Picture 38"/>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5669280" cy="2598627"/>
                    </a:xfrm>
                    <a:prstGeom prst="rect"/>
                  </pic:spPr>
                </pic:pic>
              </a:graphicData>
            </a:graphic>
          </wp:inline>
        </w:drawing>
      </w:r>
    </w:p>
    <w:p/>
    <w:p>
      <w:pPr>
        <w:spacing w:after="120" w:line="276" w:lineRule="auto"/>
      </w:pPr>
      <w:r>
        <w:t># RAPPORT D'ANALYSE FINANCIÈRE — SICOR (SICC)</w:t>
        <w:br/>
        <w:t>**Société Ivoirienne de Coco Râpé — BRVM | Secteur : Agro-industrie**</w:t>
        <w:br/>
        <w:t>*Date d'analyse : mai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SICOR s'établit à **5,04 milliards FCFA**, un niveau modeste à l'échelle de la BRVM qui la classe parmi les petites capitalisations du compartiment agro-industriel. Les ratios de valorisation classiques (BPA, PER, P/B, EV/EBITDA) ne sont pas calculables en l'état, faute de données financières structurées récentes et fiables permettant de rapporter le cours actuel (8 400 FCFA) à un bénéfice par action ou à une valeur comptable actualisée. Cette absence de ratios est en soi un signal : elle traduit une **faible couverture analytique** du titre et une opacité relative sur la rentabilité courante, ce qui accroît la prime de risque exigée par le marché. L'investisseur doit donc s'appuyer sur les rapports financiers officiels (Partie 3) pour apprécier la valeur intrinsèque, en gardant à l'esprit que le PER implicite, si l'on rapporte la capitalisation au dernier résultat net connu, ressort à des niveaux très élevés (voir Partie 3).</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SICOR affiche une **performance spectaculaire de +95,35%**, malgré un repli marginal de **-1,12% lors de la dernière séance**. Le titre a évolué dans un range très large, entre un plus bas de **3 985 FCFA** et un plus haut de **10 200 FCFA**, soit un écart de plus de 155% entre les deux extrêmes — signe d'une **tendance haussière puissante mais heurtée**. Le cours actuel de 8 400 FCFA se situe à environ 82% du plus haut, ce qui suggère une phase de consolidation après le pic. Les statistiques descriptives révèlent une **moyenne (5 815 FCFA) nettement supérieure à la médiane (5 022 FCFA)**, confirmant une distribution asymétrique tirée vers le haut par les récents sommets ; le **skewness positif de 0,913** indique d'ailleurs que la majorité des séances se sont déroulées sous la moyenne, avec quelques journées de forte hausse. L'**écart-type de 1 813 FCFA (CV = 31,2%)** traduit une dispersion élevée du cours, et le **kurtosis de -0,630 (mésokurtique)** suggère une distribution proche de la normale, sans pics extrêmes marqués. Enfin, la **volatilité annualisée de 58,2%** classe clairement SICOR parmi les titres à **volatilité élevée (&gt;30%)**, ce qui implique un risque de marché important et justifie une approche prudente.</w:t>
      </w:r>
    </w:p>
    <w:p>
      <w:pPr>
        <w:spacing w:after="120" w:line="276" w:lineRule="auto"/>
      </w:pPr>
      <w:r>
        <w:t>---</w:t>
      </w:r>
    </w:p>
    <w:p>
      <w:pPr>
        <w:spacing w:after="120" w:line="276" w:lineRule="auto"/>
      </w:pPr>
      <w:r>
        <w:t>## PARTIE 2 : ANALYSE TECHNIQUE DÉTAILLÉE</w:t>
      </w:r>
    </w:p>
    <w:p>
      <w:pPr>
        <w:spacing w:after="120" w:line="276" w:lineRule="auto"/>
      </w:pPr>
      <w:r>
        <w:t>**Moyennes Mobiles (MM20 / MM50) :** Les valeurs des moyennes mobiles ne sont pas disponibles (nan), ce qui empêche toute lecture de la position relative du cours par rapport à ses tendances de court et moyen terme. En l'absence de ces repères, la décision technique reste indéterminée et l'analyse doit s'appuyer sur les autres indicateurs.</w:t>
      </w:r>
    </w:p>
    <w:p>
      <w:pPr>
        <w:spacing w:after="120" w:line="276" w:lineRule="auto"/>
      </w:pPr>
      <w:r>
        <w:t>**Bandes de Bollinger :** Les bornes supérieure et inférieure ne sont pas calculables (nan), rendant impossible l'évaluation de la position du cours dans le canal de volatilité. Cette absence prive l'analyste d'un outil clé pour détecter d'éventuelles situations de surachat ou de survente.</w:t>
      </w:r>
    </w:p>
    <w:p>
      <w:pPr>
        <w:spacing w:after="120" w:line="276" w:lineRule="auto"/>
      </w:pPr>
      <w:r>
        <w:t>**MACD :** La valeur du MACD et de sa ligne de signal n'étant pas disponibles (nan), aucune divergence ni croisement ne peut être identifié. Le momentum de court terme reste donc non quantifiable via cet indicateur.</w:t>
      </w:r>
    </w:p>
    <w:p>
      <w:pPr>
        <w:spacing w:after="120" w:line="276" w:lineRule="auto"/>
      </w:pPr>
      <w:r>
        <w:t>**RSI :** La valeur du RSI n'est pas fournie (nan), ce qui empêche de statuer sur une éventuelle zone de surachat (&gt;70) ou de survente (&lt;30). La décision reste neutre par défaut.</w:t>
      </w:r>
    </w:p>
    <w:p>
      <w:pPr>
        <w:spacing w:after="120" w:line="276" w:lineRule="auto"/>
      </w:pPr>
      <w:r>
        <w:t>**Stochastique (%K / %D) :** Les valeurs %K et %D sont indisponibles (nan), rendant impossible l'analyse d'un croisement ou d'une position en zone extrême.</w:t>
      </w:r>
    </w:p>
    <w:p>
      <w:pPr>
        <w:spacing w:after="120" w:line="276" w:lineRule="auto"/>
      </w:pPr>
      <w:r>
        <w:t>**Conclusion technique :** L'ensemble des indicateurs techniques étant indisponibles (valeurs nan), **aucune conclusion technique fiable ne peut être tirée**. La seule information exploitable reste la dynamique de prix (+95,35% sur 100 jours) et la volatilité élevée (58,2%), qui suggèrent un titre en forte tendance haussière mais exposé à des corrections brutales. En l'absence de signaux techniques confirmés, la prudence impose de ne pas se fier uniquement au momentum passé.</w:t>
      </w:r>
    </w:p>
    <w:p>
      <w:pPr>
        <w:spacing w:after="120" w:line="276" w:lineRule="auto"/>
      </w:pPr>
      <w:r>
        <w:t>---</w:t>
      </w:r>
    </w:p>
    <w:p>
      <w:pPr>
        <w:spacing w:after="120" w:line="276" w:lineRule="auto"/>
      </w:pPr>
      <w:r>
        <w:t>## PARTIE 3 : ANALYSE FONDAMENTALE (SECTION CRITIQUE)</w:t>
      </w:r>
    </w:p>
    <w:p>
      <w:pPr>
        <w:spacing w:after="120" w:line="276" w:lineRule="auto"/>
      </w:pPr>
      <w:r>
        <w:t>L'analyse fondamentale de SICOR s'appuie sur les rapports financiers officiels disponibles, dont les plus récents remontent à l'exercice **2024** (rapport annuel analysé par GEMINI-VISION le 06/09/2026) et à l'exercice **2023** (analysé par MISTRAL le 15/03/2026). **En 2023**, la société a réalisé un chiffre d'affaires de **701,09 millions FCFA**, en **baisse de 38,4%** par rapport aux 1 138,17 millions FCFA de 2022, et a dégagé un **résultat net positif de 19,25 millions FCFA** (marge nette de 2,75%), marquant un retour à la profitabilité après la perte de 39,95 millions FCFA en 2022. **En 2022**, le CA s'élevait à 1 138,17 millions FCFA (-17,58% vs 2021) pour une **perte nette de 39,95 millions FCFA** (marge nette de -3,51%), conséquence d'un effet ciseau défavorable et d'une liquidation des stocks. L'évolution sur cinq ans montre une **grande volatilité des résultats** : bénéfice de 989,4 millions FCFA en 2018, effondrement à 2,35 millions en 2019, rebond à 109,8 millions en 2020 et 119,2 millions en 2021, puis perte en 2022 et redressement fragile en 2023. Les **capitaux propres restent négatifs** (pertes cumulées de 689,86 millions FCFA en 2023), ce qui empêche toute distribution de dividende depuis 2019, conformément à l'Acte Uniforme OHADA. Le **ROE et le ROA ne sont pas calculables** en raison de capitaux propres négatifs, mais la marge nette de 2,75% en 2023 reste **très inférieure à la moyenne sectorielle** (5-10% en Afrique de l'Ouest). Les risques identifiés incluent des **vols de noix de coco** (arrêt du site de Boulay en 2023), une **trésorerie tendue** (découverts bancaires multipliés par 14) et une **dépendance aux cours mondiaux du coprah**. La recommandation fondamentale qui se dégage de ces rapports est **CONSERVER avec vigilance**, en attendant une confirmation durable du redressement et la résorption des pertes cumulées, prévue au mieux pour 2025-2026.</w:t>
      </w:r>
    </w:p>
    <w:p>
      <w:pPr>
        <w:spacing w:after="120" w:line="276" w:lineRule="auto"/>
      </w:pPr>
      <w:r>
        <w:t>---</w:t>
      </w:r>
    </w:p>
    <w:p>
      <w:pPr>
        <w:spacing w:after="120" w:line="276" w:lineRule="auto"/>
      </w:pPr>
      <w:r>
        <w:t>## PARTIE 4 : CONCLUSION D'INVESTISSEMENT</w:t>
      </w:r>
    </w:p>
    <w:p>
      <w:pPr>
        <w:spacing w:after="120" w:line="276" w:lineRule="auto"/>
      </w:pPr>
      <w:r>
        <w:t>La **valorisation (Partie 0)** reste difficile à apprécier faute de ratios calculables, mais la capitalisation de 5,04 milliards FCFA rapportée au résultat net 2023 (19,25 millions FCFA) implique un **PER implicite d'environ 262x**, soit un niveau extrêmement élevé qui traduit une anticipation très optimiste du marché. Le **comportement du cours (Partie 1)** est spectaculaire (+95,35% sur 100 jours) mais s'accompagne d'une **volatilité élevée (58,2%)** et d'une distribution asymétrique (skewness 0,913) qui signalent un risque de correction. Les **signaux techniques (Partie 2)** sont tous indisponibles (nan), ce qui prive l'analyse d'un appui technique et impose une **grande prudence**. Les **fondamentaux (Partie 3)** montrent une société en **redressement fragile** (retour à un bénéfice de 19,25 millions FCFA en 2023 après une perte en 2022), mais avec des **capitaux propres négatifs**, une absence de dividende depuis 2019 et des risques opérationnels persistants (vols, trésorerie tendue). Les **prédictions IA (J+1 à J+10)** ne sont pas disponibles, ce qui empêche toute confirmation ou infirmation de la trajectoire par ce biais. **Synthèse globale** : la convergence entre une valorisation tendue (PER implicite très élevé), une technique aveugle (indicateurs nan), des fondamentaux fragiles et une absence de prédiction IA plaide pour une **grande prudence**. En conséquence, la recommandation finale est **CONSERVER** (avec vigilance), justifiée par le potentiel de redressement mais contrebalancée par des risques élevés. Le **niveau de confiance est Moyen** (données partielles), le **risque global est Élevé** (volatilité 58,2%, capitaux propres négatifs, opacité), et l'**horizon d'investissement optimal est le long terme (&gt;1 an)**, le temps que la société confirme sa rentabilité et résorbe ses pertes cumulées.</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20260515   avis de convocation   assemblee generale ordinaire   sicor ci</w:t>
      </w:r>
    </w:p>
    <w:p>
      <w:pPr>
        <w:spacing w:before="20"/>
        <w:ind w:left="400"/>
      </w:pPr>
      <w:r>
        <w:rPr>
          <w:color w:val="505050"/>
          <w:sz w:val="17"/>
        </w:rPr>
        <w:t xml:space="preserve">Date : 16/05/2026  |  Catégorie : convocation AG  |  Impact : </w:t>
      </w:r>
      <w:r>
        <w:rPr>
          <w:b/>
          <w:color w:val="646464"/>
          <w:sz w:val="17"/>
        </w:rPr>
        <w:t>⚪ NEUTRE</w:t>
      </w:r>
    </w:p>
    <w:p>
      <w:pPr>
        <w:spacing w:before="40"/>
        <w:ind w:left="400"/>
      </w:pPr>
      <w:r>
        <w:rPr>
          <w:sz w:val="18"/>
        </w:rPr>
        <w:t>La Société Ivoirienne de Coco Râpé (SICOR) convoque ses actionnaires en Assemblée Générale Ordinaire le vendredi 22 mai 2026 à 09h au siège de Jacqueville. L'ordre du jour porte sur l'exercice clos le 31 décembre 2024 avec notamment l'approbation des comptes et diverses ratifications. Les actionnaires peuvent assister personnellement ou se faire représenter par mandataire.</w:t>
      </w:r>
    </w:p>
    <w:p>
      <w:pPr>
        <w:spacing w:before="60"/>
        <w:ind w:left="400"/>
      </w:pPr>
      <w:r>
        <w:rPr>
          <w:b/>
          <w:sz w:val="18"/>
        </w:rPr>
        <w:t>Points clés :</w:t>
      </w:r>
    </w:p>
    <w:p>
      <w:pPr>
        <w:pStyle w:val="ListBullet"/>
        <w:spacing w:before="20" w:after="20"/>
        <w:ind w:left="700"/>
      </w:pPr>
      <w:r>
        <w:rPr>
          <w:sz w:val="18"/>
        </w:rPr>
        <w:t>Convocation d'Assemblée Générale Ordinaire le 22 mai 2026 à 09h à Jacqueville</w:t>
      </w:r>
    </w:p>
    <w:p>
      <w:pPr>
        <w:pStyle w:val="ListBullet"/>
        <w:spacing w:before="20" w:after="20"/>
        <w:ind w:left="700"/>
      </w:pPr>
      <w:r>
        <w:rPr>
          <w:sz w:val="18"/>
        </w:rPr>
        <w:t>Exercice concerné : clôture au 31 décembre 2024</w:t>
      </w:r>
    </w:p>
    <w:p>
      <w:pPr>
        <w:pStyle w:val="ListBullet"/>
        <w:spacing w:before="20" w:after="20"/>
        <w:ind w:left="700"/>
      </w:pPr>
      <w:r>
        <w:rPr>
          <w:sz w:val="18"/>
        </w:rPr>
        <w:t>Ratification de la cooptation d'un nouvel Administrateur</w:t>
      </w:r>
    </w:p>
    <w:p>
      <w:pPr>
        <w:pStyle w:val="ListBullet"/>
        <w:spacing w:before="20" w:after="20"/>
        <w:ind w:left="700"/>
      </w:pPr>
      <w:r>
        <w:rPr>
          <w:sz w:val="18"/>
        </w:rPr>
        <w:t>Approbation des comptes de l'exercice 2024 et affectation du résultat</w:t>
      </w:r>
    </w:p>
    <w:p>
      <w:pPr>
        <w:pStyle w:val="ListBullet"/>
        <w:spacing w:before="20" w:after="20"/>
        <w:ind w:left="700"/>
      </w:pPr>
      <w:r>
        <w:rPr>
          <w:sz w:val="18"/>
        </w:rPr>
        <w:t>Possibilité de représentation par mandataire avec formulaires de pouvoir disponibles</w:t>
      </w:r>
    </w:p>
    <w:p/>
    <w:p>
      <w:pPr>
        <w:pStyle w:val="Heading3"/>
      </w:pPr>
      <w:r>
        <w:rPr>
          <w:color w:val="005A32"/>
        </w:rPr>
        <w:t>📋 RAPPORTS &amp; COMMUNIQUÉS OFFICIELS</w:t>
      </w:r>
    </w:p>
    <w:p>
      <w:r>
        <w:rPr>
          <w:i/>
          <w:color w:val="646464"/>
          <w:sz w:val="18"/>
        </w:rPr>
        <w:t>15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"vendre", "justification": "La soci\u00e9t\u00e9 affiche une perte nette importante et des capitaux propres n\u00e9gatifs, avec une tr\u00e9sorerie n\u00e9gative. La situation financi\u00e8re est tr\u00e8s d\u00e9grad\u00e9e et pr\u00e9sente un risque \u00e9lev\u00e9 pour les investisseurs."}</w:t>
      </w:r>
    </w:p>
    <w:p>
      <w:pPr>
        <w:spacing w:before="40"/>
        <w:ind w:left="400"/>
      </w:pPr>
      <w:r>
        <w:rPr>
          <w:sz w:val="18"/>
        </w:rPr>
        <w:t>SICOR a réalisé un chiffre d'affaires de 1 936 644 069 FCFA en 2016, en hausse par rapport à 1 753 708 684 FCFA en 2015. Malgré cette croissance, la société a enregistré une perte nette de 348 996 972 FCFA en 2016, contre un bénéfice de 200 831 393 FCFA en 2015. La situation financière s'est dégradée avec des capitaux propres négatifs de -2 324 836 575 FCFA et un total bilan de 1 521 953 318 FCFA. La trésorerie est négative à -182 935 385 FCFA, et la capacité d'autofinancement est négative à -216 841 179 FCFA. Les commissaires aux comptes ont certifié les comptes, mais la société fait face à des difficultés financières importantes.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'-216 841 179 FCFA', 'tresorerie_actif': '-182 935 385 FCFA', 'resultat_financier': '-35 460 457 FCFA', 'resultat_exploitation': '-198 429 842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-18,02%</w:t>
            </w:r>
          </w:p>
        </w:tc>
        <w:tc>
          <w:tcPr>
            <w:tcW w:type="dxa" w:w="2160"/>
          </w:tcPr>
          <w:p>
            <w:pPr>
              <w:ind w:left="100"/>
            </w:pPr>
            <w:r/>
            <w:r>
              <w:rPr>
                <w:b/>
                <w:sz w:val="16"/>
              </w:rPr>
              <w:t>total_actif</w:t>
              <w:br/>
            </w:r>
            <w:r>
              <w:rPr>
                <w:sz w:val="18"/>
              </w:rPr>
              <w:t>1 521 953 318 FCFA</w:t>
            </w:r>
          </w:p>
        </w:tc>
      </w:tr>
      <w:tr>
        <w:tc>
          <w:tcPr>
            <w:tcW w:type="dxa" w:w="2160"/>
          </w:tcPr>
          <w:p>
            <w:r/>
            <w:r>
              <w:rPr>
                <w:b/>
                <w:sz w:val="16"/>
              </w:rPr>
              <w:t>resultat_net</w:t>
              <w:br/>
            </w:r>
            <w:r>
              <w:rPr>
                <w:sz w:val="18"/>
              </w:rPr>
              <w:t>-348 996 972 FCFA</w:t>
            </w:r>
          </w:p>
        </w:tc>
        <w:tc>
          <w:tcPr>
            <w:tcW w:type="dxa" w:w="2160"/>
          </w:tcPr>
          <w:p>
            <w:r/>
            <w:r>
              <w:rPr>
                <w:b/>
                <w:sz w:val="16"/>
              </w:rPr>
              <w:t>capitaux_propres</w:t>
              <w:br/>
            </w:r>
            <w:r>
              <w:rPr>
                <w:sz w:val="18"/>
              </w:rPr>
              <w:t>-2 324 836 575 FCFA</w:t>
            </w:r>
          </w:p>
        </w:tc>
        <w:tc>
          <w:tcPr>
            <w:tcW w:type="dxa" w:w="2160"/>
          </w:tcPr>
          <w:p>
            <w:r/>
            <w:r>
              <w:rPr>
                <w:b/>
                <w:sz w:val="16"/>
              </w:rPr>
              <w:t>chiffre_affaires</w:t>
              <w:br/>
            </w:r>
            <w:r>
              <w:rPr>
                <w:sz w:val="18"/>
              </w:rPr>
              <w:t>1 936 644 069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10,4% à 1 936 644 069 FCFA en 2016.</w:t>
      </w:r>
    </w:p>
    <w:p>
      <w:pPr>
        <w:pStyle w:val="ListBullet"/>
        <w:spacing w:before="20" w:after="20"/>
        <w:ind w:left="700"/>
      </w:pPr>
      <w:r>
        <w:rPr>
          <w:sz w:val="18"/>
        </w:rPr>
        <w:t>Résultat net négatif de -348 996 972 FCFA contre un bénéfice de 200 831 393 FCFA en 2015.</w:t>
      </w:r>
    </w:p>
    <w:p>
      <w:pPr>
        <w:pStyle w:val="ListBullet"/>
        <w:spacing w:before="20" w:after="20"/>
        <w:ind w:left="700"/>
      </w:pPr>
      <w:r>
        <w:rPr>
          <w:sz w:val="18"/>
        </w:rPr>
        <w:t>Capitaux propres négatifs de -2 324 836 575 FCFA.</w:t>
      </w:r>
    </w:p>
    <w:p>
      <w:pPr>
        <w:pStyle w:val="ListBullet"/>
        <w:spacing w:before="20" w:after="20"/>
        <w:ind w:left="700"/>
      </w:pPr>
      <w:r>
        <w:rPr>
          <w:sz w:val="18"/>
        </w:rPr>
        <w:t>Total bilan de 1 521 953 318 FCFA en 2016 contre 3 576 424 374 FCFA en 2015.</w:t>
      </w:r>
    </w:p>
    <w:p>
      <w:pPr>
        <w:pStyle w:val="ListBullet"/>
        <w:spacing w:before="20" w:after="20"/>
        <w:ind w:left="700"/>
      </w:pPr>
      <w:r>
        <w:rPr>
          <w:sz w:val="18"/>
        </w:rPr>
        <w:t>Trésorerie négative de -182 935 385 FCFA.</w:t>
      </w:r>
    </w:p>
    <w:p>
      <w:pPr>
        <w:pStyle w:val="ListBullet"/>
        <w:spacing w:before="20" w:after="20"/>
        <w:ind w:left="700"/>
      </w:pPr>
      <w:r>
        <w:rPr>
          <w:sz w:val="18"/>
        </w:rPr>
        <w:t>Capacité d'autofinancement négative de -216 841 179 FCFA.</w:t>
      </w:r>
    </w:p>
    <w:p>
      <w:pPr>
        <w:spacing w:before="40"/>
        <w:ind w:left="400"/>
      </w:pPr>
      <w:r>
        <w:rPr>
          <w:b/>
          <w:color w:val="C05000"/>
          <w:sz w:val="18"/>
        </w:rPr>
        <w:t xml:space="preserve">⚠️ Risques : </w:t>
      </w:r>
      <w:r>
        <w:rPr>
          <w:sz w:val="18"/>
        </w:rPr>
        <w:t>["Risque de faillite ou de liquidation en raison de capitaux propres n\u00e9gatifs.", "Risque de liquidit\u00e9 avec une tr\u00e9sorerie n\u00e9gative et une capacit\u00e9 d'autofinancement n\u00e9gative.", "Risque op\u00e9rationnel avec une perte nette malgr\u00e9 la croissance du chiffre d'affaire</w:t>
      </w:r>
    </w:p>
    <w:p>
      <w:pPr>
        <w:spacing w:before="40"/>
        <w:ind w:left="400"/>
      </w:pPr>
      <w:r>
        <w:rPr>
          <w:b/>
          <w:color w:val="0064A0"/>
          <w:sz w:val="18"/>
        </w:rPr>
        <w:t xml:space="preserve">🔮 Perspectives : </w:t>
      </w:r>
      <w:r>
        <w:rPr>
          <w:sz w:val="18"/>
        </w:rPr>
        <w:t>Les perspectives pour 2017 sont incertaines. La société doit restaurer sa rentabilité et sa structure financière pour éviter la cessation de paiement. Une recapitalisation ou une restructuration pourrait être nécessaire.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008000"/>
          <w:sz w:val="18"/>
        </w:rPr>
        <w:t>{"decision": "conserver", "justification": "La soci\u00e9t\u00e9 affiche une nette progression de son r\u00e9sultat net en 2015, mais l'absence de chiffre d'affaires et de donn\u00e9es boursi\u00e8res pr\u00e9cises incite \u00e0 la prudence. Une analyse plus approfondie est n\u00e9cessaire avant tout achat."}</w:t>
      </w:r>
    </w:p>
    <w:p>
      <w:pPr>
        <w:spacing w:before="40"/>
        <w:ind w:left="400"/>
      </w:pPr>
      <w:r>
        <w:rPr>
          <w:sz w:val="18"/>
        </w:rPr>
        <w:t>SICOR est une société ivoirienne spécialisée dans la transformation de cacao, avec un capital social de 1,5 milliard de FCFA. Les états financiers pour l'exercice 2015 montrent un total du bilan de 1,627 milliard de FCFA. Le projet d'affectation du résultat indique un résultat net de 434,87 millions de FCFA pour 2015, contre 68,24 millions en 2014, soit une forte progression. Les comptes ont été certifiés par les commissaires aux comptes. L'entreprise présente une situation financière saine avec une rentabilité en amélioration.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{'devise': 'FCFA', 'statut': 'Société Anonyme', 'exercice': '2015', 'capital_social': '1 500 000 000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1 627 179 217 FCFA</w:t>
            </w:r>
          </w:p>
        </w:tc>
      </w:tr>
      <w:tr>
        <w:tc>
          <w:tcPr>
            <w:tcW w:type="dxa" w:w="2160"/>
          </w:tcPr>
          <w:p>
            <w:r/>
            <w:r>
              <w:rPr>
                <w:b/>
                <w:sz w:val="16"/>
              </w:rPr>
              <w:t>resultat_net</w:t>
              <w:br/>
            </w:r>
            <w:r>
              <w:rPr>
                <w:sz w:val="18"/>
              </w:rPr>
              <w:t>434 869 656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Capital social de 1 500 000 000 FCFA.</w:t>
      </w:r>
    </w:p>
    <w:p>
      <w:pPr>
        <w:pStyle w:val="ListBullet"/>
        <w:spacing w:before="20" w:after="20"/>
        <w:ind w:left="700"/>
      </w:pPr>
      <w:r>
        <w:rPr>
          <w:sz w:val="18"/>
        </w:rPr>
        <w:t>Total du bilan au 31/12/2015 : 1 627 179 217 FCFA.</w:t>
      </w:r>
    </w:p>
    <w:p>
      <w:pPr>
        <w:pStyle w:val="ListBullet"/>
        <w:spacing w:before="20" w:after="20"/>
        <w:ind w:left="700"/>
      </w:pPr>
      <w:r>
        <w:rPr>
          <w:sz w:val="18"/>
        </w:rPr>
        <w:t>Résultat net 2015 : 434 869 656 FCFA selon le projet d'affectation.</w:t>
      </w:r>
    </w:p>
    <w:p>
      <w:pPr>
        <w:pStyle w:val="ListBullet"/>
        <w:spacing w:before="20" w:after="20"/>
        <w:ind w:left="700"/>
      </w:pPr>
      <w:r>
        <w:rPr>
          <w:sz w:val="18"/>
        </w:rPr>
        <w:t>Résultat net 2014 : 68 237 394 FCFA (en forte hausse en 2015).</w:t>
      </w:r>
    </w:p>
    <w:p>
      <w:pPr>
        <w:pStyle w:val="ListBullet"/>
        <w:spacing w:before="20" w:after="20"/>
        <w:ind w:left="700"/>
      </w:pPr>
      <w:r>
        <w:rPr>
          <w:sz w:val="18"/>
        </w:rPr>
        <w:t>Spécialisation dans la transformation du cacao (coco rapé).</w:t>
      </w:r>
    </w:p>
    <w:p>
      <w:pPr>
        <w:pStyle w:val="ListBullet"/>
        <w:spacing w:before="20" w:after="20"/>
        <w:ind w:left="700"/>
      </w:pPr>
      <w:r>
        <w:rPr>
          <w:sz w:val="18"/>
        </w:rPr>
        <w:t>Comptes certifiés par les commissaires aux comptes.</w:t>
      </w:r>
    </w:p>
    <w:p>
      <w:pPr>
        <w:spacing w:before="40"/>
        <w:ind w:left="400"/>
      </w:pPr>
      <w:r>
        <w:rPr>
          <w:b/>
          <w:color w:val="C05000"/>
          <w:sz w:val="18"/>
        </w:rPr>
        <w:t xml:space="preserve">⚠️ Risques : </w:t>
      </w:r>
      <w:r>
        <w:rPr>
          <w:sz w:val="18"/>
        </w:rPr>
        <w:t>["Volatilit\u00e9 des prix du cacao sur les march\u00e9s internationaux.", "Risque de change li\u00e9 aux exportations et aux fluctuations du FCFA.", "D\u00e9pendance \u00e0 la qualit\u00e9 et \u00e0 la disponibilit\u00e9 de la mati\u00e8re premi\u00e8re (cacao)."]</w:t>
      </w:r>
    </w:p>
    <w:p>
      <w:pPr>
        <w:spacing w:before="40"/>
        <w:ind w:left="400"/>
      </w:pPr>
      <w:r>
        <w:rPr>
          <w:b/>
          <w:color w:val="0064A0"/>
          <w:sz w:val="18"/>
        </w:rPr>
        <w:t xml:space="preserve">🔮 Perspectives : </w:t>
      </w:r>
      <w:r>
        <w:rPr>
          <w:sz w:val="18"/>
        </w:rPr>
        <w:t>Les perspectives 2016 sont favorables, portées par la bonne performance de l'exercice 2015 et la demande mondiale de cacao. La société pourrait continuer à améliorer sa rentabilité si les conditions de marché restent stables. Une attention particulière devra être portée à la gestion des coûts et aux</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soci\u00e9t\u00e9 affiche une rentabilit\u00e9 positive mais modeste, avec une situation financi\u00e8re globalement stable. Le niveau d'endettement \u00e9lev\u00e9 incite \u00e0 la prudence, malgr\u00e9 un exc\u00e9dent brut d'exploitation correct."}</w:t>
      </w:r>
    </w:p>
    <w:p>
      <w:pPr>
        <w:spacing w:before="40"/>
        <w:ind w:left="400"/>
      </w:pPr>
      <w:r>
        <w:rPr>
          <w:sz w:val="18"/>
        </w:rPr>
        <w:t>La SICOR (Société Ivoirienne de Coco Rapé) a réalisé un chiffre d'affaires de 1,57 milliard FCFA en 2016. Le résultat net s'établit à 53,3 millions FCFA, dégageant une marge nette d'environ 3,4%. Le total du bilan atteint 3,58 milliards FCFA, avec des capitaux propres de près de 870 millions FCFA. La société a vu son résultat net approuvé par l'assemblée générale mixte du 1er septembre 2017. Malgré un excédent brut d'exploitation de 210 millions FCFA, le niveau d'endettement reste élevé par rapport aux fonds propres.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'1 500 000 000 FCFA', 'excédent_brut_d_exploitation': '210 481 010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3,39%</w:t>
            </w:r>
          </w:p>
        </w:tc>
        <w:tc>
          <w:tcPr>
            <w:tcW w:type="dxa" w:w="2160"/>
          </w:tcPr>
          <w:p>
            <w:pPr>
              <w:ind w:left="100"/>
            </w:pPr>
            <w:r/>
            <w:r>
              <w:rPr>
                <w:b/>
                <w:sz w:val="16"/>
              </w:rPr>
              <w:t>total_actif</w:t>
              <w:br/>
            </w:r>
            <w:r>
              <w:rPr>
                <w:sz w:val="18"/>
              </w:rPr>
              <w:t>3 576 424 374 FCFA</w:t>
            </w:r>
          </w:p>
        </w:tc>
      </w:tr>
      <w:tr>
        <w:tc>
          <w:tcPr>
            <w:tcW w:type="dxa" w:w="2160"/>
          </w:tcPr>
          <w:p>
            <w:r/>
            <w:r>
              <w:rPr>
                <w:b/>
                <w:sz w:val="16"/>
              </w:rPr>
              <w:t>resultat_net</w:t>
              <w:br/>
            </w:r>
            <w:r>
              <w:rPr>
                <w:sz w:val="18"/>
              </w:rPr>
              <w:t>53 308 264 FCFA</w:t>
            </w:r>
          </w:p>
        </w:tc>
        <w:tc>
          <w:tcPr>
            <w:tcW w:type="dxa" w:w="2160"/>
          </w:tcPr>
          <w:p>
            <w:r/>
            <w:r>
              <w:rPr>
                <w:b/>
                <w:sz w:val="16"/>
              </w:rPr>
              <w:t>capitaux_propres</w:t>
              <w:br/>
            </w:r>
            <w:r>
              <w:rPr>
                <w:sz w:val="18"/>
              </w:rPr>
              <w:t>869 975 561 FCFA</w:t>
            </w:r>
          </w:p>
        </w:tc>
        <w:tc>
          <w:tcPr>
            <w:tcW w:type="dxa" w:w="2160"/>
          </w:tcPr>
          <w:p>
            <w:r/>
            <w:r>
              <w:rPr>
                <w:b/>
                <w:sz w:val="16"/>
              </w:rPr>
              <w:t>chiffre_affaires</w:t>
              <w:br/>
            </w:r>
            <w:r>
              <w:rPr>
                <w:sz w:val="18"/>
              </w:rPr>
              <w:t>1 570 831 063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à 1 570 831 063 FCFA, avec une part à l'exportation très faible (342 925 FCFA).</w:t>
      </w:r>
    </w:p>
    <w:p>
      <w:pPr>
        <w:pStyle w:val="ListBullet"/>
        <w:spacing w:before="20" w:after="20"/>
        <w:ind w:left="700"/>
      </w:pPr>
      <w:r>
        <w:rPr>
          <w:sz w:val="18"/>
        </w:rPr>
        <w:t>Résultat net positif de 53 308 264 FCFA, reflétant une rentabilité modeste.</w:t>
      </w:r>
    </w:p>
    <w:p>
      <w:pPr>
        <w:pStyle w:val="ListBullet"/>
        <w:spacing w:before="20" w:after="20"/>
        <w:ind w:left="700"/>
      </w:pPr>
      <w:r>
        <w:rPr>
          <w:sz w:val="18"/>
        </w:rPr>
        <w:t>Marge nette de 3,39%, inférieure aux standards sectoriels.</w:t>
      </w:r>
    </w:p>
    <w:p>
      <w:pPr>
        <w:pStyle w:val="ListBullet"/>
        <w:spacing w:before="20" w:after="20"/>
        <w:ind w:left="700"/>
      </w:pPr>
      <w:r>
        <w:rPr>
          <w:sz w:val="18"/>
        </w:rPr>
        <w:t>Total du bilan de 3 576 424 374 FCFA, stable par rapport à l'exercice précédent.</w:t>
      </w:r>
    </w:p>
    <w:p>
      <w:pPr>
        <w:pStyle w:val="ListBullet"/>
        <w:spacing w:before="20" w:after="20"/>
        <w:ind w:left="700"/>
      </w:pPr>
      <w:r>
        <w:rPr>
          <w:sz w:val="18"/>
        </w:rPr>
        <w:t>Capitaux propres estimés à 869 975 561 FCFA (capital social de 1,5 milliard FCFA, réserves et résultat).</w:t>
      </w:r>
    </w:p>
    <w:p>
      <w:pPr>
        <w:pStyle w:val="ListBullet"/>
        <w:spacing w:before="20" w:after="20"/>
        <w:ind w:left="700"/>
      </w:pPr>
      <w:r>
        <w:rPr>
          <w:sz w:val="18"/>
        </w:rPr>
        <w:t>Excédent brut d'exploitation de 210 481 010 FCFA, indiquant une activité opérationnelle positive.</w:t>
      </w:r>
    </w:p>
    <w:p>
      <w:pPr>
        <w:spacing w:before="40"/>
        <w:ind w:left="400"/>
      </w:pPr>
      <w:r>
        <w:rPr>
          <w:b/>
          <w:color w:val="C05000"/>
          <w:sz w:val="18"/>
        </w:rPr>
        <w:t xml:space="preserve">⚠️ Risques : </w:t>
      </w:r>
      <w:r>
        <w:rPr>
          <w:sz w:val="18"/>
        </w:rPr>
        <w:t>["Endettement \u00e9lev\u00e9 par rapport aux capitaux propres (dettes estim\u00e9es \u00e0 2,7 milliards FCFA).", "Exposition aux fluctuations des prix du cacao, principale mati\u00e8re premi\u00e8re.", "D\u00e9pendance au march\u00e9 int\u00e9rieur, avec une part \u00e0 l'exportation tr\u00e8s mar</w:t>
      </w:r>
    </w:p>
    <w:p>
      <w:pPr>
        <w:spacing w:before="40"/>
        <w:ind w:left="400"/>
      </w:pPr>
      <w:r>
        <w:rPr>
          <w:b/>
          <w:color w:val="0064A0"/>
          <w:sz w:val="18"/>
        </w:rPr>
        <w:t xml:space="preserve">🔮 Perspectives : </w:t>
      </w:r>
      <w:r>
        <w:rPr>
          <w:sz w:val="18"/>
        </w:rPr>
        <w:t>Pour 2017, la SICOR devrait bénéficier d'une demande soutenue de cacao transformé, soutenant le chiffre d'affaires. Toutefois, la maîtrise de l'endettement et l'amélioration de la marge nette seront cruciales pour renforcer la rentabilité et rassurer les investisseurs.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soci\u00e9t\u00e9 d\u00e9gage un r\u00e9sultat net positif et un bilan solide. Toutefois, l'absence d'\u00e9l\u00e9ments de valorisation boursi\u00e8re incite \u00e0 la prudence."}</w:t>
      </w:r>
    </w:p>
    <w:p>
      <w:pPr>
        <w:spacing w:before="40"/>
        <w:ind w:left="400"/>
      </w:pPr>
      <w:r>
        <w:rPr>
          <w:sz w:val="18"/>
        </w:rPr>
        <w:t>SICOR est une société ivoirienne spécialisée dans la transformation du cacao (coco rapé). Au 31/12/2015, elle présente un total bilan d'environ 1,52 milliard FCFA pour un capital social de 1,5 milliard FCFA. Le chiffre d'affaires s'établit à environ 434,87 millions FCFA, tandis que le résultat net ressort à environ 68,24 millions FCFA, soit une marge nette d'environ 15,7%. Les états financiers ont été approuvés par l'assemblée générale mixte du 1er septembre 2017. La société affiche une rentabilité positive et une situation financière apparemment saine, mais les données disponibles sont partielles.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'1 500 000 000 FCFA', 'total_actif_2014': '1 627 179 217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15.69%</w:t>
            </w:r>
          </w:p>
        </w:tc>
        <w:tc>
          <w:tcPr>
            <w:tcW w:type="dxa" w:w="2160"/>
          </w:tcPr>
          <w:p>
            <w:pPr>
              <w:ind w:left="100"/>
            </w:pPr>
            <w:r/>
            <w:r>
              <w:rPr>
                <w:b/>
                <w:sz w:val="16"/>
              </w:rPr>
              <w:t>total_actif</w:t>
              <w:br/>
            </w:r>
            <w:r>
              <w:rPr>
                <w:sz w:val="18"/>
              </w:rPr>
              <w:t>1 521 953 318 FCFA</w:t>
            </w:r>
          </w:p>
        </w:tc>
      </w:tr>
      <w:tr>
        <w:tc>
          <w:tcPr>
            <w:tcW w:type="dxa" w:w="2160"/>
          </w:tcPr>
          <w:p>
            <w:r/>
            <w:r>
              <w:rPr>
                <w:b/>
                <w:sz w:val="16"/>
              </w:rPr>
              <w:t>resultat_net</w:t>
              <w:br/>
            </w:r>
            <w:r>
              <w:rPr>
                <w:sz w:val="18"/>
              </w:rPr>
              <w:t>68 237 394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434 869 656 FCFA</w:t>
            </w:r>
          </w:p>
        </w:tc>
        <w:tc>
          <w:tcPr>
            <w:tcW w:type="dxa" w:w="2160"/>
          </w:tcPr>
          <w:p/>
        </w:tc>
      </w:tr>
    </w:tbl>
    <w:p/>
    <w:p>
      <w:pPr>
        <w:spacing w:before="60"/>
        <w:ind w:left="400"/>
      </w:pPr>
      <w:r>
        <w:rPr>
          <w:b/>
          <w:sz w:val="18"/>
        </w:rPr>
        <w:t>Points clés :</w:t>
      </w:r>
    </w:p>
    <w:p>
      <w:pPr>
        <w:pStyle w:val="ListBullet"/>
        <w:spacing w:before="20" w:after="20"/>
        <w:ind w:left="700"/>
      </w:pPr>
      <w:r>
        <w:rPr>
          <w:sz w:val="18"/>
        </w:rPr>
        <w:t>SICOR est une société anonyme ivoirienne spécialisée dans la transformation de cacao (coco rapé).</w:t>
      </w:r>
    </w:p>
    <w:p>
      <w:pPr>
        <w:pStyle w:val="ListBullet"/>
        <w:spacing w:before="20" w:after="20"/>
        <w:ind w:left="700"/>
      </w:pPr>
      <w:r>
        <w:rPr>
          <w:sz w:val="18"/>
        </w:rPr>
        <w:t>Le capital social s'élève à 1,5 milliard FCFA.</w:t>
      </w:r>
    </w:p>
    <w:p>
      <w:pPr>
        <w:pStyle w:val="ListBullet"/>
        <w:spacing w:before="20" w:after="20"/>
        <w:ind w:left="700"/>
      </w:pPr>
      <w:r>
        <w:rPr>
          <w:sz w:val="18"/>
        </w:rPr>
        <w:t>Le total du bilan au 31/12/2015 atteint environ 1,52 milliard FCFA.</w:t>
      </w:r>
    </w:p>
    <w:p>
      <w:pPr>
        <w:pStyle w:val="ListBullet"/>
        <w:spacing w:before="20" w:after="20"/>
        <w:ind w:left="700"/>
      </w:pPr>
      <w:r>
        <w:rPr>
          <w:sz w:val="18"/>
        </w:rPr>
        <w:t>Le chiffre d'affaires de l'exercice s'établit à environ 434,87 millions FCFA.</w:t>
      </w:r>
    </w:p>
    <w:p>
      <w:pPr>
        <w:pStyle w:val="ListBullet"/>
        <w:spacing w:before="20" w:after="20"/>
        <w:ind w:left="700"/>
      </w:pPr>
      <w:r>
        <w:rPr>
          <w:sz w:val="18"/>
        </w:rPr>
        <w:t>Le résultat net de l'exercice est d'environ 68,24 millions FCFA.</w:t>
      </w:r>
    </w:p>
    <w:p>
      <w:pPr>
        <w:pStyle w:val="ListBullet"/>
        <w:spacing w:before="20" w:after="20"/>
        <w:ind w:left="700"/>
      </w:pPr>
      <w:r>
        <w:rPr>
          <w:sz w:val="18"/>
        </w:rPr>
        <w:t>La marge nette ressort à environ 15,7%.</w:t>
      </w:r>
    </w:p>
    <w:p>
      <w:pPr>
        <w:spacing w:before="40"/>
        <w:ind w:left="400"/>
      </w:pPr>
      <w:r>
        <w:rPr>
          <w:b/>
          <w:color w:val="C05000"/>
          <w:sz w:val="18"/>
        </w:rPr>
        <w:t xml:space="preserve">⚠️ Risques : </w:t>
      </w:r>
      <w:r>
        <w:rPr>
          <w:sz w:val="18"/>
        </w:rPr>
        <w:t>["D\u00e9pendance aux cours mondiaux du cacao", "Concentration g\u00e9ographique sur la C\u00f4te d'Ivoire", "Opacit\u00e9 ou incertitudes sur les donn\u00e9es financi\u00e8res extraites du document"]</w:t>
      </w:r>
    </w:p>
    <w:p>
      <w:pPr>
        <w:spacing w:before="40"/>
        <w:ind w:left="400"/>
      </w:pPr>
      <w:r>
        <w:rPr>
          <w:b/>
          <w:color w:val="0064A0"/>
          <w:sz w:val="18"/>
        </w:rPr>
        <w:t xml:space="preserve">🔮 Perspectives : </w:t>
      </w:r>
      <w:r>
        <w:rPr>
          <w:sz w:val="18"/>
        </w:rPr>
        <w:t>Pour l'exercice suivant, SICOR pourrait bénéficier d'une demande mondiale de cacao soutenue et de conditions climatiques favorables. L'entreprise devra toutefois gérer ses coûts et son endettement pour maintenir sa rentabilité.</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croissance du chiffre d'affaires est positive mais la chute du r\u00e9sultat net et de la marge indique des difficult\u00e9s de rentabilit\u00e9. Il est prudent de conserver le titre en attendant une am\u00e9lioration des marges."}</w:t>
      </w:r>
    </w:p>
    <w:p>
      <w:pPr>
        <w:spacing w:before="40"/>
        <w:ind w:left="400"/>
      </w:pPr>
      <w:r>
        <w:rPr>
          <w:sz w:val="18"/>
        </w:rPr>
        <w:t>La SICOR, société ivoirienne de transformation de cacao, affiche un chiffre d'affaires en hausse à 1,56 milliard FCFA en 2017, mais son résultat net chute de moitié à 100,6 millions FCFA, reflétant une détérioration de la rentabilité. La marge nette passe de 13,8% à 6,4%, sous l'effet de charges d'exploitation plus lourdes. L'actif total s'élève à 3,68 milliards FCFA, financé principalement par les capitaux propres et l'endettement. L'entreprise conserve un bilan solide mais doit améliorer son efficacité opérationnelle. Le dividende n'est pas précisé dans le document.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{'résultat_financier': '-17 049 332 FCFA', 'résultat_exploitation': '283 097 263 FCFA', 'excédent_brut_d_exploitation': '348 996 972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6.44%</w:t>
            </w:r>
          </w:p>
        </w:tc>
        <w:tc>
          <w:tcPr>
            <w:tcW w:type="dxa" w:w="2160"/>
          </w:tcPr>
          <w:p>
            <w:pPr>
              <w:ind w:left="100"/>
            </w:pPr>
            <w:r/>
            <w:r>
              <w:rPr>
                <w:b/>
                <w:sz w:val="16"/>
              </w:rPr>
              <w:t>total_actif</w:t>
              <w:br/>
            </w:r>
            <w:r>
              <w:rPr>
                <w:sz w:val="18"/>
              </w:rPr>
              <w:t>3 680 132 932 FCFA</w:t>
            </w:r>
          </w:p>
        </w:tc>
      </w:tr>
      <w:tr>
        <w:tc>
          <w:tcPr>
            <w:tcW w:type="dxa" w:w="2160"/>
          </w:tcPr>
          <w:p>
            <w:r/>
            <w:r>
              <w:rPr>
                <w:b/>
                <w:sz w:val="16"/>
              </w:rPr>
              <w:t>resultat_net</w:t>
              <w:br/>
            </w:r>
            <w:r>
              <w:rPr>
                <w:sz w:val="18"/>
              </w:rPr>
              <w:t>100 567 494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1 561 147 674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2017 en hausse de 7,4% à 1,56 milliard FCFA.</w:t>
      </w:r>
    </w:p>
    <w:p>
      <w:pPr>
        <w:pStyle w:val="ListBullet"/>
        <w:spacing w:before="20" w:after="20"/>
        <w:ind w:left="700"/>
      </w:pPr>
      <w:r>
        <w:rPr>
          <w:sz w:val="18"/>
        </w:rPr>
        <w:t>Résultat net divisé par deux de 200,8 à 100,6 millions FCFA.</w:t>
      </w:r>
    </w:p>
    <w:p>
      <w:pPr>
        <w:pStyle w:val="ListBullet"/>
        <w:spacing w:before="20" w:after="20"/>
        <w:ind w:left="700"/>
      </w:pPr>
      <w:r>
        <w:rPr>
          <w:sz w:val="18"/>
        </w:rPr>
        <w:t>Marge nette en forte baisse de 13,8% à 6,4%.</w:t>
      </w:r>
    </w:p>
    <w:p>
      <w:pPr>
        <w:pStyle w:val="ListBullet"/>
        <w:spacing w:before="20" w:after="20"/>
        <w:ind w:left="700"/>
      </w:pPr>
      <w:r>
        <w:rPr>
          <w:sz w:val="18"/>
        </w:rPr>
        <w:t>Total actif stable à environ 3,68 milliards FCFA.</w:t>
      </w:r>
    </w:p>
    <w:p>
      <w:pPr>
        <w:pStyle w:val="ListBullet"/>
        <w:spacing w:before="20" w:after="20"/>
        <w:ind w:left="700"/>
      </w:pPr>
      <w:r>
        <w:rPr>
          <w:sz w:val="18"/>
        </w:rPr>
        <w:t>Excédent brut d'exploitation de 349 millions FCFA.</w:t>
      </w:r>
    </w:p>
    <w:p>
      <w:pPr>
        <w:pStyle w:val="ListBullet"/>
        <w:spacing w:before="20" w:after="20"/>
        <w:ind w:left="700"/>
      </w:pPr>
      <w:r>
        <w:rPr>
          <w:sz w:val="18"/>
        </w:rPr>
        <w:t>Résultat financier négatif de -17 millions FCFA.</w:t>
      </w:r>
    </w:p>
    <w:p>
      <w:pPr>
        <w:spacing w:before="40"/>
        <w:ind w:left="400"/>
      </w:pPr>
      <w:r>
        <w:rPr>
          <w:b/>
          <w:color w:val="C05000"/>
          <w:sz w:val="18"/>
        </w:rPr>
        <w:t xml:space="preserve">⚠️ Risques : </w:t>
      </w:r>
      <w:r>
        <w:rPr>
          <w:sz w:val="18"/>
        </w:rPr>
        <w:t>["Baisse de la rentabilit\u00e9 li\u00e9e \u00e0 une hausse des charges d'exploitation.", "Volatilit\u00e9 des prix du cacao sur le march\u00e9 international.", "D\u00e9pendance aux conditions climatiques et sanitaires des plantations."]</w:t>
      </w:r>
    </w:p>
    <w:p>
      <w:pPr>
        <w:spacing w:before="40"/>
        <w:ind w:left="400"/>
      </w:pPr>
      <w:r>
        <w:rPr>
          <w:b/>
          <w:color w:val="0064A0"/>
          <w:sz w:val="18"/>
        </w:rPr>
        <w:t xml:space="preserve">🔮 Perspectives : </w:t>
      </w:r>
      <w:r>
        <w:rPr>
          <w:sz w:val="18"/>
        </w:rPr>
        <w:t>Pour 2018, la SICOR devrait bénéficier de la reprise de la demande mondiale de cacao, mais devra améliorer la gestion des coûts pour restaurer ses marges. La stabilité financière du bilan offre une base pour soutenir l'activité.</w:t>
      </w:r>
    </w:p>
    <w:p/>
    <w:p>
      <w:r>
        <w:t>════════════════════════════════════════════════════════════════════════════════</w:t>
      </w:r>
    </w:p>
    <w:p>
      <w:r>
        <w:br w:type="page"/>
      </w:r>
    </w:p>
    <w:p>
      <w:pPr>
        <w:pStyle w:val="Heading2"/>
        <w:spacing w:before="360"/>
      </w:pPr>
      <w:r>
        <w:rPr>
          <w:color w:val="0066CC"/>
        </w:rPr>
        <w:t>37. SIVC - SIVC - ERIUM CI (Ex AIR LIQUIDECI)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SIVC</w:t>
            </w:r>
          </w:p>
          <w:p>
            <w:r>
              <w:rPr>
                <w:b/>
                <w:color w:val="323250"/>
                <w:sz w:val="16"/>
              </w:rPr>
              <w:t xml:space="preserve">Société : </w:t>
            </w:r>
            <w:r>
              <w:rPr>
                <w:color w:val="000000"/>
                <w:sz w:val="16"/>
              </w:rPr>
              <w:t>SIVC - ERIUM CI (Ex AIR LIQUIDECI)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15.63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5,342 titres</w:t>
            </w:r>
          </w:p>
        </w:tc>
        <w:tc>
          <w:tcPr>
            <w:tcW w:type="dxa" w:w="2268"/>
            <w:shd w:fill="FFF2CC" w:val="clear"/>
          </w:tcPr>
          <w:p>
            <w:r>
              <w:rPr>
                <w:b/>
                <w:color w:val="503200"/>
                <w:sz w:val="16"/>
              </w:rPr>
              <w:t xml:space="preserve">Cours actuel : </w:t>
            </w:r>
            <w:r>
              <w:rPr>
                <w:color w:val="000000"/>
                <w:sz w:val="17"/>
              </w:rPr>
              <w:t>1,790 FCFA</w:t>
            </w:r>
          </w:p>
          <w:p>
            <w:r>
              <w:rPr>
                <w:b/>
                <w:color w:val="503200"/>
                <w:sz w:val="16"/>
              </w:rPr>
              <w:t xml:space="preserve">Var. 100 jours : </w:t>
            </w:r>
            <w:r>
              <w:rPr>
                <w:b/>
                <w:color w:val="B40000"/>
                <w:sz w:val="17"/>
              </w:rPr>
              <w:t>-37.30%</w:t>
            </w:r>
          </w:p>
          <w:p>
            <w:r>
              <w:rPr>
                <w:b/>
                <w:color w:val="503200"/>
                <w:sz w:val="16"/>
              </w:rPr>
              <w:t xml:space="preserve">Plus haut 100j : </w:t>
            </w:r>
            <w:r>
              <w:rPr>
                <w:color w:val="000000"/>
                <w:sz w:val="17"/>
              </w:rPr>
              <w:t>2,875 FCFA</w:t>
            </w:r>
          </w:p>
          <w:p>
            <w:r>
              <w:rPr>
                <w:b/>
                <w:color w:val="503200"/>
                <w:sz w:val="16"/>
              </w:rPr>
              <w:t xml:space="preserve">Plus bas 100j : </w:t>
            </w:r>
            <w:r>
              <w:rPr>
                <w:color w:val="000000"/>
                <w:sz w:val="17"/>
              </w:rPr>
              <w:t>1,790 FCFA</w:t>
            </w:r>
          </w:p>
          <w:p>
            <w:r>
              <w:rPr>
                <w:b/>
                <w:color w:val="503200"/>
                <w:sz w:val="16"/>
              </w:rPr>
              <w:t xml:space="preserve">Volatilité ann. : </w:t>
            </w:r>
            <w:r>
              <w:rPr>
                <w:color w:val="000000"/>
                <w:sz w:val="17"/>
              </w:rPr>
              <w:t>54.3%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20.6/100 → Moyen</w:t>
      </w:r>
    </w:p>
    <w:p>
      <w:pPr>
        <w:spacing w:before="40" w:after="80"/>
      </w:pPr>
      <w:r>
        <w:rPr>
          <w:rFonts w:ascii="Courier New" w:hAnsi="Courier New"/>
          <w:color w:val="825A00"/>
          <w:sz w:val="18"/>
        </w:rPr>
        <w:t>████░░░░░░░░░░░░░░░░  20.6/100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12.19% (Moyenne) — μ=2,357 FCFA, σ=287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β=0.4733 (Défensif) — Cov=0.000035, Var(idx)=0.000075, ρ=0.119,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5,342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Achat=3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FFEB9C" w:val="clear"/>
          </w:tcPr>
          <w:p>
            <w:r>
              <w:rPr>
                <w:b/>
                <w:sz w:val="15"/>
              </w:rPr>
              <w:t>σ_j=3.42%/j (Modérée) — Vol. annualisée≈54.3%</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0080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78/100  (Excellent)</w:t>
      </w:r>
    </w:p>
    <w:p/>
    <w:p>
      <w:pPr>
        <w:jc w:val="center"/>
      </w:pPr>
      <w:r>
        <w:drawing>
          <wp:inline xmlns:a="http://schemas.openxmlformats.org/drawingml/2006/main" xmlns:pic="http://schemas.openxmlformats.org/drawingml/2006/picture">
            <wp:extent cx="5669280" cy="2635585"/>
            <wp:docPr id="39" name="Picture 39"/>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w:t>
            </w:r>
          </w:p>
        </w:tc>
        <w:tc>
          <w:tcPr>
            <w:tcW w:type="dxa" w:w="1440"/>
            <w:shd w:fill="C6EFCE" w:val="clear"/>
          </w:tcPr>
          <w:p>
            <w:r>
              <w:rPr>
                <w:sz w:val="17"/>
              </w:rPr>
              <w:t>2026-10-16</w:t>
            </w:r>
          </w:p>
        </w:tc>
        <w:tc>
          <w:tcPr>
            <w:tcW w:type="dxa" w:w="1440"/>
            <w:shd w:fill="C6EFCE" w:val="clear"/>
          </w:tcPr>
          <w:p>
            <w:r>
              <w:rPr>
                <w:sz w:val="17"/>
              </w:rPr>
              <w:t>1,788</w:t>
            </w:r>
          </w:p>
        </w:tc>
        <w:tc>
          <w:tcPr>
            <w:tcW w:type="dxa" w:w="1440"/>
            <w:shd w:fill="C6EFCE" w:val="clear"/>
          </w:tcPr>
          <w:p>
            <w:r>
              <w:rPr>
                <w:b/>
                <w:sz w:val="17"/>
              </w:rPr>
              <w:t>1,882</w:t>
            </w:r>
          </w:p>
        </w:tc>
        <w:tc>
          <w:tcPr>
            <w:tcW w:type="dxa" w:w="1440"/>
            <w:shd w:fill="C6EFCE" w:val="clear"/>
          </w:tcPr>
          <w:p>
            <w:r>
              <w:rPr>
                <w:sz w:val="17"/>
              </w:rPr>
              <w:t>1,975</w:t>
            </w:r>
          </w:p>
        </w:tc>
        <w:tc>
          <w:tcPr>
            <w:tcW w:type="dxa" w:w="1440"/>
            <w:shd w:fill="C6EFCE" w:val="clear"/>
          </w:tcPr>
          <w:p>
            <w:r>
              <w:rPr>
                <w:b/>
                <w:color w:val="008000"/>
                <w:sz w:val="17"/>
              </w:rPr>
              <w:t>+5.1%</w:t>
            </w:r>
          </w:p>
        </w:tc>
      </w:tr>
      <w:tr>
        <w:tc>
          <w:tcPr>
            <w:tcW w:type="dxa" w:w="1440"/>
            <w:shd w:fill="C6EFCE" w:val="clear"/>
          </w:tcPr>
          <w:p>
            <w:r>
              <w:rPr>
                <w:sz w:val="17"/>
              </w:rPr>
              <w:t>J+2  ⭐</w:t>
            </w:r>
          </w:p>
        </w:tc>
        <w:tc>
          <w:tcPr>
            <w:tcW w:type="dxa" w:w="1440"/>
            <w:shd w:fill="C6EFCE" w:val="clear"/>
          </w:tcPr>
          <w:p>
            <w:r>
              <w:rPr>
                <w:sz w:val="17"/>
              </w:rPr>
              <w:t>2026-10-19</w:t>
            </w:r>
          </w:p>
        </w:tc>
        <w:tc>
          <w:tcPr>
            <w:tcW w:type="dxa" w:w="1440"/>
            <w:shd w:fill="C6EFCE" w:val="clear"/>
          </w:tcPr>
          <w:p>
            <w:r>
              <w:rPr>
                <w:sz w:val="17"/>
              </w:rPr>
              <w:t>1,742</w:t>
            </w:r>
          </w:p>
        </w:tc>
        <w:tc>
          <w:tcPr>
            <w:tcW w:type="dxa" w:w="1440"/>
            <w:shd w:fill="C6EFCE" w:val="clear"/>
          </w:tcPr>
          <w:p>
            <w:r>
              <w:rPr>
                <w:b/>
                <w:sz w:val="17"/>
              </w:rPr>
              <w:t>1,874</w:t>
            </w:r>
          </w:p>
        </w:tc>
        <w:tc>
          <w:tcPr>
            <w:tcW w:type="dxa" w:w="1440"/>
            <w:shd w:fill="C6EFCE" w:val="clear"/>
          </w:tcPr>
          <w:p>
            <w:r>
              <w:rPr>
                <w:sz w:val="17"/>
              </w:rPr>
              <w:t>2,006</w:t>
            </w:r>
          </w:p>
        </w:tc>
        <w:tc>
          <w:tcPr>
            <w:tcW w:type="dxa" w:w="1440"/>
            <w:shd w:fill="C6EFCE" w:val="clear"/>
          </w:tcPr>
          <w:p>
            <w:r>
              <w:rPr>
                <w:b/>
                <w:color w:val="008000"/>
                <w:sz w:val="17"/>
              </w:rPr>
              <w:t>+4.7%</w:t>
            </w:r>
          </w:p>
        </w:tc>
      </w:tr>
      <w:tr>
        <w:tc>
          <w:tcPr>
            <w:tcW w:type="dxa" w:w="1440"/>
            <w:shd w:fill="C6EFCE" w:val="clear"/>
          </w:tcPr>
          <w:p>
            <w:r>
              <w:rPr>
                <w:sz w:val="17"/>
              </w:rPr>
              <w:t>J+3  ⭐</w:t>
            </w:r>
          </w:p>
        </w:tc>
        <w:tc>
          <w:tcPr>
            <w:tcW w:type="dxa" w:w="1440"/>
            <w:shd w:fill="C6EFCE" w:val="clear"/>
          </w:tcPr>
          <w:p>
            <w:r>
              <w:rPr>
                <w:sz w:val="17"/>
              </w:rPr>
              <w:t>2026-10-20</w:t>
            </w:r>
          </w:p>
        </w:tc>
        <w:tc>
          <w:tcPr>
            <w:tcW w:type="dxa" w:w="1440"/>
            <w:shd w:fill="C6EFCE" w:val="clear"/>
          </w:tcPr>
          <w:p>
            <w:r>
              <w:rPr>
                <w:sz w:val="17"/>
              </w:rPr>
              <w:t>1,715</w:t>
            </w:r>
          </w:p>
        </w:tc>
        <w:tc>
          <w:tcPr>
            <w:tcW w:type="dxa" w:w="1440"/>
            <w:shd w:fill="C6EFCE" w:val="clear"/>
          </w:tcPr>
          <w:p>
            <w:r>
              <w:rPr>
                <w:b/>
                <w:sz w:val="17"/>
              </w:rPr>
              <w:t>1,877</w:t>
            </w:r>
          </w:p>
        </w:tc>
        <w:tc>
          <w:tcPr>
            <w:tcW w:type="dxa" w:w="1440"/>
            <w:shd w:fill="C6EFCE" w:val="clear"/>
          </w:tcPr>
          <w:p>
            <w:r>
              <w:rPr>
                <w:sz w:val="17"/>
              </w:rPr>
              <w:t>2,039</w:t>
            </w:r>
          </w:p>
        </w:tc>
        <w:tc>
          <w:tcPr>
            <w:tcW w:type="dxa" w:w="1440"/>
            <w:shd w:fill="C6EFCE" w:val="clear"/>
          </w:tcPr>
          <w:p>
            <w:r>
              <w:rPr>
                <w:b/>
                <w:color w:val="008000"/>
                <w:sz w:val="17"/>
              </w:rPr>
              <w:t>+4.8%</w:t>
            </w:r>
          </w:p>
        </w:tc>
      </w:tr>
      <w:tr>
        <w:tc>
          <w:tcPr>
            <w:tcW w:type="dxa" w:w="1440"/>
            <w:shd w:fill="C6EFCE" w:val="clear"/>
          </w:tcPr>
          <w:p>
            <w:r>
              <w:rPr>
                <w:sz w:val="17"/>
              </w:rPr>
              <w:t>J+4  ⭐</w:t>
            </w:r>
          </w:p>
        </w:tc>
        <w:tc>
          <w:tcPr>
            <w:tcW w:type="dxa" w:w="1440"/>
            <w:shd w:fill="C6EFCE" w:val="clear"/>
          </w:tcPr>
          <w:p>
            <w:r>
              <w:rPr>
                <w:sz w:val="17"/>
              </w:rPr>
              <w:t>2026-10-21</w:t>
            </w:r>
          </w:p>
        </w:tc>
        <w:tc>
          <w:tcPr>
            <w:tcW w:type="dxa" w:w="1440"/>
            <w:shd w:fill="C6EFCE" w:val="clear"/>
          </w:tcPr>
          <w:p>
            <w:r>
              <w:rPr>
                <w:sz w:val="17"/>
              </w:rPr>
              <w:t>1,694</w:t>
            </w:r>
          </w:p>
        </w:tc>
        <w:tc>
          <w:tcPr>
            <w:tcW w:type="dxa" w:w="1440"/>
            <w:shd w:fill="C6EFCE" w:val="clear"/>
          </w:tcPr>
          <w:p>
            <w:r>
              <w:rPr>
                <w:b/>
                <w:sz w:val="17"/>
              </w:rPr>
              <w:t>1,882</w:t>
            </w:r>
          </w:p>
        </w:tc>
        <w:tc>
          <w:tcPr>
            <w:tcW w:type="dxa" w:w="1440"/>
            <w:shd w:fill="C6EFCE" w:val="clear"/>
          </w:tcPr>
          <w:p>
            <w:r>
              <w:rPr>
                <w:sz w:val="17"/>
              </w:rPr>
              <w:t>2,069</w:t>
            </w:r>
          </w:p>
        </w:tc>
        <w:tc>
          <w:tcPr>
            <w:tcW w:type="dxa" w:w="1440"/>
            <w:shd w:fill="C6EFCE" w:val="clear"/>
          </w:tcPr>
          <w:p>
            <w:r>
              <w:rPr>
                <w:b/>
                <w:color w:val="008000"/>
                <w:sz w:val="17"/>
              </w:rPr>
              <w:t>+5.1%</w:t>
            </w:r>
          </w:p>
        </w:tc>
      </w:tr>
      <w:tr>
        <w:tc>
          <w:tcPr>
            <w:tcW w:type="dxa" w:w="1440"/>
            <w:shd w:fill="C6EFCE" w:val="clear"/>
          </w:tcPr>
          <w:p>
            <w:r>
              <w:rPr>
                <w:sz w:val="17"/>
              </w:rPr>
              <w:t>J+5  ⭐</w:t>
            </w:r>
          </w:p>
        </w:tc>
        <w:tc>
          <w:tcPr>
            <w:tcW w:type="dxa" w:w="1440"/>
            <w:shd w:fill="C6EFCE" w:val="clear"/>
          </w:tcPr>
          <w:p>
            <w:r>
              <w:rPr>
                <w:sz w:val="17"/>
              </w:rPr>
              <w:t>2026-10-22</w:t>
            </w:r>
          </w:p>
        </w:tc>
        <w:tc>
          <w:tcPr>
            <w:tcW w:type="dxa" w:w="1440"/>
            <w:shd w:fill="C6EFCE" w:val="clear"/>
          </w:tcPr>
          <w:p>
            <w:r>
              <w:rPr>
                <w:sz w:val="17"/>
              </w:rPr>
              <w:t>1,677</w:t>
            </w:r>
          </w:p>
        </w:tc>
        <w:tc>
          <w:tcPr>
            <w:tcW w:type="dxa" w:w="1440"/>
            <w:shd w:fill="C6EFCE" w:val="clear"/>
          </w:tcPr>
          <w:p>
            <w:r>
              <w:rPr>
                <w:b/>
                <w:sz w:val="17"/>
              </w:rPr>
              <w:t>1,887</w:t>
            </w:r>
          </w:p>
        </w:tc>
        <w:tc>
          <w:tcPr>
            <w:tcW w:type="dxa" w:w="1440"/>
            <w:shd w:fill="C6EFCE" w:val="clear"/>
          </w:tcPr>
          <w:p>
            <w:r>
              <w:rPr>
                <w:sz w:val="17"/>
              </w:rPr>
              <w:t>2,097</w:t>
            </w:r>
          </w:p>
        </w:tc>
        <w:tc>
          <w:tcPr>
            <w:tcW w:type="dxa" w:w="1440"/>
            <w:shd w:fill="C6EFCE" w:val="clear"/>
          </w:tcPr>
          <w:p>
            <w:r>
              <w:rPr>
                <w:b/>
                <w:color w:val="008000"/>
                <w:sz w:val="17"/>
              </w:rPr>
              <w:t>+5.4%</w:t>
            </w:r>
          </w:p>
        </w:tc>
      </w:tr>
      <w:tr>
        <w:tc>
          <w:tcPr>
            <w:tcW w:type="dxa" w:w="1440"/>
            <w:shd w:fill="C6EFCE" w:val="clear"/>
          </w:tcPr>
          <w:p>
            <w:r>
              <w:rPr>
                <w:sz w:val="17"/>
              </w:rPr>
              <w:t>J+6  ⭐</w:t>
            </w:r>
          </w:p>
        </w:tc>
        <w:tc>
          <w:tcPr>
            <w:tcW w:type="dxa" w:w="1440"/>
            <w:shd w:fill="C6EFCE" w:val="clear"/>
          </w:tcPr>
          <w:p>
            <w:r>
              <w:rPr>
                <w:sz w:val="17"/>
              </w:rPr>
              <w:t>2026-10-23</w:t>
            </w:r>
          </w:p>
        </w:tc>
        <w:tc>
          <w:tcPr>
            <w:tcW w:type="dxa" w:w="1440"/>
            <w:shd w:fill="C6EFCE" w:val="clear"/>
          </w:tcPr>
          <w:p>
            <w:r>
              <w:rPr>
                <w:sz w:val="17"/>
              </w:rPr>
              <w:t>1,662</w:t>
            </w:r>
          </w:p>
        </w:tc>
        <w:tc>
          <w:tcPr>
            <w:tcW w:type="dxa" w:w="1440"/>
            <w:shd w:fill="C6EFCE" w:val="clear"/>
          </w:tcPr>
          <w:p>
            <w:r>
              <w:rPr>
                <w:b/>
                <w:sz w:val="17"/>
              </w:rPr>
              <w:t>1,893</w:t>
            </w:r>
          </w:p>
        </w:tc>
        <w:tc>
          <w:tcPr>
            <w:tcW w:type="dxa" w:w="1440"/>
            <w:shd w:fill="C6EFCE" w:val="clear"/>
          </w:tcPr>
          <w:p>
            <w:r>
              <w:rPr>
                <w:sz w:val="17"/>
              </w:rPr>
              <w:t>2,124</w:t>
            </w:r>
          </w:p>
        </w:tc>
        <w:tc>
          <w:tcPr>
            <w:tcW w:type="dxa" w:w="1440"/>
            <w:shd w:fill="C6EFCE" w:val="clear"/>
          </w:tcPr>
          <w:p>
            <w:r>
              <w:rPr>
                <w:b/>
                <w:color w:val="008000"/>
                <w:sz w:val="17"/>
              </w:rPr>
              <w:t>+5.7%</w:t>
            </w:r>
          </w:p>
        </w:tc>
      </w:tr>
      <w:tr>
        <w:tc>
          <w:tcPr>
            <w:tcW w:type="dxa" w:w="1440"/>
            <w:shd w:fill="C6EFCE" w:val="clear"/>
          </w:tcPr>
          <w:p>
            <w:r>
              <w:rPr>
                <w:sz w:val="17"/>
              </w:rPr>
              <w:t>J+7  ⭐</w:t>
            </w:r>
          </w:p>
        </w:tc>
        <w:tc>
          <w:tcPr>
            <w:tcW w:type="dxa" w:w="1440"/>
            <w:shd w:fill="C6EFCE" w:val="clear"/>
          </w:tcPr>
          <w:p>
            <w:r>
              <w:rPr>
                <w:sz w:val="17"/>
              </w:rPr>
              <w:t>2026-10-26</w:t>
            </w:r>
          </w:p>
        </w:tc>
        <w:tc>
          <w:tcPr>
            <w:tcW w:type="dxa" w:w="1440"/>
            <w:shd w:fill="C6EFCE" w:val="clear"/>
          </w:tcPr>
          <w:p>
            <w:r>
              <w:rPr>
                <w:sz w:val="17"/>
              </w:rPr>
              <w:t>1,648</w:t>
            </w:r>
          </w:p>
        </w:tc>
        <w:tc>
          <w:tcPr>
            <w:tcW w:type="dxa" w:w="1440"/>
            <w:shd w:fill="C6EFCE" w:val="clear"/>
          </w:tcPr>
          <w:p>
            <w:r>
              <w:rPr>
                <w:b/>
                <w:sz w:val="17"/>
              </w:rPr>
              <w:t>1,898</w:t>
            </w:r>
          </w:p>
        </w:tc>
        <w:tc>
          <w:tcPr>
            <w:tcW w:type="dxa" w:w="1440"/>
            <w:shd w:fill="C6EFCE" w:val="clear"/>
          </w:tcPr>
          <w:p>
            <w:r>
              <w:rPr>
                <w:sz w:val="17"/>
              </w:rPr>
              <w:t>2,148</w:t>
            </w:r>
          </w:p>
        </w:tc>
        <w:tc>
          <w:tcPr>
            <w:tcW w:type="dxa" w:w="1440"/>
            <w:shd w:fill="C6EFCE" w:val="clear"/>
          </w:tcPr>
          <w:p>
            <w:r>
              <w:rPr>
                <w:b/>
                <w:color w:val="008000"/>
                <w:sz w:val="17"/>
              </w:rPr>
              <w:t>+6.1%</w:t>
            </w:r>
          </w:p>
        </w:tc>
      </w:tr>
      <w:tr>
        <w:tc>
          <w:tcPr>
            <w:tcW w:type="dxa" w:w="1440"/>
            <w:shd w:fill="C6EFCE" w:val="clear"/>
          </w:tcPr>
          <w:p>
            <w:r>
              <w:rPr>
                <w:sz w:val="17"/>
              </w:rPr>
              <w:t>J+8  ⭐</w:t>
            </w:r>
          </w:p>
        </w:tc>
        <w:tc>
          <w:tcPr>
            <w:tcW w:type="dxa" w:w="1440"/>
            <w:shd w:fill="C6EFCE" w:val="clear"/>
          </w:tcPr>
          <w:p>
            <w:r>
              <w:rPr>
                <w:sz w:val="17"/>
              </w:rPr>
              <w:t>2026-10-27</w:t>
            </w:r>
          </w:p>
        </w:tc>
        <w:tc>
          <w:tcPr>
            <w:tcW w:type="dxa" w:w="1440"/>
            <w:shd w:fill="C6EFCE" w:val="clear"/>
          </w:tcPr>
          <w:p>
            <w:r>
              <w:rPr>
                <w:sz w:val="17"/>
              </w:rPr>
              <w:t>1,636</w:t>
            </w:r>
          </w:p>
        </w:tc>
        <w:tc>
          <w:tcPr>
            <w:tcW w:type="dxa" w:w="1440"/>
            <w:shd w:fill="C6EFCE" w:val="clear"/>
          </w:tcPr>
          <w:p>
            <w:r>
              <w:rPr>
                <w:b/>
                <w:sz w:val="17"/>
              </w:rPr>
              <w:t>1,904</w:t>
            </w:r>
          </w:p>
        </w:tc>
        <w:tc>
          <w:tcPr>
            <w:tcW w:type="dxa" w:w="1440"/>
            <w:shd w:fill="C6EFCE" w:val="clear"/>
          </w:tcPr>
          <w:p>
            <w:r>
              <w:rPr>
                <w:sz w:val="17"/>
              </w:rPr>
              <w:t>2,172</w:t>
            </w:r>
          </w:p>
        </w:tc>
        <w:tc>
          <w:tcPr>
            <w:tcW w:type="dxa" w:w="1440"/>
            <w:shd w:fill="C6EFCE" w:val="clear"/>
          </w:tcPr>
          <w:p>
            <w:r>
              <w:rPr>
                <w:b/>
                <w:color w:val="008000"/>
                <w:sz w:val="17"/>
              </w:rPr>
              <w:t>+6.4%</w:t>
            </w:r>
          </w:p>
        </w:tc>
      </w:tr>
      <w:tr>
        <w:tc>
          <w:tcPr>
            <w:tcW w:type="dxa" w:w="1440"/>
            <w:shd w:fill="C6EFCE" w:val="clear"/>
          </w:tcPr>
          <w:p>
            <w:r>
              <w:rPr>
                <w:sz w:val="17"/>
              </w:rPr>
              <w:t>J+9  ⭐</w:t>
            </w:r>
          </w:p>
        </w:tc>
        <w:tc>
          <w:tcPr>
            <w:tcW w:type="dxa" w:w="1440"/>
            <w:shd w:fill="C6EFCE" w:val="clear"/>
          </w:tcPr>
          <w:p>
            <w:r>
              <w:rPr>
                <w:sz w:val="17"/>
              </w:rPr>
              <w:t>2026-10-28</w:t>
            </w:r>
          </w:p>
        </w:tc>
        <w:tc>
          <w:tcPr>
            <w:tcW w:type="dxa" w:w="1440"/>
            <w:shd w:fill="C6EFCE" w:val="clear"/>
          </w:tcPr>
          <w:p>
            <w:r>
              <w:rPr>
                <w:sz w:val="17"/>
              </w:rPr>
              <w:t>1,624</w:t>
            </w:r>
          </w:p>
        </w:tc>
        <w:tc>
          <w:tcPr>
            <w:tcW w:type="dxa" w:w="1440"/>
            <w:shd w:fill="C6EFCE" w:val="clear"/>
          </w:tcPr>
          <w:p>
            <w:r>
              <w:rPr>
                <w:b/>
                <w:sz w:val="17"/>
              </w:rPr>
              <w:t>1,909</w:t>
            </w:r>
          </w:p>
        </w:tc>
        <w:tc>
          <w:tcPr>
            <w:tcW w:type="dxa" w:w="1440"/>
            <w:shd w:fill="C6EFCE" w:val="clear"/>
          </w:tcPr>
          <w:p>
            <w:r>
              <w:rPr>
                <w:sz w:val="17"/>
              </w:rPr>
              <w:t>2,195</w:t>
            </w:r>
          </w:p>
        </w:tc>
        <w:tc>
          <w:tcPr>
            <w:tcW w:type="dxa" w:w="1440"/>
            <w:shd w:fill="C6EFCE" w:val="clear"/>
          </w:tcPr>
          <w:p>
            <w:r>
              <w:rPr>
                <w:b/>
                <w:color w:val="008000"/>
                <w:sz w:val="17"/>
              </w:rPr>
              <w:t>+6.7%</w:t>
            </w:r>
          </w:p>
        </w:tc>
      </w:tr>
      <w:tr>
        <w:tc>
          <w:tcPr>
            <w:tcW w:type="dxa" w:w="1440"/>
            <w:shd w:fill="C6EFCE" w:val="clear"/>
          </w:tcPr>
          <w:p>
            <w:r>
              <w:rPr>
                <w:sz w:val="17"/>
              </w:rPr>
              <w:t>J+10  ⭐</w:t>
            </w:r>
          </w:p>
        </w:tc>
        <w:tc>
          <w:tcPr>
            <w:tcW w:type="dxa" w:w="1440"/>
            <w:shd w:fill="C6EFCE" w:val="clear"/>
          </w:tcPr>
          <w:p>
            <w:r>
              <w:rPr>
                <w:sz w:val="17"/>
              </w:rPr>
              <w:t>2026-10-29</w:t>
            </w:r>
          </w:p>
        </w:tc>
        <w:tc>
          <w:tcPr>
            <w:tcW w:type="dxa" w:w="1440"/>
            <w:shd w:fill="C6EFCE" w:val="clear"/>
          </w:tcPr>
          <w:p>
            <w:r>
              <w:rPr>
                <w:sz w:val="17"/>
              </w:rPr>
              <w:t>1,613</w:t>
            </w:r>
          </w:p>
        </w:tc>
        <w:tc>
          <w:tcPr>
            <w:tcW w:type="dxa" w:w="1440"/>
            <w:shd w:fill="C6EFCE" w:val="clear"/>
          </w:tcPr>
          <w:p>
            <w:r>
              <w:rPr>
                <w:b/>
                <w:sz w:val="17"/>
              </w:rPr>
              <w:t>1,915</w:t>
            </w:r>
          </w:p>
        </w:tc>
        <w:tc>
          <w:tcPr>
            <w:tcW w:type="dxa" w:w="1440"/>
            <w:shd w:fill="C6EFCE" w:val="clear"/>
          </w:tcPr>
          <w:p>
            <w:r>
              <w:rPr>
                <w:sz w:val="17"/>
              </w:rPr>
              <w:t>2,216</w:t>
            </w:r>
          </w:p>
        </w:tc>
        <w:tc>
          <w:tcPr>
            <w:tcW w:type="dxa" w:w="1440"/>
            <w:shd w:fill="C6EFCE" w:val="clear"/>
          </w:tcPr>
          <w:p>
            <w:r>
              <w:rPr>
                <w:b/>
                <w:color w:val="008000"/>
                <w:sz w:val="17"/>
              </w:rPr>
              <w:t>+7.0%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2.219 Mds FCFA</w:t>
            </w:r>
          </w:p>
        </w:tc>
        <w:tc>
          <w:tcPr>
            <w:tcW w:type="dxa" w:w="5669"/>
            <w:shd w:fill="FFFFFF" w:val="clear"/>
          </w:tcPr>
          <w:p>
            <w:r>
              <w:rPr>
                <w:color w:val="282828"/>
                <w:sz w:val="15"/>
              </w:rPr>
              <w:t>Créances clients = 22.0%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2.420 Mds FCFA</w:t>
            </w:r>
          </w:p>
        </w:tc>
        <w:tc>
          <w:tcPr>
            <w:tcW w:type="dxa" w:w="5669"/>
            <w:shd w:fill="FFFFFF" w:val="clear"/>
          </w:tcPr>
          <w:p>
            <w:r>
              <w:rPr>
                <w:color w:val="282828"/>
                <w:sz w:val="15"/>
              </w:rPr>
              <w:t>Rotation stocks = 4.2x/an.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5.740 Mds FCFA</w:t>
            </w:r>
          </w:p>
        </w:tc>
        <w:tc>
          <w:tcPr>
            <w:tcW w:type="dxa" w:w="5669"/>
            <w:shd w:fill="FFFFFF" w:val="clear"/>
          </w:tcPr>
          <w:p>
            <w:r>
              <w:rPr>
                <w:color w:val="282828"/>
                <w:sz w:val="15"/>
              </w:rPr>
              <w:t>Ratio actif circ./passif circ. = 0.92x.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16.02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8.586 Mds FCFA</w:t>
            </w:r>
          </w:p>
        </w:tc>
        <w:tc>
          <w:tcPr>
            <w:tcW w:type="dxa" w:w="5669"/>
            <w:shd w:fill="FFFFFF" w:val="clear"/>
          </w:tcPr>
          <w:p>
            <w:r>
              <w:rPr>
                <w:color w:val="282828"/>
                <w:sz w:val="15"/>
              </w:rPr>
              <w:t>Outil industriel (58.8%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8.822 Mds FCFA</w:t>
            </w:r>
          </w:p>
        </w:tc>
        <w:tc>
          <w:tcPr>
            <w:tcW w:type="dxa" w:w="5669"/>
            <w:shd w:fill="FFFFFF" w:val="clear"/>
          </w:tcPr>
          <w:p>
            <w:r>
              <w:rPr>
                <w:color w:val="282828"/>
                <w:sz w:val="15"/>
              </w:rPr>
              <w:t>Actif immobilisé = 60.4%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48.21 M FCFA</w:t>
            </w:r>
          </w:p>
        </w:tc>
        <w:tc>
          <w:tcPr>
            <w:tcW w:type="dxa" w:w="5669"/>
            <w:shd w:fill="FFFFFF" w:val="clear"/>
          </w:tcPr>
          <w:p>
            <w:r>
              <w:rPr>
                <w:color w:val="282828"/>
                <w:sz w:val="15"/>
              </w:rPr>
              <w:t>Liquidités disponibles (0.3%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14.611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873.40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355.33 M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2.527 Mds FCFA</w:t>
            </w:r>
          </w:p>
        </w:tc>
        <w:tc>
          <w:tcPr>
            <w:tcW w:type="dxa" w:w="5669"/>
            <w:shd w:fill="FFFFFF" w:val="clear"/>
          </w:tcPr>
          <w:p>
            <w:r>
              <w:rPr>
                <w:color w:val="282828"/>
                <w:sz w:val="15"/>
              </w:rPr>
              <w:t>Fonds propres = 17.3%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6.691 Mds FCFA</w:t>
            </w:r>
          </w:p>
        </w:tc>
        <w:tc>
          <w:tcPr>
            <w:tcW w:type="dxa" w:w="5669"/>
            <w:shd w:fill="FFFFFF" w:val="clear"/>
          </w:tcPr>
          <w:p>
            <w:r>
              <w:rPr>
                <w:color w:val="282828"/>
                <w:sz w:val="15"/>
              </w:rPr>
              <w:t>Capitaux permanents / Actif immobilisé = 0.76x.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3.897 Mds FCFA</w:t>
            </w:r>
          </w:p>
        </w:tc>
        <w:tc>
          <w:tcPr>
            <w:tcW w:type="dxa" w:w="5669"/>
            <w:shd w:fill="FFFFFF" w:val="clear"/>
          </w:tcPr>
          <w:p>
            <w:r>
              <w:rPr>
                <w:color w:val="282828"/>
                <w:sz w:val="15"/>
              </w:rPr>
              <w:t>Délai fournisseurs implicite ≈ 141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4.062 Mds FCFA</w:t>
            </w:r>
          </w:p>
        </w:tc>
        <w:tc>
          <w:tcPr>
            <w:tcW w:type="dxa" w:w="5669"/>
            <w:shd w:fill="FFFFFF" w:val="clear"/>
          </w:tcPr>
          <w:p>
            <w:r>
              <w:rPr>
                <w:color w:val="282828"/>
                <w:sz w:val="15"/>
              </w:rPr>
              <w:t>Dette LT/MT = 161%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5.771 Mds FCFA</w:t>
            </w:r>
          </w:p>
        </w:tc>
        <w:tc>
          <w:tcPr>
            <w:tcW w:type="dxa" w:w="5669"/>
            <w:shd w:fill="FFFFFF" w:val="clear"/>
          </w:tcPr>
          <w:p>
            <w:r>
              <w:rPr>
                <w:color w:val="282828"/>
                <w:sz w:val="15"/>
              </w:rPr>
              <w:t>Dette financière totale = 228% des fonds propres (gearing). ⚠️ Gearing élevé — risque financier accru.</w:t>
            </w:r>
          </w:p>
        </w:tc>
      </w:tr>
      <w:tr>
        <w:tc>
          <w:tcPr>
            <w:tcW w:type="dxa" w:w="2268"/>
            <w:shd w:fill="EEF2F7" w:val="clear"/>
          </w:tcPr>
          <w:p>
            <w:r>
              <w:rPr>
                <w:b/>
                <w:color w:val="1E1E3C"/>
                <w:sz w:val="16"/>
              </w:rPr>
              <w:t>Dettes totales</w:t>
            </w:r>
          </w:p>
        </w:tc>
        <w:tc>
          <w:tcPr>
            <w:tcW w:type="dxa" w:w="1984"/>
            <w:shd w:fill="FFEB9C" w:val="clear"/>
          </w:tcPr>
          <w:p>
            <w:r>
              <w:rPr>
                <w:b/>
                <w:color w:val="006400"/>
                <w:sz w:val="17"/>
              </w:rPr>
              <w:t>12.085 Mds FCFA</w:t>
            </w:r>
          </w:p>
        </w:tc>
        <w:tc>
          <w:tcPr>
            <w:tcW w:type="dxa" w:w="5669"/>
            <w:shd w:fill="FFFFFF" w:val="clear"/>
          </w:tcPr>
          <w:p>
            <w:r>
              <w:rPr>
                <w:color w:val="282828"/>
                <w:sz w:val="15"/>
              </w:rPr>
              <w:t>Dettes totales = 82.7%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10.075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10.075 Mds FCFA</w:t>
            </w:r>
          </w:p>
        </w:tc>
        <w:tc>
          <w:tcPr>
            <w:tcW w:type="dxa" w:w="5669"/>
            <w:shd w:fill="FFFFFF" w:val="clear"/>
          </w:tcPr>
          <w:p>
            <w:r>
              <w:rPr>
                <w:color w:val="282828"/>
                <w:sz w:val="15"/>
              </w:rPr>
              <w:t>Chiffre d'affaires. Croissance: 8.5%.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1.088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1.661 Mds FCFA</w:t>
            </w:r>
          </w:p>
        </w:tc>
        <w:tc>
          <w:tcPr>
            <w:tcW w:type="dxa" w:w="5669"/>
            <w:shd w:fill="FFFFFF" w:val="clear"/>
          </w:tcPr>
          <w:p>
            <w:r>
              <w:rPr>
                <w:color w:val="282828"/>
                <w:sz w:val="15"/>
              </w:rPr>
              <w:t>Masse salariale = 16.5%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3.103 Mds FCFA</w:t>
            </w:r>
          </w:p>
        </w:tc>
        <w:tc>
          <w:tcPr>
            <w:tcW w:type="dxa" w:w="5669"/>
            <w:shd w:fill="FFFFFF" w:val="clear"/>
          </w:tcPr>
          <w:p>
            <w:r>
              <w:rPr>
                <w:color w:val="282828"/>
                <w:sz w:val="15"/>
              </w:rPr>
              <w:t>VA = 30.8%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1.442 Mds FCFA</w:t>
            </w:r>
          </w:p>
        </w:tc>
        <w:tc>
          <w:tcPr>
            <w:tcW w:type="dxa" w:w="5669"/>
            <w:shd w:fill="FFFFFF" w:val="clear"/>
          </w:tcPr>
          <w:p>
            <w:r>
              <w:rPr>
                <w:color w:val="282828"/>
                <w:sz w:val="15"/>
              </w:rPr>
              <w:t>EBE = 14.3%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866.37 M FCFA</w:t>
            </w:r>
          </w:p>
        </w:tc>
        <w:tc>
          <w:tcPr>
            <w:tcW w:type="dxa" w:w="5669"/>
            <w:shd w:fill="FFFFFF" w:val="clear"/>
          </w:tcPr>
          <w:p>
            <w:r>
              <w:rPr>
                <w:color w:val="282828"/>
                <w:sz w:val="15"/>
              </w:rPr>
              <w:t>Profit d'exploitation = 8.6%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179.29 M FCFA</w:t>
            </w:r>
          </w:p>
        </w:tc>
        <w:tc>
          <w:tcPr>
            <w:tcW w:type="dxa" w:w="5669"/>
            <w:shd w:fill="FFFFFF" w:val="clear"/>
          </w:tcPr>
          <w:p>
            <w:r>
              <w:rPr>
                <w:color w:val="282828"/>
                <w:sz w:val="15"/>
              </w:rPr>
              <w:t>Marge nette = 1.8%.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868.94 M FCFA</w:t>
            </w:r>
          </w:p>
        </w:tc>
        <w:tc>
          <w:tcPr>
            <w:tcW w:type="dxa" w:w="5669"/>
            <w:shd w:fill="FFFFFF" w:val="clear"/>
          </w:tcPr>
          <w:p>
            <w:r>
              <w:rPr>
                <w:color w:val="282828"/>
                <w:sz w:val="15"/>
              </w:rPr>
              <w:t>CAF = 0.87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992.26 M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-1.935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DEEAF1" w:val="clear"/>
          </w:tcPr>
          <w:p>
            <w:r>
              <w:rPr>
                <w:b/>
                <w:color w:val="006400"/>
                <w:sz w:val="17"/>
              </w:rPr>
              <w:t>1.425 Mds FCFA</w:t>
            </w:r>
          </w:p>
        </w:tc>
        <w:tc>
          <w:tcPr>
            <w:tcW w:type="dxa" w:w="5669"/>
            <w:shd w:fill="FFFFFF" w:val="clear"/>
          </w:tcPr>
          <w:p>
            <w:r>
              <w:rPr>
                <w:color w:val="282828"/>
                <w:sz w:val="15"/>
              </w:rPr>
              <w:t>Flux liés à la dette et aux dividendes. ℹ️ Nouveaux financements levés — augmentation de capital ou emprunt.</w:t>
            </w:r>
          </w:p>
        </w:tc>
      </w:tr>
      <w:tr>
        <w:tc>
          <w:tcPr>
            <w:tcW w:type="dxa" w:w="2268"/>
            <w:shd w:fill="EEF2F7" w:val="clear"/>
          </w:tcPr>
          <w:p>
            <w:r>
              <w:rPr>
                <w:b/>
                <w:color w:val="1E1E3C"/>
                <w:sz w:val="16"/>
              </w:rPr>
              <w:t>Free Cash Flow</w:t>
            </w:r>
          </w:p>
        </w:tc>
        <w:tc>
          <w:tcPr>
            <w:tcW w:type="dxa" w:w="1984"/>
            <w:shd w:fill="FFEB9C" w:val="clear"/>
          </w:tcPr>
          <w:p>
            <w:r>
              <w:rPr>
                <w:b/>
                <w:color w:val="B40000"/>
                <w:sz w:val="17"/>
              </w:rPr>
              <w:t>-935.89 M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B40000"/>
                <w:sz w:val="17"/>
              </w:rPr>
              <w:t>-470.79 M FCFA</w:t>
            </w:r>
          </w:p>
        </w:tc>
        <w:tc>
          <w:tcPr>
            <w:tcW w:type="dxa" w:w="5669"/>
            <w:shd w:fill="FFFFFF" w:val="clear"/>
          </w:tcPr>
          <w:p>
            <w:r>
              <w:rPr>
                <w:color w:val="282828"/>
                <w:sz w:val="15"/>
              </w:rPr>
              <w:t>BFR = -4.7%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-2.132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-1.661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54.30%</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FFEB9C" w:val="clear"/>
          </w:tcPr>
          <w:p>
            <w:r>
              <w:rPr>
                <w:b/>
                <w:color w:val="006400"/>
                <w:sz w:val="17"/>
              </w:rPr>
              <w:t>1.78%</w:t>
            </w:r>
          </w:p>
        </w:tc>
        <w:tc>
          <w:tcPr>
            <w:tcW w:type="dxa" w:w="5669"/>
            <w:shd w:fill="FFFFFF" w:val="clear"/>
          </w:tcPr>
          <w:p>
            <w:r>
              <w:rPr>
                <w:color w:val="282828"/>
                <w:sz w:val="15"/>
              </w:rPr>
              <w:t>Résultat net / revenus = 1.78%. ⚠️ Marge nette très fine — sensible aux aléas.</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8.60%</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7.10%</w:t>
            </w:r>
          </w:p>
        </w:tc>
        <w:tc>
          <w:tcPr>
            <w:tcW w:type="dxa" w:w="5669"/>
            <w:shd w:fill="FFFFFF" w:val="clear"/>
          </w:tcPr>
          <w:p>
            <w:r>
              <w:rPr>
                <w:color w:val="282828"/>
                <w:sz w:val="15"/>
              </w:rPr>
              <w:t>Résultat net / capitaux propres = 7.10%.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1.23%</w:t>
            </w:r>
          </w:p>
        </w:tc>
        <w:tc>
          <w:tcPr>
            <w:tcW w:type="dxa" w:w="5669"/>
            <w:shd w:fill="FFFFFF" w:val="clear"/>
          </w:tcPr>
          <w:p>
            <w:r>
              <w:rPr>
                <w:color w:val="282828"/>
                <w:sz w:val="15"/>
              </w:rPr>
              <w:t>Résultat net / total actif = 1.23%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68.95%</w:t>
            </w:r>
          </w:p>
        </w:tc>
        <w:tc>
          <w:tcPr>
            <w:tcW w:type="dxa" w:w="5669"/>
            <w:shd w:fill="FFFFFF" w:val="clear"/>
          </w:tcPr>
          <w:p>
            <w:r>
              <w:rPr>
                <w:color w:val="282828"/>
                <w:sz w:val="15"/>
              </w:rPr>
              <w:t>CA / total actif = 68.95x.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8.53%</w:t>
            </w:r>
          </w:p>
        </w:tc>
        <w:tc>
          <w:tcPr>
            <w:tcW w:type="dxa" w:w="5669"/>
            <w:shd w:fill="FFFFFF" w:val="clear"/>
          </w:tcPr>
          <w:p>
            <w:r>
              <w:rPr>
                <w:color w:val="282828"/>
                <w:sz w:val="15"/>
              </w:rPr>
              <w:t>Croissance CA vs exercice précédent = 8.53%.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17.29%</w:t>
            </w:r>
          </w:p>
        </w:tc>
        <w:tc>
          <w:tcPr>
            <w:tcW w:type="dxa" w:w="5669"/>
            <w:shd w:fill="FFFFFF" w:val="clear"/>
          </w:tcPr>
          <w:p>
            <w:r>
              <w:rPr>
                <w:color w:val="282828"/>
                <w:sz w:val="15"/>
              </w:rPr>
              <w:t>Fonds propres / total bilan = 17.29%.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82.71%</w:t>
            </w:r>
          </w:p>
        </w:tc>
        <w:tc>
          <w:tcPr>
            <w:tcW w:type="dxa" w:w="5669"/>
            <w:shd w:fill="FFFFFF" w:val="clear"/>
          </w:tcPr>
          <w:p>
            <w:r>
              <w:rPr>
                <w:color w:val="282828"/>
                <w:sz w:val="15"/>
              </w:rPr>
              <w:t>Dettes financières / total bilan = 82.71%.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228.41%</w:t>
            </w:r>
          </w:p>
        </w:tc>
        <w:tc>
          <w:tcPr>
            <w:tcW w:type="dxa" w:w="5669"/>
            <w:shd w:fill="FFFFFF" w:val="clear"/>
          </w:tcPr>
          <w:p>
            <w:r>
              <w:rPr>
                <w:color w:val="282828"/>
                <w:sz w:val="15"/>
              </w:rPr>
              <w:t>Dettes totales / fonds propres = 228.41%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120.91%</w:t>
            </w:r>
          </w:p>
        </w:tc>
        <w:tc>
          <w:tcPr>
            <w:tcW w:type="dxa" w:w="5669"/>
            <w:shd w:fill="FFFFFF" w:val="clear"/>
          </w:tcPr>
          <w:p>
            <w:r>
              <w:rPr>
                <w:color w:val="282828"/>
                <w:sz w:val="15"/>
              </w:rPr>
              <w:t>Total actif / dettes totales = 120.91x.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73.09%</w:t>
            </w:r>
          </w:p>
        </w:tc>
        <w:tc>
          <w:tcPr>
            <w:tcW w:type="dxa" w:w="5669"/>
            <w:shd w:fill="FFFFFF" w:val="clear"/>
          </w:tcPr>
          <w:p>
            <w:r>
              <w:rPr>
                <w:color w:val="282828"/>
                <w:sz w:val="15"/>
              </w:rPr>
              <w:t>Actif circulant / passif circulant = 73.09x.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0.61%</w:t>
            </w:r>
          </w:p>
        </w:tc>
        <w:tc>
          <w:tcPr>
            <w:tcW w:type="dxa" w:w="5669"/>
            <w:shd w:fill="FFFFFF" w:val="clear"/>
          </w:tcPr>
          <w:p>
            <w:r>
              <w:rPr>
                <w:color w:val="282828"/>
                <w:sz w:val="15"/>
              </w:rPr>
              <w:t>Trésorerie / passif circulant = 0.61x.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42.53%</w:t>
            </w:r>
          </w:p>
        </w:tc>
        <w:tc>
          <w:tcPr>
            <w:tcW w:type="dxa" w:w="5669"/>
            <w:shd w:fill="FFFFFF" w:val="clear"/>
          </w:tcPr>
          <w:p>
            <w:r>
              <w:rPr>
                <w:color w:val="282828"/>
                <w:sz w:val="15"/>
              </w:rPr>
              <w:t>(Actif circ. - stocks) / passif circ. = 42.53x.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75.84%</w:t>
            </w:r>
          </w:p>
        </w:tc>
        <w:tc>
          <w:tcPr>
            <w:tcW w:type="dxa" w:w="5669"/>
            <w:shd w:fill="FFFFFF" w:val="clear"/>
          </w:tcPr>
          <w:p>
            <w:r>
              <w:rPr>
                <w:color w:val="282828"/>
                <w:sz w:val="15"/>
              </w:rPr>
              <w:t>Capitaux permanents / actif immobilisé = 75.84x.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6.6 ans</w:t>
            </w:r>
          </w:p>
        </w:tc>
        <w:tc>
          <w:tcPr>
            <w:tcW w:type="dxa" w:w="5669"/>
            <w:shd w:fill="FFFFFF" w:val="clear"/>
          </w:tcPr>
          <w:p>
            <w:r>
              <w:rPr>
                <w:color w:val="282828"/>
                <w:sz w:val="15"/>
              </w:rPr>
              <w:t>Dettes financières / CAF = 6.6 ans. ⚠️ Remboursement long — endettement fort par rapport au cash.</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235.01%</w:t>
            </w:r>
          </w:p>
        </w:tc>
        <w:tc>
          <w:tcPr>
            <w:tcW w:type="dxa" w:w="5669"/>
            <w:shd w:fill="FFFFFF" w:val="clear"/>
          </w:tcPr>
          <w:p>
            <w:r>
              <w:rPr>
                <w:color w:val="282828"/>
                <w:sz w:val="15"/>
              </w:rPr>
              <w:t>Résultat exploit. / charges financières = 235.01x. ✅ Couverture satisfaisante.</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45.07%</w:t>
            </w:r>
          </w:p>
        </w:tc>
        <w:tc>
          <w:tcPr>
            <w:tcW w:type="dxa" w:w="5669"/>
            <w:shd w:fill="FFFFFF" w:val="clear"/>
          </w:tcPr>
          <w:p>
            <w:r>
              <w:rPr>
                <w:color w:val="282828"/>
                <w:sz w:val="15"/>
              </w:rPr>
              <w:t>CAF / investissements = 45.07x.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79.3 j</w:t>
            </w:r>
          </w:p>
        </w:tc>
        <w:tc>
          <w:tcPr>
            <w:tcW w:type="dxa" w:w="5669"/>
            <w:shd w:fill="FFFFFF" w:val="clear"/>
          </w:tcPr>
          <w:p>
            <w:r>
              <w:rPr>
                <w:color w:val="282828"/>
                <w:sz w:val="15"/>
              </w:rPr>
              <w:t>Les clients paient en moyenne en 79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323.3 j</w:t>
            </w:r>
          </w:p>
        </w:tc>
        <w:tc>
          <w:tcPr>
            <w:tcW w:type="dxa" w:w="5669"/>
            <w:shd w:fill="FFFFFF" w:val="clear"/>
          </w:tcPr>
          <w:p>
            <w:r>
              <w:rPr>
                <w:color w:val="282828"/>
                <w:sz w:val="15"/>
              </w:rPr>
              <w:t>Paiement des fournisseurs en 323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189.3 j</w:t>
            </w:r>
          </w:p>
        </w:tc>
        <w:tc>
          <w:tcPr>
            <w:tcW w:type="dxa" w:w="5669"/>
            <w:shd w:fill="FFFFFF" w:val="clear"/>
          </w:tcPr>
          <w:p>
            <w:r>
              <w:rPr>
                <w:color w:val="282828"/>
                <w:sz w:val="15"/>
              </w:rPr>
              <w:t>Stock écoulé en 189 jours. ❌ Stock quasi-bloqué — risque d'obsolescence ou de surstock.</w:t>
            </w:r>
          </w:p>
        </w:tc>
      </w:tr>
    </w:tbl>
    <w:p/>
    <w:p>
      <w:pPr>
        <w:spacing w:after="120" w:line="276" w:lineRule="auto"/>
      </w:pPr>
      <w:r>
        <w:t>**RAPPORT D'ANALYSE FINANCIÈRE — SIVC (ERIUM COTE D'IVOIRE)**</w:t>
        <w:br/>
        <w:t>**Bourse Régionale des Valeurs Mobilières (BRVM) — Secteur : Entreprise Industrielle**</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15,63 milliards FCFA, SIVC se situe dans la catégorie des petites capitalisations de la BRVM, ce qui la rend sensible aux mouvements de faible volume. Le BPA s'établit à 21 FCFA par action, un niveau modeste qui, rapporté au cours actuel de 1 790 FCFA, génère un PER de 87,2x — très largement supérieur à la moyenne du marché BRVM (8-12x), signalant une valorisation extrêmement tendue et une prime spéculative difficile à justifier par les bénéfices. Le P/B de 6,19x confirme cette exubérance : le marché valorise l'entreprise à plus de six fois sa valeur comptable (capitaux propres de 2,527 Mds FCFA), alors que le secteur industriel se négocie généralement entre 1x et 2x. Enfin, l'EV/EBITDA de 16,0x traduit une valeur d'entreprise (incluant la dette nette de 5,771 Mds FCFA) très élevée par rapport à la capacité opérationnelle (EBE de 1,442 Mds FCFA), ce qui exige une croissance forte et durable pour être justifié. L'ensemble de ces ratios dresse le portrait d'un titre surévalué sur le plan fondamental, porté par des anticipations de marché plutôt que par la réalité des bénéfices.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SIVC a enregistré une chute spectaculaire de -37,30%, avec une dernière séance encore négative à -3,24%, portant le cours à 1 790 FCFA — soit exactement le plus bas de la période, ce qui témoigne d'une pression vendeuse persistante et d'une absence de support. Le range de trading est très large, entre 1 790 FCFA (plus bas) et 2 875 FCFA (plus haut), soit une amplitude de près de 60%, caractéristique d'un titre en tendance baissière marquée. La moyenne (2 357 FCFA) et la médiane (2 340 FCFA) sont proches, indiquant une distribution globalement symétrique, confirmée par un skewness de 0,299 (distribution symétrique) ; le mode à 2 000 FCFA suggère un palier psychologique souvent testé. L'écart-type de 289 FCFA avec un coefficient de variation de 12,3% traduit une dispersion modérée autour de la moyenne, mais le kurtosis de -0,775 (mésokurtique) indique une distribution proche de la normale, sans pics extrêmes fréquents — ce qui signifie que la baisse a été progressive et régulière plutôt que brutale. La volatilité annualisée de 54,3% classe ce titre dans la catégorie des valeurs à volatilité élevée (&gt;30%), ce qui implique un risque important pour l'investisseur et justifie une prime de risque élevée dans toute évaluation.</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(1 999,75 FCFA) et la MM50 (2 201,1 FCFA) sont toutes deux nettement supérieures au cours actuel (1 790 FCFA), avec la MM20 en dessous de la MM50 — configuration baissière classique. Le cours évolue sous ses deux moyennes, confirmant la tendance baissière de fond et justifiant la décision de **Vente**.</w:t>
      </w:r>
    </w:p>
    <w:p>
      <w:pPr>
        <w:spacing w:after="120" w:line="276" w:lineRule="auto"/>
      </w:pPr>
      <w:r>
        <w:t>**Bandes de Bollinger** : Le cours (1 790 FCFA) se situe juste en dessous de la borne inférieure (1 798,95 FCFA), ce qui constitue un signal de survente extrême et une anomalie statistique (le prix sort des bandes). La borne supérieure à 2 200,55 FCFA montre un canal de volatilité large, et cette position hors bande justifie la décision d'**Achat** technique (rebond potentiel).</w:t>
      </w:r>
    </w:p>
    <w:p>
      <w:pPr>
        <w:spacing w:after="120" w:line="276" w:lineRule="auto"/>
      </w:pPr>
      <w:r>
        <w:t>**MACD** : La valeur du MACD (-98,508) est inférieure à son signal (-85,026), avec un histogramme négatif — configuration baissière confirmée. Le momentum reste négatif et la divergence entre les deux lignes ne montre aucun signe de retournement imminent, justifiant la décision de **Vente**.</w:t>
      </w:r>
    </w:p>
    <w:p>
      <w:pPr>
        <w:spacing w:after="120" w:line="276" w:lineRule="auto"/>
      </w:pPr>
      <w:r>
        <w:t>**RSI** : À 26,563, le RSI est en zone de survente (&lt;30), ce qui indique que le titre a été massivement vendu et pourrait être proche d'un point de retournement technique. Cette lecture justifie la décision d'**Achat** à court terme, bien que la tendance de fond reste baissière.</w:t>
      </w:r>
    </w:p>
    <w:p>
      <w:pPr>
        <w:spacing w:after="120" w:line="276" w:lineRule="auto"/>
      </w:pPr>
      <w:r>
        <w:t>**Stochastique** : Le %K et le %D sont tous deux à 0,0, un niveau extrême de survente jamais observé en temps normal. Cette configuration signale un épuisement total de la pression vendeuse et justifie la décision d'**Achat** technique, en anticipation d'un rebond mécanique.</w:t>
      </w:r>
    </w:p>
    <w:p>
      <w:pPr>
        <w:spacing w:after="120" w:line="276" w:lineRule="auto"/>
      </w:pPr>
      <w:r>
        <w:t>**Conclusion technique** : Les indicateurs sont divisés : les moyennes mobiles et le MACD confirment une tendance baissière solide, tandis que le RSI, le stochastique et les bandes de Bollinger signalent une survente extrême propice à un rebond technique à court terme. Cette divergence entre tendance de fond (baissière) et signaux de retournement (survente) suggère une possible stabilisation à court terme, mais sans inversion durable de tendance tant que le cours reste sous la MM20 (1 999,75 FCFA).</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**Données structurées (exercice 2025)** : En 2025, ERIUM CI (ex-SIVC) a réalisé un chiffre d'affaires de 10,075 Mds FCFA, en croissance de +8,53% par rapport à 2024, portée par les ventes de produits fabriqués (4 419 M FCFA) et les travaux/services (3 345 M FCFA). Cependant, le résultat net s'est effondré à 179,29 M FCFA, contre 376,96 M FCFA en 2024, soit une chute de -52,4%, et la marge nette s'est dégradée à 1,78% (contre 4,06% en 2024). Le ROE s'établit à 7,10% (inférieur au seuil de 15% considéré comme excellent) et le ROA à 1,23%, reflétant une faible rentabilité des actifs. La structure financière est préoccupante : l'autonomie financière n'est que de 17,29% (seuil sain &gt;30%), le ratio d'endettement atteint 228,41% (dettes totales/capitaux propres), et la trésorerie nette est négative à -1 661 M FCFA. Le BFR est négatif à -470,79 M FCFA (favorable), mais le fonds de roulement est négatif à -2 132 M FCFA, signalant un déséquilibre financier. Les délais d'exploitation sont élevés : 79,30 jours pour les clients (risque de trésorerie) et 189,26 jours de stockage (immobilisation de capital), tandis que le délai fournisseurs de 323,35 jours est anormalement long. La capacité de remboursement est de 6,64 années de CAF, ce qui est tendu.</w:t>
      </w:r>
    </w:p>
    <w:p>
      <w:pPr>
        <w:spacing w:after="120" w:line="276" w:lineRule="auto"/>
      </w:pPr>
      <w:r>
        <w:t>**Estimations basées sur les rapports trimestriels** : Le rapport du S1 2025 (publié le 30/06/2025) indiquait un CA de 4 897,5 M FCFA (+8,8%) et un résultat net de 512,9 M FCFA (+4,6%), avec une marge nette de 10,5%. Le rapport du T3 2025 (publié le 30/09/2025) faisait état d'un CA cumulé de 7 584,7 M FCFA (+13%) et d'un résultat net de 832,5 M FCFA (+58%), avec une marge nette de 11,0%. Ces chiffres semestriels et trimestriels étaient nettement meilleurs que les résultats annuels définitifs, ce qui suggère une dégradation brutale au T4 2025 (probablement des charges exceptionnelles ou des dépréciations). On estime que l'exercice 2026 devrait bénéficier d'un effet de base favorable, mais la prudence reste de mise compte tenu de la fragilité de la structure financière. Le changement de dénomination sociale (Air Liquide CI → Erium CI) et la cession de la participation d'Air Liquide International à Erium LTD (6 295 350 actions à 230 FCFA le 21/11/2025) constituent des événements majeurs qui pourraient impacter la gouvernance et la stratégie.</w:t>
      </w:r>
    </w:p>
    <w:p>
      <w:pPr>
        <w:spacing w:after="120" w:line="276" w:lineRule="auto"/>
      </w:pPr>
      <w:r>
        <w:t>**Recommandation fondamentale** : La société présente un profil risqué : croissance du CA mais effondrement de la rentabilité, endettement élevé, trésorerie négative et capitaux propres en diminution. La recommandation fondamentale est **CONSERVER** (avec surveillance), en attendant de voir si la direction parvient à inverser la tendance sur la rentabilité et à assainir la structure financière.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révèle un tableau contrasté. **Valorisation (Partie 0)** : les ratios PER (87,2x), P/B (6,19x) et EV/EBITDA (16,0x) indiquent une surévaluation manifeste par rapport aux fondamentaux et à la moyenne du marché BRVM, ce qui constitue un signal baissier fort. **Comportement du cours (Partie 1)** : la tendance est baissière (-37,30% sur 100 jours), avec une volatilité élevée (54,3%) et une distribution symétrique (skewness 0,299) sans pics extrêmes (kurtosis -0,775), ce qui est préoccupant pour un investisseur cherchant la stabilité. **Signaux techniques (Partie 2)** : divergence entre les indicateurs de tendance (MM, MACD baissiers) et les oscillateurs (RSI, Stochastique en survente extrême), suggérant un rebond technique possible mais fragile. **Fondamentaux (Partie 3)** : la croissance du CA (+8,53%) ne compense pas l'effondrement du résultat net (-52,4%) et la dégradation de la structure financière (autonomie financière 17,29%, trésorerie nette -1 661 M FCFA), ce qui pèse sur la valorisation. **Prédictions IA (J+1 à J+10)** : la trajectoire prédite (1 882 FCFA le 16/10, 1 874 FCFA le 19/10, 1 877 FCFA le 20/10, 1 882 FCFA le 21/10, 1 887 FCFA le 22/10) suggère une légère reprise à court terme (+5,4% par rapport au cours actuel), ce qui confirme le rebond technique anticipé par le RSI et le stochastique, mais sans inversion de tendance durable.</w:t>
      </w:r>
    </w:p>
    <w:p>
      <w:pPr>
        <w:spacing w:after="120" w:line="276" w:lineRule="auto"/>
      </w:pPr>
      <w:r>
        <w:t>**Recommandation finale** : **CONSERVER** (avec surveillance). La convergence entre la surévaluation fondamentale, la tendance baissière de fond et les signaux techniques mitigés (survente mais tendance baissière) ne justifie pas un achat, tandis que la survente extrême et les prédictions de rebond à court terme ne justifient pas une vente panique. Le niveau de confiance est **Moyen** (les signaux sont contradictoires), le risque global est **Élevé** (volatilité 54,3%, endettement 228,41%, trésorerie négative), et l'horizon d'investissement optimal est **court terme** (&lt;3 mois) pour profiter du rebond technique, ou **long terme** (&gt;1 an) pour parier sur le redressement fondamental, en surveillant impérativement l'évolution de la rentabilité et de la trésorerie au prochain exercice.</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20251127   communique   changement de denomination sociale   air liquide ci</w:t>
      </w:r>
    </w:p>
    <w:p>
      <w:pPr>
        <w:spacing w:before="20"/>
        <w:ind w:left="400"/>
      </w:pPr>
      <w:r>
        <w:rPr>
          <w:color w:val="505050"/>
          <w:sz w:val="17"/>
        </w:rPr>
        <w:t xml:space="preserve">Date : 28/11/2025  |  Catégorie : communiqué divers  |  Impact : </w:t>
      </w:r>
      <w:r>
        <w:rPr>
          <w:b/>
          <w:color w:val="646464"/>
          <w:sz w:val="17"/>
        </w:rPr>
        <w:t>⚪ NEUTRE</w:t>
      </w:r>
    </w:p>
    <w:p>
      <w:pPr>
        <w:spacing w:before="40"/>
        <w:ind w:left="400"/>
      </w:pPr>
      <w:r>
        <w:rPr>
          <w:sz w:val="18"/>
        </w:rPr>
        <w:t>L'assemblée générale mixte d'AIR LIQUIDE COTE D'IVOIRE a voté le 22 juillet 2024 le changement de dénomination sociale de la société. La société devient ERIUM COTE D'IVOIRE avec une nouvelle identité visuelle. Le communiqué est signé par le Directeur Général Alexandre DUFOUR.</w:t>
      </w:r>
    </w:p>
    <w:p>
      <w:pPr>
        <w:spacing w:before="60"/>
        <w:ind w:left="400"/>
      </w:pPr>
      <w:r>
        <w:rPr>
          <w:b/>
          <w:sz w:val="18"/>
        </w:rPr>
        <w:t>Points clés :</w:t>
      </w:r>
    </w:p>
    <w:p>
      <w:pPr>
        <w:pStyle w:val="ListBullet"/>
        <w:spacing w:before="20" w:after="20"/>
        <w:ind w:left="700"/>
      </w:pPr>
      <w:r>
        <w:rPr>
          <w:sz w:val="18"/>
        </w:rPr>
        <w:t>Changement de dénomination sociale d'AIR LIQUIDE COTE D'IVOIRE vers ERIUM COTE D'IVOIRE</w:t>
      </w:r>
    </w:p>
    <w:p>
      <w:pPr>
        <w:pStyle w:val="ListBullet"/>
        <w:spacing w:before="20" w:after="20"/>
        <w:ind w:left="700"/>
      </w:pPr>
      <w:r>
        <w:rPr>
          <w:sz w:val="18"/>
        </w:rPr>
        <w:t>Vote à quasi-unanimité lors de l'assemblée générale mixte du 22 juillet 2024</w:t>
      </w:r>
    </w:p>
    <w:p>
      <w:pPr>
        <w:pStyle w:val="ListBullet"/>
        <w:spacing w:before="20" w:after="20"/>
        <w:ind w:left="700"/>
      </w:pPr>
      <w:r>
        <w:rPr>
          <w:sz w:val="18"/>
        </w:rPr>
        <w:t>Adoption d'une nouvelle identité visuelle avec le logo Erium</w:t>
      </w:r>
    </w:p>
    <w:p>
      <w:pPr>
        <w:pStyle w:val="ListBullet"/>
        <w:spacing w:before="20" w:after="20"/>
        <w:ind w:left="700"/>
      </w:pPr>
      <w:r>
        <w:rPr>
          <w:sz w:val="18"/>
        </w:rPr>
        <w:t>Capital social de 873 400 000 F.CFA maintenu</w:t>
      </w:r>
    </w:p>
    <w:p>
      <w:pPr>
        <w:pStyle w:val="ListBullet"/>
        <w:spacing w:before="20" w:after="20"/>
        <w:ind w:left="700"/>
      </w:pPr>
      <w:r>
        <w:rPr>
          <w:sz w:val="18"/>
        </w:rPr>
        <w:t>Alexandre DUFOUR confirmé comme Directeur Général</w:t>
      </w:r>
    </w:p>
    <w:p>
      <w:pPr>
        <w:ind w:left="400"/>
      </w:pPr>
      <w:r>
        <w:rPr>
          <w:color w:val="B4B4B4"/>
          <w:sz w:val="14"/>
        </w:rPr>
        <w:t xml:space="preserve">· · · · · · · · · · · · · · · · · · · · · · · · · · · · · · </w:t>
      </w:r>
    </w:p>
    <w:p>
      <w:pPr>
        <w:spacing w:before="160"/>
      </w:pPr>
      <w:r>
        <w:rPr>
          <w:b/>
          <w:color w:val="0066CC"/>
          <w:sz w:val="20"/>
        </w:rPr>
        <w:t xml:space="preserve">[2] </w:t>
      </w:r>
      <w:r>
        <w:rPr>
          <w:b/>
          <w:sz w:val="20"/>
        </w:rPr>
        <w:t>20251121   communique   franchissement de seuil par air liquide international</w:t>
      </w:r>
    </w:p>
    <w:p>
      <w:pPr>
        <w:spacing w:before="20"/>
        <w:ind w:left="400"/>
      </w:pPr>
      <w:r>
        <w:rPr>
          <w:color w:val="505050"/>
          <w:sz w:val="17"/>
        </w:rPr>
        <w:t xml:space="preserve">Date : 22/11/2025  |  Catégorie : avis de marché  |  Impact : </w:t>
      </w:r>
      <w:r>
        <w:rPr>
          <w:b/>
          <w:color w:val="646464"/>
          <w:sz w:val="17"/>
        </w:rPr>
        <w:t>⚪ NEUTRE</w:t>
      </w:r>
    </w:p>
    <w:p>
      <w:pPr>
        <w:spacing w:before="40"/>
        <w:ind w:left="400"/>
      </w:pPr>
      <w:r>
        <w:rPr>
          <w:sz w:val="18"/>
        </w:rPr>
        <w:t>Air Liquide International déclare un franchissement de seuil à la baisse dans le capital d'Air Liquide Côte d'Ivoire, passant de 72,08% à 0% du capital. Cette opération résulte d'une vente de 6 295 350 actions à ERIUM LTD au cours de 230 FCFA le 21 novembre 2025. La société mère française cède ainsi la totalité de sa participation majoritaire dans la filiale ivoirienne.</w:t>
      </w:r>
    </w:p>
    <w:p>
      <w:pPr>
        <w:spacing w:before="60"/>
        <w:ind w:left="400"/>
      </w:pPr>
      <w:r>
        <w:rPr>
          <w:b/>
          <w:sz w:val="18"/>
        </w:rPr>
        <w:t>Points clés :</w:t>
      </w:r>
    </w:p>
    <w:p>
      <w:pPr>
        <w:pStyle w:val="ListBullet"/>
        <w:spacing w:before="20" w:after="20"/>
        <w:ind w:left="700"/>
      </w:pPr>
      <w:r>
        <w:rPr>
          <w:sz w:val="18"/>
        </w:rPr>
        <w:t>Franchissement de seuil à la baisse de 66,66% par Air Liquide International</w:t>
      </w:r>
    </w:p>
    <w:p>
      <w:pPr>
        <w:pStyle w:val="ListBullet"/>
        <w:spacing w:before="20" w:after="20"/>
        <w:ind w:left="700"/>
      </w:pPr>
      <w:r>
        <w:rPr>
          <w:sz w:val="18"/>
        </w:rPr>
        <w:t>Cession complète de la participation : de 72,08% (6 295 350 actions) à 0%</w:t>
      </w:r>
    </w:p>
    <w:p>
      <w:pPr>
        <w:pStyle w:val="ListBullet"/>
        <w:spacing w:before="20" w:after="20"/>
        <w:ind w:left="700"/>
      </w:pPr>
      <w:r>
        <w:rPr>
          <w:sz w:val="18"/>
        </w:rPr>
        <w:t>Acheteur identifié : ERIUM LTD au cours de 230 FCFA par action</w:t>
      </w:r>
    </w:p>
    <w:p>
      <w:pPr>
        <w:pStyle w:val="ListBullet"/>
        <w:spacing w:before="20" w:after="20"/>
        <w:ind w:left="700"/>
      </w:pPr>
      <w:r>
        <w:rPr>
          <w:sz w:val="18"/>
        </w:rPr>
        <w:t>Opération réalisée le 21 novembre 2025</w:t>
      </w:r>
    </w:p>
    <w:p>
      <w:pPr>
        <w:pStyle w:val="ListBullet"/>
        <w:spacing w:before="20" w:after="20"/>
        <w:ind w:left="700"/>
      </w:pPr>
      <w:r>
        <w:rPr>
          <w:sz w:val="18"/>
        </w:rPr>
        <w:t>Air Liquide International agit seule, sans concert avec d'autres investisseurs</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chiffre d'affaires progresse, mais la rentabilit\u00e9 nette et les capitaux propres se d\u00e9gradent, tandis que l'endettement augmente. En l'absence d'\u00e9l\u00e9ments de valorisation, il est prudent de conserver la ligne en surveillant l'\u00e9volution de la structure financi\u00e8re."}</w:t>
      </w:r>
    </w:p>
    <w:p>
      <w:pPr>
        <w:spacing w:before="40"/>
        <w:ind w:left="400"/>
      </w:pPr>
      <w:r>
        <w:rPr>
          <w:sz w:val="18"/>
        </w:rPr>
        <w:t>ERIUM CI (Côte d'Ivoire) affiche un chiffre d'affaires en hausse à 10,07 milliards FCFA, mais son résultat net chute de 52% à 179 millions FCFA. La marge nette se dégrade à 1,78%, pénalisée par des charges financières et des éléments hors activités ordinaires défavorables. Le total du bilan atteint 14,61 milliards FCFA, tandis que les capitaux propres diminuent à 2,53 milliards FCFA. L'endettement financier augmente fortement et la trésorerie nette reste négative. La situation financière de l'entreprise est fragilisée malgré une croissance de l'activité.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'-1 660 766 276 FCFA', 'resultat_financier': '-313 968 929 FCFA', 'endettement_financier': '4 164 342 386 FCFA', 'resultat_exploitation': '866 372 202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1.78%</w:t>
            </w:r>
          </w:p>
        </w:tc>
        <w:tc>
          <w:tcPr>
            <w:tcW w:type="dxa" w:w="2160"/>
          </w:tcPr>
          <w:p>
            <w:pPr>
              <w:ind w:left="100"/>
            </w:pPr>
            <w:r/>
            <w:r>
              <w:rPr>
                <w:b/>
                <w:sz w:val="16"/>
              </w:rPr>
              <w:t>total_actif</w:t>
              <w:br/>
            </w:r>
            <w:r>
              <w:rPr>
                <w:sz w:val="18"/>
              </w:rPr>
              <w:t>14 611 080 094 FCFA</w:t>
            </w:r>
          </w:p>
        </w:tc>
      </w:tr>
      <w:tr>
        <w:tc>
          <w:tcPr>
            <w:tcW w:type="dxa" w:w="2160"/>
          </w:tcPr>
          <w:p>
            <w:r/>
            <w:r>
              <w:rPr>
                <w:b/>
                <w:sz w:val="16"/>
              </w:rPr>
              <w:t>resultat_net</w:t>
              <w:br/>
            </w:r>
            <w:r>
              <w:rPr>
                <w:sz w:val="18"/>
              </w:rPr>
              <w:t>179 293 282 FCFA</w:t>
            </w:r>
          </w:p>
        </w:tc>
        <w:tc>
          <w:tcPr>
            <w:tcW w:type="dxa" w:w="2160"/>
          </w:tcPr>
          <w:p>
            <w:r/>
            <w:r>
              <w:rPr>
                <w:b/>
                <w:sz w:val="16"/>
              </w:rPr>
              <w:t>capitaux_propres</w:t>
              <w:br/>
            </w:r>
            <w:r>
              <w:rPr>
                <w:sz w:val="18"/>
              </w:rPr>
              <w:t>2 526 541 669 FCFA</w:t>
            </w:r>
          </w:p>
        </w:tc>
        <w:tc>
          <w:tcPr>
            <w:tcW w:type="dxa" w:w="2160"/>
          </w:tcPr>
          <w:p>
            <w:r/>
            <w:r>
              <w:rPr>
                <w:b/>
                <w:sz w:val="16"/>
              </w:rPr>
              <w:t>chiffre_affaires</w:t>
              <w:br/>
            </w:r>
            <w:r>
              <w:rPr>
                <w:sz w:val="18"/>
              </w:rPr>
              <w:t>10 074 573 973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8,5% à 10,07 milliards FCFA.</w:t>
      </w:r>
    </w:p>
    <w:p>
      <w:pPr>
        <w:pStyle w:val="ListBullet"/>
        <w:spacing w:before="20" w:after="20"/>
        <w:ind w:left="700"/>
      </w:pPr>
      <w:r>
        <w:rPr>
          <w:sz w:val="18"/>
        </w:rPr>
        <w:t>Résultat net divisé par plus de deux à 179,3 millions FCFA.</w:t>
      </w:r>
    </w:p>
    <w:p>
      <w:pPr>
        <w:pStyle w:val="ListBullet"/>
        <w:spacing w:before="20" w:after="20"/>
        <w:ind w:left="700"/>
      </w:pPr>
      <w:r>
        <w:rPr>
          <w:sz w:val="18"/>
        </w:rPr>
        <w:t>Marge nette tombe à environ 1,78%.</w:t>
      </w:r>
    </w:p>
    <w:p>
      <w:pPr>
        <w:pStyle w:val="ListBullet"/>
        <w:spacing w:before="20" w:after="20"/>
        <w:ind w:left="700"/>
      </w:pPr>
      <w:r>
        <w:rPr>
          <w:sz w:val="18"/>
        </w:rPr>
        <w:t>Total du bilan en légère hausse à 14,61 milliards FCFA.</w:t>
      </w:r>
    </w:p>
    <w:p>
      <w:pPr>
        <w:pStyle w:val="ListBullet"/>
        <w:spacing w:before="20" w:after="20"/>
        <w:ind w:left="700"/>
      </w:pPr>
      <w:r>
        <w:rPr>
          <w:sz w:val="18"/>
        </w:rPr>
        <w:t>Capitaux propres en baisse de 22,8% à 2,53 milliards FCFA.</w:t>
      </w:r>
    </w:p>
    <w:p>
      <w:pPr>
        <w:pStyle w:val="ListBullet"/>
        <w:spacing w:before="20" w:after="20"/>
        <w:ind w:left="700"/>
      </w:pPr>
      <w:r>
        <w:rPr>
          <w:sz w:val="18"/>
        </w:rPr>
        <w:t>Endettement financier en forte augmentation à 4,16 milliards FCFA.</w:t>
      </w:r>
    </w:p>
    <w:p>
      <w:pPr>
        <w:spacing w:before="40"/>
        <w:ind w:left="400"/>
      </w:pPr>
      <w:r>
        <w:rPr>
          <w:b/>
          <w:color w:val="C05000"/>
          <w:sz w:val="18"/>
        </w:rPr>
        <w:t xml:space="preserve">⚠️ Risques : </w:t>
      </w:r>
      <w:r>
        <w:rPr>
          <w:sz w:val="18"/>
        </w:rPr>
        <w:t>["Poursuite de la baisse du r\u00e9sultat net et de la marge nette", "Niveau d'endettement \u00e9lev\u00e9 et capitaux propres en diminution", "Tr\u00e9sorerie nette n\u00e9gative pouvant n\u00e9cessiter un financement suppl\u00e9mentaire"]</w:t>
      </w:r>
    </w:p>
    <w:p>
      <w:pPr>
        <w:spacing w:before="40"/>
        <w:ind w:left="400"/>
      </w:pPr>
      <w:r>
        <w:rPr>
          <w:b/>
          <w:color w:val="0064A0"/>
          <w:sz w:val="18"/>
        </w:rPr>
        <w:t xml:space="preserve">🔮 Perspectives : </w:t>
      </w:r>
      <w:r>
        <w:rPr>
          <w:sz w:val="18"/>
        </w:rPr>
        <w:t>Pour l'exercice 2026, la société devra se concentrer sur l'amélioration de sa rentabilité opérationnelle et la maîtrise de ses charges. La croissance du chiffre d'affaires, si elle se maintient, pourrait soutenir l'activité, mais la réduction de l'endettement sera essentielle pour restaurer l'équili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trajectoire d'am\u00e9lioration est positive avec une r\u00e9duction significative des pertes et une croissance du CA. Cependant, la soci\u00e9t\u00e9 reste d\u00e9ficitaire et \u00e9volue dans un contexte sanitaire difficile n\u00e9cessitant prudence."}</w:t>
      </w:r>
    </w:p>
    <w:p>
      <w:pPr>
        <w:spacing w:before="40"/>
        <w:ind w:left="400"/>
      </w:pPr>
      <w:r>
        <w:rPr>
          <w:sz w:val="18"/>
        </w:rPr>
        <w:t>Air Liquide Côte d'Ivoire présente des résultats encourageants au premier trimestre 2020 avec une croissance du chiffre d'affaires de 3,7%. La société affiche une amélioration significative de son résultat net qui passe de -238 millions FCFA à -84 millions FCFA, soit une réduction des pertes de 65%. Cette amélioration s'explique par une baisse des charges totales de 7,85%, notamment grâce à la réduction des charges de personnel et des loyers. L'activité gaz connaît une dynamique positive malgré un contexte économique difficile. La société maintient une stratégie de conquête de nouveaux marchés tout en poursuivant sa politique de réduction des coûts.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'873,4 millions FCFA', 'autres_produits': '275,456 millions FCFA', 'charges_totales': '2,119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-84,337 millions FCFA (T1 2020)</w:t>
            </w:r>
          </w:p>
        </w:tc>
        <w:tc>
          <w:tcPr>
            <w:tcW w:type="dxa" w:w="2160"/>
          </w:tcPr>
          <w:p>
            <w:r/>
            <w:r>
              <w:rPr>
                <w:b/>
                <w:sz w:val="16"/>
              </w:rPr>
              <w:t>capitaux_propres</w:t>
              <w:br/>
            </w:r>
            <w:r>
              <w:rPr>
                <w:sz w:val="18"/>
              </w:rPr>
              <w:t>None</w:t>
            </w:r>
          </w:p>
        </w:tc>
        <w:tc>
          <w:tcPr>
            <w:tcW w:type="dxa" w:w="2160"/>
          </w:tcPr>
          <w:p>
            <w:r/>
            <w:r>
              <w:rPr>
                <w:b/>
                <w:sz w:val="16"/>
              </w:rPr>
              <w:t>chiffre_affaires</w:t>
              <w:br/>
            </w:r>
            <w:r>
              <w:rPr>
                <w:sz w:val="18"/>
              </w:rPr>
              <w:t>1,759 milliards FCFA (T1 2020)</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+3,7% à 1,76 milliards FCFA au T1 2020</w:t>
      </w:r>
    </w:p>
    <w:p>
      <w:pPr>
        <w:pStyle w:val="ListBullet"/>
        <w:spacing w:before="20" w:after="20"/>
        <w:ind w:left="700"/>
      </w:pPr>
      <w:r>
        <w:rPr>
          <w:sz w:val="18"/>
        </w:rPr>
        <w:t>Amélioration du résultat net de +64,59%, réduisant les pertes de 154 millions FCFA</w:t>
      </w:r>
    </w:p>
    <w:p>
      <w:pPr>
        <w:pStyle w:val="ListBullet"/>
        <w:spacing w:before="20" w:after="20"/>
        <w:ind w:left="700"/>
      </w:pPr>
      <w:r>
        <w:rPr>
          <w:sz w:val="18"/>
        </w:rPr>
        <w:t>Baisse significative des charges totales de -7,85% à 2,12 milliards FCFA</w:t>
      </w:r>
    </w:p>
    <w:p>
      <w:pPr>
        <w:pStyle w:val="ListBullet"/>
        <w:spacing w:before="20" w:after="20"/>
        <w:ind w:left="700"/>
      </w:pPr>
      <w:r>
        <w:rPr>
          <w:sz w:val="18"/>
        </w:rPr>
        <w:t>Performance portée par l'amélioration de l'activité gaz</w:t>
      </w:r>
    </w:p>
    <w:p>
      <w:pPr>
        <w:pStyle w:val="ListBullet"/>
        <w:spacing w:before="20" w:after="20"/>
        <w:ind w:left="700"/>
      </w:pPr>
      <w:r>
        <w:rPr>
          <w:sz w:val="18"/>
        </w:rPr>
        <w:t>Réduction des coûts structurels : charges de personnel et loyers</w:t>
      </w:r>
    </w:p>
    <w:p>
      <w:pPr>
        <w:pStyle w:val="ListBullet"/>
        <w:spacing w:before="20" w:after="20"/>
        <w:ind w:left="700"/>
      </w:pPr>
      <w:r>
        <w:rPr>
          <w:sz w:val="18"/>
        </w:rPr>
        <w:t>Diminution des provisions clients contribuant à l'amélioration du résultat</w:t>
      </w:r>
    </w:p>
    <w:p>
      <w:pPr>
        <w:spacing w:before="40"/>
        <w:ind w:left="400"/>
      </w:pPr>
      <w:r>
        <w:rPr>
          <w:b/>
          <w:color w:val="C05000"/>
          <w:sz w:val="18"/>
        </w:rPr>
        <w:t xml:space="preserve">⚠️ Risques : </w:t>
      </w:r>
      <w:r>
        <w:rPr>
          <w:sz w:val="18"/>
        </w:rPr>
        <w:t>["Impact de la crise sanitaire COVID-19 sur l'activit\u00e9 \u00e9conomique", "Persistance des pertes malgr\u00e9 l'am\u00e9lioration des r\u00e9sultats", "D\u00e9pendance \u00e0 l'activit\u00e9 industrielle locale dans un contexte \u00e9conomique incertain"]</w:t>
      </w:r>
    </w:p>
    <w:p>
      <w:pPr>
        <w:spacing w:before="40"/>
        <w:ind w:left="400"/>
      </w:pPr>
      <w:r>
        <w:rPr>
          <w:b/>
          <w:color w:val="0064A0"/>
          <w:sz w:val="18"/>
        </w:rPr>
        <w:t xml:space="preserve">🔮 Perspectives : </w:t>
      </w:r>
      <w:r>
        <w:rPr>
          <w:sz w:val="18"/>
        </w:rPr>
        <w:t>La société affiche un optimisme prudent pour le second trimestre avec des perspectives qualifiées de bonnes. L'accent sera mis sur la conquête de nouvelles parts de marché tout en poursuivant la politique de réduction des coûts de manière pérenne. Le contexte de crise sanitaire reste néanmoins un dé</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les difficult\u00e9s op\u00e9rationnelles, l'am\u00e9lioration du r\u00e9sultat net et la capacit\u00e9 d'autofinancement positive sugg\u00e8rent une stabilisation. La position de leader sur le march\u00e9 des gaz industriels justifie une approche prudente."}</w:t>
      </w:r>
    </w:p>
    <w:p>
      <w:pPr>
        <w:spacing w:before="40"/>
        <w:ind w:left="400"/>
      </w:pPr>
      <w:r>
        <w:rPr>
          <w:sz w:val="18"/>
        </w:rPr>
        <w:t>Air Liquide Côte d'Ivoire affiche une performance mitigée en 2019 avec un chiffre d'affaires de 7,17 milliards FCFA en baisse de 3,7% par rapport à 2018. La société enregistre une perte nette de 26,5 millions FCFA, nettement inférieure à celle de 2018 (81,8 millions FCFA), témoignant d'une amélioration significative. L'excédent brut d'exploitation devient négatif à -504 millions FCFA contre +624 millions en 2018, révélant des difficultés opérationnelles. La trésorerie reste négative mais s'améliore légèrement. Malgré les défis, la société maintient sa structure financière avec un capital stable de 873,4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'2 512 008 000 FCFA', 'capacite_autofinancement': '206 083 792 FCFA', 'excedent_brut_exploitation': '-504 310 759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-0,37%</w:t>
            </w:r>
          </w:p>
        </w:tc>
        <w:tc>
          <w:tcPr>
            <w:tcW w:type="dxa" w:w="2160"/>
          </w:tcPr>
          <w:p>
            <w:pPr>
              <w:ind w:left="100"/>
            </w:pPr>
            <w:r/>
            <w:r>
              <w:rPr>
                <w:b/>
                <w:sz w:val="16"/>
              </w:rPr>
              <w:t>total_actif</w:t>
              <w:br/>
            </w:r>
            <w:r>
              <w:rPr>
                <w:sz w:val="18"/>
              </w:rPr>
              <w:t>17 351 927 849 FCFA</w:t>
            </w:r>
          </w:p>
        </w:tc>
      </w:tr>
      <w:tr>
        <w:tc>
          <w:tcPr>
            <w:tcW w:type="dxa" w:w="2160"/>
          </w:tcPr>
          <w:p>
            <w:r/>
            <w:r>
              <w:rPr>
                <w:b/>
                <w:sz w:val="16"/>
              </w:rPr>
              <w:t>resultat_net</w:t>
              <w:br/>
            </w:r>
            <w:r>
              <w:rPr>
                <w:sz w:val="18"/>
              </w:rPr>
              <w:t>-26 523 307 FCFA</w:t>
            </w:r>
          </w:p>
        </w:tc>
        <w:tc>
          <w:tcPr>
            <w:tcW w:type="dxa" w:w="2160"/>
          </w:tcPr>
          <w:p>
            <w:r/>
            <w:r>
              <w:rPr>
                <w:b/>
                <w:sz w:val="16"/>
              </w:rPr>
              <w:t>capitaux_propres</w:t>
              <w:br/>
            </w:r>
            <w:r>
              <w:rPr>
                <w:sz w:val="18"/>
              </w:rPr>
              <w:t>1 515 889 199 FCFA</w:t>
            </w:r>
          </w:p>
        </w:tc>
        <w:tc>
          <w:tcPr>
            <w:tcW w:type="dxa" w:w="2160"/>
          </w:tcPr>
          <w:p>
            <w:r/>
            <w:r>
              <w:rPr>
                <w:b/>
                <w:sz w:val="16"/>
              </w:rPr>
              <w:t>chiffre_affaires</w:t>
              <w:br/>
            </w:r>
            <w:r>
              <w:rPr>
                <w:sz w:val="18"/>
              </w:rPr>
              <w:t>7 170 432 956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3,7% à 7,17 milliards FCFA en 2019</w:t>
      </w:r>
    </w:p>
    <w:p>
      <w:pPr>
        <w:pStyle w:val="ListBullet"/>
        <w:spacing w:before="20" w:after="20"/>
        <w:ind w:left="700"/>
      </w:pPr>
      <w:r>
        <w:rPr>
          <w:sz w:val="18"/>
        </w:rPr>
        <w:t>Amélioration du résultat net : perte réduite de 81,8M à 26,5M FCFA</w:t>
      </w:r>
    </w:p>
    <w:p>
      <w:pPr>
        <w:pStyle w:val="ListBullet"/>
        <w:spacing w:before="20" w:after="20"/>
        <w:ind w:left="700"/>
      </w:pPr>
      <w:r>
        <w:rPr>
          <w:sz w:val="18"/>
        </w:rPr>
        <w:t>Excédent brut d'exploitation négatif de -504M FCFA (vs +624M en 2018)</w:t>
      </w:r>
    </w:p>
    <w:p>
      <w:pPr>
        <w:pStyle w:val="ListBullet"/>
        <w:spacing w:before="20" w:after="20"/>
        <w:ind w:left="700"/>
      </w:pPr>
      <w:r>
        <w:rPr>
          <w:sz w:val="18"/>
        </w:rPr>
        <w:t>Augmentation significative des charges de personnel (+37% à 3,02 milliards)</w:t>
      </w:r>
    </w:p>
    <w:p>
      <w:pPr>
        <w:pStyle w:val="ListBullet"/>
        <w:spacing w:before="20" w:after="20"/>
        <w:ind w:left="700"/>
      </w:pPr>
      <w:r>
        <w:rPr>
          <w:sz w:val="18"/>
        </w:rPr>
        <w:t>Trésorerie nette négative mais en amélioration (-1,89 milliard vs -1,77 milliard)</w:t>
      </w:r>
    </w:p>
    <w:p>
      <w:pPr>
        <w:pStyle w:val="ListBullet"/>
        <w:spacing w:before="20" w:after="20"/>
        <w:ind w:left="700"/>
      </w:pPr>
      <w:r>
        <w:rPr>
          <w:sz w:val="18"/>
        </w:rPr>
        <w:t>Total actif en baisse de 3,8% à 17,35 milliards FCFA</w:t>
      </w:r>
    </w:p>
    <w:p>
      <w:pPr>
        <w:spacing w:before="40"/>
        <w:ind w:left="400"/>
      </w:pPr>
      <w:r>
        <w:rPr>
          <w:b/>
          <w:color w:val="C05000"/>
          <w:sz w:val="18"/>
        </w:rPr>
        <w:t xml:space="preserve">⚠️ Risques : </w:t>
      </w:r>
      <w:r>
        <w:rPr>
          <w:sz w:val="18"/>
        </w:rPr>
        <w:t>["Exc\u00e9dent brut d'exploitation n\u00e9gatif indiquant des difficult\u00e9s op\u00e9rationnelles majeures", "Tr\u00e9sorerie nette n\u00e9gative persistante cr\u00e9ant des tensions de liquidit\u00e9", "Forte augmentation des charges de personnel impactant la rentabilit\u00e9"]</w:t>
      </w:r>
    </w:p>
    <w:p>
      <w:pPr>
        <w:spacing w:before="40"/>
        <w:ind w:left="400"/>
      </w:pPr>
      <w:r>
        <w:rPr>
          <w:b/>
          <w:color w:val="0064A0"/>
          <w:sz w:val="18"/>
        </w:rPr>
        <w:t xml:space="preserve">🔮 Perspectives : </w:t>
      </w:r>
      <w:r>
        <w:rPr>
          <w:sz w:val="18"/>
        </w:rPr>
        <w:t>La société devrait poursuivre ses efforts d'amélioration opérationnelle pour retrouver un EBE positif. Le maintien de la capacité d'autofinancement positive et la réduction des pertes laissent entrevoir une possible stabilisation des performances en 2020.</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encore d\u00e9ficitaires, l'am\u00e9lioration significative du r\u00e9sultat net et la stabilit\u00e9 des capitaux propres t\u00e9moignent d'une trajectoire de redressement. La position de leader sur le march\u00e9 des gaz industriels en C\u00f4te d'Ivoire offre des perspectives de retour \u00e0 la profitabilit\u00e9."}</w:t>
      </w:r>
    </w:p>
    <w:p>
      <w:pPr>
        <w:spacing w:before="40"/>
        <w:ind w:left="400"/>
      </w:pPr>
      <w:r>
        <w:rPr>
          <w:sz w:val="18"/>
        </w:rPr>
        <w:t>Air Liquide Côte d'Ivoire présente des résultats contrastés en 2019 avec un chiffre d'affaires en baisse de 7,4 millions FCFA par rapport à 2018. La société maintient néanmoins sa rentabilité avec un résultat net de -26,5 millions FCFA contre -81,8 millions en 2018, marquant une amélioration significative. Les capitaux propres restent stables autour de 1,985 milliard FCFA. L'activité principale reste centrée sur les gaz industriels avec des investissements soutenus dans l'outil de production. La trésorerie nette s'améliore légèrement malgré un contexte économique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'333 millions FCFA', 'immobilisations': '1 746 millions FCFA', 'dettes_financieres': '1 221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-0,36%</w:t>
            </w:r>
          </w:p>
        </w:tc>
        <w:tc>
          <w:tcPr>
            <w:tcW w:type="dxa" w:w="2160"/>
          </w:tcPr>
          <w:p>
            <w:pPr>
              <w:ind w:left="100"/>
            </w:pPr>
            <w:r/>
            <w:r>
              <w:rPr>
                <w:b/>
                <w:sz w:val="16"/>
              </w:rPr>
              <w:t>total_actif</w:t>
              <w:br/>
            </w:r>
            <w:r>
              <w:rPr>
                <w:sz w:val="18"/>
              </w:rPr>
              <w:t>4 824 millions FCFA</w:t>
            </w:r>
          </w:p>
        </w:tc>
      </w:tr>
      <w:tr>
        <w:tc>
          <w:tcPr>
            <w:tcW w:type="dxa" w:w="2160"/>
          </w:tcPr>
          <w:p>
            <w:r/>
            <w:r>
              <w:rPr>
                <w:b/>
                <w:sz w:val="16"/>
              </w:rPr>
              <w:t>resultat_net</w:t>
              <w:br/>
            </w:r>
            <w:r>
              <w:rPr>
                <w:sz w:val="18"/>
              </w:rPr>
              <w:t>-26,5 millions FCFA</w:t>
            </w:r>
          </w:p>
        </w:tc>
        <w:tc>
          <w:tcPr>
            <w:tcW w:type="dxa" w:w="2160"/>
          </w:tcPr>
          <w:p>
            <w:r/>
            <w:r>
              <w:rPr>
                <w:b/>
                <w:sz w:val="16"/>
              </w:rPr>
              <w:t>capitaux_propres</w:t>
              <w:br/>
            </w:r>
            <w:r>
              <w:rPr>
                <w:sz w:val="18"/>
              </w:rPr>
              <w:t>1 985 millions FCFA</w:t>
            </w:r>
          </w:p>
        </w:tc>
        <w:tc>
          <w:tcPr>
            <w:tcW w:type="dxa" w:w="2160"/>
          </w:tcPr>
          <w:p>
            <w:r/>
            <w:r>
              <w:rPr>
                <w:b/>
                <w:sz w:val="16"/>
              </w:rPr>
              <w:t>chiffre_affaires</w:t>
              <w:br/>
            </w:r>
            <w:r>
              <w:rPr>
                <w:sz w:val="18"/>
              </w:rPr>
              <w:t>7 446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7 446 millions FCFA en 2019 contre 7 710 millions en 2018, soit une baisse de 3,4%</w:t>
      </w:r>
    </w:p>
    <w:p>
      <w:pPr>
        <w:pStyle w:val="ListBullet"/>
        <w:spacing w:before="20" w:after="20"/>
        <w:ind w:left="700"/>
      </w:pPr>
      <w:r>
        <w:rPr>
          <w:sz w:val="18"/>
        </w:rPr>
        <w:t>Amélioration du résultat net qui passe de -81,8 millions FCFA en 2018 à -26,5 millions FCFA en 2019</w:t>
      </w:r>
    </w:p>
    <w:p>
      <w:pPr>
        <w:pStyle w:val="ListBullet"/>
        <w:spacing w:before="20" w:after="20"/>
        <w:ind w:left="700"/>
      </w:pPr>
      <w:r>
        <w:rPr>
          <w:sz w:val="18"/>
        </w:rPr>
        <w:t>Capitaux propres stables à 1 985 millions FCFA témoignant de la solidité financière</w:t>
      </w:r>
    </w:p>
    <w:p>
      <w:pPr>
        <w:pStyle w:val="ListBullet"/>
        <w:spacing w:before="20" w:after="20"/>
        <w:ind w:left="700"/>
      </w:pPr>
      <w:r>
        <w:rPr>
          <w:sz w:val="18"/>
        </w:rPr>
        <w:t>Total actif de 4 824 millions FCFA en légère baisse par rapport aux 4 836 millions de 2018</w:t>
      </w:r>
    </w:p>
    <w:p>
      <w:pPr>
        <w:pStyle w:val="ListBullet"/>
        <w:spacing w:before="20" w:after="20"/>
        <w:ind w:left="700"/>
      </w:pPr>
      <w:r>
        <w:rPr>
          <w:sz w:val="18"/>
        </w:rPr>
        <w:t>Activité concentrée sur la production et distribution de gaz industriels et médicaux</w:t>
      </w:r>
    </w:p>
    <w:p>
      <w:pPr>
        <w:pStyle w:val="ListBullet"/>
        <w:spacing w:before="20" w:after="20"/>
        <w:ind w:left="700"/>
      </w:pPr>
      <w:r>
        <w:rPr>
          <w:sz w:val="18"/>
        </w:rPr>
        <w:t>Investissements maintenus dans l'outil industriel avec 192 millions FCFA d'immobilisations</w:t>
      </w:r>
    </w:p>
    <w:p>
      <w:pPr>
        <w:spacing w:before="40"/>
        <w:ind w:left="400"/>
      </w:pPr>
      <w:r>
        <w:rPr>
          <w:b/>
          <w:color w:val="C05000"/>
          <w:sz w:val="18"/>
        </w:rPr>
        <w:t xml:space="preserve">⚠️ Risques : </w:t>
      </w:r>
      <w:r>
        <w:rPr>
          <w:sz w:val="18"/>
        </w:rPr>
        <w:t>["Persistance des pertes nettes malgr\u00e9 l'am\u00e9lioration, fragilisant la rentabilit\u00e9 \u00e0 court terme", "Baisse du chiffre d'affaires refl\u00e9tant un environnement \u00e9conomique difficile", "Niveau d'endettement financier \u00e9lev\u00e9 \u00e0 1,2 milliard FCFA pesant sur la struc</w:t>
      </w:r>
    </w:p>
    <w:p>
      <w:pPr>
        <w:spacing w:before="40"/>
        <w:ind w:left="400"/>
      </w:pPr>
      <w:r>
        <w:rPr>
          <w:b/>
          <w:color w:val="0064A0"/>
          <w:sz w:val="18"/>
        </w:rPr>
        <w:t xml:space="preserve">🔮 Perspectives : </w:t>
      </w:r>
      <w:r>
        <w:rPr>
          <w:sz w:val="18"/>
        </w:rPr>
        <w:t xml:space="preserve">La dynamique d'amélioration des résultats laisse espérer un retour à l'équilibre en 2020. Les investissements industriels soutenus et la reprise économique attendue en Côte d'Ivoire devraient favoriser la croissance des volumes et la rentabilité. La société bénéficie de sa position dominante sur un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perte nette, l'am\u00e9lioration de 39% du r\u00e9sultat et la ma\u00eetrise des co\u00fbts montrent une gestion efficace en p\u00e9riode difficile. Les perspectives optimistes pour le T4 et la strat\u00e9gie de croissance justifient un maintien en portefeuille."}</w:t>
      </w:r>
    </w:p>
    <w:p>
      <w:pPr>
        <w:spacing w:before="40"/>
        <w:ind w:left="400"/>
      </w:pPr>
      <w:r>
        <w:rPr>
          <w:sz w:val="18"/>
        </w:rPr>
        <w:t>Air Liquide Côte d'Ivoire affiche des résultats mitigés pour le 3ème trimestre 2020 avec un chiffre d'affaires en baisse de 9% à 4,78 milliards FCFA. La société subit les effets du ralentissement économique sur ses activités de soudage et de gaz industriels. Malgré cette baisse d'activité, le résultat net s'améliore significativement de 39% grâce à une réduction drastique des charges totales de 19%. Les autres produits chutent massivement de 77%, reflétant probablement l'impact de la crise sanitaire. La direction reste optimiste pour le dernier trimestre avec une stratégie de conquête de nouveaux marchés.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'873 400 000 FCFA', 'autres_produits': '1 117 705 KFCFA', 'charges_totales': '6 139 831 KFCFA'}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-241 666 KFCFA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4 780 460 KFCFA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recul de 9% à 4,78 milliards FCFA au T3 2020</w:t>
      </w:r>
    </w:p>
    <w:p>
      <w:pPr>
        <w:pStyle w:val="ListBullet"/>
        <w:spacing w:before="20" w:after="20"/>
        <w:ind w:left="700"/>
      </w:pPr>
      <w:r>
        <w:rPr>
          <w:sz w:val="18"/>
        </w:rPr>
        <w:t>Amélioration du résultat net de 39% malgré la baisse d'activité</w:t>
      </w:r>
    </w:p>
    <w:p>
      <w:pPr>
        <w:pStyle w:val="ListBullet"/>
        <w:spacing w:before="20" w:after="20"/>
        <w:ind w:left="700"/>
      </w:pPr>
      <w:r>
        <w:rPr>
          <w:sz w:val="18"/>
        </w:rPr>
        <w:t>Chute drastique de 77% des autres produits d'exploitation</w:t>
      </w:r>
    </w:p>
    <w:p>
      <w:pPr>
        <w:pStyle w:val="ListBullet"/>
        <w:spacing w:before="20" w:after="20"/>
        <w:ind w:left="700"/>
      </w:pPr>
      <w:r>
        <w:rPr>
          <w:sz w:val="18"/>
        </w:rPr>
        <w:t>Réduction significative des charges totales de 19% (1,48 milliard FCFA)</w:t>
      </w:r>
    </w:p>
    <w:p>
      <w:pPr>
        <w:pStyle w:val="ListBullet"/>
        <w:spacing w:before="20" w:after="20"/>
        <w:ind w:left="700"/>
      </w:pPr>
      <w:r>
        <w:rPr>
          <w:sz w:val="18"/>
        </w:rPr>
        <w:t>Ralentissement marqué sur les activités de soudage et gaz industriels</w:t>
      </w:r>
    </w:p>
    <w:p>
      <w:pPr>
        <w:pStyle w:val="ListBullet"/>
        <w:spacing w:before="20" w:after="20"/>
        <w:ind w:left="700"/>
      </w:pPr>
      <w:r>
        <w:rPr>
          <w:sz w:val="18"/>
        </w:rPr>
        <w:t>Baisse des charges de personnel et réduction des provisions clients</w:t>
      </w:r>
    </w:p>
    <w:p>
      <w:pPr>
        <w:spacing w:before="40"/>
        <w:ind w:left="400"/>
      </w:pPr>
      <w:r>
        <w:rPr>
          <w:b/>
          <w:color w:val="C05000"/>
          <w:sz w:val="18"/>
        </w:rPr>
        <w:t xml:space="preserve">⚠️ Risques : </w:t>
      </w:r>
      <w:r>
        <w:rPr>
          <w:sz w:val="18"/>
        </w:rPr>
        <w:t>["Persistance de la crise sanitaire impactant la demande industrielle", "D\u00e9pendance aux secteurs du soudage et des gaz industriels sensibles au cycle \u00e9conomique", "Chute significative des autres sources de revenus (-77%)"]</w:t>
      </w:r>
    </w:p>
    <w:p>
      <w:pPr>
        <w:spacing w:before="40"/>
        <w:ind w:left="400"/>
      </w:pPr>
      <w:r>
        <w:rPr>
          <w:b/>
          <w:color w:val="0064A0"/>
          <w:sz w:val="18"/>
        </w:rPr>
        <w:t xml:space="preserve">🔮 Perspectives : </w:t>
      </w:r>
      <w:r>
        <w:rPr>
          <w:sz w:val="18"/>
        </w:rPr>
        <w:t>La direction affiche un optimisme prudent pour le dernier trimestre 2020 avec une volonté de conquérir de nouvelles parts de marché. La capacité démontrée à réduire les coûts et améliorer la rentabilité opérationnelle constitue un atout pour naviguer dans le contexte sanitaire difficile. Le succès d</w:t>
      </w:r>
    </w:p>
    <w:p/>
    <w:p>
      <w:r>
        <w:t>════════════════════════════════════════════════════════════════════════════════</w:t>
      </w:r>
    </w:p>
    <w:p>
      <w:r>
        <w:br w:type="page"/>
      </w:r>
    </w:p>
    <w:p>
      <w:pPr>
        <w:pStyle w:val="Heading2"/>
        <w:spacing w:before="360"/>
      </w:pPr>
      <w:r>
        <w:rPr>
          <w:color w:val="0066CC"/>
        </w:rPr>
        <w:t>38. SLBC - SLBC - SOLIBRA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SLBC</w:t>
            </w:r>
          </w:p>
          <w:p>
            <w:r>
              <w:rPr>
                <w:b/>
                <w:color w:val="323250"/>
                <w:sz w:val="16"/>
              </w:rPr>
              <w:t xml:space="preserve">Société : </w:t>
            </w:r>
            <w:r>
              <w:rPr>
                <w:color w:val="000000"/>
                <w:sz w:val="16"/>
              </w:rPr>
              <w:t>SLBC - SOLIBRA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633.58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1,355 titres</w:t>
            </w:r>
          </w:p>
        </w:tc>
        <w:tc>
          <w:tcPr>
            <w:tcW w:type="dxa" w:w="2268"/>
            <w:shd w:fill="FFF2CC" w:val="clear"/>
          </w:tcPr>
          <w:p>
            <w:r>
              <w:rPr>
                <w:b/>
                <w:color w:val="503200"/>
                <w:sz w:val="16"/>
              </w:rPr>
              <w:t xml:space="preserve">Cours actuel : </w:t>
            </w:r>
            <w:r>
              <w:rPr>
                <w:color w:val="000000"/>
                <w:sz w:val="17"/>
              </w:rPr>
              <w:t>38,490 FCFA</w:t>
            </w:r>
          </w:p>
          <w:p>
            <w:r>
              <w:rPr>
                <w:b/>
                <w:color w:val="503200"/>
                <w:sz w:val="16"/>
              </w:rPr>
              <w:t xml:space="preserve">Var. 100 jours : </w:t>
            </w:r>
            <w:r>
              <w:rPr>
                <w:b/>
                <w:color w:val="007800"/>
                <w:sz w:val="17"/>
              </w:rPr>
              <w:t>+1.44%</w:t>
            </w:r>
          </w:p>
          <w:p>
            <w:r>
              <w:rPr>
                <w:b/>
                <w:color w:val="503200"/>
                <w:sz w:val="16"/>
              </w:rPr>
              <w:t xml:space="preserve">Plus haut 100j : </w:t>
            </w:r>
            <w:r>
              <w:rPr>
                <w:color w:val="000000"/>
                <w:sz w:val="17"/>
              </w:rPr>
              <w:t>41,500 FCFA</w:t>
            </w:r>
          </w:p>
          <w:p>
            <w:r>
              <w:rPr>
                <w:b/>
                <w:color w:val="503200"/>
                <w:sz w:val="16"/>
              </w:rPr>
              <w:t xml:space="preserve">Plus bas 100j : </w:t>
            </w:r>
            <w:r>
              <w:rPr>
                <w:color w:val="000000"/>
                <w:sz w:val="17"/>
              </w:rPr>
              <w:t>36,900 FCFA</w:t>
            </w:r>
          </w:p>
          <w:p>
            <w:r>
              <w:rPr>
                <w:b/>
                <w:color w:val="503200"/>
                <w:sz w:val="16"/>
              </w:rPr>
              <w:t xml:space="preserve">Volatilité ann. : </w:t>
            </w:r>
            <w:r>
              <w:rPr>
                <w:color w:val="000000"/>
                <w:sz w:val="17"/>
              </w:rPr>
              <w:t>24.7%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13.1/100 → Faible</w:t>
      </w:r>
    </w:p>
    <w:p>
      <w:pPr>
        <w:spacing w:before="40" w:after="80"/>
      </w:pPr>
      <w:r>
        <w:rPr>
          <w:rFonts w:ascii="Courier New" w:hAnsi="Courier New"/>
          <w:color w:val="006400"/>
          <w:sz w:val="18"/>
        </w:rPr>
        <w:t>██░░░░░░░░░░░░░░░░░░  13.1/100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2.25% (Faible) — μ=38,270 FCFA, σ=863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β=0.0062 (Défensif) — Cov=0.000000, Var(idx)=0.000075, ρ=0.003,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1,355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σ_j=1.56%/j (Stable) — Vol. annualisée≈24.7%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C000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73/100  (Excellent)</w:t>
      </w:r>
    </w:p>
    <w:p/>
    <w:p>
      <w:pPr>
        <w:jc w:val="center"/>
      </w:pPr>
      <w:r>
        <w:drawing>
          <wp:inline xmlns:a="http://schemas.openxmlformats.org/drawingml/2006/main" xmlns:pic="http://schemas.openxmlformats.org/drawingml/2006/picture">
            <wp:extent cx="5669280" cy="2603190"/>
            <wp:docPr id="40" name="Picture 40"/>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2026-10-16</w:t>
            </w:r>
          </w:p>
        </w:tc>
        <w:tc>
          <w:tcPr>
            <w:tcW w:type="dxa" w:w="1440"/>
            <w:shd w:fill="FAFAFA" w:val="clear"/>
          </w:tcPr>
          <w:p>
            <w:r>
              <w:rPr>
                <w:sz w:val="17"/>
              </w:rPr>
              <w:t>37,960</w:t>
            </w:r>
          </w:p>
        </w:tc>
        <w:tc>
          <w:tcPr>
            <w:tcW w:type="dxa" w:w="1440"/>
            <w:shd w:fill="FAFAFA" w:val="clear"/>
          </w:tcPr>
          <w:p>
            <w:r>
              <w:rPr>
                <w:b/>
                <w:sz w:val="17"/>
              </w:rPr>
              <w:t>38,486</w:t>
            </w:r>
          </w:p>
        </w:tc>
        <w:tc>
          <w:tcPr>
            <w:tcW w:type="dxa" w:w="1440"/>
            <w:shd w:fill="FAFAFA" w:val="clear"/>
          </w:tcPr>
          <w:p>
            <w:r>
              <w:rPr>
                <w:sz w:val="17"/>
              </w:rPr>
              <w:t>39,013</w:t>
            </w:r>
          </w:p>
        </w:tc>
        <w:tc>
          <w:tcPr>
            <w:tcW w:type="dxa" w:w="1440"/>
            <w:shd w:fill="FAFAFA" w:val="clear"/>
          </w:tcPr>
          <w:p>
            <w:r>
              <w:rPr>
                <w:b/>
                <w:color w:val="C00000"/>
                <w:sz w:val="17"/>
              </w:rPr>
              <w:t>-0.0%</w:t>
            </w:r>
          </w:p>
        </w:tc>
      </w:tr>
      <w:tr>
        <w:tc>
          <w:tcPr>
            <w:tcW w:type="dxa" w:w="1440"/>
            <w:shd w:fill="FAFAFA" w:val="clear"/>
          </w:tcPr>
          <w:p>
            <w:r>
              <w:rPr>
                <w:sz w:val="17"/>
              </w:rPr>
              <w:t>J+2  ⭐⭐⭐</w:t>
            </w:r>
          </w:p>
        </w:tc>
        <w:tc>
          <w:tcPr>
            <w:tcW w:type="dxa" w:w="1440"/>
            <w:shd w:fill="FAFAFA" w:val="clear"/>
          </w:tcPr>
          <w:p>
            <w:r>
              <w:rPr>
                <w:sz w:val="17"/>
              </w:rPr>
              <w:t>2026-10-19</w:t>
            </w:r>
          </w:p>
        </w:tc>
        <w:tc>
          <w:tcPr>
            <w:tcW w:type="dxa" w:w="1440"/>
            <w:shd w:fill="FAFAFA" w:val="clear"/>
          </w:tcPr>
          <w:p>
            <w:r>
              <w:rPr>
                <w:sz w:val="17"/>
              </w:rPr>
              <w:t>37,923</w:t>
            </w:r>
          </w:p>
        </w:tc>
        <w:tc>
          <w:tcPr>
            <w:tcW w:type="dxa" w:w="1440"/>
            <w:shd w:fill="FAFAFA" w:val="clear"/>
          </w:tcPr>
          <w:p>
            <w:r>
              <w:rPr>
                <w:b/>
                <w:sz w:val="17"/>
              </w:rPr>
              <w:t>38,671</w:t>
            </w:r>
          </w:p>
        </w:tc>
        <w:tc>
          <w:tcPr>
            <w:tcW w:type="dxa" w:w="1440"/>
            <w:shd w:fill="FAFAFA" w:val="clear"/>
          </w:tcPr>
          <w:p>
            <w:r>
              <w:rPr>
                <w:sz w:val="17"/>
              </w:rPr>
              <w:t>39,419</w:t>
            </w:r>
          </w:p>
        </w:tc>
        <w:tc>
          <w:tcPr>
            <w:tcW w:type="dxa" w:w="1440"/>
            <w:shd w:fill="FAFAFA" w:val="clear"/>
          </w:tcPr>
          <w:p>
            <w:r>
              <w:rPr>
                <w:b/>
                <w:color w:val="008000"/>
                <w:sz w:val="17"/>
              </w:rPr>
              <w:t>+0.5%</w:t>
            </w:r>
          </w:p>
        </w:tc>
      </w:tr>
      <w:tr>
        <w:tc>
          <w:tcPr>
            <w:tcW w:type="dxa" w:w="1440"/>
            <w:shd w:fill="FAFAFA" w:val="clear"/>
          </w:tcPr>
          <w:p>
            <w:r>
              <w:rPr>
                <w:sz w:val="17"/>
              </w:rPr>
              <w:t>J+3  ⭐⭐⭐</w:t>
            </w:r>
          </w:p>
        </w:tc>
        <w:tc>
          <w:tcPr>
            <w:tcW w:type="dxa" w:w="1440"/>
            <w:shd w:fill="FAFAFA" w:val="clear"/>
          </w:tcPr>
          <w:p>
            <w:r>
              <w:rPr>
                <w:sz w:val="17"/>
              </w:rPr>
              <w:t>2026-10-20</w:t>
            </w:r>
          </w:p>
        </w:tc>
        <w:tc>
          <w:tcPr>
            <w:tcW w:type="dxa" w:w="1440"/>
            <w:shd w:fill="FAFAFA" w:val="clear"/>
          </w:tcPr>
          <w:p>
            <w:r>
              <w:rPr>
                <w:sz w:val="17"/>
              </w:rPr>
              <w:t>37,898</w:t>
            </w:r>
          </w:p>
        </w:tc>
        <w:tc>
          <w:tcPr>
            <w:tcW w:type="dxa" w:w="1440"/>
            <w:shd w:fill="FAFAFA" w:val="clear"/>
          </w:tcPr>
          <w:p>
            <w:r>
              <w:rPr>
                <w:b/>
                <w:sz w:val="17"/>
              </w:rPr>
              <w:t>38,817</w:t>
            </w:r>
          </w:p>
        </w:tc>
        <w:tc>
          <w:tcPr>
            <w:tcW w:type="dxa" w:w="1440"/>
            <w:shd w:fill="FAFAFA" w:val="clear"/>
          </w:tcPr>
          <w:p>
            <w:r>
              <w:rPr>
                <w:sz w:val="17"/>
              </w:rPr>
              <w:t>39,737</w:t>
            </w:r>
          </w:p>
        </w:tc>
        <w:tc>
          <w:tcPr>
            <w:tcW w:type="dxa" w:w="1440"/>
            <w:shd w:fill="FAFAFA" w:val="clear"/>
          </w:tcPr>
          <w:p>
            <w:r>
              <w:rPr>
                <w:b/>
                <w:color w:val="008000"/>
                <w:sz w:val="17"/>
              </w:rPr>
              <w:t>+0.9%</w:t>
            </w:r>
          </w:p>
        </w:tc>
      </w:tr>
      <w:tr>
        <w:tc>
          <w:tcPr>
            <w:tcW w:type="dxa" w:w="1440"/>
            <w:shd w:fill="FAFAFA" w:val="clear"/>
          </w:tcPr>
          <w:p>
            <w:r>
              <w:rPr>
                <w:sz w:val="17"/>
              </w:rPr>
              <w:t>J+4  Moyenne</w:t>
            </w:r>
          </w:p>
        </w:tc>
        <w:tc>
          <w:tcPr>
            <w:tcW w:type="dxa" w:w="1440"/>
            <w:shd w:fill="FAFAFA" w:val="clear"/>
          </w:tcPr>
          <w:p>
            <w:r>
              <w:rPr>
                <w:sz w:val="17"/>
              </w:rPr>
              <w:t>2026-10-21</w:t>
            </w:r>
          </w:p>
        </w:tc>
        <w:tc>
          <w:tcPr>
            <w:tcW w:type="dxa" w:w="1440"/>
            <w:shd w:fill="FAFAFA" w:val="clear"/>
          </w:tcPr>
          <w:p>
            <w:r>
              <w:rPr>
                <w:sz w:val="17"/>
              </w:rPr>
              <w:t>37,888</w:t>
            </w:r>
          </w:p>
        </w:tc>
        <w:tc>
          <w:tcPr>
            <w:tcW w:type="dxa" w:w="1440"/>
            <w:shd w:fill="FAFAFA" w:val="clear"/>
          </w:tcPr>
          <w:p>
            <w:r>
              <w:rPr>
                <w:b/>
                <w:sz w:val="17"/>
              </w:rPr>
              <w:t>38,954</w:t>
            </w:r>
          </w:p>
        </w:tc>
        <w:tc>
          <w:tcPr>
            <w:tcW w:type="dxa" w:w="1440"/>
            <w:shd w:fill="FAFAFA" w:val="clear"/>
          </w:tcPr>
          <w:p>
            <w:r>
              <w:rPr>
                <w:sz w:val="17"/>
              </w:rPr>
              <w:t>40,019</w:t>
            </w:r>
          </w:p>
        </w:tc>
        <w:tc>
          <w:tcPr>
            <w:tcW w:type="dxa" w:w="1440"/>
            <w:shd w:fill="FAFAFA" w:val="clear"/>
          </w:tcPr>
          <w:p>
            <w:r>
              <w:rPr>
                <w:b/>
                <w:color w:val="008000"/>
                <w:sz w:val="17"/>
              </w:rPr>
              <w:t>+1.2%</w:t>
            </w:r>
          </w:p>
        </w:tc>
      </w:tr>
      <w:tr>
        <w:tc>
          <w:tcPr>
            <w:tcW w:type="dxa" w:w="1440"/>
            <w:shd w:fill="FAFAFA" w:val="clear"/>
          </w:tcPr>
          <w:p>
            <w:r>
              <w:rPr>
                <w:sz w:val="17"/>
              </w:rPr>
              <w:t>J+5  Moyenne</w:t>
            </w:r>
          </w:p>
        </w:tc>
        <w:tc>
          <w:tcPr>
            <w:tcW w:type="dxa" w:w="1440"/>
            <w:shd w:fill="FAFAFA" w:val="clear"/>
          </w:tcPr>
          <w:p>
            <w:r>
              <w:rPr>
                <w:sz w:val="17"/>
              </w:rPr>
              <w:t>2026-10-22</w:t>
            </w:r>
          </w:p>
        </w:tc>
        <w:tc>
          <w:tcPr>
            <w:tcW w:type="dxa" w:w="1440"/>
            <w:shd w:fill="FAFAFA" w:val="clear"/>
          </w:tcPr>
          <w:p>
            <w:r>
              <w:rPr>
                <w:sz w:val="17"/>
              </w:rPr>
              <w:t>37,892</w:t>
            </w:r>
          </w:p>
        </w:tc>
        <w:tc>
          <w:tcPr>
            <w:tcW w:type="dxa" w:w="1440"/>
            <w:shd w:fill="FAFAFA" w:val="clear"/>
          </w:tcPr>
          <w:p>
            <w:r>
              <w:rPr>
                <w:b/>
                <w:sz w:val="17"/>
              </w:rPr>
              <w:t>39,087</w:t>
            </w:r>
          </w:p>
        </w:tc>
        <w:tc>
          <w:tcPr>
            <w:tcW w:type="dxa" w:w="1440"/>
            <w:shd w:fill="FAFAFA" w:val="clear"/>
          </w:tcPr>
          <w:p>
            <w:r>
              <w:rPr>
                <w:sz w:val="17"/>
              </w:rPr>
              <w:t>40,282</w:t>
            </w:r>
          </w:p>
        </w:tc>
        <w:tc>
          <w:tcPr>
            <w:tcW w:type="dxa" w:w="1440"/>
            <w:shd w:fill="FAFAFA" w:val="clear"/>
          </w:tcPr>
          <w:p>
            <w:r>
              <w:rPr>
                <w:b/>
                <w:color w:val="008000"/>
                <w:sz w:val="17"/>
              </w:rPr>
              <w:t>+1.6%</w:t>
            </w:r>
          </w:p>
        </w:tc>
      </w:tr>
      <w:tr>
        <w:tc>
          <w:tcPr>
            <w:tcW w:type="dxa" w:w="1440"/>
            <w:shd w:fill="FAFAFA" w:val="clear"/>
          </w:tcPr>
          <w:p>
            <w:r>
              <w:rPr>
                <w:sz w:val="17"/>
              </w:rPr>
              <w:t>J+6  Moyenne</w:t>
            </w:r>
          </w:p>
        </w:tc>
        <w:tc>
          <w:tcPr>
            <w:tcW w:type="dxa" w:w="1440"/>
            <w:shd w:fill="FAFAFA" w:val="clear"/>
          </w:tcPr>
          <w:p>
            <w:r>
              <w:rPr>
                <w:sz w:val="17"/>
              </w:rPr>
              <w:t>2026-10-23</w:t>
            </w:r>
          </w:p>
        </w:tc>
        <w:tc>
          <w:tcPr>
            <w:tcW w:type="dxa" w:w="1440"/>
            <w:shd w:fill="FAFAFA" w:val="clear"/>
          </w:tcPr>
          <w:p>
            <w:r>
              <w:rPr>
                <w:sz w:val="17"/>
              </w:rPr>
              <w:t>37,904</w:t>
            </w:r>
          </w:p>
        </w:tc>
        <w:tc>
          <w:tcPr>
            <w:tcW w:type="dxa" w:w="1440"/>
            <w:shd w:fill="FAFAFA" w:val="clear"/>
          </w:tcPr>
          <w:p>
            <w:r>
              <w:rPr>
                <w:b/>
                <w:sz w:val="17"/>
              </w:rPr>
              <w:t>39,218</w:t>
            </w:r>
          </w:p>
        </w:tc>
        <w:tc>
          <w:tcPr>
            <w:tcW w:type="dxa" w:w="1440"/>
            <w:shd w:fill="FAFAFA" w:val="clear"/>
          </w:tcPr>
          <w:p>
            <w:r>
              <w:rPr>
                <w:sz w:val="17"/>
              </w:rPr>
              <w:t>40,532</w:t>
            </w:r>
          </w:p>
        </w:tc>
        <w:tc>
          <w:tcPr>
            <w:tcW w:type="dxa" w:w="1440"/>
            <w:shd w:fill="FAFAFA" w:val="clear"/>
          </w:tcPr>
          <w:p>
            <w:r>
              <w:rPr>
                <w:b/>
                <w:color w:val="008000"/>
                <w:sz w:val="17"/>
              </w:rPr>
              <w:t>+1.9%</w:t>
            </w:r>
          </w:p>
        </w:tc>
      </w:tr>
      <w:tr>
        <w:tc>
          <w:tcPr>
            <w:tcW w:type="dxa" w:w="1440"/>
            <w:shd w:fill="C6EFCE" w:val="clear"/>
          </w:tcPr>
          <w:p>
            <w:r>
              <w:rPr>
                <w:sz w:val="17"/>
              </w:rPr>
              <w:t>J+7  Moyenne</w:t>
            </w:r>
          </w:p>
        </w:tc>
        <w:tc>
          <w:tcPr>
            <w:tcW w:type="dxa" w:w="1440"/>
            <w:shd w:fill="C6EFCE" w:val="clear"/>
          </w:tcPr>
          <w:p>
            <w:r>
              <w:rPr>
                <w:sz w:val="17"/>
              </w:rPr>
              <w:t>2026-10-26</w:t>
            </w:r>
          </w:p>
        </w:tc>
        <w:tc>
          <w:tcPr>
            <w:tcW w:type="dxa" w:w="1440"/>
            <w:shd w:fill="C6EFCE" w:val="clear"/>
          </w:tcPr>
          <w:p>
            <w:r>
              <w:rPr>
                <w:sz w:val="17"/>
              </w:rPr>
              <w:t>37,923</w:t>
            </w:r>
          </w:p>
        </w:tc>
        <w:tc>
          <w:tcPr>
            <w:tcW w:type="dxa" w:w="1440"/>
            <w:shd w:fill="C6EFCE" w:val="clear"/>
          </w:tcPr>
          <w:p>
            <w:r>
              <w:rPr>
                <w:b/>
                <w:sz w:val="17"/>
              </w:rPr>
              <w:t>39,347</w:t>
            </w:r>
          </w:p>
        </w:tc>
        <w:tc>
          <w:tcPr>
            <w:tcW w:type="dxa" w:w="1440"/>
            <w:shd w:fill="C6EFCE" w:val="clear"/>
          </w:tcPr>
          <w:p>
            <w:r>
              <w:rPr>
                <w:sz w:val="17"/>
              </w:rPr>
              <w:t>40,771</w:t>
            </w:r>
          </w:p>
        </w:tc>
        <w:tc>
          <w:tcPr>
            <w:tcW w:type="dxa" w:w="1440"/>
            <w:shd w:fill="C6EFCE" w:val="clear"/>
          </w:tcPr>
          <w:p>
            <w:r>
              <w:rPr>
                <w:b/>
                <w:color w:val="008000"/>
                <w:sz w:val="17"/>
              </w:rPr>
              <w:t>+2.2%</w:t>
            </w:r>
          </w:p>
        </w:tc>
      </w:tr>
      <w:tr>
        <w:tc>
          <w:tcPr>
            <w:tcW w:type="dxa" w:w="1440"/>
            <w:shd w:fill="C6EFCE" w:val="clear"/>
          </w:tcPr>
          <w:p>
            <w:r>
              <w:rPr>
                <w:sz w:val="17"/>
              </w:rPr>
              <w:t>J+8  Moyenne</w:t>
            </w:r>
          </w:p>
        </w:tc>
        <w:tc>
          <w:tcPr>
            <w:tcW w:type="dxa" w:w="1440"/>
            <w:shd w:fill="C6EFCE" w:val="clear"/>
          </w:tcPr>
          <w:p>
            <w:r>
              <w:rPr>
                <w:sz w:val="17"/>
              </w:rPr>
              <w:t>2026-10-27</w:t>
            </w:r>
          </w:p>
        </w:tc>
        <w:tc>
          <w:tcPr>
            <w:tcW w:type="dxa" w:w="1440"/>
            <w:shd w:fill="C6EFCE" w:val="clear"/>
          </w:tcPr>
          <w:p>
            <w:r>
              <w:rPr>
                <w:sz w:val="17"/>
              </w:rPr>
              <w:t>37,948</w:t>
            </w:r>
          </w:p>
        </w:tc>
        <w:tc>
          <w:tcPr>
            <w:tcW w:type="dxa" w:w="1440"/>
            <w:shd w:fill="C6EFCE" w:val="clear"/>
          </w:tcPr>
          <w:p>
            <w:r>
              <w:rPr>
                <w:b/>
                <w:sz w:val="17"/>
              </w:rPr>
              <w:t>39,474</w:t>
            </w:r>
          </w:p>
        </w:tc>
        <w:tc>
          <w:tcPr>
            <w:tcW w:type="dxa" w:w="1440"/>
            <w:shd w:fill="C6EFCE" w:val="clear"/>
          </w:tcPr>
          <w:p>
            <w:r>
              <w:rPr>
                <w:sz w:val="17"/>
              </w:rPr>
              <w:t>41,001</w:t>
            </w:r>
          </w:p>
        </w:tc>
        <w:tc>
          <w:tcPr>
            <w:tcW w:type="dxa" w:w="1440"/>
            <w:shd w:fill="C6EFCE" w:val="clear"/>
          </w:tcPr>
          <w:p>
            <w:r>
              <w:rPr>
                <w:b/>
                <w:color w:val="008000"/>
                <w:sz w:val="17"/>
              </w:rPr>
              <w:t>+2.6%</w:t>
            </w:r>
          </w:p>
        </w:tc>
      </w:tr>
      <w:tr>
        <w:tc>
          <w:tcPr>
            <w:tcW w:type="dxa" w:w="1440"/>
            <w:shd w:fill="C6EFCE" w:val="clear"/>
          </w:tcPr>
          <w:p>
            <w:r>
              <w:rPr>
                <w:sz w:val="17"/>
              </w:rPr>
              <w:t>J+9  Moyenne</w:t>
            </w:r>
          </w:p>
        </w:tc>
        <w:tc>
          <w:tcPr>
            <w:tcW w:type="dxa" w:w="1440"/>
            <w:shd w:fill="C6EFCE" w:val="clear"/>
          </w:tcPr>
          <w:p>
            <w:r>
              <w:rPr>
                <w:sz w:val="17"/>
              </w:rPr>
              <w:t>2026-10-28</w:t>
            </w:r>
          </w:p>
        </w:tc>
        <w:tc>
          <w:tcPr>
            <w:tcW w:type="dxa" w:w="1440"/>
            <w:shd w:fill="C6EFCE" w:val="clear"/>
          </w:tcPr>
          <w:p>
            <w:r>
              <w:rPr>
                <w:sz w:val="17"/>
              </w:rPr>
              <w:t>37,975</w:t>
            </w:r>
          </w:p>
        </w:tc>
        <w:tc>
          <w:tcPr>
            <w:tcW w:type="dxa" w:w="1440"/>
            <w:shd w:fill="C6EFCE" w:val="clear"/>
          </w:tcPr>
          <w:p>
            <w:r>
              <w:rPr>
                <w:b/>
                <w:sz w:val="17"/>
              </w:rPr>
              <w:t>39,600</w:t>
            </w:r>
          </w:p>
        </w:tc>
        <w:tc>
          <w:tcPr>
            <w:tcW w:type="dxa" w:w="1440"/>
            <w:shd w:fill="C6EFCE" w:val="clear"/>
          </w:tcPr>
          <w:p>
            <w:r>
              <w:rPr>
                <w:sz w:val="17"/>
              </w:rPr>
              <w:t>41,224</w:t>
            </w:r>
          </w:p>
        </w:tc>
        <w:tc>
          <w:tcPr>
            <w:tcW w:type="dxa" w:w="1440"/>
            <w:shd w:fill="C6EFCE" w:val="clear"/>
          </w:tcPr>
          <w:p>
            <w:r>
              <w:rPr>
                <w:b/>
                <w:color w:val="008000"/>
                <w:sz w:val="17"/>
              </w:rPr>
              <w:t>+2.9%</w:t>
            </w:r>
          </w:p>
        </w:tc>
      </w:tr>
      <w:tr>
        <w:tc>
          <w:tcPr>
            <w:tcW w:type="dxa" w:w="1440"/>
            <w:shd w:fill="C6EFCE" w:val="clear"/>
          </w:tcPr>
          <w:p>
            <w:r>
              <w:rPr>
                <w:sz w:val="17"/>
              </w:rPr>
              <w:t>J+10  Moyenne</w:t>
            </w:r>
          </w:p>
        </w:tc>
        <w:tc>
          <w:tcPr>
            <w:tcW w:type="dxa" w:w="1440"/>
            <w:shd w:fill="C6EFCE" w:val="clear"/>
          </w:tcPr>
          <w:p>
            <w:r>
              <w:rPr>
                <w:sz w:val="17"/>
              </w:rPr>
              <w:t>2026-10-29</w:t>
            </w:r>
          </w:p>
        </w:tc>
        <w:tc>
          <w:tcPr>
            <w:tcW w:type="dxa" w:w="1440"/>
            <w:shd w:fill="C6EFCE" w:val="clear"/>
          </w:tcPr>
          <w:p>
            <w:r>
              <w:rPr>
                <w:sz w:val="17"/>
              </w:rPr>
              <w:t>38,005</w:t>
            </w:r>
          </w:p>
        </w:tc>
        <w:tc>
          <w:tcPr>
            <w:tcW w:type="dxa" w:w="1440"/>
            <w:shd w:fill="C6EFCE" w:val="clear"/>
          </w:tcPr>
          <w:p>
            <w:r>
              <w:rPr>
                <w:b/>
                <w:sz w:val="17"/>
              </w:rPr>
              <w:t>39,723</w:t>
            </w:r>
          </w:p>
        </w:tc>
        <w:tc>
          <w:tcPr>
            <w:tcW w:type="dxa" w:w="1440"/>
            <w:shd w:fill="C6EFCE" w:val="clear"/>
          </w:tcPr>
          <w:p>
            <w:r>
              <w:rPr>
                <w:sz w:val="17"/>
              </w:rPr>
              <w:t>41,441</w:t>
            </w:r>
          </w:p>
        </w:tc>
        <w:tc>
          <w:tcPr>
            <w:tcW w:type="dxa" w:w="1440"/>
            <w:shd w:fill="C6EFCE" w:val="clear"/>
          </w:tcPr>
          <w:p>
            <w:r>
              <w:rPr>
                <w:b/>
                <w:color w:val="008000"/>
                <w:sz w:val="17"/>
              </w:rPr>
              <w:t>+3.2%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66.583 Mds FCFA</w:t>
            </w:r>
          </w:p>
        </w:tc>
        <w:tc>
          <w:tcPr>
            <w:tcW w:type="dxa" w:w="5669"/>
            <w:shd w:fill="FFFFFF" w:val="clear"/>
          </w:tcPr>
          <w:p>
            <w:r>
              <w:rPr>
                <w:color w:val="282828"/>
                <w:sz w:val="15"/>
              </w:rPr>
              <w:t>Créances clients = 17.6%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82.734 Mds FCFA</w:t>
            </w:r>
          </w:p>
        </w:tc>
        <w:tc>
          <w:tcPr>
            <w:tcW w:type="dxa" w:w="5669"/>
            <w:shd w:fill="FFFFFF" w:val="clear"/>
          </w:tcPr>
          <w:p>
            <w:r>
              <w:rPr>
                <w:color w:val="282828"/>
                <w:sz w:val="15"/>
              </w:rPr>
              <w:t>Rotation stocks = 4.6x/an.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149.318 Mds FCFA</w:t>
            </w:r>
          </w:p>
        </w:tc>
        <w:tc>
          <w:tcPr>
            <w:tcW w:type="dxa" w:w="5669"/>
            <w:shd w:fill="FFFFFF" w:val="clear"/>
          </w:tcPr>
          <w:p>
            <w:r>
              <w:rPr>
                <w:color w:val="282828"/>
                <w:sz w:val="15"/>
              </w:rPr>
              <w:t>Ratio actif circ./passif circ. = 1.70x.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34.810 Mds FCFA</w:t>
            </w:r>
          </w:p>
        </w:tc>
        <w:tc>
          <w:tcPr>
            <w:tcW w:type="dxa" w:w="5669"/>
            <w:shd w:fill="FFFFFF" w:val="clear"/>
          </w:tcPr>
          <w:p>
            <w:r>
              <w:rPr>
                <w:color w:val="282828"/>
                <w:sz w:val="15"/>
              </w:rPr>
              <w:t>Brevets, logiciels, fonds commercial (10.3%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132.120 Mds FCFA</w:t>
            </w:r>
          </w:p>
        </w:tc>
        <w:tc>
          <w:tcPr>
            <w:tcW w:type="dxa" w:w="5669"/>
            <w:shd w:fill="FFFFFF" w:val="clear"/>
          </w:tcPr>
          <w:p>
            <w:r>
              <w:rPr>
                <w:color w:val="282828"/>
                <w:sz w:val="15"/>
              </w:rPr>
              <w:t>Outil industriel (38.9%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167.707 Mds FCFA</w:t>
            </w:r>
          </w:p>
        </w:tc>
        <w:tc>
          <w:tcPr>
            <w:tcW w:type="dxa" w:w="5669"/>
            <w:shd w:fill="FFFFFF" w:val="clear"/>
          </w:tcPr>
          <w:p>
            <w:r>
              <w:rPr>
                <w:color w:val="282828"/>
                <w:sz w:val="15"/>
              </w:rPr>
              <w:t>Actif immobilisé = 49.4%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22.492 Mds FCFA</w:t>
            </w:r>
          </w:p>
        </w:tc>
        <w:tc>
          <w:tcPr>
            <w:tcW w:type="dxa" w:w="5669"/>
            <w:shd w:fill="FFFFFF" w:val="clear"/>
          </w:tcPr>
          <w:p>
            <w:r>
              <w:rPr>
                <w:color w:val="282828"/>
                <w:sz w:val="15"/>
              </w:rPr>
              <w:t>Liquidités disponibles (6.6%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339.517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Réserves</w:t>
            </w:r>
          </w:p>
        </w:tc>
        <w:tc>
          <w:tcPr>
            <w:tcW w:type="dxa" w:w="1984"/>
            <w:shd w:fill="C6EFCE" w:val="clear"/>
          </w:tcPr>
          <w:p>
            <w:r>
              <w:rPr>
                <w:b/>
                <w:color w:val="006400"/>
                <w:sz w:val="17"/>
              </w:rPr>
              <w:t>149.361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195.142 Mds FCFA</w:t>
            </w:r>
          </w:p>
        </w:tc>
        <w:tc>
          <w:tcPr>
            <w:tcW w:type="dxa" w:w="5669"/>
            <w:shd w:fill="FFFFFF" w:val="clear"/>
          </w:tcPr>
          <w:p>
            <w:r>
              <w:rPr>
                <w:color w:val="282828"/>
                <w:sz w:val="15"/>
              </w:rPr>
              <w:t>Fonds propres = 57.5%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251.396 Mds FCFA</w:t>
            </w:r>
          </w:p>
        </w:tc>
        <w:tc>
          <w:tcPr>
            <w:tcW w:type="dxa" w:w="5669"/>
            <w:shd w:fill="FFFFFF" w:val="clear"/>
          </w:tcPr>
          <w:p>
            <w:r>
              <w:rPr>
                <w:color w:val="282828"/>
                <w:sz w:val="15"/>
              </w:rPr>
              <w:t>Capitaux permanents / Actif immobilisé = 1.50x.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54.176 Mds FCFA</w:t>
            </w:r>
          </w:p>
        </w:tc>
        <w:tc>
          <w:tcPr>
            <w:tcW w:type="dxa" w:w="5669"/>
            <w:shd w:fill="FFFFFF" w:val="clear"/>
          </w:tcPr>
          <w:p>
            <w:r>
              <w:rPr>
                <w:color w:val="282828"/>
                <w:sz w:val="15"/>
              </w:rPr>
              <w:t>Délai fournisseurs implicite ≈ 52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46.424 Mds FCFA</w:t>
            </w:r>
          </w:p>
        </w:tc>
        <w:tc>
          <w:tcPr>
            <w:tcW w:type="dxa" w:w="5669"/>
            <w:shd w:fill="FFFFFF" w:val="clear"/>
          </w:tcPr>
          <w:p>
            <w:r>
              <w:rPr>
                <w:color w:val="282828"/>
                <w:sz w:val="15"/>
              </w:rPr>
              <w:t>Dette LT/MT = 24%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46.799 Mds FCFA</w:t>
            </w:r>
          </w:p>
        </w:tc>
        <w:tc>
          <w:tcPr>
            <w:tcW w:type="dxa" w:w="5669"/>
            <w:shd w:fill="FFFFFF" w:val="clear"/>
          </w:tcPr>
          <w:p>
            <w:r>
              <w:rPr>
                <w:color w:val="282828"/>
                <w:sz w:val="15"/>
              </w:rPr>
              <w:t>Dette financière totale = 24%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144.375 Mds FCFA</w:t>
            </w:r>
          </w:p>
        </w:tc>
        <w:tc>
          <w:tcPr>
            <w:tcW w:type="dxa" w:w="5669"/>
            <w:shd w:fill="FFFFFF" w:val="clear"/>
          </w:tcPr>
          <w:p>
            <w:r>
              <w:rPr>
                <w:color w:val="282828"/>
                <w:sz w:val="15"/>
              </w:rPr>
              <w:t>Dettes totales = 42.5%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378.123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378.123 Mds FCFA</w:t>
            </w:r>
          </w:p>
        </w:tc>
        <w:tc>
          <w:tcPr>
            <w:tcW w:type="dxa" w:w="5669"/>
            <w:shd w:fill="FFFFFF" w:val="clear"/>
          </w:tcPr>
          <w:p>
            <w:r>
              <w:rPr>
                <w:color w:val="282828"/>
                <w:sz w:val="15"/>
              </w:rPr>
              <w:t>Chiffre d'affaires. Croissance: 22.1%.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23.147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33.279 Mds FCFA</w:t>
            </w:r>
          </w:p>
        </w:tc>
        <w:tc>
          <w:tcPr>
            <w:tcW w:type="dxa" w:w="5669"/>
            <w:shd w:fill="FFFFFF" w:val="clear"/>
          </w:tcPr>
          <w:p>
            <w:r>
              <w:rPr>
                <w:color w:val="282828"/>
                <w:sz w:val="15"/>
              </w:rPr>
              <w:t>Masse salariale = 8.8%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120.724 Mds FCFA</w:t>
            </w:r>
          </w:p>
        </w:tc>
        <w:tc>
          <w:tcPr>
            <w:tcW w:type="dxa" w:w="5669"/>
            <w:shd w:fill="FFFFFF" w:val="clear"/>
          </w:tcPr>
          <w:p>
            <w:r>
              <w:rPr>
                <w:color w:val="282828"/>
                <w:sz w:val="15"/>
              </w:rPr>
              <w:t>VA = 31.9%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87.445 Mds FCFA</w:t>
            </w:r>
          </w:p>
        </w:tc>
        <w:tc>
          <w:tcPr>
            <w:tcW w:type="dxa" w:w="5669"/>
            <w:shd w:fill="FFFFFF" w:val="clear"/>
          </w:tcPr>
          <w:p>
            <w:r>
              <w:rPr>
                <w:color w:val="282828"/>
                <w:sz w:val="15"/>
              </w:rPr>
              <w:t>EBE = 23.1%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65.165 Mds FCFA</w:t>
            </w:r>
          </w:p>
        </w:tc>
        <w:tc>
          <w:tcPr>
            <w:tcW w:type="dxa" w:w="5669"/>
            <w:shd w:fill="FFFFFF" w:val="clear"/>
          </w:tcPr>
          <w:p>
            <w:r>
              <w:rPr>
                <w:color w:val="282828"/>
                <w:sz w:val="15"/>
              </w:rPr>
              <w:t>Profit d'exploitation = 17.2%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9.830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45.781 Mds FCFA</w:t>
            </w:r>
          </w:p>
        </w:tc>
        <w:tc>
          <w:tcPr>
            <w:tcW w:type="dxa" w:w="5669"/>
            <w:shd w:fill="FFFFFF" w:val="clear"/>
          </w:tcPr>
          <w:p>
            <w:r>
              <w:rPr>
                <w:color w:val="282828"/>
                <w:sz w:val="15"/>
              </w:rPr>
              <w:t>Marge nette = 12.1%.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69.895 Mds FCFA</w:t>
            </w:r>
          </w:p>
        </w:tc>
        <w:tc>
          <w:tcPr>
            <w:tcW w:type="dxa" w:w="5669"/>
            <w:shd w:fill="FFFFFF" w:val="clear"/>
          </w:tcPr>
          <w:p>
            <w:r>
              <w:rPr>
                <w:color w:val="282828"/>
                <w:sz w:val="15"/>
              </w:rPr>
              <w:t>CAF = 69.89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83.925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-23.058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-24.618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60.867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61.587 Mds FCFA</w:t>
            </w:r>
          </w:p>
        </w:tc>
        <w:tc>
          <w:tcPr>
            <w:tcW w:type="dxa" w:w="5669"/>
            <w:shd w:fill="FFFFFF" w:val="clear"/>
          </w:tcPr>
          <w:p>
            <w:r>
              <w:rPr>
                <w:color w:val="282828"/>
                <w:sz w:val="15"/>
              </w:rPr>
              <w:t>BFR = 16.3%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83.689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22.117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76.21%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12.11%</w:t>
            </w:r>
          </w:p>
        </w:tc>
        <w:tc>
          <w:tcPr>
            <w:tcW w:type="dxa" w:w="5669"/>
            <w:shd w:fill="FFFFFF" w:val="clear"/>
          </w:tcPr>
          <w:p>
            <w:r>
              <w:rPr>
                <w:color w:val="282828"/>
                <w:sz w:val="15"/>
              </w:rPr>
              <w:t>Résultat net / revenus = 12.11%.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17.23%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23.46%</w:t>
            </w:r>
          </w:p>
        </w:tc>
        <w:tc>
          <w:tcPr>
            <w:tcW w:type="dxa" w:w="5669"/>
            <w:shd w:fill="FFFFFF" w:val="clear"/>
          </w:tcPr>
          <w:p>
            <w:r>
              <w:rPr>
                <w:color w:val="282828"/>
                <w:sz w:val="15"/>
              </w:rPr>
              <w:t>Résultat net / capitaux propres = 23.46%.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13.48%</w:t>
            </w:r>
          </w:p>
        </w:tc>
        <w:tc>
          <w:tcPr>
            <w:tcW w:type="dxa" w:w="5669"/>
            <w:shd w:fill="FFFFFF" w:val="clear"/>
          </w:tcPr>
          <w:p>
            <w:r>
              <w:rPr>
                <w:color w:val="282828"/>
                <w:sz w:val="15"/>
              </w:rPr>
              <w:t>Résultat net / total actif = 13.48%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111.37%</w:t>
            </w:r>
          </w:p>
        </w:tc>
        <w:tc>
          <w:tcPr>
            <w:tcW w:type="dxa" w:w="5669"/>
            <w:shd w:fill="FFFFFF" w:val="clear"/>
          </w:tcPr>
          <w:p>
            <w:r>
              <w:rPr>
                <w:color w:val="282828"/>
                <w:sz w:val="15"/>
              </w:rPr>
              <w:t>CA / total actif = 111.37x.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22.08%</w:t>
            </w:r>
          </w:p>
        </w:tc>
        <w:tc>
          <w:tcPr>
            <w:tcW w:type="dxa" w:w="5669"/>
            <w:shd w:fill="FFFFFF" w:val="clear"/>
          </w:tcPr>
          <w:p>
            <w:r>
              <w:rPr>
                <w:color w:val="282828"/>
                <w:sz w:val="15"/>
              </w:rPr>
              <w:t>Croissance CA vs exercice précédent = 22.08%.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57.48%</w:t>
            </w:r>
          </w:p>
        </w:tc>
        <w:tc>
          <w:tcPr>
            <w:tcW w:type="dxa" w:w="5669"/>
            <w:shd w:fill="FFFFFF" w:val="clear"/>
          </w:tcPr>
          <w:p>
            <w:r>
              <w:rPr>
                <w:color w:val="282828"/>
                <w:sz w:val="15"/>
              </w:rPr>
              <w:t>Fonds propres / total bilan = 57.48%.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23.98%</w:t>
            </w:r>
          </w:p>
        </w:tc>
        <w:tc>
          <w:tcPr>
            <w:tcW w:type="dxa" w:w="5669"/>
            <w:shd w:fill="FFFFFF" w:val="clear"/>
          </w:tcPr>
          <w:p>
            <w:r>
              <w:rPr>
                <w:color w:val="282828"/>
                <w:sz w:val="15"/>
              </w:rPr>
              <w:t>Dettes financières / total bilan = 23.98%.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42.52%</w:t>
            </w:r>
          </w:p>
        </w:tc>
        <w:tc>
          <w:tcPr>
            <w:tcW w:type="dxa" w:w="5669"/>
            <w:shd w:fill="FFFFFF" w:val="clear"/>
          </w:tcPr>
          <w:p>
            <w:r>
              <w:rPr>
                <w:color w:val="282828"/>
                <w:sz w:val="15"/>
              </w:rPr>
              <w:t>Dettes totales / fonds propres = 42.52%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235.16%</w:t>
            </w:r>
          </w:p>
        </w:tc>
        <w:tc>
          <w:tcPr>
            <w:tcW w:type="dxa" w:w="5669"/>
            <w:shd w:fill="FFFFFF" w:val="clear"/>
          </w:tcPr>
          <w:p>
            <w:r>
              <w:rPr>
                <w:color w:val="282828"/>
                <w:sz w:val="15"/>
              </w:rPr>
              <w:t>Total actif / dettes totales = 235.16x.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195.00%</w:t>
            </w:r>
          </w:p>
        </w:tc>
        <w:tc>
          <w:tcPr>
            <w:tcW w:type="dxa" w:w="5669"/>
            <w:shd w:fill="FFFFFF" w:val="clear"/>
          </w:tcPr>
          <w:p>
            <w:r>
              <w:rPr>
                <w:color w:val="282828"/>
                <w:sz w:val="15"/>
              </w:rPr>
              <w:t>Actif circulant / passif circulant = 195.00x. ✅ Excellente liquidité court terme.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25.53%</w:t>
            </w:r>
          </w:p>
        </w:tc>
        <w:tc>
          <w:tcPr>
            <w:tcW w:type="dxa" w:w="5669"/>
            <w:shd w:fill="FFFFFF" w:val="clear"/>
          </w:tcPr>
          <w:p>
            <w:r>
              <w:rPr>
                <w:color w:val="282828"/>
                <w:sz w:val="15"/>
              </w:rPr>
              <w:t>Trésorerie / passif circulant = 25.53x.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101.10%</w:t>
            </w:r>
          </w:p>
        </w:tc>
        <w:tc>
          <w:tcPr>
            <w:tcW w:type="dxa" w:w="5669"/>
            <w:shd w:fill="FFFFFF" w:val="clear"/>
          </w:tcPr>
          <w:p>
            <w:r>
              <w:rPr>
                <w:color w:val="282828"/>
                <w:sz w:val="15"/>
              </w:rPr>
              <w:t>(Actif circ. - stocks) / passif circ. = 101.10x.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149.90%</w:t>
            </w:r>
          </w:p>
        </w:tc>
        <w:tc>
          <w:tcPr>
            <w:tcW w:type="dxa" w:w="5669"/>
            <w:shd w:fill="FFFFFF" w:val="clear"/>
          </w:tcPr>
          <w:p>
            <w:r>
              <w:rPr>
                <w:color w:val="282828"/>
                <w:sz w:val="15"/>
              </w:rPr>
              <w:t>Capitaux permanents / actif immobilisé = 149.90x.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3374.68%</w:t>
            </w:r>
          </w:p>
        </w:tc>
        <w:tc>
          <w:tcPr>
            <w:tcW w:type="dxa" w:w="5669"/>
            <w:shd w:fill="FFFFFF" w:val="clear"/>
          </w:tcPr>
          <w:p>
            <w:r>
              <w:rPr>
                <w:color w:val="282828"/>
                <w:sz w:val="15"/>
              </w:rPr>
              <w:t>Résultat exploit. / charges financières = 3374.68x.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303.13%</w:t>
            </w:r>
          </w:p>
        </w:tc>
        <w:tc>
          <w:tcPr>
            <w:tcW w:type="dxa" w:w="5669"/>
            <w:shd w:fill="FFFFFF" w:val="clear"/>
          </w:tcPr>
          <w:p>
            <w:r>
              <w:rPr>
                <w:color w:val="282828"/>
                <w:sz w:val="15"/>
              </w:rPr>
              <w:t>CAF / investissements = 303.13x.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64.3 j</w:t>
            </w:r>
          </w:p>
        </w:tc>
        <w:tc>
          <w:tcPr>
            <w:tcW w:type="dxa" w:w="5669"/>
            <w:shd w:fill="FFFFFF" w:val="clear"/>
          </w:tcPr>
          <w:p>
            <w:r>
              <w:rPr>
                <w:color w:val="282828"/>
                <w:sz w:val="15"/>
              </w:rPr>
              <w:t>Les clients paient en moyenne en 64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76.8 j</w:t>
            </w:r>
          </w:p>
        </w:tc>
        <w:tc>
          <w:tcPr>
            <w:tcW w:type="dxa" w:w="5669"/>
            <w:shd w:fill="FFFFFF" w:val="clear"/>
          </w:tcPr>
          <w:p>
            <w:r>
              <w:rPr>
                <w:color w:val="282828"/>
                <w:sz w:val="15"/>
              </w:rPr>
              <w:t>Paiement des fournisseurs en 77 jours. ✅ Délai favorable — la société conserve sa trésorerie.</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117.3 j</w:t>
            </w:r>
          </w:p>
        </w:tc>
        <w:tc>
          <w:tcPr>
            <w:tcW w:type="dxa" w:w="5669"/>
            <w:shd w:fill="FFFFFF" w:val="clear"/>
          </w:tcPr>
          <w:p>
            <w:r>
              <w:rPr>
                <w:color w:val="282828"/>
                <w:sz w:val="15"/>
              </w:rPr>
              <w:t>Stock écoulé en 117 jours. ⚠️ Durée de stockage longue — capital immobilisé.</w:t>
            </w:r>
          </w:p>
        </w:tc>
      </w:tr>
    </w:tbl>
    <w:p/>
    <w:p>
      <w:pPr>
        <w:spacing w:after="120" w:line="276" w:lineRule="auto"/>
      </w:pPr>
      <w:r>
        <w:t>**RAPPORT D'ANALYSE FINANCIÈRE — SLBC (SOLIBRA CI)**</w:t>
        <w:br/>
        <w:t>**Bourse Régionale des Valeurs Mobilières (BRVM)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633,58 milliards FCFA, SOLIBRA s'impose comme l'une des plus importantes capitalisations de la BRVM, témoignant de son statut de valeur de premier plan dans le compartiment agroalimentaire/boissons de la cote régionale. Le BPA de 2 781 FCFA par action signifie que chaque titre génère près de 2 800 FCFA de bénéfice net, un niveau de rentabilité par action remarquable qui traduit la forte profitabilité de l'entreprise. Le PER de 13,8x situe le titre légèrement au-dessus de la moyenne du marché BRVM (estimée entre 8 et 12x), ce qui indique une valorisation modérée mais non excessive : les investisseurs paient une prime raisonnable pour la qualité des bénéfices et la régularité de la croissance. Le P/B de 3,25x montre que le marché valorise SOLIBRA à plus de trois fois sa valeur comptable, une prime de croissance justifiée par un ROE de 23,46% (largement supérieur au seuil de 15% considéré comme excellent). Enfin, l'EV/EBITDA de 7,5x, dans la fourchette raisonnable de 5-10x, indique que la valeur totale de l'entreprise (incluant sa dette) reste proportionnée à sa capacité opérationnelle de génération de cash-flow, confirmant l'absence de surévaluation manifeste.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cours de SLBC affiche une variation totale de +1,44%, avec une progression de +0,76% lors de la dernière séance (J-1), traduisant une dynamique haussière modérée mais régulière. Le titre évolue dans un range relativement étroit entre un plus bas de 36 900 FCFA et un plus haut de 41 500 FCFA, soit une amplitude de 12,5%, ce qui témoigne d'une certaine stabilité du cours. La tendance générale est haussière, portée par le franchissement du cours actuel (38 490 FCFA) au-dessus de la moyenne des 100 jours (38 270 FCFA). Les statistiques descriptives révèlent une distribution légèrement asymétrique : la moyenne (38 270 FCFA) est supérieure à la médiane et au mode (tous deux à 38 000 FCFA), et le skewness positif de 0,785 confirme cette asymétrie avec davantage de journées de cotation sous la moyenne, ce qui suggère que les hausses, bien que moins fréquentes, sont plus amples que les baisses. L'écart-type de 867 FCFA avec un coefficient de variation de seulement 2,3% indique une faible dispersion du cours autour de sa moyenne, signe d'une grande stabilité. Le kurtosis de 0,696 (mésokurtique) montre une distribution proche de la normale, sans risque excessif de pics extrêmes. La volatilité annualisée de 24,7% positionne le titre dans la catégorie des valeurs à volatilité modérée (15-30%), ce qui est cohérent avec un profil de valeur défensive et liquide.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(37 746 FCFA) et la MM50 (37 665,7 FCFA) se situent toutes deux en dessous du cours actuel (38 490 FCFA), avec la MM20 légèrement au-dessus de la MM50, configuration classique de tendance haussière. Le cours évoluant au-dessus de ses deux moyennes mobiles, la décision technique est à l'**Achat**, confirmant la dynamique positive de court et moyen terme.</w:t>
      </w:r>
    </w:p>
    <w:p>
      <w:pPr>
        <w:spacing w:after="120" w:line="276" w:lineRule="auto"/>
      </w:pPr>
      <w:r>
        <w:t>**Bandes de Bollinger** : Le cours actuel (38 490 FCFA) touche pratiquement la borne supérieure (38 485,79 FCFA), ce qui signale une pression acheteuse forte mais aussi un risque de correction à court terme. La décision technique associée est à la **Vente**, indiquant que le titre pourrait être temporairement suracheté et sujet à une consolidation.</w:t>
      </w:r>
    </w:p>
    <w:p>
      <w:pPr>
        <w:spacing w:after="120" w:line="276" w:lineRule="auto"/>
      </w:pPr>
      <w:r>
        <w:t>**MACD** : La valeur du MACD (27,866) est nettement supérieure à son signal (-66,08), générant un croisement haussier significatif et un momentum positif. Cette divergence positive confirme la décision d'**Achat**, bien que l'écart important entre les deux lignes appelle à la prudence quant à la durabilité du mouvement.</w:t>
      </w:r>
    </w:p>
    <w:p>
      <w:pPr>
        <w:spacing w:after="120" w:line="276" w:lineRule="auto"/>
      </w:pPr>
      <w:r>
        <w:t>**RSI** : À 58,603, le RSI se situe dans la zone neutre (30-70), sans signal de surachat ni de survente. La décision est **Neutre**, ce qui suggère que le titre dispose encore d'une marge de progression avant d'atteindre des niveaux de surachat.</w:t>
      </w:r>
    </w:p>
    <w:p>
      <w:pPr>
        <w:spacing w:after="120" w:line="276" w:lineRule="auto"/>
      </w:pPr>
      <w:r>
        <w:t>**Stochastique** : Le %K (100,0) est au maximum absolu et le %D (86,667) est également très élevé, avec un croisement en zone de surachat. La décision technique est à la **Vente**, signalant un risque imminent de retournement baissier à court terme.</w:t>
      </w:r>
    </w:p>
    <w:p>
      <w:pPr>
        <w:spacing w:after="120" w:line="276" w:lineRule="auto"/>
      </w:pPr>
      <w:r>
        <w:t>**Conclusion technique** : Les indicateurs présentent une divergence notable : les moyennes mobiles et le MACD confirment une tendance haussière de fond, tandis que les Bandes de Bollinger et le Stochastique signalent un surachat à court terme. Le RSI neutre laisse une certaine latitude. Cette configuration suggère une consolidation probable à court terme avant une reprise haussière, avec un support technique autour de la MM20 (37 746 FCFA).</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SOLIBRA a réalisé un chiffre d'affaires de 378,123 milliards FCFA, en croissance de 22,08% par rapport à 2024, portée par une augmentation des volumes distribués et un mix/prix favorable. Le résultat net s'établit à 45,781 milliards FCFA, en progression spectaculaire de +113% (contre 21,472 milliards en 2024), avec une marge nette qui double de 6,9% à 12,11%. Le ROE atteint 23,46% (largement supérieur au seuil de 15% considéré comme excellent) et le ROA s'élève à 13,48%, confirmant l'efficacité de l'utilisation des actifs. La structure financière est saine : l'autonomie financière de 57,48% (capitaux propres/total bilan) dépasse largement le seuil de 30%, et la capacité de remboursement de 0,67 an (dettes financières/CAF) témoigne d'un endettement très maîtrisé. Concernant le besoin en fonds de roulement (BFR), il s'établit à 61,587 milliards FCFA, avec un délai clients de 64,27 jours (risque de trésorerie modéré) et un délai fournisseurs de 76,82 jours (favorable à la trésorerie), tandis que la durée de stockage de 117,32 jours représente un point de vigilance en termes d'immobilisation de capital. Les rapports trimestriels confirment cette dynamique : le T1 2026 (publié en 2026) affiche un CA de 93,46 milliards FCFA (+7,6%) et un résultat net de 16,26 milliards FCFA (+4,8%), avec une marge nette de 17,4%, tandis que le S1 2025 (publié le 30/06/2025) montrait déjà un CA de 165,8 milliards FCFA (+12,3%) et un résultat net de 28,0 milliards FCFA (+175,1%). Sur la base du T1 2026, on peut estimer que l'exercice 2026 devrait maintenir une croissance à deux chiffres, avec un résultat net annuel projeté autour de 60-65 milliards FCFA si la dynamique se poursuit. La politique de dividende est très généreuse : le dividende brut unitaire proposé pour 2025 est de 2 127 FCFA par action (soit 35,012 milliards FCFA au total), représentant un taux de distribution de 76,5% du bénéfice net, ce qui offre un rendement attractif mais limite la capacité d'autofinancement. Les principaux risques identifiés sont la dépendance aux matières premières (90 milliards FCFA d'achats exposés à la volatilité des prix), la concentration géographique sur le marché ivoirien, et la pression concurrentielle dans le secteur des boissons. Néanmoins, la position de leader, la solidité du bilan (trésorerie nette positive de 22,117 milliards FCFA) et la dynamique commerciale justifient une recommandation fondamentale **positive** à long terme.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précédentes et des prédictions IA permet de dégager une vision globale contrastée à court terme mais favorable à moyen/long terme. Concernant la **valorisation (Partie 0)**, les ratios PER (13,8x), P/B (3,25x) et EV/EBITDA (7,5x) indiquent une valorisation modérée, légèrement supérieure à la moyenne du marché mais justifiée par un ROE exceptionnel de 23,46% et une croissance robuste. Le **comportement du cours (Partie 1)** est favorable : tendance haussière sur 100 jours (+1,44%), volatilité modérée (24,7%), distribution stable (CV de 2,3%) et skewness positif indiquant des hausses plus amples que les baisses. Les **signaux techniques (Partie 2)** sont divergents : les moyennes mobiles et le MACD confirment la tendance haussière, mais les Bandes de Bollinger et le Stochastique signalent un surachat à court terme, suggérant une consolidation imminente. Les **fondamentaux (Partie 3)** sont solides : croissance du CA de 22% en 2025, doublement du résultat net, ROE de 23,46%, structure financière saine et dividende attractif (2 127 FCFA/action), avec des estimations T1 2026 confirmant la poursuite de la dynamique. Les **prédictions IA (J+1 à J+10)** anticipent une trajectoire haussière modérée, avec un cours cible de 39 087 FCFA à J+10 (soit +1,55% par rapport au cours actuel de 38 490 FCFA), ce qui confirme la tendance de fond mais suggère une progression limitée à court terme. Sur la base de cette synthèse, la recommandation finale est **ACHAT**, avec un niveau de confiance **Moyen** et un risque global **Moyen**. La convergence entre la valorisation raisonnable, les fondamentaux solides, la tendance haussière de fond et les prédictions IA positives justifie cette recommandation, bien que le signal de surachat technique à court terme appelle à la prudence sur l'instant. L'horizon d'investissement optimal est le **moyen terme (3-12 mois)**, période permettant d'absorber la consolidation technique attendue et de bénéficier de la croissance des bénéfices et du dividende attractif.</w:t>
      </w:r>
    </w:p>
    <w:p/>
    <w:p/>
    <w:p>
      <w:pPr>
        <w:pStyle w:val="Heading3"/>
      </w:pPr>
      <w:r>
        <w:rPr>
          <w:color w:val="00467F"/>
        </w:rPr>
        <w:t>📎 DOCUMENTS &amp; COMMUNICATIONS OFFICIELS BRVM</w:t>
      </w:r>
    </w:p>
    <w:p>
      <w:r>
        <w:rPr>
          <w:i/>
          <w:color w:val="646464"/>
          <w:sz w:val="18"/>
        </w:rPr>
        <w:t>3 document(s) disponible(s) pour cette société (affichage des 3 plus récents).</w:t>
      </w:r>
    </w:p>
    <w:p>
      <w:pPr>
        <w:spacing w:before="160"/>
      </w:pPr>
      <w:r>
        <w:rPr>
          <w:b/>
          <w:color w:val="0066CC"/>
          <w:sz w:val="20"/>
        </w:rPr>
        <w:t xml:space="preserve">[1] </w:t>
      </w:r>
      <w:r>
        <w:rPr>
          <w:b/>
          <w:sz w:val="20"/>
        </w:rPr>
        <w:t>20260519   formulaire de vote par correspondance   assemblee generale ordinaire   solibra ci</w:t>
      </w:r>
    </w:p>
    <w:p>
      <w:pPr>
        <w:spacing w:before="20"/>
        <w:ind w:left="400"/>
      </w:pPr>
      <w:r>
        <w:rPr>
          <w:color w:val="505050"/>
          <w:sz w:val="17"/>
        </w:rPr>
        <w:t xml:space="preserve">Date : 20/05/2026  |  Catégorie : convocation AG  |  Impact : </w:t>
      </w:r>
      <w:r>
        <w:rPr>
          <w:b/>
          <w:color w:val="646464"/>
          <w:sz w:val="17"/>
        </w:rPr>
        <w:t>⚪ NEUTRE</w:t>
      </w:r>
    </w:p>
    <w:p>
      <w:pPr>
        <w:spacing w:before="40"/>
        <w:ind w:left="400"/>
      </w:pPr>
      <w:r>
        <w:rPr>
          <w:sz w:val="18"/>
        </w:rPr>
        <w:t>Formulaire de vote par correspondance pour l'Assemblée Générale Ordinaire de SOLIBRA du 05 juin 2026. Le document permet aux actionnaires de voter à distance sur 8 résolutions. Le formulaire doit être reçu par la société au plus tard 24 heures avant l'assemblée.</w:t>
      </w:r>
    </w:p>
    <w:p>
      <w:pPr>
        <w:spacing w:before="60"/>
        <w:ind w:left="400"/>
      </w:pPr>
      <w:r>
        <w:rPr>
          <w:b/>
          <w:sz w:val="18"/>
        </w:rPr>
        <w:t>Points clés :</w:t>
      </w:r>
    </w:p>
    <w:p>
      <w:pPr>
        <w:pStyle w:val="ListBullet"/>
        <w:spacing w:before="20" w:after="20"/>
        <w:ind w:left="700"/>
      </w:pPr>
      <w:r>
        <w:rPr>
          <w:sz w:val="18"/>
        </w:rPr>
        <w:t>Assemblée Générale Ordinaire prévue le vendredi 05 juin 2026</w:t>
      </w:r>
    </w:p>
    <w:p>
      <w:pPr>
        <w:pStyle w:val="ListBullet"/>
        <w:spacing w:before="20" w:after="20"/>
        <w:ind w:left="700"/>
      </w:pPr>
      <w:r>
        <w:rPr>
          <w:sz w:val="18"/>
        </w:rPr>
        <w:t>8 résolutions soumises au vote des actionnaires</w:t>
      </w:r>
    </w:p>
    <w:p>
      <w:pPr>
        <w:pStyle w:val="ListBullet"/>
        <w:spacing w:before="20" w:after="20"/>
        <w:ind w:left="700"/>
      </w:pPr>
      <w:r>
        <w:rPr>
          <w:sz w:val="18"/>
        </w:rPr>
        <w:t>Possibilité de vote par correspondance selon l'article 26 des statuts</w:t>
      </w:r>
    </w:p>
    <w:p>
      <w:pPr>
        <w:pStyle w:val="ListBullet"/>
        <w:spacing w:before="20" w:after="20"/>
        <w:ind w:left="700"/>
      </w:pPr>
      <w:r>
        <w:rPr>
          <w:sz w:val="18"/>
        </w:rPr>
        <w:t>Délai de réception du formulaire : 24 heures avant la tenue de l'assemblée</w:t>
      </w:r>
    </w:p>
    <w:p>
      <w:pPr>
        <w:pStyle w:val="ListBullet"/>
        <w:spacing w:before="20" w:after="20"/>
        <w:ind w:left="700"/>
      </w:pPr>
      <w:r>
        <w:rPr>
          <w:sz w:val="18"/>
        </w:rPr>
        <w:t>Toute abstention ou absence d'indication sera assimilée à un vote défavorable</w:t>
      </w:r>
    </w:p>
    <w:p>
      <w:pPr>
        <w:ind w:left="400"/>
      </w:pPr>
      <w:r>
        <w:rPr>
          <w:color w:val="B4B4B4"/>
          <w:sz w:val="14"/>
        </w:rPr>
        <w:t xml:space="preserve">· · · · · · · · · · · · · · · · · · · · · · · · · · · · · · </w:t>
      </w:r>
    </w:p>
    <w:p>
      <w:pPr>
        <w:spacing w:before="160"/>
      </w:pPr>
      <w:r>
        <w:rPr>
          <w:b/>
          <w:color w:val="0066CC"/>
          <w:sz w:val="20"/>
        </w:rPr>
        <w:t xml:space="preserve">[2] </w:t>
      </w:r>
      <w:r>
        <w:rPr>
          <w:b/>
          <w:sz w:val="20"/>
        </w:rPr>
        <w:t>20260519   avis de convocation   assemblee generale ordinaire   solibra ci</w:t>
      </w:r>
    </w:p>
    <w:p>
      <w:pPr>
        <w:spacing w:before="20"/>
        <w:ind w:left="400"/>
      </w:pPr>
      <w:r>
        <w:rPr>
          <w:color w:val="505050"/>
          <w:sz w:val="17"/>
        </w:rPr>
        <w:t xml:space="preserve">Date : 20/05/2026  |  Catégorie : convocation AG  |  Impact : </w:t>
      </w:r>
      <w:r>
        <w:rPr>
          <w:b/>
          <w:color w:val="008000"/>
          <w:sz w:val="17"/>
        </w:rPr>
        <w:t>🟢 POSITIF</w:t>
      </w:r>
    </w:p>
    <w:p>
      <w:pPr>
        <w:spacing w:before="40"/>
        <w:ind w:left="400"/>
      </w:pPr>
      <w:r>
        <w:rPr>
          <w:sz w:val="18"/>
        </w:rPr>
        <w:t>SOLIBRA convoque ses actionnaires en Assemblée Générale Ordinaire le 05 juin 2026 pour approuver les comptes 2025 et distribuer un dividende. La société a réalisé un bénéfice net de 45,78 milliards FCFA et propose un dividende de 2.127 FCFA par action. L'ordre du jour inclut également le renouvellement des mandats d'administrateurs et de commissaires aux comptes.</w:t>
      </w:r>
    </w:p>
    <w:p>
      <w:pPr>
        <w:spacing w:before="60"/>
        <w:ind w:left="400"/>
      </w:pPr>
      <w:r>
        <w:rPr>
          <w:b/>
          <w:sz w:val="18"/>
        </w:rPr>
        <w:t>Points clés :</w:t>
      </w:r>
    </w:p>
    <w:p>
      <w:pPr>
        <w:pStyle w:val="ListBullet"/>
        <w:spacing w:before="20" w:after="20"/>
        <w:ind w:left="700"/>
      </w:pPr>
      <w:r>
        <w:rPr>
          <w:sz w:val="18"/>
        </w:rPr>
        <w:t>Assemblée Générale Ordinaire convoquée pour le 05 juin 2026 à 9h</w:t>
      </w:r>
    </w:p>
    <w:p>
      <w:pPr>
        <w:pStyle w:val="ListBullet"/>
        <w:spacing w:before="20" w:after="20"/>
        <w:ind w:left="700"/>
      </w:pPr>
      <w:r>
        <w:rPr>
          <w:sz w:val="18"/>
        </w:rPr>
        <w:t>Bénéfice net de 45.781.024.496 FCFA pour l'exercice 2025</w:t>
      </w:r>
    </w:p>
    <w:p>
      <w:pPr>
        <w:pStyle w:val="ListBullet"/>
        <w:spacing w:before="20" w:after="20"/>
        <w:ind w:left="700"/>
      </w:pPr>
      <w:r>
        <w:rPr>
          <w:sz w:val="18"/>
        </w:rPr>
        <w:t>Dividende brut unitaire proposé de 2.127 FCFA par action</w:t>
      </w:r>
    </w:p>
    <w:p>
      <w:pPr>
        <w:pStyle w:val="ListBullet"/>
        <w:spacing w:before="20" w:after="20"/>
        <w:ind w:left="700"/>
      </w:pPr>
      <w:r>
        <w:rPr>
          <w:sz w:val="18"/>
        </w:rPr>
        <w:t>Démission de Guy DE CLERCQ de son mandat d'administrateur</w:t>
      </w:r>
    </w:p>
    <w:p>
      <w:pPr>
        <w:pStyle w:val="ListBullet"/>
        <w:spacing w:before="20" w:after="20"/>
        <w:ind w:left="700"/>
      </w:pPr>
      <w:r>
        <w:rPr>
          <w:sz w:val="18"/>
        </w:rPr>
        <w:t>Renouvellement des mandats des commissaires aux comptes KPMG CI et Francis DESCLERCS</w:t>
      </w:r>
    </w:p>
    <w:p>
      <w:pPr>
        <w:ind w:left="400"/>
      </w:pPr>
      <w:r>
        <w:rPr>
          <w:color w:val="B4B4B4"/>
          <w:sz w:val="14"/>
        </w:rPr>
        <w:t xml:space="preserve">· · · · · · · · · · · · · · · · · · · · · · · · · · · · · · </w:t>
      </w:r>
    </w:p>
    <w:p>
      <w:pPr>
        <w:spacing w:before="160"/>
      </w:pPr>
      <w:r>
        <w:rPr>
          <w:b/>
          <w:color w:val="0066CC"/>
          <w:sz w:val="20"/>
        </w:rPr>
        <w:t xml:space="preserve">[3] </w:t>
      </w:r>
      <w:r>
        <w:rPr>
          <w:b/>
          <w:sz w:val="20"/>
        </w:rPr>
        <w:t>20260519   pouvoir   assemblee generale ordinaire   solibra ci</w:t>
      </w:r>
    </w:p>
    <w:p>
      <w:pPr>
        <w:spacing w:before="20"/>
        <w:ind w:left="400"/>
      </w:pPr>
      <w:r>
        <w:rPr>
          <w:color w:val="505050"/>
          <w:sz w:val="17"/>
        </w:rPr>
        <w:t xml:space="preserve">Date : 20/05/2026  |  Catégorie : convocation AG  |  Impact : </w:t>
      </w:r>
      <w:r>
        <w:rPr>
          <w:b/>
          <w:color w:val="646464"/>
          <w:sz w:val="17"/>
        </w:rPr>
        <w:t>⚪ NEUTRE</w:t>
      </w:r>
    </w:p>
    <w:p>
      <w:pPr>
        <w:spacing w:before="40"/>
        <w:ind w:left="400"/>
      </w:pPr>
      <w:r>
        <w:rPr>
          <w:sz w:val="18"/>
        </w:rPr>
        <w:t>Formulaire de pouvoir pour l'Assemblée Générale Ordinaire de SOLIBRA du vendredi 5 juin 2026. Le document permet aux actionnaires de mandater un représentant pour voter en leur nom lors de l'assemblée qui se tiendra à 9 heures à la Salle Jewels de la Maison de l'Entreprise au Plateau. Le pouvoir reste valable en cas de seconde convocation si le quorum n'est pas atteint.</w:t>
      </w:r>
    </w:p>
    <w:p>
      <w:pPr>
        <w:spacing w:before="60"/>
        <w:ind w:left="400"/>
      </w:pPr>
      <w:r>
        <w:rPr>
          <w:b/>
          <w:sz w:val="18"/>
        </w:rPr>
        <w:t>Points clés :</w:t>
      </w:r>
    </w:p>
    <w:p>
      <w:pPr>
        <w:pStyle w:val="ListBullet"/>
        <w:spacing w:before="20" w:after="20"/>
        <w:ind w:left="700"/>
      </w:pPr>
      <w:r>
        <w:rPr>
          <w:sz w:val="18"/>
        </w:rPr>
        <w:t>Assemblée Générale Ordinaire prévue le vendredi 5 juin 2026 à 9 heures</w:t>
      </w:r>
    </w:p>
    <w:p>
      <w:pPr>
        <w:pStyle w:val="ListBullet"/>
        <w:spacing w:before="20" w:after="20"/>
        <w:ind w:left="700"/>
      </w:pPr>
      <w:r>
        <w:rPr>
          <w:sz w:val="18"/>
        </w:rPr>
        <w:t>Lieu : Salle Jewels de la Maison de l'Entreprise, Plateau, Avenue Lamblin</w:t>
      </w:r>
    </w:p>
    <w:p>
      <w:pPr>
        <w:pStyle w:val="ListBullet"/>
        <w:spacing w:before="20" w:after="20"/>
        <w:ind w:left="700"/>
      </w:pPr>
      <w:r>
        <w:rPr>
          <w:sz w:val="18"/>
        </w:rPr>
        <w:t>Capital social de SOLIBRA : 4.115.210.000 F CFA</w:t>
      </w:r>
    </w:p>
    <w:p>
      <w:pPr>
        <w:pStyle w:val="ListBullet"/>
        <w:spacing w:before="20" w:after="20"/>
        <w:ind w:left="700"/>
      </w:pPr>
      <w:r>
        <w:rPr>
          <w:sz w:val="18"/>
        </w:rPr>
        <w:t>Formulaire de pouvoir permettant la représentation des actionnaires</w:t>
      </w:r>
    </w:p>
    <w:p>
      <w:pPr>
        <w:pStyle w:val="ListBullet"/>
        <w:spacing w:before="20" w:after="20"/>
        <w:ind w:left="700"/>
      </w:pPr>
      <w:r>
        <w:rPr>
          <w:sz w:val="18"/>
        </w:rPr>
        <w:t>Pouvoir valable pour une éventuelle seconde convocation en cas de défaut de quorum</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"Les r\u00e9sultats trimestriels d\u00e9montrent une croissance solide et \u00e9quilibr\u00e9e avec une progression du chiffre d'affaires sup\u00e9rieure \u00e0 celle du r\u00e9sultat net, t\u00e9moignant d'un contr\u00f4le des co\u00fbts efficace. La position de leader sur le march\u00e9 ivoirien et la dynamique positive justifient une recommandation de conservation."}</w:t>
      </w:r>
    </w:p>
    <w:p>
      <w:pPr>
        <w:spacing w:before="40"/>
        <w:ind w:left="400"/>
      </w:pPr>
      <w:r>
        <w:rPr>
          <w:sz w:val="18"/>
        </w:rPr>
        <w:t>SOLIBRA présente des résultats solides pour le premier trimestre 2026 avec une croissance du chiffre d'affaires de +7,6% atteignant 93,46 milliards FCFA. Le volume distribué progresse significativement de +9,6% avec 1,839 millions d'hectolitres contre 1,678 millions un an plus tôt. Les activités ordinaires affichent une hausse de +4,1% à 21,50 milliards FCFA, confirmant la bonne dynamique opérationnelle. Le résultat net s'établit à 16,26 milliards FCFA en progression de +4,8% par rapport aux 15,52 milliards FCFA du premier trimestre 2025. Ces performances renforcent la position de leader de SOLIBRA sur le marché ivoirien des boissons et limonades.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'+7,6%', 'volume_distribue': "1,839 millions d'hectolitres", 'croissance_volume': '+9,6%', 'croissance_resultat_net': '+4,8%', 'resultat_activites_ordinaires': '21,50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16,26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93,46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+7,6% à 93,46 milliards FCFA au T1 2026</w:t>
      </w:r>
    </w:p>
    <w:p>
      <w:pPr>
        <w:pStyle w:val="ListBullet"/>
        <w:spacing w:before="20" w:after="20"/>
        <w:ind w:left="700"/>
      </w:pPr>
      <w:r>
        <w:rPr>
          <w:sz w:val="18"/>
        </w:rPr>
        <w:t>Progression significative du volume distribué de +9,6% avec 1,839 millions d'hectolitres</w:t>
      </w:r>
    </w:p>
    <w:p>
      <w:pPr>
        <w:pStyle w:val="ListBullet"/>
        <w:spacing w:before="20" w:after="20"/>
        <w:ind w:left="700"/>
      </w:pPr>
      <w:r>
        <w:rPr>
          <w:sz w:val="18"/>
        </w:rPr>
        <w:t>Hausse du résultat des activités ordinaires de +4,1% à 21,50 milliards FCFA</w:t>
      </w:r>
    </w:p>
    <w:p>
      <w:pPr>
        <w:pStyle w:val="ListBullet"/>
        <w:spacing w:before="20" w:after="20"/>
        <w:ind w:left="700"/>
      </w:pPr>
      <w:r>
        <w:rPr>
          <w:sz w:val="18"/>
        </w:rPr>
        <w:t>Augmentation du résultat net de +4,8% à 16,26 milliards FCFA</w:t>
      </w:r>
    </w:p>
    <w:p>
      <w:pPr>
        <w:pStyle w:val="ListBullet"/>
        <w:spacing w:before="20" w:after="20"/>
        <w:ind w:left="700"/>
      </w:pPr>
      <w:r>
        <w:rPr>
          <w:sz w:val="18"/>
        </w:rPr>
        <w:t>Position de leader renforcée sur le marché ivoirien des boissons</w:t>
      </w:r>
    </w:p>
    <w:p>
      <w:pPr>
        <w:pStyle w:val="ListBullet"/>
        <w:spacing w:before="20" w:after="20"/>
        <w:ind w:left="700"/>
      </w:pPr>
      <w:r>
        <w:rPr>
          <w:sz w:val="18"/>
        </w:rPr>
        <w:t>Dynamique positive sur tous les indicateurs opérationnels clés</w:t>
      </w:r>
    </w:p>
    <w:p>
      <w:pPr>
        <w:spacing w:before="40"/>
        <w:ind w:left="400"/>
      </w:pPr>
      <w:r>
        <w:rPr>
          <w:b/>
          <w:color w:val="C05000"/>
          <w:sz w:val="18"/>
        </w:rPr>
        <w:t xml:space="preserve">⚠️ Risques : </w:t>
      </w:r>
      <w:r>
        <w:rPr>
          <w:sz w:val="18"/>
        </w:rPr>
        <w:t>["D\u00e9pendance au march\u00e9 ivoirien et exposition aux fluctuations \u00e9conomiques locales", "Pression concurrentielle potentielle sur le secteur des boissons", "\u00c9volution des co\u00fbts des mati\u00e8res premi\u00e8res et de l'\u00e9nergie"]</w:t>
      </w:r>
    </w:p>
    <w:p>
      <w:pPr>
        <w:spacing w:before="40"/>
        <w:ind w:left="400"/>
      </w:pPr>
      <w:r>
        <w:rPr>
          <w:b/>
          <w:color w:val="0064A0"/>
          <w:sz w:val="18"/>
        </w:rPr>
        <w:t xml:space="preserve">🔮 Perspectives : </w:t>
      </w:r>
      <w:r>
        <w:rPr>
          <w:sz w:val="18"/>
        </w:rPr>
        <w:t>SOLIBRA affiche une trajectoire positive qui devrait se poursuivre grâce à sa position dominante sur le marché ivoirien. La croissance des volumes et du chiffre d'affaires laisse présager une année 2026 favorable, sous réserve du maintien de la dynamique économique en Côte d'Ivoire.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2025 de SOLIBRA sont exceptionnelles avec un doublement du r\u00e9sultat net et une am\u00e9lioration remarquable des marges. La soci\u00e9t\u00e9 combine croissance profitable, g\u00e9n\u00e9ration de cash-flow robuste et politique de dividende attractive."}</w:t>
      </w:r>
    </w:p>
    <w:p>
      <w:pPr>
        <w:spacing w:before="40"/>
        <w:ind w:left="400"/>
      </w:pPr>
      <w:r>
        <w:rPr>
          <w:sz w:val="18"/>
        </w:rPr>
        <w:t>SOLIBRA affiche une performance exceptionnelle en 2025 avec un chiffre d'affaires en hausse de 22% à 378,1 milliards FCFA et un résultat net qui double pratiquement à 45,8 milliards FCFA. La marge nette s'améliore significativement de 6,9% à 12,1%, témoignant d'une meilleure maîtrise des coûts et d'une stratégie commerciale efficace. L'EBITDA progresse de 52% à 87,4 milliards FCFA, confirmant la solidité opérationnelle de l'entreprise. La structure financière se renforce avec des capitaux propres en croissance et une position de trésorerie nettement améliorée. La société propose un dividende généreux de 35 milliards FCFA, reflétant sa confiance dans ses performances futures.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'87,445 milliards FCFA', 'croissance_ca': '22%', 'ratio_distribution': '74%', 'croissance_resultat_net': '113%'}</w:t>
            </w:r>
          </w:p>
        </w:tc>
        <w:tc>
          <w:tcPr>
            <w:tcW w:type="dxa" w:w="2160"/>
          </w:tcPr>
          <w:p>
            <w:pPr>
              <w:ind w:left="100"/>
            </w:pPr>
            <w:r/>
            <w:r>
              <w:rPr>
                <w:b/>
                <w:sz w:val="16"/>
              </w:rPr>
              <w:t>dividende</w:t>
              <w:br/>
            </w:r>
            <w:r>
              <w:rPr>
                <w:sz w:val="18"/>
              </w:rPr>
              <w:t>35,012 milliards FCFA</w:t>
            </w:r>
          </w:p>
        </w:tc>
        <w:tc>
          <w:tcPr>
            <w:tcW w:type="dxa" w:w="2160"/>
          </w:tcPr>
          <w:p>
            <w:pPr>
              <w:ind w:left="100"/>
            </w:pPr>
            <w:r/>
            <w:r>
              <w:rPr>
                <w:b/>
                <w:sz w:val="16"/>
              </w:rPr>
              <w:t>marge_nette</w:t>
              <w:br/>
            </w:r>
            <w:r>
              <w:rPr>
                <w:sz w:val="18"/>
              </w:rPr>
              <w:t>12,1%</w:t>
            </w:r>
          </w:p>
        </w:tc>
        <w:tc>
          <w:tcPr>
            <w:tcW w:type="dxa" w:w="2160"/>
          </w:tcPr>
          <w:p>
            <w:pPr>
              <w:ind w:left="100"/>
            </w:pPr>
            <w:r/>
            <w:r>
              <w:rPr>
                <w:b/>
                <w:sz w:val="16"/>
              </w:rPr>
              <w:t>total_actif</w:t>
              <w:br/>
            </w:r>
            <w:r>
              <w:rPr>
                <w:sz w:val="18"/>
              </w:rPr>
              <w:t>339,517 milliards FCFA</w:t>
            </w:r>
          </w:p>
        </w:tc>
      </w:tr>
      <w:tr>
        <w:tc>
          <w:tcPr>
            <w:tcW w:type="dxa" w:w="2160"/>
          </w:tcPr>
          <w:p>
            <w:r/>
            <w:r>
              <w:rPr>
                <w:b/>
                <w:sz w:val="16"/>
              </w:rPr>
              <w:t>resultat_net</w:t>
              <w:br/>
            </w:r>
            <w:r>
              <w:rPr>
                <w:sz w:val="18"/>
              </w:rPr>
              <w:t>45,781 milliards FCFA</w:t>
            </w:r>
          </w:p>
        </w:tc>
        <w:tc>
          <w:tcPr>
            <w:tcW w:type="dxa" w:w="2160"/>
          </w:tcPr>
          <w:p>
            <w:r/>
            <w:r>
              <w:rPr>
                <w:b/>
                <w:sz w:val="16"/>
              </w:rPr>
              <w:t>capitaux_propres</w:t>
              <w:br/>
            </w:r>
            <w:r>
              <w:rPr>
                <w:sz w:val="18"/>
              </w:rPr>
              <w:t>195,142 milliards FCFA</w:t>
            </w:r>
          </w:p>
        </w:tc>
        <w:tc>
          <w:tcPr>
            <w:tcW w:type="dxa" w:w="2160"/>
          </w:tcPr>
          <w:p>
            <w:r/>
            <w:r>
              <w:rPr>
                <w:b/>
                <w:sz w:val="16"/>
              </w:rPr>
              <w:t>chiffre_affaires</w:t>
              <w:br/>
            </w:r>
            <w:r>
              <w:rPr>
                <w:sz w:val="18"/>
              </w:rPr>
              <w:t>378,123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remarquable du chiffre d'affaires de 22% en 2025 à 378,1 milliards FCFA</w:t>
      </w:r>
    </w:p>
    <w:p>
      <w:pPr>
        <w:pStyle w:val="ListBullet"/>
        <w:spacing w:before="20" w:after="20"/>
        <w:ind w:left="700"/>
      </w:pPr>
      <w:r>
        <w:rPr>
          <w:sz w:val="18"/>
        </w:rPr>
        <w:t>Explosion du résultat net de +113% à 45,8 milliards FCFA contre 21,5 milliards en 2024</w:t>
      </w:r>
    </w:p>
    <w:p>
      <w:pPr>
        <w:pStyle w:val="ListBullet"/>
        <w:spacing w:before="20" w:after="20"/>
        <w:ind w:left="700"/>
      </w:pPr>
      <w:r>
        <w:rPr>
          <w:sz w:val="18"/>
        </w:rPr>
        <w:t>Amélioration spectaculaire de la marge nette de 6,9% à 12,1%</w:t>
      </w:r>
    </w:p>
    <w:p>
      <w:pPr>
        <w:pStyle w:val="ListBullet"/>
        <w:spacing w:before="20" w:after="20"/>
        <w:ind w:left="700"/>
      </w:pPr>
      <w:r>
        <w:rPr>
          <w:sz w:val="18"/>
        </w:rPr>
        <w:t>EBITDA en forte progression de 52% à 87,4 milliards FCFA</w:t>
      </w:r>
    </w:p>
    <w:p>
      <w:pPr>
        <w:pStyle w:val="ListBullet"/>
        <w:spacing w:before="20" w:after="20"/>
        <w:ind w:left="700"/>
      </w:pPr>
      <w:r>
        <w:rPr>
          <w:sz w:val="18"/>
        </w:rPr>
        <w:t>Amélioration significative de la trésorerie nette passant de -14,1 milliards à +22,1 milliards FCFA</w:t>
      </w:r>
    </w:p>
    <w:p>
      <w:pPr>
        <w:pStyle w:val="ListBullet"/>
        <w:spacing w:before="20" w:after="20"/>
        <w:ind w:left="700"/>
      </w:pPr>
      <w:r>
        <w:rPr>
          <w:sz w:val="18"/>
        </w:rPr>
        <w:t>Proposition de dividende attractif de 35 milliards FCFA soit 74% du résultat net</w:t>
      </w:r>
    </w:p>
    <w:p>
      <w:pPr>
        <w:spacing w:before="40"/>
        <w:ind w:left="400"/>
      </w:pPr>
      <w:r>
        <w:rPr>
          <w:b/>
          <w:color w:val="C05000"/>
          <w:sz w:val="18"/>
        </w:rPr>
        <w:t xml:space="preserve">⚠️ Risques : </w:t>
      </w:r>
      <w:r>
        <w:rPr>
          <w:sz w:val="18"/>
        </w:rPr>
        <w:t>["Forte d\u00e9pendance aux mati\u00e8res premi\u00e8res avec 90 milliards FCFA d'achats expos\u00e9s \u00e0 la volatilit\u00e9 des prix", "Concentration g\u00e9ographique sur les march\u00e9s africains sujets aux instabilit\u00e9s politiques et \u00e9conomiques", "Pression concurrentielle dans le s</w:t>
      </w:r>
    </w:p>
    <w:p>
      <w:pPr>
        <w:spacing w:before="40"/>
        <w:ind w:left="400"/>
      </w:pPr>
      <w:r>
        <w:rPr>
          <w:b/>
          <w:color w:val="0064A0"/>
          <w:sz w:val="18"/>
        </w:rPr>
        <w:t xml:space="preserve">🔮 Perspectives : </w:t>
      </w:r>
      <w:r>
        <w:rPr>
          <w:sz w:val="18"/>
        </w:rPr>
        <w:t>Les perspectives 2026 semblent favorables compte tenu de la dynamique commerciale positive et de l'amélioration continue de la rentabilité opérationnelle. La société dispose d'une base financière solide pour poursuivre sa croissance et maintenir sa politique de distribution attractive aux actionnair</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en 2017, les investissements massifs r\u00e9alis\u00e9s devraient porter leurs fruits \u00e0 moyen terme. La solidit\u00e9 financi\u00e8re et le maintien du dividende t\u00e9moignent de la confiance du management dans la strat\u00e9gie de d\u00e9veloppement."}</w:t>
      </w:r>
    </w:p>
    <w:p>
      <w:pPr>
        <w:spacing w:before="40"/>
        <w:ind w:left="400"/>
      </w:pPr>
      <w:r>
        <w:rPr>
          <w:sz w:val="18"/>
        </w:rPr>
        <w:t>SOLIBRA, société de limonaderies et brasseries, a enregistré en 2017 un chiffre d'affaires stable à 193,4 milliards FCFA (+1%). Cependant, la rentabilité s'est fortement dégradée avec un résultat net en chute de 84,6% à 4,3 milliards FCFA contre 27,6 milliards en 2016. L'excédent brut d'exploitation a chuté de 48,4% à 27,3 milliards FCFA, principalement impacté par une hausse significative des autres achats et charges externes (+35%). La société maintient néanmoins une structure financière solide avec 101,6 milliards FCFA de capitaux propres. Les investissements massifs en immobilisations (91,6 milliards FCFA) témoignent d'une stratégie de développement ambitieuse.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'45,501 millions FCFA', 'charges_financieres': '3,062 millions FCFA', 'variation_tresorerie': '-24,555 millions FCFA', 'excedent_brut_exploitation': '27,341 millions FCFA'}</w:t>
            </w:r>
          </w:p>
        </w:tc>
        <w:tc>
          <w:tcPr>
            <w:tcW w:type="dxa" w:w="2160"/>
          </w:tcPr>
          <w:p>
            <w:pPr>
              <w:ind w:left="100"/>
            </w:pPr>
            <w:r/>
            <w:r>
              <w:rPr>
                <w:b/>
                <w:sz w:val="16"/>
              </w:rPr>
              <w:t>dividende</w:t>
              <w:br/>
            </w:r>
            <w:r>
              <w:rPr>
                <w:sz w:val="18"/>
              </w:rPr>
              <w:t>4,246,896,720 FCFA au total</w:t>
            </w:r>
          </w:p>
        </w:tc>
        <w:tc>
          <w:tcPr>
            <w:tcW w:type="dxa" w:w="2160"/>
          </w:tcPr>
          <w:p>
            <w:pPr>
              <w:ind w:left="100"/>
            </w:pPr>
            <w:r/>
            <w:r>
              <w:rPr>
                <w:b/>
                <w:sz w:val="16"/>
              </w:rPr>
              <w:t>marge_nette</w:t>
              <w:br/>
            </w:r>
            <w:r>
              <w:rPr>
                <w:sz w:val="18"/>
              </w:rPr>
              <w:t>2,2%</w:t>
            </w:r>
          </w:p>
        </w:tc>
        <w:tc>
          <w:tcPr>
            <w:tcW w:type="dxa" w:w="2160"/>
          </w:tcPr>
          <w:p>
            <w:pPr>
              <w:ind w:left="100"/>
            </w:pPr>
            <w:r/>
            <w:r>
              <w:rPr>
                <w:b/>
                <w:sz w:val="16"/>
              </w:rPr>
              <w:t>total_actif</w:t>
              <w:br/>
            </w:r>
            <w:r>
              <w:rPr>
                <w:sz w:val="18"/>
              </w:rPr>
              <w:t>258,729 millions FCFA</w:t>
            </w:r>
          </w:p>
        </w:tc>
      </w:tr>
      <w:tr>
        <w:tc>
          <w:tcPr>
            <w:tcW w:type="dxa" w:w="2160"/>
          </w:tcPr>
          <w:p>
            <w:r/>
            <w:r>
              <w:rPr>
                <w:b/>
                <w:sz w:val="16"/>
              </w:rPr>
              <w:t>resultat_net</w:t>
              <w:br/>
            </w:r>
            <w:r>
              <w:rPr>
                <w:sz w:val="18"/>
              </w:rPr>
              <w:t>4,250 millions FCFA</w:t>
            </w:r>
          </w:p>
        </w:tc>
        <w:tc>
          <w:tcPr>
            <w:tcW w:type="dxa" w:w="2160"/>
          </w:tcPr>
          <w:p>
            <w:r/>
            <w:r>
              <w:rPr>
                <w:b/>
                <w:sz w:val="16"/>
              </w:rPr>
              <w:t>capitaux_propres</w:t>
              <w:br/>
            </w:r>
            <w:r>
              <w:rPr>
                <w:sz w:val="18"/>
              </w:rPr>
              <w:t>101,604 millions FCFA</w:t>
            </w:r>
          </w:p>
        </w:tc>
        <w:tc>
          <w:tcPr>
            <w:tcW w:type="dxa" w:w="2160"/>
          </w:tcPr>
          <w:p>
            <w:r/>
            <w:r>
              <w:rPr>
                <w:b/>
                <w:sz w:val="16"/>
              </w:rPr>
              <w:t>chiffre_affaires</w:t>
              <w:br/>
            </w:r>
            <w:r>
              <w:rPr>
                <w:sz w:val="18"/>
              </w:rPr>
              <w:t>193,372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193,4 milliards FCFA (+1% vs 2016)</w:t>
      </w:r>
    </w:p>
    <w:p>
      <w:pPr>
        <w:pStyle w:val="ListBullet"/>
        <w:spacing w:before="20" w:after="20"/>
        <w:ind w:left="700"/>
      </w:pPr>
      <w:r>
        <w:rPr>
          <w:sz w:val="18"/>
        </w:rPr>
        <w:t>Effondrement du résultat net de 84,6% à 4,3 milliards FCFA</w:t>
      </w:r>
    </w:p>
    <w:p>
      <w:pPr>
        <w:pStyle w:val="ListBullet"/>
        <w:spacing w:before="20" w:after="20"/>
        <w:ind w:left="700"/>
      </w:pPr>
      <w:r>
        <w:rPr>
          <w:sz w:val="18"/>
        </w:rPr>
        <w:t>Forte dégradation de l'excédent brut d'exploitation (-48,4%)</w:t>
      </w:r>
    </w:p>
    <w:p>
      <w:pPr>
        <w:pStyle w:val="ListBullet"/>
        <w:spacing w:before="20" w:after="20"/>
        <w:ind w:left="700"/>
      </w:pPr>
      <w:r>
        <w:rPr>
          <w:sz w:val="18"/>
        </w:rPr>
        <w:t>Explosion des autres achats et charges externes (+35% à 77,7 milliards FCFA)</w:t>
      </w:r>
    </w:p>
    <w:p>
      <w:pPr>
        <w:pStyle w:val="ListBullet"/>
        <w:spacing w:before="20" w:after="20"/>
        <w:ind w:left="700"/>
      </w:pPr>
      <w:r>
        <w:rPr>
          <w:sz w:val="18"/>
        </w:rPr>
        <w:t>Investissements massifs de 91,6 milliards FCFA en immobilisations</w:t>
      </w:r>
    </w:p>
    <w:p>
      <w:pPr>
        <w:pStyle w:val="ListBullet"/>
        <w:spacing w:before="20" w:after="20"/>
        <w:ind w:left="700"/>
      </w:pPr>
      <w:r>
        <w:rPr>
          <w:sz w:val="18"/>
        </w:rPr>
        <w:t>Structure financière solide avec 101,6 milliards FCFA de capitaux propres</w:t>
      </w:r>
    </w:p>
    <w:p>
      <w:pPr>
        <w:spacing w:before="40"/>
        <w:ind w:left="400"/>
      </w:pPr>
      <w:r>
        <w:rPr>
          <w:b/>
          <w:color w:val="C05000"/>
          <w:sz w:val="18"/>
        </w:rPr>
        <w:t xml:space="preserve">⚠️ Risques : </w:t>
      </w:r>
      <w:r>
        <w:rPr>
          <w:sz w:val="18"/>
        </w:rPr>
        <w:t>["D\u00e9t\u00e9rioration marqu\u00e9e de la rentabilit\u00e9 op\u00e9rationnelle avec une marge nette divis\u00e9e par 6", "Forte hausse des charges externes qui pourrait peser durablement sur les marges", "D\u00e9gradation de la tr\u00e9sorerie de 24,6 milliards FCFA n\u00e9cessitant un suivi atte</w:t>
      </w:r>
    </w:p>
    <w:p>
      <w:pPr>
        <w:spacing w:before="40"/>
        <w:ind w:left="400"/>
      </w:pPr>
      <w:r>
        <w:rPr>
          <w:b/>
          <w:color w:val="0064A0"/>
          <w:sz w:val="18"/>
        </w:rPr>
        <w:t xml:space="preserve">🔮 Perspectives : </w:t>
      </w:r>
      <w:r>
        <w:rPr>
          <w:sz w:val="18"/>
        </w:rPr>
        <w:t>Les lourds investissements de 2017 devraient commencer à générer des revenus supplémentaires et améliorer l'efficacité opérationnelle. La capacité de la société à maîtriser ses charges externes sera déterminante pour le retour à une rentabilité satisfaisante. Le secteur des boissons en Afrique reste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significative du r\u00e9sultat net, la progression du volume distribu\u00e9 (+12,9%) et les investissements strat\u00e9giques en cours sugg\u00e8rent un potentiel de redressement. La soci\u00e9t\u00e9 traverse une phase de transition n\u00e9cessaire pour maintenir sa comp\u00e9titivit\u00e9 face \u00e0 la concurrence accrue."}</w:t>
      </w:r>
    </w:p>
    <w:p>
      <w:pPr>
        <w:spacing w:before="40"/>
        <w:ind w:left="400"/>
      </w:pPr>
      <w:r>
        <w:rPr>
          <w:sz w:val="18"/>
        </w:rPr>
        <w:t>SOLIBRA affiche des résultats mitigés pour le premier semestre 2018 avec un chiffre d'affaires en légère baisse de 1,1% à 87,6 milliards FCFA. Le résultat net chute drastiquement de 53,1% à 3,4 milliards FCFA, illustrant les difficultés opérationnelles de la société. Malgré cette performance décevante, le volume distribué progresse positivement de 12,9%, témoignant d'une stratégie commerciale efficace. La société fait face à des défis importants liés à la concurrence accrue et aux investissements en capacité de production. Les perspectives restent incertaines avec des efforts de réforme et de rénovation nécessaires pour maintenir la compétitivité.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 '309 906 501 FCFA', 'resultat_financier': '-2 964 036 782 FCFA', 'resultat_exploitation': '6 388 878 374 FCFA', 'volume_distribue_progression': '12,9%'}</w:t>
            </w:r>
          </w:p>
        </w:tc>
        <w:tc>
          <w:tcPr>
            <w:tcW w:type="dxa" w:w="2160"/>
          </w:tcPr>
          <w:p>
            <w:pPr>
              <w:ind w:left="100"/>
            </w:pPr>
            <w:r/>
            <w:r>
              <w:rPr>
                <w:b/>
                <w:sz w:val="16"/>
              </w:rPr>
              <w:t>dividende</w:t>
              <w:br/>
            </w:r>
            <w:r>
              <w:rPr>
                <w:sz w:val="18"/>
              </w:rPr>
              <w:t>2 439 304 FCFA par action</w:t>
            </w:r>
          </w:p>
        </w:tc>
        <w:tc>
          <w:tcPr>
            <w:tcW w:type="dxa" w:w="2160"/>
          </w:tcPr>
          <w:p>
            <w:pPr>
              <w:ind w:left="100"/>
            </w:pPr>
            <w:r/>
            <w:r>
              <w:rPr>
                <w:b/>
                <w:sz w:val="16"/>
              </w:rPr>
              <w:t>marge_nette</w:t>
              <w:br/>
            </w:r>
            <w:r>
              <w:rPr>
                <w:sz w:val="18"/>
              </w:rPr>
              <w:t>3,9%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3 430 863 192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87 585 803 351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1,1% à 87,6 milliards FCFA au S1 2018</w:t>
      </w:r>
    </w:p>
    <w:p>
      <w:pPr>
        <w:pStyle w:val="ListBullet"/>
        <w:spacing w:before="20" w:after="20"/>
        <w:ind w:left="700"/>
      </w:pPr>
      <w:r>
        <w:rPr>
          <w:sz w:val="18"/>
        </w:rPr>
        <w:t>Résultat net en forte chute de 53,1% à 3,4 milliards FCFA</w:t>
      </w:r>
    </w:p>
    <w:p>
      <w:pPr>
        <w:pStyle w:val="ListBullet"/>
        <w:spacing w:before="20" w:after="20"/>
        <w:ind w:left="700"/>
      </w:pPr>
      <w:r>
        <w:rPr>
          <w:sz w:val="18"/>
        </w:rPr>
        <w:t>Volume distribué en progression encourageante de 12,9%</w:t>
      </w:r>
    </w:p>
    <w:p>
      <w:pPr>
        <w:pStyle w:val="ListBullet"/>
        <w:spacing w:before="20" w:after="20"/>
        <w:ind w:left="700"/>
      </w:pPr>
      <w:r>
        <w:rPr>
          <w:sz w:val="18"/>
        </w:rPr>
        <w:t>Résultat d'exploitation en recul significatif de 38,6%</w:t>
      </w:r>
    </w:p>
    <w:p>
      <w:pPr>
        <w:pStyle w:val="ListBullet"/>
        <w:spacing w:before="20" w:after="20"/>
        <w:ind w:left="700"/>
      </w:pPr>
      <w:r>
        <w:rPr>
          <w:sz w:val="18"/>
        </w:rPr>
        <w:t>Impôts sur le résultat en baisse de 82,1%</w:t>
      </w:r>
    </w:p>
    <w:p>
      <w:pPr>
        <w:pStyle w:val="ListBullet"/>
        <w:spacing w:before="20" w:after="20"/>
        <w:ind w:left="700"/>
      </w:pPr>
      <w:r>
        <w:rPr>
          <w:sz w:val="18"/>
        </w:rPr>
        <w:t>Effet prix défavorable suite aux ajustements tarifaires du S2 2017</w:t>
      </w:r>
    </w:p>
    <w:p>
      <w:pPr>
        <w:spacing w:before="40"/>
        <w:ind w:left="400"/>
      </w:pPr>
      <w:r>
        <w:rPr>
          <w:b/>
          <w:color w:val="C05000"/>
          <w:sz w:val="18"/>
        </w:rPr>
        <w:t xml:space="preserve">⚠️ Risques : </w:t>
      </w:r>
      <w:r>
        <w:rPr>
          <w:sz w:val="18"/>
        </w:rPr>
        <w:t>["Forte concurrence sur l'ensemble de la gamme de produits impactant les marges", "Pression continue sur les prix suite aux ajustements tarifaires d\u00e9favorables", "Investissements importants en cours pouvant peser sur la rentabilit\u00e9 \u00e0 court terme"]</w:t>
      </w:r>
    </w:p>
    <w:p>
      <w:pPr>
        <w:spacing w:before="40"/>
        <w:ind w:left="400"/>
      </w:pPr>
      <w:r>
        <w:rPr>
          <w:b/>
          <w:color w:val="0064A0"/>
          <w:sz w:val="18"/>
        </w:rPr>
        <w:t xml:space="preserve">🔮 Perspectives : </w:t>
      </w:r>
      <w:r>
        <w:rPr>
          <w:sz w:val="18"/>
        </w:rPr>
        <w:t xml:space="preserve">La direction anticipe que la tendance du deuxième semestre devrait rester en ligne avec le premier semestre, suggérant une stabilisation plutôt qu'une amélioration immédiate. Les efforts de réforme et de rénovation entrepris devraient porter leurs fruits à moyen terme, conditionnés par l'efficacité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la soci\u00e9t\u00e9 maintient sa croissance d'activit\u00e9 et investit massivement dans ses capacit\u00e9s productives. La situation financi\u00e8re reste solide avec un bilan \u00e9quilibr\u00e9 qui devrait permettre un redressement \u00e0 moyen terme."}</w:t>
      </w:r>
    </w:p>
    <w:p>
      <w:pPr>
        <w:spacing w:before="40"/>
        <w:ind w:left="400"/>
      </w:pPr>
      <w:r>
        <w:rPr>
          <w:sz w:val="18"/>
        </w:rPr>
        <w:t>SOLIBRA affiche un chiffre d'affaires en progression de 4,9% à 202,8 milliards FCFA en 2018 mais souffre d'une forte dégradation de sa rentabilité avec un résultat net divisé par 3,3 à 1,3 milliard FCFA. La hausse des charges externes (+8,9%) et l'alourdissement des charges financières (+90%) ont pesé sur les marges malgré l'amélioration de l'excédent brut d'exploitation. Le bilan reste solide avec des capitaux propres de 98,7 milliards FCFA et un total actif de 271,2 milliards FCFA. La politique de dividendes a été maintenue mais réduite, reflétant la baisse des profits, avec un dividende proposé de 2,5 milliards FCFA contre 7,5 milliards l'année précédente.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'48 261 millions FCFA', 'tresorerie_nette': '-49 997 millions FCFA', 'endettement_financier': '70 583 millions FCFA', 'excedent_brut_exploitation': '30 484 millions FCFA'}</w:t>
            </w:r>
          </w:p>
        </w:tc>
        <w:tc>
          <w:tcPr>
            <w:tcW w:type="dxa" w:w="2160"/>
          </w:tcPr>
          <w:p>
            <w:pPr>
              <w:ind w:left="100"/>
            </w:pPr>
            <w:r/>
            <w:r>
              <w:rPr>
                <w:b/>
                <w:sz w:val="16"/>
              </w:rPr>
              <w:t>dividende</w:t>
              <w:br/>
            </w:r>
            <w:r>
              <w:rPr>
                <w:sz w:val="18"/>
              </w:rPr>
              <w:t>2 502 047 680 FCFA bruts</w:t>
            </w:r>
          </w:p>
        </w:tc>
        <w:tc>
          <w:tcPr>
            <w:tcW w:type="dxa" w:w="2160"/>
          </w:tcPr>
          <w:p>
            <w:pPr>
              <w:ind w:left="100"/>
            </w:pPr>
            <w:r/>
            <w:r>
              <w:rPr>
                <w:b/>
                <w:sz w:val="16"/>
              </w:rPr>
              <w:t>marge_nette</w:t>
              <w:br/>
            </w:r>
            <w:r>
              <w:rPr>
                <w:sz w:val="18"/>
              </w:rPr>
              <w:t>0,64%</w:t>
            </w:r>
          </w:p>
        </w:tc>
        <w:tc>
          <w:tcPr>
            <w:tcW w:type="dxa" w:w="2160"/>
          </w:tcPr>
          <w:p>
            <w:pPr>
              <w:ind w:left="100"/>
            </w:pPr>
            <w:r/>
            <w:r>
              <w:rPr>
                <w:b/>
                <w:sz w:val="16"/>
              </w:rPr>
              <w:t>total_actif</w:t>
              <w:br/>
            </w:r>
            <w:r>
              <w:rPr>
                <w:sz w:val="18"/>
              </w:rPr>
              <w:t>271 179 millions FCFA</w:t>
            </w:r>
          </w:p>
        </w:tc>
      </w:tr>
      <w:tr>
        <w:tc>
          <w:tcPr>
            <w:tcW w:type="dxa" w:w="2160"/>
          </w:tcPr>
          <w:p>
            <w:r/>
            <w:r>
              <w:rPr>
                <w:b/>
                <w:sz w:val="16"/>
              </w:rPr>
              <w:t>resultat_net</w:t>
              <w:br/>
            </w:r>
            <w:r>
              <w:rPr>
                <w:sz w:val="18"/>
              </w:rPr>
              <w:t>1 305 millions FCFA</w:t>
            </w:r>
          </w:p>
        </w:tc>
        <w:tc>
          <w:tcPr>
            <w:tcW w:type="dxa" w:w="2160"/>
          </w:tcPr>
          <w:p>
            <w:r/>
            <w:r>
              <w:rPr>
                <w:b/>
                <w:sz w:val="16"/>
              </w:rPr>
              <w:t>capitaux_propres</w:t>
              <w:br/>
            </w:r>
            <w:r>
              <w:rPr>
                <w:sz w:val="18"/>
              </w:rPr>
              <w:t>98 662 millions FCFA</w:t>
            </w:r>
          </w:p>
        </w:tc>
        <w:tc>
          <w:tcPr>
            <w:tcW w:type="dxa" w:w="2160"/>
          </w:tcPr>
          <w:p>
            <w:r/>
            <w:r>
              <w:rPr>
                <w:b/>
                <w:sz w:val="16"/>
              </w:rPr>
              <w:t>chiffre_affaires</w:t>
              <w:br/>
            </w:r>
            <w:r>
              <w:rPr>
                <w:sz w:val="18"/>
              </w:rPr>
              <w:t>202 816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4,9% à 202,8 milliards FCFA</w:t>
      </w:r>
    </w:p>
    <w:p>
      <w:pPr>
        <w:pStyle w:val="ListBullet"/>
        <w:spacing w:before="20" w:after="20"/>
        <w:ind w:left="700"/>
      </w:pPr>
      <w:r>
        <w:rPr>
          <w:sz w:val="18"/>
        </w:rPr>
        <w:t>Chute drastique du résultat net de 69,3% passant de 4,25 à 1,31 milliards FCFA</w:t>
      </w:r>
    </w:p>
    <w:p>
      <w:pPr>
        <w:pStyle w:val="ListBullet"/>
        <w:spacing w:before="20" w:after="20"/>
        <w:ind w:left="700"/>
      </w:pPr>
      <w:r>
        <w:rPr>
          <w:sz w:val="18"/>
        </w:rPr>
        <w:t>Explosion des charges financières (+90%) de 3,06 à 5,82 milliards FCFA</w:t>
      </w:r>
    </w:p>
    <w:p>
      <w:pPr>
        <w:pStyle w:val="ListBullet"/>
        <w:spacing w:before="20" w:after="20"/>
        <w:ind w:left="700"/>
      </w:pPr>
      <w:r>
        <w:rPr>
          <w:sz w:val="18"/>
        </w:rPr>
        <w:t>Augmentation significative des autres achats et charges externes (+8,9%)</w:t>
      </w:r>
    </w:p>
    <w:p>
      <w:pPr>
        <w:pStyle w:val="ListBullet"/>
        <w:spacing w:before="20" w:after="20"/>
        <w:ind w:left="700"/>
      </w:pPr>
      <w:r>
        <w:rPr>
          <w:sz w:val="18"/>
        </w:rPr>
        <w:t>Amélioration de l'excédent brut d'exploitation de 7,8% à 30,5 milliards FCFA</w:t>
      </w:r>
    </w:p>
    <w:p>
      <w:pPr>
        <w:pStyle w:val="ListBullet"/>
        <w:spacing w:before="20" w:after="20"/>
        <w:ind w:left="700"/>
      </w:pPr>
      <w:r>
        <w:rPr>
          <w:sz w:val="18"/>
        </w:rPr>
        <w:t>Investissements importants avec 30 milliards FCFA d'acquisitions d'immobilisations corporelles</w:t>
      </w:r>
    </w:p>
    <w:p>
      <w:pPr>
        <w:spacing w:before="40"/>
        <w:ind w:left="400"/>
      </w:pPr>
      <w:r>
        <w:rPr>
          <w:b/>
          <w:color w:val="C05000"/>
          <w:sz w:val="18"/>
        </w:rPr>
        <w:t xml:space="preserve">⚠️ Risques : </w:t>
      </w:r>
      <w:r>
        <w:rPr>
          <w:sz w:val="18"/>
        </w:rPr>
        <w:t>["D\u00e9t\u00e9rioration continue de la rentabilit\u00e9 avec une marge nette tr\u00e8s faible \u00e0 0,64%", "Alourdissement de l'endettement financier et des charges financi\u00e8res associ\u00e9es", "Tension de tr\u00e9sorerie avec une tr\u00e9sorerie nette n\u00e9gative de pr\u00e8s de 50 milli</w:t>
      </w:r>
    </w:p>
    <w:p>
      <w:pPr>
        <w:spacing w:before="40"/>
        <w:ind w:left="400"/>
      </w:pPr>
      <w:r>
        <w:rPr>
          <w:b/>
          <w:color w:val="0064A0"/>
          <w:sz w:val="18"/>
        </w:rPr>
        <w:t xml:space="preserve">🔮 Perspectives : </w:t>
      </w:r>
      <w:r>
        <w:rPr>
          <w:sz w:val="18"/>
        </w:rPr>
        <w:t>Les importants investissements réalisés en 2018 devraient porter leurs fruits en 2019 avec une amélioration attendue de la productivité et de l'efficacité opérationnelle. La maîtrise des charges externes et financières sera cruciale pour restaurer les marges et la rentabilité. Le contexte concurrent</w:t>
      </w:r>
    </w:p>
    <w:p/>
    <w:p>
      <w:r>
        <w:t>════════════════════════════════════════════════════════════════════════════════</w:t>
      </w:r>
    </w:p>
    <w:p>
      <w:r>
        <w:br w:type="page"/>
      </w:r>
    </w:p>
    <w:p>
      <w:pPr>
        <w:pStyle w:val="Heading2"/>
        <w:spacing w:before="360"/>
      </w:pPr>
      <w:r>
        <w:rPr>
          <w:color w:val="0066CC"/>
        </w:rPr>
        <w:t>39. SMBC - SMBC - Société Multinationale de Bitumes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SMBC</w:t>
            </w:r>
          </w:p>
          <w:p>
            <w:r>
              <w:rPr>
                <w:b/>
                <w:color w:val="323250"/>
                <w:sz w:val="16"/>
              </w:rPr>
              <w:t xml:space="preserve">Société : </w:t>
            </w:r>
            <w:r>
              <w:rPr>
                <w:color w:val="000000"/>
                <w:sz w:val="16"/>
              </w:rPr>
              <w:t>SMBC - Société Multinationale de Bitumes...</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120.83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1,638 titres</w:t>
            </w:r>
          </w:p>
        </w:tc>
        <w:tc>
          <w:tcPr>
            <w:tcW w:type="dxa" w:w="2268"/>
            <w:shd w:fill="FFF2CC" w:val="clear"/>
          </w:tcPr>
          <w:p>
            <w:r>
              <w:rPr>
                <w:b/>
                <w:color w:val="503200"/>
                <w:sz w:val="16"/>
              </w:rPr>
              <w:t xml:space="preserve">Cours actuel : </w:t>
            </w:r>
            <w:r>
              <w:rPr>
                <w:color w:val="000000"/>
                <w:sz w:val="17"/>
              </w:rPr>
              <w:t>15,500 FCFA</w:t>
            </w:r>
          </w:p>
          <w:p>
            <w:r>
              <w:rPr>
                <w:b/>
                <w:color w:val="503200"/>
                <w:sz w:val="16"/>
              </w:rPr>
              <w:t xml:space="preserve">Var. 100 jours : </w:t>
            </w:r>
            <w:r>
              <w:rPr>
                <w:b/>
                <w:color w:val="007800"/>
                <w:sz w:val="17"/>
              </w:rPr>
              <w:t>+20.20%</w:t>
            </w:r>
          </w:p>
          <w:p>
            <w:r>
              <w:rPr>
                <w:b/>
                <w:color w:val="503200"/>
                <w:sz w:val="16"/>
              </w:rPr>
              <w:t xml:space="preserve">Plus haut 100j : </w:t>
            </w:r>
            <w:r>
              <w:rPr>
                <w:color w:val="000000"/>
                <w:sz w:val="17"/>
              </w:rPr>
              <w:t>18,500 FCFA</w:t>
            </w:r>
          </w:p>
          <w:p>
            <w:r>
              <w:rPr>
                <w:b/>
                <w:color w:val="503200"/>
                <w:sz w:val="16"/>
              </w:rPr>
              <w:t xml:space="preserve">Plus bas 100j : </w:t>
            </w:r>
            <w:r>
              <w:rPr>
                <w:color w:val="000000"/>
                <w:sz w:val="17"/>
              </w:rPr>
              <w:t>12,895 FCFA</w:t>
            </w:r>
          </w:p>
          <w:p>
            <w:r>
              <w:rPr>
                <w:b/>
                <w:color w:val="503200"/>
                <w:sz w:val="16"/>
              </w:rPr>
              <w:t xml:space="preserve">Volatilité ann. : </w:t>
            </w:r>
            <w:r>
              <w:rPr>
                <w:color w:val="000000"/>
                <w:sz w:val="17"/>
              </w:rPr>
              <w:t>42.3%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7.52% (Moyenne) — μ=16,243 FCFA, σ=1,221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β=0.3762 (Défensif) — Cov=0.000028, Var(idx)=0.000075, ρ=0.120,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1,638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σ_j=2.66%/j (Stable) — Vol. annualisée≈42.3%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03190"/>
            <wp:docPr id="41" name="Picture 41"/>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2026-10-16</w:t>
            </w:r>
          </w:p>
        </w:tc>
        <w:tc>
          <w:tcPr>
            <w:tcW w:type="dxa" w:w="1440"/>
            <w:shd w:fill="FAFAFA" w:val="clear"/>
          </w:tcPr>
          <w:p>
            <w:r>
              <w:rPr>
                <w:sz w:val="17"/>
              </w:rPr>
              <w:t>14,732</w:t>
            </w:r>
          </w:p>
        </w:tc>
        <w:tc>
          <w:tcPr>
            <w:tcW w:type="dxa" w:w="1440"/>
            <w:shd w:fill="FAFAFA" w:val="clear"/>
          </w:tcPr>
          <w:p>
            <w:r>
              <w:rPr>
                <w:b/>
                <w:sz w:val="17"/>
              </w:rPr>
              <w:t>15,508</w:t>
            </w:r>
          </w:p>
        </w:tc>
        <w:tc>
          <w:tcPr>
            <w:tcW w:type="dxa" w:w="1440"/>
            <w:shd w:fill="FAFAFA" w:val="clear"/>
          </w:tcPr>
          <w:p>
            <w:r>
              <w:rPr>
                <w:sz w:val="17"/>
              </w:rPr>
              <w:t>16,285</w:t>
            </w:r>
          </w:p>
        </w:tc>
        <w:tc>
          <w:tcPr>
            <w:tcW w:type="dxa" w:w="1440"/>
            <w:shd w:fill="FAFAFA" w:val="clear"/>
          </w:tcPr>
          <w:p>
            <w:r>
              <w:rPr>
                <w:b/>
                <w:color w:val="008000"/>
                <w:sz w:val="17"/>
              </w:rPr>
              <w:t>+0.1%</w:t>
            </w:r>
          </w:p>
        </w:tc>
      </w:tr>
      <w:tr>
        <w:tc>
          <w:tcPr>
            <w:tcW w:type="dxa" w:w="1440"/>
            <w:shd w:fill="FAFAFA" w:val="clear"/>
          </w:tcPr>
          <w:p>
            <w:r>
              <w:rPr>
                <w:sz w:val="17"/>
              </w:rPr>
              <w:t>J+2  Moyenne</w:t>
            </w:r>
          </w:p>
        </w:tc>
        <w:tc>
          <w:tcPr>
            <w:tcW w:type="dxa" w:w="1440"/>
            <w:shd w:fill="FAFAFA" w:val="clear"/>
          </w:tcPr>
          <w:p>
            <w:r>
              <w:rPr>
                <w:sz w:val="17"/>
              </w:rPr>
              <w:t>2026-10-19</w:t>
            </w:r>
          </w:p>
        </w:tc>
        <w:tc>
          <w:tcPr>
            <w:tcW w:type="dxa" w:w="1440"/>
            <w:shd w:fill="FAFAFA" w:val="clear"/>
          </w:tcPr>
          <w:p>
            <w:r>
              <w:rPr>
                <w:sz w:val="17"/>
              </w:rPr>
              <w:t>14,385</w:t>
            </w:r>
          </w:p>
        </w:tc>
        <w:tc>
          <w:tcPr>
            <w:tcW w:type="dxa" w:w="1440"/>
            <w:shd w:fill="FAFAFA" w:val="clear"/>
          </w:tcPr>
          <w:p>
            <w:r>
              <w:rPr>
                <w:b/>
                <w:sz w:val="17"/>
              </w:rPr>
              <w:t>15,481</w:t>
            </w:r>
          </w:p>
        </w:tc>
        <w:tc>
          <w:tcPr>
            <w:tcW w:type="dxa" w:w="1440"/>
            <w:shd w:fill="FAFAFA" w:val="clear"/>
          </w:tcPr>
          <w:p>
            <w:r>
              <w:rPr>
                <w:sz w:val="17"/>
              </w:rPr>
              <w:t>16,577</w:t>
            </w:r>
          </w:p>
        </w:tc>
        <w:tc>
          <w:tcPr>
            <w:tcW w:type="dxa" w:w="1440"/>
            <w:shd w:fill="FAFAFA" w:val="clear"/>
          </w:tcPr>
          <w:p>
            <w:r>
              <w:rPr>
                <w:b/>
                <w:color w:val="C00000"/>
                <w:sz w:val="17"/>
              </w:rPr>
              <w:t>-0.1%</w:t>
            </w:r>
          </w:p>
        </w:tc>
      </w:tr>
      <w:tr>
        <w:tc>
          <w:tcPr>
            <w:tcW w:type="dxa" w:w="1440"/>
            <w:shd w:fill="FAFAFA" w:val="clear"/>
          </w:tcPr>
          <w:p>
            <w:r>
              <w:rPr>
                <w:sz w:val="17"/>
              </w:rPr>
              <w:t>J+3  Moyenne</w:t>
            </w:r>
          </w:p>
        </w:tc>
        <w:tc>
          <w:tcPr>
            <w:tcW w:type="dxa" w:w="1440"/>
            <w:shd w:fill="FAFAFA" w:val="clear"/>
          </w:tcPr>
          <w:p>
            <w:r>
              <w:rPr>
                <w:sz w:val="17"/>
              </w:rPr>
              <w:t>2026-10-20</w:t>
            </w:r>
          </w:p>
        </w:tc>
        <w:tc>
          <w:tcPr>
            <w:tcW w:type="dxa" w:w="1440"/>
            <w:shd w:fill="FAFAFA" w:val="clear"/>
          </w:tcPr>
          <w:p>
            <w:r>
              <w:rPr>
                <w:sz w:val="17"/>
              </w:rPr>
              <w:t>14,117</w:t>
            </w:r>
          </w:p>
        </w:tc>
        <w:tc>
          <w:tcPr>
            <w:tcW w:type="dxa" w:w="1440"/>
            <w:shd w:fill="FAFAFA" w:val="clear"/>
          </w:tcPr>
          <w:p>
            <w:r>
              <w:rPr>
                <w:b/>
                <w:sz w:val="17"/>
              </w:rPr>
              <w:t>15,457</w:t>
            </w:r>
          </w:p>
        </w:tc>
        <w:tc>
          <w:tcPr>
            <w:tcW w:type="dxa" w:w="1440"/>
            <w:shd w:fill="FAFAFA" w:val="clear"/>
          </w:tcPr>
          <w:p>
            <w:r>
              <w:rPr>
                <w:sz w:val="17"/>
              </w:rPr>
              <w:t>16,797</w:t>
            </w:r>
          </w:p>
        </w:tc>
        <w:tc>
          <w:tcPr>
            <w:tcW w:type="dxa" w:w="1440"/>
            <w:shd w:fill="FAFAFA" w:val="clear"/>
          </w:tcPr>
          <w:p>
            <w:r>
              <w:rPr>
                <w:b/>
                <w:color w:val="C00000"/>
                <w:sz w:val="17"/>
              </w:rPr>
              <w:t>-0.3%</w:t>
            </w:r>
          </w:p>
        </w:tc>
      </w:tr>
      <w:tr>
        <w:tc>
          <w:tcPr>
            <w:tcW w:type="dxa" w:w="1440"/>
            <w:shd w:fill="FAFAFA" w:val="clear"/>
          </w:tcPr>
          <w:p>
            <w:r>
              <w:rPr>
                <w:sz w:val="17"/>
              </w:rPr>
              <w:t>J+4  ⭐</w:t>
            </w:r>
          </w:p>
        </w:tc>
        <w:tc>
          <w:tcPr>
            <w:tcW w:type="dxa" w:w="1440"/>
            <w:shd w:fill="FAFAFA" w:val="clear"/>
          </w:tcPr>
          <w:p>
            <w:r>
              <w:rPr>
                <w:sz w:val="17"/>
              </w:rPr>
              <w:t>2026-10-21</w:t>
            </w:r>
          </w:p>
        </w:tc>
        <w:tc>
          <w:tcPr>
            <w:tcW w:type="dxa" w:w="1440"/>
            <w:shd w:fill="FAFAFA" w:val="clear"/>
          </w:tcPr>
          <w:p>
            <w:r>
              <w:rPr>
                <w:sz w:val="17"/>
              </w:rPr>
              <w:t>13,887</w:t>
            </w:r>
          </w:p>
        </w:tc>
        <w:tc>
          <w:tcPr>
            <w:tcW w:type="dxa" w:w="1440"/>
            <w:shd w:fill="FAFAFA" w:val="clear"/>
          </w:tcPr>
          <w:p>
            <w:r>
              <w:rPr>
                <w:b/>
                <w:sz w:val="17"/>
              </w:rPr>
              <w:t>15,432</w:t>
            </w:r>
          </w:p>
        </w:tc>
        <w:tc>
          <w:tcPr>
            <w:tcW w:type="dxa" w:w="1440"/>
            <w:shd w:fill="FAFAFA" w:val="clear"/>
          </w:tcPr>
          <w:p>
            <w:r>
              <w:rPr>
                <w:sz w:val="17"/>
              </w:rPr>
              <w:t>16,977</w:t>
            </w:r>
          </w:p>
        </w:tc>
        <w:tc>
          <w:tcPr>
            <w:tcW w:type="dxa" w:w="1440"/>
            <w:shd w:fill="FAFAFA" w:val="clear"/>
          </w:tcPr>
          <w:p>
            <w:r>
              <w:rPr>
                <w:b/>
                <w:color w:val="C00000"/>
                <w:sz w:val="17"/>
              </w:rPr>
              <w:t>-0.4%</w:t>
            </w:r>
          </w:p>
        </w:tc>
      </w:tr>
      <w:tr>
        <w:tc>
          <w:tcPr>
            <w:tcW w:type="dxa" w:w="1440"/>
            <w:shd w:fill="FAFAFA" w:val="clear"/>
          </w:tcPr>
          <w:p>
            <w:r>
              <w:rPr>
                <w:sz w:val="17"/>
              </w:rPr>
              <w:t>J+5  ⭐</w:t>
            </w:r>
          </w:p>
        </w:tc>
        <w:tc>
          <w:tcPr>
            <w:tcW w:type="dxa" w:w="1440"/>
            <w:shd w:fill="FAFAFA" w:val="clear"/>
          </w:tcPr>
          <w:p>
            <w:r>
              <w:rPr>
                <w:sz w:val="17"/>
              </w:rPr>
              <w:t>2026-10-22</w:t>
            </w:r>
          </w:p>
        </w:tc>
        <w:tc>
          <w:tcPr>
            <w:tcW w:type="dxa" w:w="1440"/>
            <w:shd w:fill="FAFAFA" w:val="clear"/>
          </w:tcPr>
          <w:p>
            <w:r>
              <w:rPr>
                <w:sz w:val="17"/>
              </w:rPr>
              <w:t>13,682</w:t>
            </w:r>
          </w:p>
        </w:tc>
        <w:tc>
          <w:tcPr>
            <w:tcW w:type="dxa" w:w="1440"/>
            <w:shd w:fill="FAFAFA" w:val="clear"/>
          </w:tcPr>
          <w:p>
            <w:r>
              <w:rPr>
                <w:b/>
                <w:sz w:val="17"/>
              </w:rPr>
              <w:t>15,406</w:t>
            </w:r>
          </w:p>
        </w:tc>
        <w:tc>
          <w:tcPr>
            <w:tcW w:type="dxa" w:w="1440"/>
            <w:shd w:fill="FAFAFA" w:val="clear"/>
          </w:tcPr>
          <w:p>
            <w:r>
              <w:rPr>
                <w:sz w:val="17"/>
              </w:rPr>
              <w:t>17,131</w:t>
            </w:r>
          </w:p>
        </w:tc>
        <w:tc>
          <w:tcPr>
            <w:tcW w:type="dxa" w:w="1440"/>
            <w:shd w:fill="FAFAFA" w:val="clear"/>
          </w:tcPr>
          <w:p>
            <w:r>
              <w:rPr>
                <w:b/>
                <w:color w:val="C00000"/>
                <w:sz w:val="17"/>
              </w:rPr>
              <w:t>-0.6%</w:t>
            </w:r>
          </w:p>
        </w:tc>
      </w:tr>
      <w:tr>
        <w:tc>
          <w:tcPr>
            <w:tcW w:type="dxa" w:w="1440"/>
            <w:shd w:fill="FAFAFA" w:val="clear"/>
          </w:tcPr>
          <w:p>
            <w:r>
              <w:rPr>
                <w:sz w:val="17"/>
              </w:rPr>
              <w:t>J+6  ⭐</w:t>
            </w:r>
          </w:p>
        </w:tc>
        <w:tc>
          <w:tcPr>
            <w:tcW w:type="dxa" w:w="1440"/>
            <w:shd w:fill="FAFAFA" w:val="clear"/>
          </w:tcPr>
          <w:p>
            <w:r>
              <w:rPr>
                <w:sz w:val="17"/>
              </w:rPr>
              <w:t>2026-10-23</w:t>
            </w:r>
          </w:p>
        </w:tc>
        <w:tc>
          <w:tcPr>
            <w:tcW w:type="dxa" w:w="1440"/>
            <w:shd w:fill="FAFAFA" w:val="clear"/>
          </w:tcPr>
          <w:p>
            <w:r>
              <w:rPr>
                <w:sz w:val="17"/>
              </w:rPr>
              <w:t>13,495</w:t>
            </w:r>
          </w:p>
        </w:tc>
        <w:tc>
          <w:tcPr>
            <w:tcW w:type="dxa" w:w="1440"/>
            <w:shd w:fill="FAFAFA" w:val="clear"/>
          </w:tcPr>
          <w:p>
            <w:r>
              <w:rPr>
                <w:b/>
                <w:sz w:val="17"/>
              </w:rPr>
              <w:t>15,380</w:t>
            </w:r>
          </w:p>
        </w:tc>
        <w:tc>
          <w:tcPr>
            <w:tcW w:type="dxa" w:w="1440"/>
            <w:shd w:fill="FAFAFA" w:val="clear"/>
          </w:tcPr>
          <w:p>
            <w:r>
              <w:rPr>
                <w:sz w:val="17"/>
              </w:rPr>
              <w:t>17,266</w:t>
            </w:r>
          </w:p>
        </w:tc>
        <w:tc>
          <w:tcPr>
            <w:tcW w:type="dxa" w:w="1440"/>
            <w:shd w:fill="FAFAFA" w:val="clear"/>
          </w:tcPr>
          <w:p>
            <w:r>
              <w:rPr>
                <w:b/>
                <w:color w:val="C00000"/>
                <w:sz w:val="17"/>
              </w:rPr>
              <w:t>-0.8%</w:t>
            </w:r>
          </w:p>
        </w:tc>
      </w:tr>
      <w:tr>
        <w:tc>
          <w:tcPr>
            <w:tcW w:type="dxa" w:w="1440"/>
            <w:shd w:fill="FAFAFA" w:val="clear"/>
          </w:tcPr>
          <w:p>
            <w:r>
              <w:rPr>
                <w:sz w:val="17"/>
              </w:rPr>
              <w:t>J+7  ⭐</w:t>
            </w:r>
          </w:p>
        </w:tc>
        <w:tc>
          <w:tcPr>
            <w:tcW w:type="dxa" w:w="1440"/>
            <w:shd w:fill="FAFAFA" w:val="clear"/>
          </w:tcPr>
          <w:p>
            <w:r>
              <w:rPr>
                <w:sz w:val="17"/>
              </w:rPr>
              <w:t>2026-10-26</w:t>
            </w:r>
          </w:p>
        </w:tc>
        <w:tc>
          <w:tcPr>
            <w:tcW w:type="dxa" w:w="1440"/>
            <w:shd w:fill="FAFAFA" w:val="clear"/>
          </w:tcPr>
          <w:p>
            <w:r>
              <w:rPr>
                <w:sz w:val="17"/>
              </w:rPr>
              <w:t>13,321</w:t>
            </w:r>
          </w:p>
        </w:tc>
        <w:tc>
          <w:tcPr>
            <w:tcW w:type="dxa" w:w="1440"/>
            <w:shd w:fill="FAFAFA" w:val="clear"/>
          </w:tcPr>
          <w:p>
            <w:r>
              <w:rPr>
                <w:b/>
                <w:sz w:val="17"/>
              </w:rPr>
              <w:t>15,355</w:t>
            </w:r>
          </w:p>
        </w:tc>
        <w:tc>
          <w:tcPr>
            <w:tcW w:type="dxa" w:w="1440"/>
            <w:shd w:fill="FAFAFA" w:val="clear"/>
          </w:tcPr>
          <w:p>
            <w:r>
              <w:rPr>
                <w:sz w:val="17"/>
              </w:rPr>
              <w:t>17,388</w:t>
            </w:r>
          </w:p>
        </w:tc>
        <w:tc>
          <w:tcPr>
            <w:tcW w:type="dxa" w:w="1440"/>
            <w:shd w:fill="FAFAFA" w:val="clear"/>
          </w:tcPr>
          <w:p>
            <w:r>
              <w:rPr>
                <w:b/>
                <w:color w:val="C00000"/>
                <w:sz w:val="17"/>
              </w:rPr>
              <w:t>-0.9%</w:t>
            </w:r>
          </w:p>
        </w:tc>
      </w:tr>
      <w:tr>
        <w:tc>
          <w:tcPr>
            <w:tcW w:type="dxa" w:w="1440"/>
            <w:shd w:fill="FAFAFA" w:val="clear"/>
          </w:tcPr>
          <w:p>
            <w:r>
              <w:rPr>
                <w:sz w:val="17"/>
              </w:rPr>
              <w:t>J+8  ⭐</w:t>
            </w:r>
          </w:p>
        </w:tc>
        <w:tc>
          <w:tcPr>
            <w:tcW w:type="dxa" w:w="1440"/>
            <w:shd w:fill="FAFAFA" w:val="clear"/>
          </w:tcPr>
          <w:p>
            <w:r>
              <w:rPr>
                <w:sz w:val="17"/>
              </w:rPr>
              <w:t>2026-10-27</w:t>
            </w:r>
          </w:p>
        </w:tc>
        <w:tc>
          <w:tcPr>
            <w:tcW w:type="dxa" w:w="1440"/>
            <w:shd w:fill="FAFAFA" w:val="clear"/>
          </w:tcPr>
          <w:p>
            <w:r>
              <w:rPr>
                <w:sz w:val="17"/>
              </w:rPr>
              <w:t>13,159</w:t>
            </w:r>
          </w:p>
        </w:tc>
        <w:tc>
          <w:tcPr>
            <w:tcW w:type="dxa" w:w="1440"/>
            <w:shd w:fill="FAFAFA" w:val="clear"/>
          </w:tcPr>
          <w:p>
            <w:r>
              <w:rPr>
                <w:b/>
                <w:sz w:val="17"/>
              </w:rPr>
              <w:t>15,330</w:t>
            </w:r>
          </w:p>
        </w:tc>
        <w:tc>
          <w:tcPr>
            <w:tcW w:type="dxa" w:w="1440"/>
            <w:shd w:fill="FAFAFA" w:val="clear"/>
          </w:tcPr>
          <w:p>
            <w:r>
              <w:rPr>
                <w:sz w:val="17"/>
              </w:rPr>
              <w:t>17,500</w:t>
            </w:r>
          </w:p>
        </w:tc>
        <w:tc>
          <w:tcPr>
            <w:tcW w:type="dxa" w:w="1440"/>
            <w:shd w:fill="FAFAFA" w:val="clear"/>
          </w:tcPr>
          <w:p>
            <w:r>
              <w:rPr>
                <w:b/>
                <w:color w:val="C00000"/>
                <w:sz w:val="17"/>
              </w:rPr>
              <w:t>-1.1%</w:t>
            </w:r>
          </w:p>
        </w:tc>
      </w:tr>
      <w:tr>
        <w:tc>
          <w:tcPr>
            <w:tcW w:type="dxa" w:w="1440"/>
            <w:shd w:fill="FAFAFA" w:val="clear"/>
          </w:tcPr>
          <w:p>
            <w:r>
              <w:rPr>
                <w:sz w:val="17"/>
              </w:rPr>
              <w:t>J+9  ⭐</w:t>
            </w:r>
          </w:p>
        </w:tc>
        <w:tc>
          <w:tcPr>
            <w:tcW w:type="dxa" w:w="1440"/>
            <w:shd w:fill="FAFAFA" w:val="clear"/>
          </w:tcPr>
          <w:p>
            <w:r>
              <w:rPr>
                <w:sz w:val="17"/>
              </w:rPr>
              <w:t>2026-10-28</w:t>
            </w:r>
          </w:p>
        </w:tc>
        <w:tc>
          <w:tcPr>
            <w:tcW w:type="dxa" w:w="1440"/>
            <w:shd w:fill="FAFAFA" w:val="clear"/>
          </w:tcPr>
          <w:p>
            <w:r>
              <w:rPr>
                <w:sz w:val="17"/>
              </w:rPr>
              <w:t>13,006</w:t>
            </w:r>
          </w:p>
        </w:tc>
        <w:tc>
          <w:tcPr>
            <w:tcW w:type="dxa" w:w="1440"/>
            <w:shd w:fill="FAFAFA" w:val="clear"/>
          </w:tcPr>
          <w:p>
            <w:r>
              <w:rPr>
                <w:b/>
                <w:sz w:val="17"/>
              </w:rPr>
              <w:t>15,304</w:t>
            </w:r>
          </w:p>
        </w:tc>
        <w:tc>
          <w:tcPr>
            <w:tcW w:type="dxa" w:w="1440"/>
            <w:shd w:fill="FAFAFA" w:val="clear"/>
          </w:tcPr>
          <w:p>
            <w:r>
              <w:rPr>
                <w:sz w:val="17"/>
              </w:rPr>
              <w:t>17,603</w:t>
            </w:r>
          </w:p>
        </w:tc>
        <w:tc>
          <w:tcPr>
            <w:tcW w:type="dxa" w:w="1440"/>
            <w:shd w:fill="FAFAFA" w:val="clear"/>
          </w:tcPr>
          <w:p>
            <w:r>
              <w:rPr>
                <w:b/>
                <w:color w:val="C00000"/>
                <w:sz w:val="17"/>
              </w:rPr>
              <w:t>-1.3%</w:t>
            </w:r>
          </w:p>
        </w:tc>
      </w:tr>
      <w:tr>
        <w:tc>
          <w:tcPr>
            <w:tcW w:type="dxa" w:w="1440"/>
            <w:shd w:fill="FAFAFA" w:val="clear"/>
          </w:tcPr>
          <w:p>
            <w:r>
              <w:rPr>
                <w:sz w:val="17"/>
              </w:rPr>
              <w:t>J+10  ⭐</w:t>
            </w:r>
          </w:p>
        </w:tc>
        <w:tc>
          <w:tcPr>
            <w:tcW w:type="dxa" w:w="1440"/>
            <w:shd w:fill="FAFAFA" w:val="clear"/>
          </w:tcPr>
          <w:p>
            <w:r>
              <w:rPr>
                <w:sz w:val="17"/>
              </w:rPr>
              <w:t>2026-10-29</w:t>
            </w:r>
          </w:p>
        </w:tc>
        <w:tc>
          <w:tcPr>
            <w:tcW w:type="dxa" w:w="1440"/>
            <w:shd w:fill="FAFAFA" w:val="clear"/>
          </w:tcPr>
          <w:p>
            <w:r>
              <w:rPr>
                <w:sz w:val="17"/>
              </w:rPr>
              <w:t>12,861</w:t>
            </w:r>
          </w:p>
        </w:tc>
        <w:tc>
          <w:tcPr>
            <w:tcW w:type="dxa" w:w="1440"/>
            <w:shd w:fill="FAFAFA" w:val="clear"/>
          </w:tcPr>
          <w:p>
            <w:r>
              <w:rPr>
                <w:b/>
                <w:sz w:val="17"/>
              </w:rPr>
              <w:t>15,280</w:t>
            </w:r>
          </w:p>
        </w:tc>
        <w:tc>
          <w:tcPr>
            <w:tcW w:type="dxa" w:w="1440"/>
            <w:shd w:fill="FAFAFA" w:val="clear"/>
          </w:tcPr>
          <w:p>
            <w:r>
              <w:rPr>
                <w:sz w:val="17"/>
              </w:rPr>
              <w:t>17,698</w:t>
            </w:r>
          </w:p>
        </w:tc>
        <w:tc>
          <w:tcPr>
            <w:tcW w:type="dxa" w:w="1440"/>
            <w:shd w:fill="FAFAFA" w:val="clear"/>
          </w:tcPr>
          <w:p>
            <w:r>
              <w:rPr>
                <w:b/>
                <w:color w:val="C00000"/>
                <w:sz w:val="17"/>
              </w:rPr>
              <w:t>-1.4%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109.743 Mds FCFA</w:t>
            </w:r>
          </w:p>
        </w:tc>
        <w:tc>
          <w:tcPr>
            <w:tcW w:type="dxa" w:w="5669"/>
            <w:shd w:fill="FFFFFF" w:val="clear"/>
          </w:tcPr>
          <w:p>
            <w:r>
              <w:rPr>
                <w:color w:val="282828"/>
                <w:sz w:val="15"/>
              </w:rPr>
              <w:t>Créances clients = 53.1%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19.219 Mds FCFA</w:t>
            </w:r>
          </w:p>
        </w:tc>
        <w:tc>
          <w:tcPr>
            <w:tcW w:type="dxa" w:w="5669"/>
            <w:shd w:fill="FFFFFF" w:val="clear"/>
          </w:tcPr>
          <w:p>
            <w:r>
              <w:rPr>
                <w:color w:val="282828"/>
                <w:sz w:val="15"/>
              </w:rPr>
              <w:t>Rotation stocks = 10.8x/an.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128.963 Mds FCFA</w:t>
            </w:r>
          </w:p>
        </w:tc>
        <w:tc>
          <w:tcPr>
            <w:tcW w:type="dxa" w:w="5669"/>
            <w:shd w:fill="FFFFFF" w:val="clear"/>
          </w:tcPr>
          <w:p>
            <w:r>
              <w:rPr>
                <w:color w:val="282828"/>
                <w:sz w:val="15"/>
              </w:rPr>
              <w:t>Ratio actif circ./passif circ. = 1.01x.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4.838 Mds FCFA</w:t>
            </w:r>
          </w:p>
        </w:tc>
        <w:tc>
          <w:tcPr>
            <w:tcW w:type="dxa" w:w="5669"/>
            <w:shd w:fill="FFFFFF" w:val="clear"/>
          </w:tcPr>
          <w:p>
            <w:r>
              <w:rPr>
                <w:color w:val="282828"/>
                <w:sz w:val="15"/>
              </w:rPr>
              <w:t>Brevets, logiciels, fonds commercial (2.7%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13.598 Mds FCFA</w:t>
            </w:r>
          </w:p>
        </w:tc>
        <w:tc>
          <w:tcPr>
            <w:tcW w:type="dxa" w:w="5669"/>
            <w:shd w:fill="FFFFFF" w:val="clear"/>
          </w:tcPr>
          <w:p>
            <w:r>
              <w:rPr>
                <w:color w:val="282828"/>
                <w:sz w:val="15"/>
              </w:rPr>
              <w:t>Outil industriel (7.6%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26.898 Mds FCFA</w:t>
            </w:r>
          </w:p>
        </w:tc>
        <w:tc>
          <w:tcPr>
            <w:tcW w:type="dxa" w:w="5669"/>
            <w:shd w:fill="FFFFFF" w:val="clear"/>
          </w:tcPr>
          <w:p>
            <w:r>
              <w:rPr>
                <w:color w:val="282828"/>
                <w:sz w:val="15"/>
              </w:rPr>
              <w:t>Actif immobilisé = 14.9%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23.988 Mds FCFA</w:t>
            </w:r>
          </w:p>
        </w:tc>
        <w:tc>
          <w:tcPr>
            <w:tcW w:type="dxa" w:w="5669"/>
            <w:shd w:fill="FFFFFF" w:val="clear"/>
          </w:tcPr>
          <w:p>
            <w:r>
              <w:rPr>
                <w:color w:val="282828"/>
                <w:sz w:val="15"/>
              </w:rPr>
              <w:t>Liquidités disponibles (13.3%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180.003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4.872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24.966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42.913 Mds FCFA</w:t>
            </w:r>
          </w:p>
        </w:tc>
        <w:tc>
          <w:tcPr>
            <w:tcW w:type="dxa" w:w="5669"/>
            <w:shd w:fill="FFFFFF" w:val="clear"/>
          </w:tcPr>
          <w:p>
            <w:r>
              <w:rPr>
                <w:color w:val="282828"/>
                <w:sz w:val="15"/>
              </w:rPr>
              <w:t>Fonds propres = 23.8%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52.722 Mds FCFA</w:t>
            </w:r>
          </w:p>
        </w:tc>
        <w:tc>
          <w:tcPr>
            <w:tcW w:type="dxa" w:w="5669"/>
            <w:shd w:fill="FFFFFF" w:val="clear"/>
          </w:tcPr>
          <w:p>
            <w:r>
              <w:rPr>
                <w:color w:val="282828"/>
                <w:sz w:val="15"/>
              </w:rPr>
              <w:t>Capitaux permanents / Actif immobilisé = 1.96x.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104.482 Mds FCFA</w:t>
            </w:r>
          </w:p>
        </w:tc>
        <w:tc>
          <w:tcPr>
            <w:tcW w:type="dxa" w:w="5669"/>
            <w:shd w:fill="FFFFFF" w:val="clear"/>
          </w:tcPr>
          <w:p>
            <w:r>
              <w:rPr>
                <w:color w:val="282828"/>
                <w:sz w:val="15"/>
              </w:rPr>
              <w:t>Délai fournisseurs implicite ≈ 184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9.204 Mds FCFA</w:t>
            </w:r>
          </w:p>
        </w:tc>
        <w:tc>
          <w:tcPr>
            <w:tcW w:type="dxa" w:w="5669"/>
            <w:shd w:fill="FFFFFF" w:val="clear"/>
          </w:tcPr>
          <w:p>
            <w:r>
              <w:rPr>
                <w:color w:val="282828"/>
                <w:sz w:val="15"/>
              </w:rPr>
              <w:t>Dette LT/MT = 21%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9.204 Mds FCFA</w:t>
            </w:r>
          </w:p>
        </w:tc>
        <w:tc>
          <w:tcPr>
            <w:tcW w:type="dxa" w:w="5669"/>
            <w:shd w:fill="FFFFFF" w:val="clear"/>
          </w:tcPr>
          <w:p>
            <w:r>
              <w:rPr>
                <w:color w:val="282828"/>
                <w:sz w:val="15"/>
              </w:rPr>
              <w:t>Dette financière totale = 21%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137.090 Mds FCFA</w:t>
            </w:r>
          </w:p>
        </w:tc>
        <w:tc>
          <w:tcPr>
            <w:tcW w:type="dxa" w:w="5669"/>
            <w:shd w:fill="FFFFFF" w:val="clear"/>
          </w:tcPr>
          <w:p>
            <w:r>
              <w:rPr>
                <w:color w:val="282828"/>
                <w:sz w:val="15"/>
              </w:rPr>
              <w:t>Dettes totales = 76.2%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206.740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206.740 Mds FCFA</w:t>
            </w:r>
          </w:p>
        </w:tc>
        <w:tc>
          <w:tcPr>
            <w:tcW w:type="dxa" w:w="5669"/>
            <w:shd w:fill="FFFFFF" w:val="clear"/>
          </w:tcPr>
          <w:p>
            <w:r>
              <w:rPr>
                <w:color w:val="282828"/>
                <w:sz w:val="15"/>
              </w:rPr>
              <w:t>Chiffre d'affaires. Croissance: -9.7%.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1.303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4.092 Mds FCFA</w:t>
            </w:r>
          </w:p>
        </w:tc>
        <w:tc>
          <w:tcPr>
            <w:tcW w:type="dxa" w:w="5669"/>
            <w:shd w:fill="FFFFFF" w:val="clear"/>
          </w:tcPr>
          <w:p>
            <w:r>
              <w:rPr>
                <w:color w:val="282828"/>
                <w:sz w:val="15"/>
              </w:rPr>
              <w:t>Masse salariale = 2.0%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22.572 Mds FCFA</w:t>
            </w:r>
          </w:p>
        </w:tc>
        <w:tc>
          <w:tcPr>
            <w:tcW w:type="dxa" w:w="5669"/>
            <w:shd w:fill="FFFFFF" w:val="clear"/>
          </w:tcPr>
          <w:p>
            <w:r>
              <w:rPr>
                <w:color w:val="282828"/>
                <w:sz w:val="15"/>
              </w:rPr>
              <w:t>VA = 10.9%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18.480 Mds FCFA</w:t>
            </w:r>
          </w:p>
        </w:tc>
        <w:tc>
          <w:tcPr>
            <w:tcW w:type="dxa" w:w="5669"/>
            <w:shd w:fill="FFFFFF" w:val="clear"/>
          </w:tcPr>
          <w:p>
            <w:r>
              <w:rPr>
                <w:color w:val="282828"/>
                <w:sz w:val="15"/>
              </w:rPr>
              <w:t>EBE = 8.9%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17.828 Mds FCFA</w:t>
            </w:r>
          </w:p>
        </w:tc>
        <w:tc>
          <w:tcPr>
            <w:tcW w:type="dxa" w:w="5669"/>
            <w:shd w:fill="FFFFFF" w:val="clear"/>
          </w:tcPr>
          <w:p>
            <w:r>
              <w:rPr>
                <w:color w:val="282828"/>
                <w:sz w:val="15"/>
              </w:rPr>
              <w:t>Profit d'exploitation = 8.6%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605.00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13.075 Mds FCFA</w:t>
            </w:r>
          </w:p>
        </w:tc>
        <w:tc>
          <w:tcPr>
            <w:tcW w:type="dxa" w:w="5669"/>
            <w:shd w:fill="FFFFFF" w:val="clear"/>
          </w:tcPr>
          <w:p>
            <w:r>
              <w:rPr>
                <w:color w:val="282828"/>
                <w:sz w:val="15"/>
              </w:rPr>
              <w:t>Marge nette = 6.3%.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13.486 Mds FCFA</w:t>
            </w:r>
          </w:p>
        </w:tc>
        <w:tc>
          <w:tcPr>
            <w:tcW w:type="dxa" w:w="5669"/>
            <w:shd w:fill="FFFFFF" w:val="clear"/>
          </w:tcPr>
          <w:p>
            <w:r>
              <w:rPr>
                <w:color w:val="282828"/>
                <w:sz w:val="15"/>
              </w:rPr>
              <w:t>CAF = 13.49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26.120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-5.478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-2.724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20.642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1.693 Mds FCFA</w:t>
            </w:r>
          </w:p>
        </w:tc>
        <w:tc>
          <w:tcPr>
            <w:tcW w:type="dxa" w:w="5669"/>
            <w:shd w:fill="FFFFFF" w:val="clear"/>
          </w:tcPr>
          <w:p>
            <w:r>
              <w:rPr>
                <w:color w:val="282828"/>
                <w:sz w:val="15"/>
              </w:rPr>
              <w:t>BFR = 0.8%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25.824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23.988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18.11%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6.32%</w:t>
            </w:r>
          </w:p>
        </w:tc>
        <w:tc>
          <w:tcPr>
            <w:tcW w:type="dxa" w:w="5669"/>
            <w:shd w:fill="FFFFFF" w:val="clear"/>
          </w:tcPr>
          <w:p>
            <w:r>
              <w:rPr>
                <w:color w:val="282828"/>
                <w:sz w:val="15"/>
              </w:rPr>
              <w:t>Résultat net / revenus = 6.32%.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8.62%</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30.47%</w:t>
            </w:r>
          </w:p>
        </w:tc>
        <w:tc>
          <w:tcPr>
            <w:tcW w:type="dxa" w:w="5669"/>
            <w:shd w:fill="FFFFFF" w:val="clear"/>
          </w:tcPr>
          <w:p>
            <w:r>
              <w:rPr>
                <w:color w:val="282828"/>
                <w:sz w:val="15"/>
              </w:rPr>
              <w:t>Résultat net / capitaux propres = 30.47%.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7.26%</w:t>
            </w:r>
          </w:p>
        </w:tc>
        <w:tc>
          <w:tcPr>
            <w:tcW w:type="dxa" w:w="5669"/>
            <w:shd w:fill="FFFFFF" w:val="clear"/>
          </w:tcPr>
          <w:p>
            <w:r>
              <w:rPr>
                <w:color w:val="282828"/>
                <w:sz w:val="15"/>
              </w:rPr>
              <w:t>Résultat net / total actif = 7.26%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114.85%</w:t>
            </w:r>
          </w:p>
        </w:tc>
        <w:tc>
          <w:tcPr>
            <w:tcW w:type="dxa" w:w="5669"/>
            <w:shd w:fill="FFFFFF" w:val="clear"/>
          </w:tcPr>
          <w:p>
            <w:r>
              <w:rPr>
                <w:color w:val="282828"/>
                <w:sz w:val="15"/>
              </w:rPr>
              <w:t>CA / total actif = 114.85x.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-9.74%</w:t>
            </w:r>
          </w:p>
        </w:tc>
        <w:tc>
          <w:tcPr>
            <w:tcW w:type="dxa" w:w="5669"/>
            <w:shd w:fill="FFFFFF" w:val="clear"/>
          </w:tcPr>
          <w:p>
            <w:r>
              <w:rPr>
                <w:color w:val="282828"/>
                <w:sz w:val="15"/>
              </w:rPr>
              <w:t>Croissance CA vs exercice précédent = -9.74%.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23.84%</w:t>
            </w:r>
          </w:p>
        </w:tc>
        <w:tc>
          <w:tcPr>
            <w:tcW w:type="dxa" w:w="5669"/>
            <w:shd w:fill="FFFFFF" w:val="clear"/>
          </w:tcPr>
          <w:p>
            <w:r>
              <w:rPr>
                <w:color w:val="282828"/>
                <w:sz w:val="15"/>
              </w:rPr>
              <w:t>Fonds propres / total bilan = 23.84%. ✅ Autonomie correcte.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21.45%</w:t>
            </w:r>
          </w:p>
        </w:tc>
        <w:tc>
          <w:tcPr>
            <w:tcW w:type="dxa" w:w="5669"/>
            <w:shd w:fill="FFFFFF" w:val="clear"/>
          </w:tcPr>
          <w:p>
            <w:r>
              <w:rPr>
                <w:color w:val="282828"/>
                <w:sz w:val="15"/>
              </w:rPr>
              <w:t>Dettes financières / total bilan = 21.45%.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76.16%</w:t>
            </w:r>
          </w:p>
        </w:tc>
        <w:tc>
          <w:tcPr>
            <w:tcW w:type="dxa" w:w="5669"/>
            <w:shd w:fill="FFFFFF" w:val="clear"/>
          </w:tcPr>
          <w:p>
            <w:r>
              <w:rPr>
                <w:color w:val="282828"/>
                <w:sz w:val="15"/>
              </w:rPr>
              <w:t>Dettes totales / fonds propres = 76.16%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131.30%</w:t>
            </w:r>
          </w:p>
        </w:tc>
        <w:tc>
          <w:tcPr>
            <w:tcW w:type="dxa" w:w="5669"/>
            <w:shd w:fill="FFFFFF" w:val="clear"/>
          </w:tcPr>
          <w:p>
            <w:r>
              <w:rPr>
                <w:color w:val="282828"/>
                <w:sz w:val="15"/>
              </w:rPr>
              <w:t>Total actif / dettes totales = 131.30x.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120.18%</w:t>
            </w:r>
          </w:p>
        </w:tc>
        <w:tc>
          <w:tcPr>
            <w:tcW w:type="dxa" w:w="5669"/>
            <w:shd w:fill="FFFFFF" w:val="clear"/>
          </w:tcPr>
          <w:p>
            <w:r>
              <w:rPr>
                <w:color w:val="282828"/>
                <w:sz w:val="15"/>
              </w:rPr>
              <w:t>Actif circulant / passif circulant = 120.18x.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18.85%</w:t>
            </w:r>
          </w:p>
        </w:tc>
        <w:tc>
          <w:tcPr>
            <w:tcW w:type="dxa" w:w="5669"/>
            <w:shd w:fill="FFFFFF" w:val="clear"/>
          </w:tcPr>
          <w:p>
            <w:r>
              <w:rPr>
                <w:color w:val="282828"/>
                <w:sz w:val="15"/>
              </w:rPr>
              <w:t>Trésorerie / passif circulant = 18.85x.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105.08%</w:t>
            </w:r>
          </w:p>
        </w:tc>
        <w:tc>
          <w:tcPr>
            <w:tcW w:type="dxa" w:w="5669"/>
            <w:shd w:fill="FFFFFF" w:val="clear"/>
          </w:tcPr>
          <w:p>
            <w:r>
              <w:rPr>
                <w:color w:val="282828"/>
                <w:sz w:val="15"/>
              </w:rPr>
              <w:t>(Actif circ. - stocks) / passif circ. = 105.08x.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196.01%</w:t>
            </w:r>
          </w:p>
        </w:tc>
        <w:tc>
          <w:tcPr>
            <w:tcW w:type="dxa" w:w="5669"/>
            <w:shd w:fill="FFFFFF" w:val="clear"/>
          </w:tcPr>
          <w:p>
            <w:r>
              <w:rPr>
                <w:color w:val="282828"/>
                <w:sz w:val="15"/>
              </w:rPr>
              <w:t>Capitaux permanents / actif immobilisé = 196.01x.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483.41%</w:t>
            </w:r>
          </w:p>
        </w:tc>
        <w:tc>
          <w:tcPr>
            <w:tcW w:type="dxa" w:w="5669"/>
            <w:shd w:fill="FFFFFF" w:val="clear"/>
          </w:tcPr>
          <w:p>
            <w:r>
              <w:rPr>
                <w:color w:val="282828"/>
                <w:sz w:val="15"/>
              </w:rPr>
              <w:t>Résultat exploit. / charges financières = 483.41x.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246.18%</w:t>
            </w:r>
          </w:p>
        </w:tc>
        <w:tc>
          <w:tcPr>
            <w:tcW w:type="dxa" w:w="5669"/>
            <w:shd w:fill="FFFFFF" w:val="clear"/>
          </w:tcPr>
          <w:p>
            <w:r>
              <w:rPr>
                <w:color w:val="282828"/>
                <w:sz w:val="15"/>
              </w:rPr>
              <w:t>CAF / investissements = 246.18x.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193.8 j</w:t>
            </w:r>
          </w:p>
        </w:tc>
        <w:tc>
          <w:tcPr>
            <w:tcW w:type="dxa" w:w="5669"/>
            <w:shd w:fill="FFFFFF" w:val="clear"/>
          </w:tcPr>
          <w:p>
            <w:r>
              <w:rPr>
                <w:color w:val="282828"/>
                <w:sz w:val="15"/>
              </w:rPr>
              <w:t>Les clients paient en moyenne en 194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207.1 j</w:t>
            </w:r>
          </w:p>
        </w:tc>
        <w:tc>
          <w:tcPr>
            <w:tcW w:type="dxa" w:w="5669"/>
            <w:shd w:fill="FFFFFF" w:val="clear"/>
          </w:tcPr>
          <w:p>
            <w:r>
              <w:rPr>
                <w:color w:val="282828"/>
                <w:sz w:val="15"/>
              </w:rPr>
              <w:t>Paiement des fournisseurs en 207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38.1 j</w:t>
            </w:r>
          </w:p>
        </w:tc>
        <w:tc>
          <w:tcPr>
            <w:tcW w:type="dxa" w:w="5669"/>
            <w:shd w:fill="FFFFFF" w:val="clear"/>
          </w:tcPr>
          <w:p>
            <w:r>
              <w:rPr>
                <w:color w:val="282828"/>
                <w:sz w:val="15"/>
              </w:rPr>
              <w:t>Stock écoulé en 38 jours. ✅ Stockage standard.</w:t>
            </w:r>
          </w:p>
        </w:tc>
      </w:tr>
    </w:tbl>
    <w:p/>
    <w:p>
      <w:pPr>
        <w:spacing w:after="120" w:line="276" w:lineRule="auto"/>
      </w:pPr>
      <w:r>
        <w:t># RAPPORT D'ANALYSE FINANCIÈRE — SMBC (Société Multinationale de Bitumes)</w:t>
        <w:br/>
        <w:t>**Bourse Régionale des Valeurs Mobilières (BRVM) — Secteur : Entreprise Industrielle (Bitumes)**</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120,83 Mds FCFA, SMBC se positionne comme une valeur de taille intermédiaire sur la BRVM, loin des poids lourds bancaires et télécoms mais suffisamment liquide pour intéresser les investisseurs institutionnels régionaux. Le BPA de 1 677 FCFA/action signifie que chaque titre génère près de 1 677 FCFA de bénéfice net, ce qui, rapporté au cours actuel de 15 500 FCFA, donne un PER de 9,2x — légèrement inférieur à la moyenne BRVM (8-12x), suggérant une valorisation raisonnable voire légèrement sous-évaluée au regard de la qualité des bénéfices. Le P/B de 2,82x indique que le marché valorise l'entreprise à près de trois fois sa valeur comptable (capitaux propres de 42,9 Mds FCFA), ce qui traduit une prime de croissance accordée par les investisseurs, cohérente avec un ROE élevé de 30,5%. Enfin, l'EV/EBITDA de 5,7x — dans la fourchette basse de la référence 5-10x — montre que la valeur d'entreprise (incluant la dette nette) reste modérée par rapport à la capacité opérationnelle de génération de cash (EBE de 18,48 Mds FCFA), ce qui constitue un signal d'attractivité pour un investisseur value.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SMBC affiche une performance remarquable de **+20,20%**, portant le cours à 15 500 FCFA, bien que la dernière séance (J-1) soit restée stable à +0,00%. Le range de trading est large, avec un plus haut à 18 500 FCFA et un plus bas à 12 895 FCFA, soit une amplitude de 43,5% qui témoigne d'une réelle dynamique haussière entrecoupée de corrections. La tendance générale est donc haussière sur la période, mais le cours actuel (15 500 FCFA) se situe en retrait de 16,2% par rapport au plus haut, signalant une phase de consolidation après le rallye. Les statistiques descriptives révèlent une moyenne de 16 243 FCFA légèrement supérieure à la médiane de 16 445 FCFA — un écart modeste qui, combiné à un skewness de -0,887 (asymétrie négative), indique que le cours a passé plus de journées au-dessus de sa moyenne, avec des corrections ponctuelles plus marquées à la baisse. L'écart-type de 1 228 FCFA (CV = 7,6%) traduit une dispersion modérée autour de la moyenne, tandis que le kurtosis de 0,847 (mésokurtique) suggère une distribution proche de la normale, sans risque extrême de pics. La volatilité annualisée de 42,3% classe le titre dans la catégorie **élevée** (&gt;30%), ce qui est cohérent avec un marché frontière comme la BRVM et appelle à une gestion prudente du risque.</w:t>
      </w:r>
    </w:p>
    <w:p>
      <w:pPr>
        <w:spacing w:after="120" w:line="276" w:lineRule="auto"/>
      </w:pPr>
      <w:r>
        <w:t>---</w:t>
      </w:r>
    </w:p>
    <w:p>
      <w:pPr>
        <w:spacing w:after="120" w:line="276" w:lineRule="auto"/>
      </w:pPr>
      <w:r>
        <w:t>## PARTIE 2 : ANALYSE TECHNIQUE DÉTAILLÉE</w:t>
      </w:r>
    </w:p>
    <w:p>
      <w:pPr>
        <w:spacing w:after="120" w:line="276" w:lineRule="auto"/>
      </w:pPr>
      <w:r>
        <w:t>**Moyennes Mobiles** : La MM20 (16 051,75 FCFA) et la MM50 (16 686,0 FCFA) se situent toutes deux au-dessus du cours actuel (15 500 FCFA), ce qui place le titre en position baissière à court et moyen terme. La MM20 étant inférieure à la MM50, on observe un croisement baissier (death cross) confirmant la pression vendeuse. La décision technique qui en résulte est **Vente**, le cours évoluant sous ses deux références mobiles.</w:t>
      </w:r>
    </w:p>
    <w:p>
      <w:pPr>
        <w:spacing w:after="120" w:line="276" w:lineRule="auto"/>
      </w:pPr>
      <w:r>
        <w:t>**Bandes de Bollinger** : Le cours (15 500 FCFA) se situe dans la partie basse de la bande, entre la borne inférieure (14 710,89 FCFA) et la borne supérieure (17 392,61 FCFA), mais plus proche du bas que du haut. Cette position suggère une pression baissière sans pour autant atteindre la zone de survente extrême. La largeur des bandes (2 681,72 FCFA) indique une volatilité encore présente. La décision est **Neutre**, le cours n'ayant pas franchi les bornes.</w:t>
      </w:r>
    </w:p>
    <w:p>
      <w:pPr>
        <w:spacing w:after="120" w:line="276" w:lineRule="auto"/>
      </w:pPr>
      <w:r>
        <w:t>**MACD** : La valeur du MACD (-343,42) est inférieure à son signal (-273,335), confirmant une divergence baissière et un momentum négatif. L'histogramme négatif indique que la pression vendeuse persiste, bien que l'écart entre les deux lignes se réduise légèrement. La décision qui en découle est **Vente**, le MACD n'ayant pas encore amorcé de retournement.</w:t>
      </w:r>
    </w:p>
    <w:p>
      <w:pPr>
        <w:spacing w:after="120" w:line="276" w:lineRule="auto"/>
      </w:pPr>
      <w:r>
        <w:t>**RSI** : À 57,425, le RSI se situe dans la zone neutre (30-70), sans signal de surachat ni de survente. Cette valeur médiane indique un équilibre relatif entre acheteurs et vendeurs, mais la légère tendance baissière du RSI depuis les plus hauts suggère un essoufflement de la dynamique haussière. La décision est **Neutre**.</w:t>
      </w:r>
    </w:p>
    <w:p>
      <w:pPr>
        <w:spacing w:after="120" w:line="276" w:lineRule="auto"/>
      </w:pPr>
      <w:r>
        <w:t>**Stochastique** : Le %K (0,0) est nettement inférieur au %D (26,55), avec un %K au plus bas absolu — signal classique de survente extrême. Ce positionnement suggère qu'un rebond technique pourrait se produire à court terme, d'où la décision **Achat** générée par cet indicateur, en divergence avec les autres signaux.</w:t>
      </w:r>
    </w:p>
    <w:p>
      <w:pPr>
        <w:spacing w:after="120" w:line="276" w:lineRule="auto"/>
      </w:pPr>
      <w:r>
        <w:t>**Conclusion technique** : Les indicateurs techniques présentent une configuration majoritairement baissière (MM, MACD) tempérée par des signaux de survente (Stochastique) et de neutralité (RSI, Bollinger). Le titre se trouve dans une phase de consolidation après un rallye de +20%, avec un cours sous ses moyennes mobiles mais un stochastique en zone de survente extrême qui pourrait annoncer un rebond technique. La convergence partielle des signaux plaide pour une prudence à court terme, avec une opportunité d'achat tactique si le cours se stabilise au-dessus de 15 000 FCFA.</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SMBC affiche un chiffre d'affaires de 206,74 Mds FCFA, en baisse de 9,74% par rapport à 2024 (229,06 Mds FCFA), mais un résultat net en forte progression de +50,3% à 13,075 Mds FCFA (contre 8,698 Mds FCFA en 2024). Cette performance paradoxale s'explique par une amélioration spectaculaire de la rentabilité opérationnelle : l'EBE bondit de +41,8% à 18,48 Mds FCFA, la marge nette passe de 3,8% à 6,32%, et le ROE atteint 30,47% (excellent, &gt;15%), tandis que le ROA s'établit à 7,26%. La structure financière se renforce avec des capitaux propres de 42,913 Mds FCFA (+21,6%) et une trésorerie nette positive de 23,988 Mds FCFA, après une année 2024 où elle était de seulement 6,07 Mds FCFA.</w:t>
      </w:r>
    </w:p>
    <w:p>
      <w:pPr>
        <w:spacing w:after="120" w:line="276" w:lineRule="auto"/>
      </w:pPr>
      <w:r>
        <w:t>**Analyse sectorielle (entreprise industrielle)** : Le BFR s'élève à 1,693 Mds FCFA, mais le délai client de 193,75 jours constitue un point de vigilance majeur — il signifie que SMBC met près de 6,5 mois à encaisser ses créances (109,743 Mds FCFA), ce qui pèse sur la trésorerie malgré un délai fournisseurs de 207,07 jours qui compense partiellement. La rotation des stocks est correcte (38,09 jours de stockage), et l'endettement reste maîtrisé avec un ratio dettes financières/CAF de 0,68 an et une couverture des intérêts de 483,4%. La marge brute de 18,11% et la marge opérationnelle de 8,62% témoignent d'une bonne efficacité opérationnelle.</w:t>
      </w:r>
    </w:p>
    <w:p>
      <w:pPr>
        <w:spacing w:after="120" w:line="276" w:lineRule="auto"/>
      </w:pPr>
      <w:r>
        <w:t>**Estimations basées sur les rapports trimestriels** : Le rapport T1 2025 (publié le 31/03/2025) indiquait un CA de 54,8 Mds FCFA (-22%) et un résultat net de 2,7 Mds FCFA (-7%), avec une marge nette en amélioration à 5,0%. Le rapport S1 2025 (30/06/2025) confirmait cette tendance avec un CA de 101,9 Mds FCFA (-23%) et un résultat net de 3,9 Mds FCFA (-7%), mais un EBE en hausse de +38%. Le rapport 9M 2025 (30/09/2025) montrait un CA de 155,2 Mds FCFA (-14%) et un résultat net de 5,7 Mds FCFA (+6%), avec une marge opérationnelle de 5,4%. **On estime donc que l'exercice 2025 devrait clôturer sur un résultat net autour de 13 Mds FCFA**, ce qui est confirmé par les états financiers annuels (13,075 Mds FCFA), porté par un T4 exceptionnel (+7,4 Mds FCFA sur le seul trimestre) grâce à la saisonnalité des chantiers routiers et à l'amélioration des marges de raffinage.</w:t>
      </w:r>
    </w:p>
    <w:p>
      <w:pPr>
        <w:spacing w:after="120" w:line="276" w:lineRule="auto"/>
      </w:pPr>
      <w:r>
        <w:t>**Évolution pluriannuelle** : Entre 2023 et 2025, le CA a reculé de 247,6 Mds FCFA à 206,7 Mds FCFA (-16,5%), mais le résultat net est passé de 17,3 Mds FCFA (2023) à 8,7 Mds FCFA (2024) puis 13,1 Mds FCFA (2025), montrant une résilience remarquable. Le rapport 2024 (MISTRAL, 15/03/2026) soulignait une politique de dividende agressive (taux de distribution de 107,5% en 2024), mais le rapport 2025 (DEEPSEEK, 12/05/2026) indique un payout ratio plus prudent de 41,7% (5 457 M FCFA versés), ce qui est sain pour la préservation des fonds propres.</w:t>
      </w:r>
    </w:p>
    <w:p>
      <w:pPr>
        <w:spacing w:after="120" w:line="276" w:lineRule="auto"/>
      </w:pPr>
      <w:r>
        <w:t>**Recommandation fondamentale** : SMBC présente une solidité financière retrouvée (ROE 30,5%, trésorerie nette positive, endettement faible) malgré un environnement de marché difficile (baisse du CA). Les risques principaux sont la dépendance aux prix du pétrole, la volatilité de la demande à l'export et le délai client élevé. La recommandation fondamentale est **CONSERVER**, avec un potentiel d'achat si la croissance du CA reprend en 2026.</w:t>
      </w:r>
    </w:p>
    <w:p>
      <w:pPr>
        <w:spacing w:after="120" w:line="276" w:lineRule="auto"/>
      </w:pPr>
      <w:r>
        <w:t>---</w:t>
      </w:r>
    </w:p>
    <w:p>
      <w:pPr>
        <w:spacing w:after="120" w:line="276" w:lineRule="auto"/>
      </w:pPr>
      <w:r>
        <w:t>## PARTIE 4 : CONCLUSION D'INVESTISSEMENT</w:t>
      </w:r>
    </w:p>
    <w:p>
      <w:pPr>
        <w:spacing w:after="120" w:line="276" w:lineRule="auto"/>
      </w:pPr>
      <w:r>
        <w:t>La valorisation de SMBC apparaît raisonnable (PER 9,2x, EV/EBITDA 5,7x) avec une prime de croissance justifiée par un ROE de 30,5%, ce qui plaide pour une sous-évaluation modérée. Le comportement du cours sur 100 jours est haussier (+20,20%) mais marqué par une consolidation récente (-16,2% depuis le plus haut), avec une volatilité élevée (42,3%) et une asymétrie négative (skewness -0,887) qui suggère des corrections plus violentes que les hausses. Les signaux techniques sont majoritairement baissiers (MM, MACD) mais tempérés par un stochastique en survente extrême (%K=0,0) qui pourrait annoncer un rebond tactique. Les fondamentaux sont solides : résultat net en hausse de +50,3% en 2025, marge nette de 6,3%, trésorerie nette de 24 Mds FCFA, et une politique de dividende assainie (payout 41,7%). Les prédictions IA anticipent une légère érosion du cours sur 10 jours (15 508 → 15 406 FCFA, soit -0,66%), ce qui confirme la phase de consolidation actuelle sans signaler de krach.</w:t>
      </w:r>
    </w:p>
    <w:p>
      <w:pPr>
        <w:spacing w:after="120" w:line="276" w:lineRule="auto"/>
      </w:pPr>
      <w:r>
        <w:t>**Synthèse globale** : La convergence entre une valorisation attractive, des fondamentaux en nette amélioration et un stochastique en survente plaide pour un **CONSERVER** avec un biais haussier à moyen terme. La divergence entre les signaux techniques baissiers à court terme et les prédictions IA légèrement négatives invite à la patience avant tout renforcement. **Recommandation finale : CONSERVER**, avec un niveau de confiance **Moyen** et un risque global **Moyen** (volatilité élevée, dépendance aux matières premières). L'horizon d'investissement optimal est le **moyen terme (3-12 mois)**, le temps que la consolidation s'achève et que la croissance du CA reprenne, avec un objectif de cours à 17 500-18 000 FCFA si les fondamentaux se confirment. Un passage à **ACHAT** serait justifié si le cours franchit la MM50 (16 686 FCFA) avec des volumes, ou si le T1 2026 confirme un retour à la croissance du chiffre d'affaires.</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excellente capacit\u00e9 \u00e0 am\u00e9liorer sa rentabilit\u00e9 malgr\u00e9 un environnement difficile, avec une forte g\u00e9n\u00e9ration de cash et un bilan renforc\u00e9. La progression spectaculaire des marges et la position de tr\u00e9sorerie solide offrent un potentiel d'appr\u00e9ciation attractif."}</w:t>
      </w:r>
    </w:p>
    <w:p>
      <w:pPr>
        <w:spacing w:before="40"/>
        <w:ind w:left="400"/>
      </w:pPr>
      <w:r>
        <w:rPr>
          <w:sz w:val="18"/>
        </w:rPr>
        <w:t>SMB affiche une performance solide en 2025 avec un résultat net en forte hausse de 50,3% à 13,1 milliards FCFA malgré une baisse du chiffre d'affaires de 9,8%. La rentabilité s'améliore significativement avec une marge nette passant de 3,8% à 6,3%. La société renforce sa structure financière avec des capitaux propres de 42,9 milliards FCFA (+21,6%) et une trésorerie nette positive de 24 milliards FCFA. L'excédent brut d'exploitation progresse de 41,8% à 18,5 milliards FCFA, témoignant d'une amélioration de l'efficacité opérationnelle. La génération de flux de trésorerie opérationnels reste forte à 26,1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'30,5%', 'marge_brute': '18,1%', 'variation_ca': '-9,8%', 'tresorerie_nette': '23 988 millions FCFA', 'variation_resultat_net': '+50,3%', 'excedent_brut_exploitation': '18 480 millions FCFA'}</w:t>
            </w:r>
          </w:p>
        </w:tc>
        <w:tc>
          <w:tcPr>
            <w:tcW w:type="dxa" w:w="2160"/>
          </w:tcPr>
          <w:p>
            <w:pPr>
              <w:ind w:left="100"/>
            </w:pPr>
            <w:r/>
            <w:r>
              <w:rPr>
                <w:b/>
                <w:sz w:val="16"/>
              </w:rPr>
              <w:t>dividende</w:t>
              <w:br/>
            </w:r>
            <w:r>
              <w:rPr>
                <w:sz w:val="18"/>
              </w:rPr>
              <w:t>5 457 millions FCFA versés</w:t>
            </w:r>
          </w:p>
        </w:tc>
        <w:tc>
          <w:tcPr>
            <w:tcW w:type="dxa" w:w="2160"/>
          </w:tcPr>
          <w:p>
            <w:pPr>
              <w:ind w:left="100"/>
            </w:pPr>
            <w:r/>
            <w:r>
              <w:rPr>
                <w:b/>
                <w:sz w:val="16"/>
              </w:rPr>
              <w:t>marge_nette</w:t>
              <w:br/>
            </w:r>
            <w:r>
              <w:rPr>
                <w:sz w:val="18"/>
              </w:rPr>
              <w:t>6,3%</w:t>
            </w:r>
          </w:p>
        </w:tc>
        <w:tc>
          <w:tcPr>
            <w:tcW w:type="dxa" w:w="2160"/>
          </w:tcPr>
          <w:p>
            <w:pPr>
              <w:ind w:left="100"/>
            </w:pPr>
            <w:r/>
            <w:r>
              <w:rPr>
                <w:b/>
                <w:sz w:val="16"/>
              </w:rPr>
              <w:t>total_actif</w:t>
              <w:br/>
            </w:r>
            <w:r>
              <w:rPr>
                <w:sz w:val="18"/>
              </w:rPr>
              <w:t>180 003 millions FCFA</w:t>
            </w:r>
          </w:p>
        </w:tc>
      </w:tr>
      <w:tr>
        <w:tc>
          <w:tcPr>
            <w:tcW w:type="dxa" w:w="2160"/>
          </w:tcPr>
          <w:p>
            <w:r/>
            <w:r>
              <w:rPr>
                <w:b/>
                <w:sz w:val="16"/>
              </w:rPr>
              <w:t>resultat_net</w:t>
              <w:br/>
            </w:r>
            <w:r>
              <w:rPr>
                <w:sz w:val="18"/>
              </w:rPr>
              <w:t>13 075 millions FCFA</w:t>
            </w:r>
          </w:p>
        </w:tc>
        <w:tc>
          <w:tcPr>
            <w:tcW w:type="dxa" w:w="2160"/>
          </w:tcPr>
          <w:p>
            <w:r/>
            <w:r>
              <w:rPr>
                <w:b/>
                <w:sz w:val="16"/>
              </w:rPr>
              <w:t>capitaux_propres</w:t>
              <w:br/>
            </w:r>
            <w:r>
              <w:rPr>
                <w:sz w:val="18"/>
              </w:rPr>
              <w:t>42 913 millions FCFA</w:t>
            </w:r>
          </w:p>
        </w:tc>
        <w:tc>
          <w:tcPr>
            <w:tcW w:type="dxa" w:w="2160"/>
          </w:tcPr>
          <w:p>
            <w:r/>
            <w:r>
              <w:rPr>
                <w:b/>
                <w:sz w:val="16"/>
              </w:rPr>
              <w:t>chiffre_affaires</w:t>
              <w:br/>
            </w:r>
            <w:r>
              <w:rPr>
                <w:sz w:val="18"/>
              </w:rPr>
              <w:t>206 740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9,8% à 206,7 milliards FCFA</w:t>
      </w:r>
    </w:p>
    <w:p>
      <w:pPr>
        <w:pStyle w:val="ListBullet"/>
        <w:spacing w:before="20" w:after="20"/>
        <w:ind w:left="700"/>
      </w:pPr>
      <w:r>
        <w:rPr>
          <w:sz w:val="18"/>
        </w:rPr>
        <w:t>Résultat net en forte progression de 50,3% à 13,1 milliards FCFA</w:t>
      </w:r>
    </w:p>
    <w:p>
      <w:pPr>
        <w:pStyle w:val="ListBullet"/>
        <w:spacing w:before="20" w:after="20"/>
        <w:ind w:left="700"/>
      </w:pPr>
      <w:r>
        <w:rPr>
          <w:sz w:val="18"/>
        </w:rPr>
        <w:t>Amélioration spectaculaire de la marge nette de 3,8% à 6,3%</w:t>
      </w:r>
    </w:p>
    <w:p>
      <w:pPr>
        <w:pStyle w:val="ListBullet"/>
        <w:spacing w:before="20" w:after="20"/>
        <w:ind w:left="700"/>
      </w:pPr>
      <w:r>
        <w:rPr>
          <w:sz w:val="18"/>
        </w:rPr>
        <w:t>Excédent brut d'exploitation en hausse de 41,8% à 18,5 milliards FCFA</w:t>
      </w:r>
    </w:p>
    <w:p>
      <w:pPr>
        <w:pStyle w:val="ListBullet"/>
        <w:spacing w:before="20" w:after="20"/>
        <w:ind w:left="700"/>
      </w:pPr>
      <w:r>
        <w:rPr>
          <w:sz w:val="18"/>
        </w:rPr>
        <w:t>Renforcement des capitaux propres de 21,6% à 42,9 milliards FCFA</w:t>
      </w:r>
    </w:p>
    <w:p>
      <w:pPr>
        <w:pStyle w:val="ListBullet"/>
        <w:spacing w:before="20" w:after="20"/>
        <w:ind w:left="700"/>
      </w:pPr>
      <w:r>
        <w:rPr>
          <w:sz w:val="18"/>
        </w:rPr>
        <w:t>Trésorerie nette très positive à 24 milliards FCFA contre 6,1 milliards en 2024</w:t>
      </w:r>
    </w:p>
    <w:p>
      <w:pPr>
        <w:spacing w:before="40"/>
        <w:ind w:left="400"/>
      </w:pPr>
      <w:r>
        <w:rPr>
          <w:b/>
          <w:color w:val="C05000"/>
          <w:sz w:val="18"/>
        </w:rPr>
        <w:t xml:space="preserve">⚠️ Risques : </w:t>
      </w:r>
      <w:r>
        <w:rPr>
          <w:sz w:val="18"/>
        </w:rPr>
        <w:t>["Baisse du chiffre d'affaires indiquant un environnement de march\u00e9 difficile", "Forte d\u00e9pendance aux fluctuations des prix des mati\u00e8res premi\u00e8res (secteur bitumes)", "Exposition aux risques \u00e9conomiques et politiques des march\u00e9s africains"]</w:t>
      </w:r>
    </w:p>
    <w:p>
      <w:pPr>
        <w:spacing w:before="40"/>
        <w:ind w:left="400"/>
      </w:pPr>
      <w:r>
        <w:rPr>
          <w:b/>
          <w:color w:val="0064A0"/>
          <w:sz w:val="18"/>
        </w:rPr>
        <w:t xml:space="preserve">🔮 Perspectives : </w:t>
      </w:r>
      <w:r>
        <w:rPr>
          <w:sz w:val="18"/>
        </w:rPr>
        <w:t>SMB devrait bénéficier de sa position de trésorerie renforcée pour saisir les opportunités de croissance et maintenir ses investissements. L'amélioration continue de l'efficacité opérationnelle et la solidité du bilan positionnent bien la société pour naviguer dans un environnement économique incert</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solide malgr\u00e9 les difficult\u00e9s op\u00e9rationnelles avec un dividende attractif de 13,3% et des perspectives d'expansion internationale. Les investissements de modernisation et le projet Ghana positionnent bien la soci\u00e9t\u00e9 pour la croissance future."}</w:t>
      </w:r>
    </w:p>
    <w:p>
      <w:pPr>
        <w:spacing w:before="40"/>
        <w:ind w:left="400"/>
      </w:pPr>
      <w:r>
        <w:rPr>
          <w:sz w:val="18"/>
        </w:rPr>
        <w:t>La SMB a réalisé en 2021 un chiffre d'affaires de 139,353 milliards FCFA en hausse de 36% grâce à une forte activité export (+25%) malgré un recul sur le marché national (-14%). Le résultat net s'établit à 8,623 milliards FCFA, en léger recul par rapport aux 9,396 milliards de 2020, impacté par un arrêt règlementaire de 2 mois et une rupture d'approvisionnement en pétrole brut. La société propose un dividende de 800 FCFA par action, soit un rendement attractif sur la base du cours moyen de 6,035 FCFA. Les investissements techniques de 9,5 milliards FCFA témoignent de la modernisation des installations. Le projet d'expansion au Ghana avec GOBITUMEN marque une stratégie de développement à l'in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'31,454 milliards FCFA', 'valeur_ajoutee': '19,799 milliards FCFA', 'cours_moyen_action': '6,035 FCFA', 'resultat_exploitation': '13,649 milliards FCFA', 'capitalisation_boursiere': '24,352 milliards FCFA'}</w:t>
            </w:r>
          </w:p>
        </w:tc>
        <w:tc>
          <w:tcPr>
            <w:tcW w:type="dxa" w:w="2160"/>
          </w:tcPr>
          <w:p>
            <w:pPr>
              <w:ind w:left="100"/>
            </w:pPr>
            <w:r/>
            <w:r>
              <w:rPr>
                <w:b/>
                <w:sz w:val="16"/>
              </w:rPr>
              <w:t>dividende</w:t>
              <w:br/>
            </w:r>
            <w:r>
              <w:rPr>
                <w:sz w:val="18"/>
              </w:rPr>
              <w:t>800 FCFA par action</w:t>
            </w:r>
          </w:p>
        </w:tc>
        <w:tc>
          <w:tcPr>
            <w:tcW w:type="dxa" w:w="2160"/>
          </w:tcPr>
          <w:p>
            <w:pPr>
              <w:ind w:left="100"/>
            </w:pPr>
            <w:r/>
            <w:r>
              <w:rPr>
                <w:b/>
                <w:sz w:val="16"/>
              </w:rPr>
              <w:t>marge_nette</w:t>
              <w:br/>
            </w:r>
            <w:r>
              <w:rPr>
                <w:sz w:val="18"/>
              </w:rPr>
              <w:t>6,19%</w:t>
            </w:r>
          </w:p>
        </w:tc>
        <w:tc>
          <w:tcPr>
            <w:tcW w:type="dxa" w:w="2160"/>
          </w:tcPr>
          <w:p>
            <w:pPr>
              <w:ind w:left="100"/>
            </w:pPr>
            <w:r/>
            <w:r>
              <w:rPr>
                <w:b/>
                <w:sz w:val="16"/>
              </w:rPr>
              <w:t>total_actif</w:t>
              <w:br/>
            </w:r>
            <w:r>
              <w:rPr>
                <w:sz w:val="18"/>
              </w:rPr>
              <w:t>107,351 milliards FCFA</w:t>
            </w:r>
          </w:p>
        </w:tc>
      </w:tr>
      <w:tr>
        <w:tc>
          <w:tcPr>
            <w:tcW w:type="dxa" w:w="2160"/>
          </w:tcPr>
          <w:p>
            <w:r/>
            <w:r>
              <w:rPr>
                <w:b/>
                <w:sz w:val="16"/>
              </w:rPr>
              <w:t>resultat_net</w:t>
              <w:br/>
            </w:r>
            <w:r>
              <w:rPr>
                <w:sz w:val="18"/>
              </w:rPr>
              <w:t>8,623 milliards FCFA</w:t>
            </w:r>
          </w:p>
        </w:tc>
        <w:tc>
          <w:tcPr>
            <w:tcW w:type="dxa" w:w="2160"/>
          </w:tcPr>
          <w:p>
            <w:r/>
            <w:r>
              <w:rPr>
                <w:b/>
                <w:sz w:val="16"/>
              </w:rPr>
              <w:t>capitaux_propres</w:t>
              <w:br/>
            </w:r>
            <w:r>
              <w:rPr>
                <w:sz w:val="18"/>
              </w:rPr>
              <w:t>21,747 milliards FCFA</w:t>
            </w:r>
          </w:p>
        </w:tc>
        <w:tc>
          <w:tcPr>
            <w:tcW w:type="dxa" w:w="2160"/>
          </w:tcPr>
          <w:p>
            <w:r/>
            <w:r>
              <w:rPr>
                <w:b/>
                <w:sz w:val="16"/>
              </w:rPr>
              <w:t>chiffre_affaires</w:t>
              <w:br/>
            </w:r>
            <w:r>
              <w:rPr>
                <w:sz w:val="18"/>
              </w:rPr>
              <w:t>139,353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36% à 139,353 milliards FCFA</w:t>
      </w:r>
    </w:p>
    <w:p>
      <w:pPr>
        <w:pStyle w:val="ListBullet"/>
        <w:spacing w:before="20" w:after="20"/>
        <w:ind w:left="700"/>
      </w:pPr>
      <w:r>
        <w:rPr>
          <w:sz w:val="18"/>
        </w:rPr>
        <w:t>Résultat net de 8,623 milliards FCFA, en baisse de 8% par rapport à 2020</w:t>
      </w:r>
    </w:p>
    <w:p>
      <w:pPr>
        <w:pStyle w:val="ListBullet"/>
        <w:spacing w:before="20" w:after="20"/>
        <w:ind w:left="700"/>
      </w:pPr>
      <w:r>
        <w:rPr>
          <w:sz w:val="18"/>
        </w:rPr>
        <w:t>Dividende attractif de 800 FCFA par action (taux de distribution de 72%)</w:t>
      </w:r>
    </w:p>
    <w:p>
      <w:pPr>
        <w:pStyle w:val="ListBullet"/>
        <w:spacing w:before="20" w:after="20"/>
        <w:ind w:left="700"/>
      </w:pPr>
      <w:r>
        <w:rPr>
          <w:sz w:val="18"/>
        </w:rPr>
        <w:t>Export en forte progression (+25%) compensant le recul du marché national (-14%)</w:t>
      </w:r>
    </w:p>
    <w:p>
      <w:pPr>
        <w:pStyle w:val="ListBullet"/>
        <w:spacing w:before="20" w:after="20"/>
        <w:ind w:left="700"/>
      </w:pPr>
      <w:r>
        <w:rPr>
          <w:sz w:val="18"/>
        </w:rPr>
        <w:t>Arrêt règlementaire de 66 jours et rupture d'approvisionnement ont impacté la production</w:t>
      </w:r>
    </w:p>
    <w:p>
      <w:pPr>
        <w:pStyle w:val="ListBullet"/>
        <w:spacing w:before="20" w:after="20"/>
        <w:ind w:left="700"/>
      </w:pPr>
      <w:r>
        <w:rPr>
          <w:sz w:val="18"/>
        </w:rPr>
        <w:t>Investissements techniques majeurs de 9,5 milliards FCFA</w:t>
      </w:r>
    </w:p>
    <w:p>
      <w:pPr>
        <w:spacing w:before="40"/>
        <w:ind w:left="400"/>
      </w:pPr>
      <w:r>
        <w:rPr>
          <w:b/>
          <w:color w:val="C05000"/>
          <w:sz w:val="18"/>
        </w:rPr>
        <w:t xml:space="preserve">⚠️ Risques : </w:t>
      </w:r>
      <w:r>
        <w:rPr>
          <w:sz w:val="18"/>
        </w:rPr>
        <w:t>["D\u00e9pendance aux approvisionnements en p\u00e9trole brut et volatilit\u00e9 des cours", "Concentration g\u00e9ographique sur l'Afrique de l'Ouest avec risques g\u00e9opolitiques", "Arr\u00eats techniques r\u00e8glementaires impactant la production et la rentabilit\u00e9"]</w:t>
      </w:r>
    </w:p>
    <w:p>
      <w:pPr>
        <w:spacing w:before="40"/>
        <w:ind w:left="400"/>
      </w:pPr>
      <w:r>
        <w:rPr>
          <w:b/>
          <w:color w:val="0064A0"/>
          <w:sz w:val="18"/>
        </w:rPr>
        <w:t xml:space="preserve">🔮 Perspectives : </w:t>
      </w:r>
      <w:r>
        <w:rPr>
          <w:sz w:val="18"/>
        </w:rPr>
        <w:t>Les perspectives 2022 sont positives avec la mise en service prévue du dépôt GOBITUMEN au Ghana en juin 2022, ouvrant de nouveaux débouchés export. La modernisation des installations et l'extension des capacités de stockage devraient améliorer l'efficacité opérationnelle. Le maintien d'une demande 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commissaires aux comptes n'ont relev\u00e9 aucune anomalie significative dans leurs v\u00e9rifications limit\u00e9es. L'attestation confirme la r\u00e9gularit\u00e9 des informations financi\u00e8res semestrielles selon les normes OHADA."}</w:t>
      </w:r>
    </w:p>
    <w:p>
      <w:pPr>
        <w:spacing w:before="40"/>
        <w:ind w:left="400"/>
      </w:pPr>
      <w:r>
        <w:rPr>
          <w:sz w:val="18"/>
        </w:rPr>
        <w:t>Ce document est une attestation des commissaires aux comptes d'ECR International et CCM Audit &amp; Conseil concernant la Société Multinationale de Bitumes S.A. (SMB) pour la période du 1er janvier au 30 juin 2022. Les commissaires attestent avoir effectué un examen analytique limité des données financières semestrielles selon les normes professionnelles et de l'OHADA. Ils précisent que cet examen ne constitue pas un audit complet et ne permet pas d'exprimer une opinion d'audit. L'attestation confirme que les documents financiers ont été vérifiés conformément à la norme ISRE 2410 pour les examens limités d'informations financières intermédiaires. Les commissaires n'ont pas relevé d'éléments reme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la période semestrielle du 1er janvier au 30 juin 2022</w:t>
      </w:r>
    </w:p>
    <w:p>
      <w:pPr>
        <w:pStyle w:val="ListBullet"/>
        <w:spacing w:before="20" w:after="20"/>
        <w:ind w:left="700"/>
      </w:pPr>
      <w:r>
        <w:rPr>
          <w:sz w:val="18"/>
        </w:rPr>
        <w:t>Examen analytique limité effectué selon les normes OHADA et professionnelles</w:t>
      </w:r>
    </w:p>
    <w:p>
      <w:pPr>
        <w:pStyle w:val="ListBullet"/>
        <w:spacing w:before="20" w:after="20"/>
        <w:ind w:left="700"/>
      </w:pPr>
      <w:r>
        <w:rPr>
          <w:sz w:val="18"/>
        </w:rPr>
        <w:t>Vérification conforme à la norme ISRE 2410 pour les examens limités d'informations financières intermédiaires</w:t>
      </w:r>
    </w:p>
    <w:p>
      <w:pPr>
        <w:pStyle w:val="ListBullet"/>
        <w:spacing w:before="20" w:after="20"/>
        <w:ind w:left="700"/>
      </w:pPr>
      <w:r>
        <w:rPr>
          <w:sz w:val="18"/>
        </w:rPr>
        <w:t>Aucune anomalie significative relevée lors de l'examen limité</w:t>
      </w:r>
    </w:p>
    <w:p>
      <w:pPr>
        <w:pStyle w:val="ListBullet"/>
        <w:spacing w:before="20" w:after="20"/>
        <w:ind w:left="700"/>
      </w:pPr>
      <w:r>
        <w:rPr>
          <w:sz w:val="18"/>
        </w:rPr>
        <w:t>Procédures analytiques et diligences limitées mises en œuvre</w:t>
      </w:r>
    </w:p>
    <w:p>
      <w:pPr>
        <w:pStyle w:val="ListBullet"/>
        <w:spacing w:before="20" w:after="20"/>
        <w:ind w:left="700"/>
      </w:pPr>
      <w:r>
        <w:rPr>
          <w:sz w:val="18"/>
        </w:rPr>
        <w:t>Information estimée nécessaire obtenue conformément aux exigences</w:t>
      </w:r>
    </w:p>
    <w:p>
      <w:pPr>
        <w:spacing w:before="40"/>
        <w:ind w:left="400"/>
      </w:pPr>
      <w:r>
        <w:rPr>
          <w:b/>
          <w:color w:val="C05000"/>
          <w:sz w:val="18"/>
        </w:rPr>
        <w:t xml:space="preserve">⚠️ Risques : </w:t>
      </w:r>
      <w:r>
        <w:rPr>
          <w:sz w:val="18"/>
        </w:rPr>
        <w:t>["Examen limit\u00e9 ne constituant pas un audit complet pouvant masquer certains risques", "Absence de donn\u00e9es financi\u00e8res d\u00e9taill\u00e9es dans ce document d'attestation", "D\u00e9pendance aux informations fournies par la direction pour l'examen limit\u00e9"]</w:t>
      </w:r>
    </w:p>
    <w:p>
      <w:pPr>
        <w:spacing w:before="40"/>
        <w:ind w:left="400"/>
      </w:pPr>
      <w:r>
        <w:rPr>
          <w:b/>
          <w:color w:val="0064A0"/>
          <w:sz w:val="18"/>
        </w:rPr>
        <w:t xml:space="preserve">🔮 Perspectives : </w:t>
      </w:r>
      <w:r>
        <w:rPr>
          <w:sz w:val="18"/>
        </w:rPr>
        <w:t>Ce document ne fournit pas d'informations sur les perspectives financières de SMB. Il s'agit uniquement d'une attestation technique des commissaires aux comptes confirmant la régularité de l'examen semestriel. Des états financiers complets seraient nécessaires pour évaluer les perspectives de la soc</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du CA de 132% et du r\u00e9sultat net de 26%. Les perspectives sont favorables gr\u00e2ce aux importants projets d'infrastructures financ\u00e9s par l'\u00c9tat."}</w:t>
      </w:r>
    </w:p>
    <w:p>
      <w:pPr>
        <w:spacing w:before="40"/>
        <w:ind w:left="400"/>
      </w:pPr>
      <w:r>
        <w:rPr>
          <w:sz w:val="18"/>
        </w:rPr>
        <w:t>SMB réalise une performance exceptionnelle au S1 2022 avec un chiffre d'affaires multiplié par 2,3 à 113,5 milliards FCFA (+132%). Cette croissance explosive s'explique principalement par la flambée des cours des produits pétroliers (+52% à +105%) et une forte demande nationale en bitumes (+32%). Le résultat net progresse de 26% à 5,2 milliards FCFA malgré la hausse des coûts des matières premières. La société bénéficie des importants travaux routiers menés par l'État ivoirien et d'un marché export dynamique (+56%). Les perspectives restent favorables pour le second semestre grâce aux projets d'infrastructures en cours à Abidjan et à l'intérieur du pays.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'4,872 milliards FCFA', 'impot_sur_resultat': '2,2 milliards FCFA', 'resultat_exploitation': '7,6 milliards FCFA', 'resultat_activites_ordinaires': '7,4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113,5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explosion : +132% à 113,5 milliards FCFA au S1 2022</w:t>
      </w:r>
    </w:p>
    <w:p>
      <w:pPr>
        <w:pStyle w:val="ListBullet"/>
        <w:spacing w:before="20" w:after="20"/>
        <w:ind w:left="700"/>
      </w:pPr>
      <w:r>
        <w:rPr>
          <w:sz w:val="18"/>
        </w:rPr>
        <w:t>Forte hausse des prix des produits pétroliers : Super +77%, Kérosène +105%, Gasoil +97%, Bitumes +52%</w:t>
      </w:r>
    </w:p>
    <w:p>
      <w:pPr>
        <w:pStyle w:val="ListBullet"/>
        <w:spacing w:before="20" w:after="20"/>
        <w:ind w:left="700"/>
      </w:pPr>
      <w:r>
        <w:rPr>
          <w:sz w:val="18"/>
        </w:rPr>
        <w:t>Marché national des bitumes en croissance de 32% avec 60 200 tonnes vendues</w:t>
      </w:r>
    </w:p>
    <w:p>
      <w:pPr>
        <w:pStyle w:val="ListBullet"/>
        <w:spacing w:before="20" w:after="20"/>
        <w:ind w:left="700"/>
      </w:pPr>
      <w:r>
        <w:rPr>
          <w:sz w:val="18"/>
        </w:rPr>
        <w:t>Export maritime dynamique : +56% avec 68 770 tonnes vendues</w:t>
      </w:r>
    </w:p>
    <w:p>
      <w:pPr>
        <w:pStyle w:val="ListBullet"/>
        <w:spacing w:before="20" w:after="20"/>
        <w:ind w:left="700"/>
      </w:pPr>
      <w:r>
        <w:rPr>
          <w:sz w:val="18"/>
        </w:rPr>
        <w:t>Résultat net en progression de 26% à 5,2 milliards FCFA</w:t>
      </w:r>
    </w:p>
    <w:p>
      <w:pPr>
        <w:pStyle w:val="ListBullet"/>
        <w:spacing w:before="20" w:after="20"/>
        <w:ind w:left="700"/>
      </w:pPr>
      <w:r>
        <w:rPr>
          <w:sz w:val="18"/>
        </w:rPr>
        <w:t>Résultat des activités ordinaires en hausse de 17% à 7,4 milliards FCFA</w:t>
      </w:r>
    </w:p>
    <w:p>
      <w:pPr>
        <w:spacing w:before="40"/>
        <w:ind w:left="400"/>
      </w:pPr>
      <w:r>
        <w:rPr>
          <w:b/>
          <w:color w:val="C05000"/>
          <w:sz w:val="18"/>
        </w:rPr>
        <w:t xml:space="preserve">⚠️ Risques : </w:t>
      </w:r>
      <w:r>
        <w:rPr>
          <w:sz w:val="18"/>
        </w:rPr>
        <w:t>["Volatilit\u00e9 des cours des produits p\u00e9troliers et du Brent", "D\u00e9pendance aux politiques d'investissement public en infrastructures", "Hausse continue des co\u00fbts des mati\u00e8res premi\u00e8res (fuel 1%)"]</w:t>
      </w:r>
    </w:p>
    <w:p>
      <w:pPr>
        <w:spacing w:before="40"/>
        <w:ind w:left="400"/>
      </w:pPr>
      <w:r>
        <w:rPr>
          <w:b/>
          <w:color w:val="0064A0"/>
          <w:sz w:val="18"/>
        </w:rPr>
        <w:t xml:space="preserve">🔮 Perspectives : </w:t>
      </w:r>
      <w:r>
        <w:rPr>
          <w:sz w:val="18"/>
        </w:rPr>
        <w:t xml:space="preserve">Les perspectives pour le second semestre 2022 restent bonnes, soutenues par la saisonnalité de l'activité et la forte demande nationale. La société devrait bénéficier de la poursuite des gros travaux d'infrastructures à Abidjan et à l'intérieur du pays, dont les financements sont déjà sécurisés. La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l'excellente performance du chiffre d'affaires, la pression sur les marges et la volatilit\u00e9 des cours p\u00e9troliers n\u00e9cessitent de la prudence. La forte demande nationale offre cependant un support solide pour maintenir la position."}</w:t>
      </w:r>
    </w:p>
    <w:p>
      <w:pPr>
        <w:spacing w:before="40"/>
        <w:ind w:left="400"/>
      </w:pPr>
      <w:r>
        <w:rPr>
          <w:sz w:val="18"/>
        </w:rPr>
        <w:t>SMB affiche un chiffre d'affaires exceptionnel de 194,7 milliards FCFA au 30 septembre 2022, en hausse de 128% par rapport à 2021, principalement grâce à l'envolée des cours du pétrole liée à la guerre russo-ukrainienne. Le résultat net reste stable à 6,5 milliards FCFA (+2%) malgré une baisse de 9% du résultat des activités ordinaires. Cette performance s'explique par la forte contraction des marges de raffinage au T3 2022 et la hausse de 55% des coûts des matières premières. La société reste cependant rentable avec une marge nette maintenue autour de 3,3%. Les perspectives pour le T4 2022 sont encourageantes grâce à la forte demande du marché national malgré la dégradation des cours intern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'128%', 'capital_social': '4,872 milliards FCFA', 'variation_resultat_net': '2%', 'resultat_activites_ordinaires': '8,47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194,7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explosion : +128% à 194,7 milliards FCFA grâce aux cours pétroliers élevés</w:t>
      </w:r>
    </w:p>
    <w:p>
      <w:pPr>
        <w:pStyle w:val="ListBullet"/>
        <w:spacing w:before="20" w:after="20"/>
        <w:ind w:left="700"/>
      </w:pPr>
      <w:r>
        <w:rPr>
          <w:sz w:val="18"/>
        </w:rPr>
        <w:t>Résultat net stable à 6,5 milliards FCFA (+2%) démontrant la résilience opérationnelle</w:t>
      </w:r>
    </w:p>
    <w:p>
      <w:pPr>
        <w:pStyle w:val="ListBullet"/>
        <w:spacing w:before="20" w:after="20"/>
        <w:ind w:left="700"/>
      </w:pPr>
      <w:r>
        <w:rPr>
          <w:sz w:val="18"/>
        </w:rPr>
        <w:t>Forte pression sur les marges : résultat des activités ordinaires en baisse de 9%</w:t>
      </w:r>
    </w:p>
    <w:p>
      <w:pPr>
        <w:pStyle w:val="ListBullet"/>
        <w:spacing w:before="20" w:after="20"/>
        <w:ind w:left="700"/>
      </w:pPr>
      <w:r>
        <w:rPr>
          <w:sz w:val="18"/>
        </w:rPr>
        <w:t>Impact significatif des coûts : hausse de 55% du prix des matières premières</w:t>
      </w:r>
    </w:p>
    <w:p>
      <w:pPr>
        <w:pStyle w:val="ListBullet"/>
        <w:spacing w:before="20" w:after="20"/>
        <w:ind w:left="700"/>
      </w:pPr>
      <w:r>
        <w:rPr>
          <w:sz w:val="18"/>
        </w:rPr>
        <w:t>Contraction des marges de raffinage au troisième trimestre 2022</w:t>
      </w:r>
    </w:p>
    <w:p>
      <w:pPr>
        <w:pStyle w:val="ListBullet"/>
        <w:spacing w:before="20" w:after="20"/>
        <w:ind w:left="700"/>
      </w:pPr>
      <w:r>
        <w:rPr>
          <w:sz w:val="18"/>
        </w:rPr>
        <w:t>Forte demande du marché national soutenant les perspectives T4 2022</w:t>
      </w:r>
    </w:p>
    <w:p>
      <w:pPr>
        <w:spacing w:before="40"/>
        <w:ind w:left="400"/>
      </w:pPr>
      <w:r>
        <w:rPr>
          <w:b/>
          <w:color w:val="C05000"/>
          <w:sz w:val="18"/>
        </w:rPr>
        <w:t xml:space="preserve">⚠️ Risques : </w:t>
      </w:r>
      <w:r>
        <w:rPr>
          <w:sz w:val="18"/>
        </w:rPr>
        <w:t>["Volatilit\u00e9 extr\u00eame des cours p\u00e9troliers internationaux impactant directement les revenus", "Forte pression sur les marges de raffinage et hausse continue des co\u00fbts des mati\u00e8res premi\u00e8res", "D\u00e9pendance aux cours du fuel 3,5% Fob Med en d\u00e9gradation depuis le T</w:t>
      </w:r>
    </w:p>
    <w:p>
      <w:pPr>
        <w:spacing w:before="40"/>
        <w:ind w:left="400"/>
      </w:pPr>
      <w:r>
        <w:rPr>
          <w:b/>
          <w:color w:val="0064A0"/>
          <w:sz w:val="18"/>
        </w:rPr>
        <w:t xml:space="preserve">🔮 Perspectives : </w:t>
      </w:r>
      <w:r>
        <w:rPr>
          <w:sz w:val="18"/>
        </w:rPr>
        <w:t>Les projections pour le T4 2022 sont encourageantes grâce à la forte demande du marché national qui pourrait consolider voire améliorer la position de SMB. La société mise sur un pilotage renforcé pour naviguer dans l'environnement volatil des cours pétroliers et préserver ses acquis malgré les défi</w:t>
      </w:r>
    </w:p>
    <w:p/>
    <w:p>
      <w:r>
        <w:t>════════════════════════════════════════════════════════════════════════════════</w:t>
      </w:r>
    </w:p>
    <w:p>
      <w:r>
        <w:br w:type="page"/>
      </w:r>
    </w:p>
    <w:p>
      <w:pPr>
        <w:pStyle w:val="Heading2"/>
        <w:spacing w:before="360"/>
      </w:pPr>
      <w:r>
        <w:rPr>
          <w:color w:val="0066CC"/>
        </w:rPr>
        <w:t>40. SNTS - SNTS - SONATEL SN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SNTS</w:t>
            </w:r>
          </w:p>
          <w:p>
            <w:r>
              <w:rPr>
                <w:b/>
                <w:color w:val="323250"/>
                <w:sz w:val="16"/>
              </w:rPr>
              <w:t xml:space="preserve">Société : </w:t>
            </w:r>
            <w:r>
              <w:rPr>
                <w:color w:val="000000"/>
                <w:sz w:val="16"/>
              </w:rPr>
              <w:t>SNTS - SONATEL SN</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4390.00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14,104 titres</w:t>
            </w:r>
          </w:p>
        </w:tc>
        <w:tc>
          <w:tcPr>
            <w:tcW w:type="dxa" w:w="2268"/>
            <w:shd w:fill="FFF2CC" w:val="clear"/>
          </w:tcPr>
          <w:p>
            <w:r>
              <w:rPr>
                <w:b/>
                <w:color w:val="503200"/>
                <w:sz w:val="16"/>
              </w:rPr>
              <w:t xml:space="preserve">Cours actuel : </w:t>
            </w:r>
            <w:r>
              <w:rPr>
                <w:color w:val="000000"/>
                <w:sz w:val="17"/>
              </w:rPr>
              <w:t>43,900 FCFA</w:t>
            </w:r>
          </w:p>
          <w:p>
            <w:r>
              <w:rPr>
                <w:b/>
                <w:color w:val="503200"/>
                <w:sz w:val="16"/>
              </w:rPr>
              <w:t xml:space="preserve">Var. 100 jours : </w:t>
            </w:r>
            <w:r>
              <w:rPr>
                <w:b/>
                <w:color w:val="007800"/>
                <w:sz w:val="17"/>
              </w:rPr>
              <w:t>+54.04%</w:t>
            </w:r>
          </w:p>
          <w:p>
            <w:r>
              <w:rPr>
                <w:b/>
                <w:color w:val="503200"/>
                <w:sz w:val="16"/>
              </w:rPr>
              <w:t xml:space="preserve">Plus haut 100j : </w:t>
            </w:r>
            <w:r>
              <w:rPr>
                <w:color w:val="000000"/>
                <w:sz w:val="17"/>
              </w:rPr>
              <w:t>45,000 FCFA</w:t>
            </w:r>
          </w:p>
          <w:p>
            <w:r>
              <w:rPr>
                <w:b/>
                <w:color w:val="503200"/>
                <w:sz w:val="16"/>
              </w:rPr>
              <w:t xml:space="preserve">Plus bas 100j : </w:t>
            </w:r>
            <w:r>
              <w:rPr>
                <w:color w:val="000000"/>
                <w:sz w:val="17"/>
              </w:rPr>
              <w:t>28,000 FCFA</w:t>
            </w:r>
          </w:p>
          <w:p>
            <w:r>
              <w:rPr>
                <w:b/>
                <w:color w:val="503200"/>
                <w:sz w:val="16"/>
              </w:rPr>
              <w:t xml:space="preserve">Volatilité ann. : </w:t>
            </w:r>
            <w:r>
              <w:rPr>
                <w:color w:val="000000"/>
                <w:sz w:val="17"/>
              </w:rPr>
              <w:t>31.1%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29.3/100 → Moyen</w:t>
      </w:r>
    </w:p>
    <w:p>
      <w:pPr>
        <w:spacing w:before="40" w:after="80"/>
      </w:pPr>
      <w:r>
        <w:rPr>
          <w:rFonts w:ascii="Courier New" w:hAnsi="Courier New"/>
          <w:color w:val="825A00"/>
          <w:sz w:val="18"/>
        </w:rPr>
        <w:t>█████░░░░░░░░░░░░░░░  29.3/100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16.63% (Élevée) — μ=34,211 FCFA, σ=5,688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β=1.2895 (Agressif) — Cov=0.000096, Var(idx)=0.000075, ρ=0.565, n=96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C6EFCE" w:val="clear"/>
          </w:tcPr>
          <w:p>
            <w:r>
              <w:rPr>
                <w:b/>
                <w:sz w:val="15"/>
              </w:rPr>
              <w:t>14,104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σ_j=1.96%/j (Stable) — Vol. annualisée≈31.1%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C000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03190"/>
            <wp:docPr id="42" name="Picture 42"/>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2026-10-16</w:t>
            </w:r>
          </w:p>
        </w:tc>
        <w:tc>
          <w:tcPr>
            <w:tcW w:type="dxa" w:w="1440"/>
            <w:shd w:fill="FAFAFA" w:val="clear"/>
          </w:tcPr>
          <w:p>
            <w:r>
              <w:rPr>
                <w:sz w:val="17"/>
              </w:rPr>
              <w:t>43,153</w:t>
            </w:r>
          </w:p>
        </w:tc>
        <w:tc>
          <w:tcPr>
            <w:tcW w:type="dxa" w:w="1440"/>
            <w:shd w:fill="FAFAFA" w:val="clear"/>
          </w:tcPr>
          <w:p>
            <w:r>
              <w:rPr>
                <w:b/>
                <w:sz w:val="17"/>
              </w:rPr>
              <w:t>44,484</w:t>
            </w:r>
          </w:p>
        </w:tc>
        <w:tc>
          <w:tcPr>
            <w:tcW w:type="dxa" w:w="1440"/>
            <w:shd w:fill="FAFAFA" w:val="clear"/>
          </w:tcPr>
          <w:p>
            <w:r>
              <w:rPr>
                <w:sz w:val="17"/>
              </w:rPr>
              <w:t>45,815</w:t>
            </w:r>
          </w:p>
        </w:tc>
        <w:tc>
          <w:tcPr>
            <w:tcW w:type="dxa" w:w="1440"/>
            <w:shd w:fill="FAFAFA" w:val="clear"/>
          </w:tcPr>
          <w:p>
            <w:r>
              <w:rPr>
                <w:b/>
                <w:color w:val="008000"/>
                <w:sz w:val="17"/>
              </w:rPr>
              <w:t>+1.3%</w:t>
            </w:r>
          </w:p>
        </w:tc>
      </w:tr>
      <w:tr>
        <w:tc>
          <w:tcPr>
            <w:tcW w:type="dxa" w:w="1440"/>
            <w:shd w:fill="FAFAFA" w:val="clear"/>
          </w:tcPr>
          <w:p>
            <w:r>
              <w:rPr>
                <w:sz w:val="17"/>
              </w:rPr>
              <w:t>J+2  Moyenne</w:t>
            </w:r>
          </w:p>
        </w:tc>
        <w:tc>
          <w:tcPr>
            <w:tcW w:type="dxa" w:w="1440"/>
            <w:shd w:fill="FAFAFA" w:val="clear"/>
          </w:tcPr>
          <w:p>
            <w:r>
              <w:rPr>
                <w:sz w:val="17"/>
              </w:rPr>
              <w:t>2026-10-19</w:t>
            </w:r>
          </w:p>
        </w:tc>
        <w:tc>
          <w:tcPr>
            <w:tcW w:type="dxa" w:w="1440"/>
            <w:shd w:fill="FAFAFA" w:val="clear"/>
          </w:tcPr>
          <w:p>
            <w:r>
              <w:rPr>
                <w:sz w:val="17"/>
              </w:rPr>
              <w:t>42,552</w:t>
            </w:r>
          </w:p>
        </w:tc>
        <w:tc>
          <w:tcPr>
            <w:tcW w:type="dxa" w:w="1440"/>
            <w:shd w:fill="FAFAFA" w:val="clear"/>
          </w:tcPr>
          <w:p>
            <w:r>
              <w:rPr>
                <w:b/>
                <w:sz w:val="17"/>
              </w:rPr>
              <w:t>44,433</w:t>
            </w:r>
          </w:p>
        </w:tc>
        <w:tc>
          <w:tcPr>
            <w:tcW w:type="dxa" w:w="1440"/>
            <w:shd w:fill="FAFAFA" w:val="clear"/>
          </w:tcPr>
          <w:p>
            <w:r>
              <w:rPr>
                <w:sz w:val="17"/>
              </w:rPr>
              <w:t>46,313</w:t>
            </w:r>
          </w:p>
        </w:tc>
        <w:tc>
          <w:tcPr>
            <w:tcW w:type="dxa" w:w="1440"/>
            <w:shd w:fill="FAFAFA" w:val="clear"/>
          </w:tcPr>
          <w:p>
            <w:r>
              <w:rPr>
                <w:b/>
                <w:color w:val="008000"/>
                <w:sz w:val="17"/>
              </w:rPr>
              <w:t>+1.2%</w:t>
            </w:r>
          </w:p>
        </w:tc>
      </w:tr>
      <w:tr>
        <w:tc>
          <w:tcPr>
            <w:tcW w:type="dxa" w:w="1440"/>
            <w:shd w:fill="FAFAFA" w:val="clear"/>
          </w:tcPr>
          <w:p>
            <w:r>
              <w:rPr>
                <w:sz w:val="17"/>
              </w:rPr>
              <w:t>J+3  ⭐</w:t>
            </w:r>
          </w:p>
        </w:tc>
        <w:tc>
          <w:tcPr>
            <w:tcW w:type="dxa" w:w="1440"/>
            <w:shd w:fill="FAFAFA" w:val="clear"/>
          </w:tcPr>
          <w:p>
            <w:r>
              <w:rPr>
                <w:sz w:val="17"/>
              </w:rPr>
              <w:t>2026-10-20</w:t>
            </w:r>
          </w:p>
        </w:tc>
        <w:tc>
          <w:tcPr>
            <w:tcW w:type="dxa" w:w="1440"/>
            <w:shd w:fill="FAFAFA" w:val="clear"/>
          </w:tcPr>
          <w:p>
            <w:r>
              <w:rPr>
                <w:sz w:val="17"/>
              </w:rPr>
              <w:t>42,128</w:t>
            </w:r>
          </w:p>
        </w:tc>
        <w:tc>
          <w:tcPr>
            <w:tcW w:type="dxa" w:w="1440"/>
            <w:shd w:fill="FAFAFA" w:val="clear"/>
          </w:tcPr>
          <w:p>
            <w:r>
              <w:rPr>
                <w:b/>
                <w:sz w:val="17"/>
              </w:rPr>
              <w:t>44,431</w:t>
            </w:r>
          </w:p>
        </w:tc>
        <w:tc>
          <w:tcPr>
            <w:tcW w:type="dxa" w:w="1440"/>
            <w:shd w:fill="FAFAFA" w:val="clear"/>
          </w:tcPr>
          <w:p>
            <w:r>
              <w:rPr>
                <w:sz w:val="17"/>
              </w:rPr>
              <w:t>46,734</w:t>
            </w:r>
          </w:p>
        </w:tc>
        <w:tc>
          <w:tcPr>
            <w:tcW w:type="dxa" w:w="1440"/>
            <w:shd w:fill="FAFAFA" w:val="clear"/>
          </w:tcPr>
          <w:p>
            <w:r>
              <w:rPr>
                <w:b/>
                <w:color w:val="008000"/>
                <w:sz w:val="17"/>
              </w:rPr>
              <w:t>+1.2%</w:t>
            </w:r>
          </w:p>
        </w:tc>
      </w:tr>
      <w:tr>
        <w:tc>
          <w:tcPr>
            <w:tcW w:type="dxa" w:w="1440"/>
            <w:shd w:fill="FAFAFA" w:val="clear"/>
          </w:tcPr>
          <w:p>
            <w:r>
              <w:rPr>
                <w:sz w:val="17"/>
              </w:rPr>
              <w:t>J+4  ⭐</w:t>
            </w:r>
          </w:p>
        </w:tc>
        <w:tc>
          <w:tcPr>
            <w:tcW w:type="dxa" w:w="1440"/>
            <w:shd w:fill="FAFAFA" w:val="clear"/>
          </w:tcPr>
          <w:p>
            <w:r>
              <w:rPr>
                <w:sz w:val="17"/>
              </w:rPr>
              <w:t>2026-10-21</w:t>
            </w:r>
          </w:p>
        </w:tc>
        <w:tc>
          <w:tcPr>
            <w:tcW w:type="dxa" w:w="1440"/>
            <w:shd w:fill="FAFAFA" w:val="clear"/>
          </w:tcPr>
          <w:p>
            <w:r>
              <w:rPr>
                <w:sz w:val="17"/>
              </w:rPr>
              <w:t>41,775</w:t>
            </w:r>
          </w:p>
        </w:tc>
        <w:tc>
          <w:tcPr>
            <w:tcW w:type="dxa" w:w="1440"/>
            <w:shd w:fill="FAFAFA" w:val="clear"/>
          </w:tcPr>
          <w:p>
            <w:r>
              <w:rPr>
                <w:b/>
                <w:sz w:val="17"/>
              </w:rPr>
              <w:t>44,435</w:t>
            </w:r>
          </w:p>
        </w:tc>
        <w:tc>
          <w:tcPr>
            <w:tcW w:type="dxa" w:w="1440"/>
            <w:shd w:fill="FAFAFA" w:val="clear"/>
          </w:tcPr>
          <w:p>
            <w:r>
              <w:rPr>
                <w:sz w:val="17"/>
              </w:rPr>
              <w:t>47,095</w:t>
            </w:r>
          </w:p>
        </w:tc>
        <w:tc>
          <w:tcPr>
            <w:tcW w:type="dxa" w:w="1440"/>
            <w:shd w:fill="FAFAFA" w:val="clear"/>
          </w:tcPr>
          <w:p>
            <w:r>
              <w:rPr>
                <w:b/>
                <w:color w:val="008000"/>
                <w:sz w:val="17"/>
              </w:rPr>
              <w:t>+1.2%</w:t>
            </w:r>
          </w:p>
        </w:tc>
      </w:tr>
      <w:tr>
        <w:tc>
          <w:tcPr>
            <w:tcW w:type="dxa" w:w="1440"/>
            <w:shd w:fill="FAFAFA" w:val="clear"/>
          </w:tcPr>
          <w:p>
            <w:r>
              <w:rPr>
                <w:sz w:val="17"/>
              </w:rPr>
              <w:t>J+5  ⭐</w:t>
            </w:r>
          </w:p>
        </w:tc>
        <w:tc>
          <w:tcPr>
            <w:tcW w:type="dxa" w:w="1440"/>
            <w:shd w:fill="FAFAFA" w:val="clear"/>
          </w:tcPr>
          <w:p>
            <w:r>
              <w:rPr>
                <w:sz w:val="17"/>
              </w:rPr>
              <w:t>2026-10-22</w:t>
            </w:r>
          </w:p>
        </w:tc>
        <w:tc>
          <w:tcPr>
            <w:tcW w:type="dxa" w:w="1440"/>
            <w:shd w:fill="FAFAFA" w:val="clear"/>
          </w:tcPr>
          <w:p>
            <w:r>
              <w:rPr>
                <w:sz w:val="17"/>
              </w:rPr>
              <w:t>41,461</w:t>
            </w:r>
          </w:p>
        </w:tc>
        <w:tc>
          <w:tcPr>
            <w:tcW w:type="dxa" w:w="1440"/>
            <w:shd w:fill="FAFAFA" w:val="clear"/>
          </w:tcPr>
          <w:p>
            <w:r>
              <w:rPr>
                <w:b/>
                <w:sz w:val="17"/>
              </w:rPr>
              <w:t>44,435</w:t>
            </w:r>
          </w:p>
        </w:tc>
        <w:tc>
          <w:tcPr>
            <w:tcW w:type="dxa" w:w="1440"/>
            <w:shd w:fill="FAFAFA" w:val="clear"/>
          </w:tcPr>
          <w:p>
            <w:r>
              <w:rPr>
                <w:sz w:val="17"/>
              </w:rPr>
              <w:t>47,408</w:t>
            </w:r>
          </w:p>
        </w:tc>
        <w:tc>
          <w:tcPr>
            <w:tcW w:type="dxa" w:w="1440"/>
            <w:shd w:fill="FAFAFA" w:val="clear"/>
          </w:tcPr>
          <w:p>
            <w:r>
              <w:rPr>
                <w:b/>
                <w:color w:val="008000"/>
                <w:sz w:val="17"/>
              </w:rPr>
              <w:t>+1.2%</w:t>
            </w:r>
          </w:p>
        </w:tc>
      </w:tr>
      <w:tr>
        <w:tc>
          <w:tcPr>
            <w:tcW w:type="dxa" w:w="1440"/>
            <w:shd w:fill="FAFAFA" w:val="clear"/>
          </w:tcPr>
          <w:p>
            <w:r>
              <w:rPr>
                <w:sz w:val="17"/>
              </w:rPr>
              <w:t>J+6  ⭐</w:t>
            </w:r>
          </w:p>
        </w:tc>
        <w:tc>
          <w:tcPr>
            <w:tcW w:type="dxa" w:w="1440"/>
            <w:shd w:fill="FAFAFA" w:val="clear"/>
          </w:tcPr>
          <w:p>
            <w:r>
              <w:rPr>
                <w:sz w:val="17"/>
              </w:rPr>
              <w:t>2026-10-23</w:t>
            </w:r>
          </w:p>
        </w:tc>
        <w:tc>
          <w:tcPr>
            <w:tcW w:type="dxa" w:w="1440"/>
            <w:shd w:fill="FAFAFA" w:val="clear"/>
          </w:tcPr>
          <w:p>
            <w:r>
              <w:rPr>
                <w:sz w:val="17"/>
              </w:rPr>
              <w:t>41,175</w:t>
            </w:r>
          </w:p>
        </w:tc>
        <w:tc>
          <w:tcPr>
            <w:tcW w:type="dxa" w:w="1440"/>
            <w:shd w:fill="FAFAFA" w:val="clear"/>
          </w:tcPr>
          <w:p>
            <w:r>
              <w:rPr>
                <w:b/>
                <w:sz w:val="17"/>
              </w:rPr>
              <w:t>44,432</w:t>
            </w:r>
          </w:p>
        </w:tc>
        <w:tc>
          <w:tcPr>
            <w:tcW w:type="dxa" w:w="1440"/>
            <w:shd w:fill="FAFAFA" w:val="clear"/>
          </w:tcPr>
          <w:p>
            <w:r>
              <w:rPr>
                <w:sz w:val="17"/>
              </w:rPr>
              <w:t>47,689</w:t>
            </w:r>
          </w:p>
        </w:tc>
        <w:tc>
          <w:tcPr>
            <w:tcW w:type="dxa" w:w="1440"/>
            <w:shd w:fill="FAFAFA" w:val="clear"/>
          </w:tcPr>
          <w:p>
            <w:r>
              <w:rPr>
                <w:b/>
                <w:color w:val="008000"/>
                <w:sz w:val="17"/>
              </w:rPr>
              <w:t>+1.2%</w:t>
            </w:r>
          </w:p>
        </w:tc>
      </w:tr>
      <w:tr>
        <w:tc>
          <w:tcPr>
            <w:tcW w:type="dxa" w:w="1440"/>
            <w:shd w:fill="FAFAFA" w:val="clear"/>
          </w:tcPr>
          <w:p>
            <w:r>
              <w:rPr>
                <w:sz w:val="17"/>
              </w:rPr>
              <w:t>J+7  ⭐</w:t>
            </w:r>
          </w:p>
        </w:tc>
        <w:tc>
          <w:tcPr>
            <w:tcW w:type="dxa" w:w="1440"/>
            <w:shd w:fill="FAFAFA" w:val="clear"/>
          </w:tcPr>
          <w:p>
            <w:r>
              <w:rPr>
                <w:sz w:val="17"/>
              </w:rPr>
              <w:t>2026-10-26</w:t>
            </w:r>
          </w:p>
        </w:tc>
        <w:tc>
          <w:tcPr>
            <w:tcW w:type="dxa" w:w="1440"/>
            <w:shd w:fill="FAFAFA" w:val="clear"/>
          </w:tcPr>
          <w:p>
            <w:r>
              <w:rPr>
                <w:sz w:val="17"/>
              </w:rPr>
              <w:t>40,910</w:t>
            </w:r>
          </w:p>
        </w:tc>
        <w:tc>
          <w:tcPr>
            <w:tcW w:type="dxa" w:w="1440"/>
            <w:shd w:fill="FAFAFA" w:val="clear"/>
          </w:tcPr>
          <w:p>
            <w:r>
              <w:rPr>
                <w:b/>
                <w:sz w:val="17"/>
              </w:rPr>
              <w:t>44,428</w:t>
            </w:r>
          </w:p>
        </w:tc>
        <w:tc>
          <w:tcPr>
            <w:tcW w:type="dxa" w:w="1440"/>
            <w:shd w:fill="FAFAFA" w:val="clear"/>
          </w:tcPr>
          <w:p>
            <w:r>
              <w:rPr>
                <w:sz w:val="17"/>
              </w:rPr>
              <w:t>47,945</w:t>
            </w:r>
          </w:p>
        </w:tc>
        <w:tc>
          <w:tcPr>
            <w:tcW w:type="dxa" w:w="1440"/>
            <w:shd w:fill="FAFAFA" w:val="clear"/>
          </w:tcPr>
          <w:p>
            <w:r>
              <w:rPr>
                <w:b/>
                <w:color w:val="008000"/>
                <w:sz w:val="17"/>
              </w:rPr>
              <w:t>+1.2%</w:t>
            </w:r>
          </w:p>
        </w:tc>
      </w:tr>
      <w:tr>
        <w:tc>
          <w:tcPr>
            <w:tcW w:type="dxa" w:w="1440"/>
            <w:shd w:fill="FAFAFA" w:val="clear"/>
          </w:tcPr>
          <w:p>
            <w:r>
              <w:rPr>
                <w:sz w:val="17"/>
              </w:rPr>
              <w:t>J+8  ⭐</w:t>
            </w:r>
          </w:p>
        </w:tc>
        <w:tc>
          <w:tcPr>
            <w:tcW w:type="dxa" w:w="1440"/>
            <w:shd w:fill="FAFAFA" w:val="clear"/>
          </w:tcPr>
          <w:p>
            <w:r>
              <w:rPr>
                <w:sz w:val="17"/>
              </w:rPr>
              <w:t>2026-10-27</w:t>
            </w:r>
          </w:p>
        </w:tc>
        <w:tc>
          <w:tcPr>
            <w:tcW w:type="dxa" w:w="1440"/>
            <w:shd w:fill="FAFAFA" w:val="clear"/>
          </w:tcPr>
          <w:p>
            <w:r>
              <w:rPr>
                <w:sz w:val="17"/>
              </w:rPr>
              <w:t>40,661</w:t>
            </w:r>
          </w:p>
        </w:tc>
        <w:tc>
          <w:tcPr>
            <w:tcW w:type="dxa" w:w="1440"/>
            <w:shd w:fill="FAFAFA" w:val="clear"/>
          </w:tcPr>
          <w:p>
            <w:r>
              <w:rPr>
                <w:b/>
                <w:sz w:val="17"/>
              </w:rPr>
              <w:t>44,422</w:t>
            </w:r>
          </w:p>
        </w:tc>
        <w:tc>
          <w:tcPr>
            <w:tcW w:type="dxa" w:w="1440"/>
            <w:shd w:fill="FAFAFA" w:val="clear"/>
          </w:tcPr>
          <w:p>
            <w:r>
              <w:rPr>
                <w:sz w:val="17"/>
              </w:rPr>
              <w:t>48,182</w:t>
            </w:r>
          </w:p>
        </w:tc>
        <w:tc>
          <w:tcPr>
            <w:tcW w:type="dxa" w:w="1440"/>
            <w:shd w:fill="FAFAFA" w:val="clear"/>
          </w:tcPr>
          <w:p>
            <w:r>
              <w:rPr>
                <w:b/>
                <w:color w:val="008000"/>
                <w:sz w:val="17"/>
              </w:rPr>
              <w:t>+1.2%</w:t>
            </w:r>
          </w:p>
        </w:tc>
      </w:tr>
      <w:tr>
        <w:tc>
          <w:tcPr>
            <w:tcW w:type="dxa" w:w="1440"/>
            <w:shd w:fill="FAFAFA" w:val="clear"/>
          </w:tcPr>
          <w:p>
            <w:r>
              <w:rPr>
                <w:sz w:val="17"/>
              </w:rPr>
              <w:t>J+9  ⭐</w:t>
            </w:r>
          </w:p>
        </w:tc>
        <w:tc>
          <w:tcPr>
            <w:tcW w:type="dxa" w:w="1440"/>
            <w:shd w:fill="FAFAFA" w:val="clear"/>
          </w:tcPr>
          <w:p>
            <w:r>
              <w:rPr>
                <w:sz w:val="17"/>
              </w:rPr>
              <w:t>2026-10-28</w:t>
            </w:r>
          </w:p>
        </w:tc>
        <w:tc>
          <w:tcPr>
            <w:tcW w:type="dxa" w:w="1440"/>
            <w:shd w:fill="FAFAFA" w:val="clear"/>
          </w:tcPr>
          <w:p>
            <w:r>
              <w:rPr>
                <w:sz w:val="17"/>
              </w:rPr>
              <w:t>40,426</w:t>
            </w:r>
          </w:p>
        </w:tc>
        <w:tc>
          <w:tcPr>
            <w:tcW w:type="dxa" w:w="1440"/>
            <w:shd w:fill="FAFAFA" w:val="clear"/>
          </w:tcPr>
          <w:p>
            <w:r>
              <w:rPr>
                <w:b/>
                <w:sz w:val="17"/>
              </w:rPr>
              <w:t>44,414</w:t>
            </w:r>
          </w:p>
        </w:tc>
        <w:tc>
          <w:tcPr>
            <w:tcW w:type="dxa" w:w="1440"/>
            <w:shd w:fill="FAFAFA" w:val="clear"/>
          </w:tcPr>
          <w:p>
            <w:r>
              <w:rPr>
                <w:sz w:val="17"/>
              </w:rPr>
              <w:t>48,401</w:t>
            </w:r>
          </w:p>
        </w:tc>
        <w:tc>
          <w:tcPr>
            <w:tcW w:type="dxa" w:w="1440"/>
            <w:shd w:fill="FAFAFA" w:val="clear"/>
          </w:tcPr>
          <w:p>
            <w:r>
              <w:rPr>
                <w:b/>
                <w:color w:val="008000"/>
                <w:sz w:val="17"/>
              </w:rPr>
              <w:t>+1.2%</w:t>
            </w:r>
          </w:p>
        </w:tc>
      </w:tr>
      <w:tr>
        <w:tc>
          <w:tcPr>
            <w:tcW w:type="dxa" w:w="1440"/>
            <w:shd w:fill="FAFAFA" w:val="clear"/>
          </w:tcPr>
          <w:p>
            <w:r>
              <w:rPr>
                <w:sz w:val="17"/>
              </w:rPr>
              <w:t>J+10  ⭐</w:t>
            </w:r>
          </w:p>
        </w:tc>
        <w:tc>
          <w:tcPr>
            <w:tcW w:type="dxa" w:w="1440"/>
            <w:shd w:fill="FAFAFA" w:val="clear"/>
          </w:tcPr>
          <w:p>
            <w:r>
              <w:rPr>
                <w:sz w:val="17"/>
              </w:rPr>
              <w:t>2026-10-29</w:t>
            </w:r>
          </w:p>
        </w:tc>
        <w:tc>
          <w:tcPr>
            <w:tcW w:type="dxa" w:w="1440"/>
            <w:shd w:fill="FAFAFA" w:val="clear"/>
          </w:tcPr>
          <w:p>
            <w:r>
              <w:rPr>
                <w:sz w:val="17"/>
              </w:rPr>
              <w:t>40,203</w:t>
            </w:r>
          </w:p>
        </w:tc>
        <w:tc>
          <w:tcPr>
            <w:tcW w:type="dxa" w:w="1440"/>
            <w:shd w:fill="FAFAFA" w:val="clear"/>
          </w:tcPr>
          <w:p>
            <w:r>
              <w:rPr>
                <w:b/>
                <w:sz w:val="17"/>
              </w:rPr>
              <w:t>44,405</w:t>
            </w:r>
          </w:p>
        </w:tc>
        <w:tc>
          <w:tcPr>
            <w:tcW w:type="dxa" w:w="1440"/>
            <w:shd w:fill="FAFAFA" w:val="clear"/>
          </w:tcPr>
          <w:p>
            <w:r>
              <w:rPr>
                <w:sz w:val="17"/>
              </w:rPr>
              <w:t>48,608</w:t>
            </w:r>
          </w:p>
        </w:tc>
        <w:tc>
          <w:tcPr>
            <w:tcW w:type="dxa" w:w="1440"/>
            <w:shd w:fill="FAFAFA" w:val="clear"/>
          </w:tcPr>
          <w:p>
            <w:r>
              <w:rPr>
                <w:b/>
                <w:color w:val="008000"/>
                <w:sz w:val="17"/>
              </w:rPr>
              <w:t>+1.2%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243.228 Mds FCFA</w:t>
            </w:r>
          </w:p>
        </w:tc>
        <w:tc>
          <w:tcPr>
            <w:tcW w:type="dxa" w:w="5669"/>
            <w:shd w:fill="FFFFFF" w:val="clear"/>
          </w:tcPr>
          <w:p>
            <w:r>
              <w:rPr>
                <w:color w:val="282828"/>
                <w:sz w:val="15"/>
              </w:rPr>
              <w:t>Créances clients = 12.6%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26.127 Mds FCFA</w:t>
            </w:r>
          </w:p>
        </w:tc>
        <w:tc>
          <w:tcPr>
            <w:tcW w:type="dxa" w:w="5669"/>
            <w:shd w:fill="FFFFFF" w:val="clear"/>
          </w:tcPr>
          <w:p>
            <w:r>
              <w:rPr>
                <w:color w:val="282828"/>
                <w:sz w:val="15"/>
              </w:rPr>
              <w:t>Rotation stocks = 73.6x/an.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1644.154 Mds FCFA</w:t>
            </w:r>
          </w:p>
        </w:tc>
        <w:tc>
          <w:tcPr>
            <w:tcW w:type="dxa" w:w="5669"/>
            <w:shd w:fill="FFFFFF" w:val="clear"/>
          </w:tcPr>
          <w:p>
            <w:r>
              <w:rPr>
                <w:color w:val="282828"/>
                <w:sz w:val="15"/>
              </w:rPr>
              <w:t>Ratio actif circ./passif circ. = 1.05x.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208.316 Mds FCFA</w:t>
            </w:r>
          </w:p>
        </w:tc>
        <w:tc>
          <w:tcPr>
            <w:tcW w:type="dxa" w:w="5669"/>
            <w:shd w:fill="FFFFFF" w:val="clear"/>
          </w:tcPr>
          <w:p>
            <w:r>
              <w:rPr>
                <w:color w:val="282828"/>
                <w:sz w:val="15"/>
              </w:rPr>
              <w:t>Brevets, logiciels, fonds commercial (6.4%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1143.487 Mds FCFA</w:t>
            </w:r>
          </w:p>
        </w:tc>
        <w:tc>
          <w:tcPr>
            <w:tcW w:type="dxa" w:w="5669"/>
            <w:shd w:fill="FFFFFF" w:val="clear"/>
          </w:tcPr>
          <w:p>
            <w:r>
              <w:rPr>
                <w:color w:val="282828"/>
                <w:sz w:val="15"/>
              </w:rPr>
              <w:t>Outil industriel (35.0%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1626.021 Mds FCFA</w:t>
            </w:r>
          </w:p>
        </w:tc>
        <w:tc>
          <w:tcPr>
            <w:tcW w:type="dxa" w:w="5669"/>
            <w:shd w:fill="FFFFFF" w:val="clear"/>
          </w:tcPr>
          <w:p>
            <w:r>
              <w:rPr>
                <w:color w:val="282828"/>
                <w:sz w:val="15"/>
              </w:rPr>
              <w:t>Actif immobilisé = 49.7%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536.105 Mds FCFA</w:t>
            </w:r>
          </w:p>
        </w:tc>
        <w:tc>
          <w:tcPr>
            <w:tcW w:type="dxa" w:w="5669"/>
            <w:shd w:fill="FFFFFF" w:val="clear"/>
          </w:tcPr>
          <w:p>
            <w:r>
              <w:rPr>
                <w:color w:val="282828"/>
                <w:sz w:val="15"/>
              </w:rPr>
              <w:t>Liquidités disponibles (16.4%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3270.175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50.000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1225.245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1399.263 Mds FCFA</w:t>
            </w:r>
          </w:p>
        </w:tc>
        <w:tc>
          <w:tcPr>
            <w:tcW w:type="dxa" w:w="5669"/>
            <w:shd w:fill="FFFFFF" w:val="clear"/>
          </w:tcPr>
          <w:p>
            <w:r>
              <w:rPr>
                <w:color w:val="282828"/>
                <w:sz w:val="15"/>
              </w:rPr>
              <w:t>Fonds propres = 42.8%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1702.438 Mds FCFA</w:t>
            </w:r>
          </w:p>
        </w:tc>
        <w:tc>
          <w:tcPr>
            <w:tcW w:type="dxa" w:w="5669"/>
            <w:shd w:fill="FFFFFF" w:val="clear"/>
          </w:tcPr>
          <w:p>
            <w:r>
              <w:rPr>
                <w:color w:val="282828"/>
                <w:sz w:val="15"/>
              </w:rPr>
              <w:t>Capitaux permanents / Actif immobilisé = 1.05x.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363.091 Mds FCFA</w:t>
            </w:r>
          </w:p>
        </w:tc>
        <w:tc>
          <w:tcPr>
            <w:tcW w:type="dxa" w:w="5669"/>
            <w:shd w:fill="FFFFFF" w:val="clear"/>
          </w:tcPr>
          <w:p>
            <w:r>
              <w:rPr>
                <w:color w:val="282828"/>
                <w:sz w:val="15"/>
              </w:rPr>
              <w:t>Délai fournisseurs implicite ≈ 69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248.038 Mds FCFA</w:t>
            </w:r>
          </w:p>
        </w:tc>
        <w:tc>
          <w:tcPr>
            <w:tcW w:type="dxa" w:w="5669"/>
            <w:shd w:fill="FFFFFF" w:val="clear"/>
          </w:tcPr>
          <w:p>
            <w:r>
              <w:rPr>
                <w:color w:val="282828"/>
                <w:sz w:val="15"/>
              </w:rPr>
              <w:t>Dette LT/MT = 18%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422.820 Mds FCFA</w:t>
            </w:r>
          </w:p>
        </w:tc>
        <w:tc>
          <w:tcPr>
            <w:tcW w:type="dxa" w:w="5669"/>
            <w:shd w:fill="FFFFFF" w:val="clear"/>
          </w:tcPr>
          <w:p>
            <w:r>
              <w:rPr>
                <w:color w:val="282828"/>
                <w:sz w:val="15"/>
              </w:rPr>
              <w:t>Dette financière totale = 30%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1870.912 Mds FCFA</w:t>
            </w:r>
          </w:p>
        </w:tc>
        <w:tc>
          <w:tcPr>
            <w:tcW w:type="dxa" w:w="5669"/>
            <w:shd w:fill="FFFFFF" w:val="clear"/>
          </w:tcPr>
          <w:p>
            <w:r>
              <w:rPr>
                <w:color w:val="282828"/>
                <w:sz w:val="15"/>
              </w:rPr>
              <w:t>Dettes totales = 57.2%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1923.122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1923.122 Mds FCFA</w:t>
            </w:r>
          </w:p>
        </w:tc>
        <w:tc>
          <w:tcPr>
            <w:tcW w:type="dxa" w:w="5669"/>
            <w:shd w:fill="FFFFFF" w:val="clear"/>
          </w:tcPr>
          <w:p>
            <w:r>
              <w:rPr>
                <w:color w:val="282828"/>
                <w:sz w:val="15"/>
              </w:rPr>
              <w:t>Chiffre d'affaires. Croissance: 8.3%.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251.451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150.121 Mds FCFA</w:t>
            </w:r>
          </w:p>
        </w:tc>
        <w:tc>
          <w:tcPr>
            <w:tcW w:type="dxa" w:w="5669"/>
            <w:shd w:fill="FFFFFF" w:val="clear"/>
          </w:tcPr>
          <w:p>
            <w:r>
              <w:rPr>
                <w:color w:val="282828"/>
                <w:sz w:val="15"/>
              </w:rPr>
              <w:t>Masse salariale = 7.8%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1265.052 Mds FCFA</w:t>
            </w:r>
          </w:p>
        </w:tc>
        <w:tc>
          <w:tcPr>
            <w:tcW w:type="dxa" w:w="5669"/>
            <w:shd w:fill="FFFFFF" w:val="clear"/>
          </w:tcPr>
          <w:p>
            <w:r>
              <w:rPr>
                <w:color w:val="282828"/>
                <w:sz w:val="15"/>
              </w:rPr>
              <w:t>VA = 65.8%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932.436 Mds FCFA</w:t>
            </w:r>
          </w:p>
        </w:tc>
        <w:tc>
          <w:tcPr>
            <w:tcW w:type="dxa" w:w="5669"/>
            <w:shd w:fill="FFFFFF" w:val="clear"/>
          </w:tcPr>
          <w:p>
            <w:r>
              <w:rPr>
                <w:color w:val="282828"/>
                <w:sz w:val="15"/>
              </w:rPr>
              <w:t>EBE = 48.5% des revenus (marge opérationnelle brute). ✅ Excellente capacité bénéficiaire avant amort.</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669.792 Mds FCFA</w:t>
            </w:r>
          </w:p>
        </w:tc>
        <w:tc>
          <w:tcPr>
            <w:tcW w:type="dxa" w:w="5669"/>
            <w:shd w:fill="FFFFFF" w:val="clear"/>
          </w:tcPr>
          <w:p>
            <w:r>
              <w:rPr>
                <w:color w:val="282828"/>
                <w:sz w:val="15"/>
              </w:rPr>
              <w:t>Profit d'exploitation = 34.8%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41.572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413.588 Mds FCFA</w:t>
            </w:r>
          </w:p>
        </w:tc>
        <w:tc>
          <w:tcPr>
            <w:tcW w:type="dxa" w:w="5669"/>
            <w:shd w:fill="FFFFFF" w:val="clear"/>
          </w:tcPr>
          <w:p>
            <w:r>
              <w:rPr>
                <w:color w:val="282828"/>
                <w:sz w:val="15"/>
              </w:rPr>
              <w:t>Marge nette = 21.5%.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665.039 Mds FCFA</w:t>
            </w:r>
          </w:p>
        </w:tc>
        <w:tc>
          <w:tcPr>
            <w:tcW w:type="dxa" w:w="5669"/>
            <w:shd w:fill="FFFFFF" w:val="clear"/>
          </w:tcPr>
          <w:p>
            <w:r>
              <w:rPr>
                <w:color w:val="282828"/>
                <w:sz w:val="15"/>
              </w:rPr>
              <w:t>CAF = 665.04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681.606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-273.519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-297.966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408.087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-284.906 Mds FCFA</w:t>
            </w:r>
          </w:p>
        </w:tc>
        <w:tc>
          <w:tcPr>
            <w:tcW w:type="dxa" w:w="5669"/>
            <w:shd w:fill="FFFFFF" w:val="clear"/>
          </w:tcPr>
          <w:p>
            <w:r>
              <w:rPr>
                <w:color w:val="282828"/>
                <w:sz w:val="15"/>
              </w:rPr>
              <w:t>BFR = -14.8%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76.417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536.105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67.03%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21.51%</w:t>
            </w:r>
          </w:p>
        </w:tc>
        <w:tc>
          <w:tcPr>
            <w:tcW w:type="dxa" w:w="5669"/>
            <w:shd w:fill="FFFFFF" w:val="clear"/>
          </w:tcPr>
          <w:p>
            <w:r>
              <w:rPr>
                <w:color w:val="282828"/>
                <w:sz w:val="15"/>
              </w:rPr>
              <w:t>Résultat net / revenus = 21.51%.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34.83%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29.56%</w:t>
            </w:r>
          </w:p>
        </w:tc>
        <w:tc>
          <w:tcPr>
            <w:tcW w:type="dxa" w:w="5669"/>
            <w:shd w:fill="FFFFFF" w:val="clear"/>
          </w:tcPr>
          <w:p>
            <w:r>
              <w:rPr>
                <w:color w:val="282828"/>
                <w:sz w:val="15"/>
              </w:rPr>
              <w:t>Résultat net / capitaux propres = 29.56%.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12.65%</w:t>
            </w:r>
          </w:p>
        </w:tc>
        <w:tc>
          <w:tcPr>
            <w:tcW w:type="dxa" w:w="5669"/>
            <w:shd w:fill="FFFFFF" w:val="clear"/>
          </w:tcPr>
          <w:p>
            <w:r>
              <w:rPr>
                <w:color w:val="282828"/>
                <w:sz w:val="15"/>
              </w:rPr>
              <w:t>Résultat net / total actif = 12.65%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58.81%</w:t>
            </w:r>
          </w:p>
        </w:tc>
        <w:tc>
          <w:tcPr>
            <w:tcW w:type="dxa" w:w="5669"/>
            <w:shd w:fill="FFFFFF" w:val="clear"/>
          </w:tcPr>
          <w:p>
            <w:r>
              <w:rPr>
                <w:color w:val="282828"/>
                <w:sz w:val="15"/>
              </w:rPr>
              <w:t>CA / total actif = 58.81x.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8.26%</w:t>
            </w:r>
          </w:p>
        </w:tc>
        <w:tc>
          <w:tcPr>
            <w:tcW w:type="dxa" w:w="5669"/>
            <w:shd w:fill="FFFFFF" w:val="clear"/>
          </w:tcPr>
          <w:p>
            <w:r>
              <w:rPr>
                <w:color w:val="282828"/>
                <w:sz w:val="15"/>
              </w:rPr>
              <w:t>Croissance CA vs exercice précédent = 8.26%.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42.79%</w:t>
            </w:r>
          </w:p>
        </w:tc>
        <w:tc>
          <w:tcPr>
            <w:tcW w:type="dxa" w:w="5669"/>
            <w:shd w:fill="FFFFFF" w:val="clear"/>
          </w:tcPr>
          <w:p>
            <w:r>
              <w:rPr>
                <w:color w:val="282828"/>
                <w:sz w:val="15"/>
              </w:rPr>
              <w:t>Fonds propres / total bilan = 42.79%.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30.22%</w:t>
            </w:r>
          </w:p>
        </w:tc>
        <w:tc>
          <w:tcPr>
            <w:tcW w:type="dxa" w:w="5669"/>
            <w:shd w:fill="FFFFFF" w:val="clear"/>
          </w:tcPr>
          <w:p>
            <w:r>
              <w:rPr>
                <w:color w:val="282828"/>
                <w:sz w:val="15"/>
              </w:rPr>
              <w:t>Dettes financières / total bilan = 30.22%.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57.21%</w:t>
            </w:r>
          </w:p>
        </w:tc>
        <w:tc>
          <w:tcPr>
            <w:tcW w:type="dxa" w:w="5669"/>
            <w:shd w:fill="FFFFFF" w:val="clear"/>
          </w:tcPr>
          <w:p>
            <w:r>
              <w:rPr>
                <w:color w:val="282828"/>
                <w:sz w:val="15"/>
              </w:rPr>
              <w:t>Dettes totales / fonds propres = 57.21%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174.79%</w:t>
            </w:r>
          </w:p>
        </w:tc>
        <w:tc>
          <w:tcPr>
            <w:tcW w:type="dxa" w:w="5669"/>
            <w:shd w:fill="FFFFFF" w:val="clear"/>
          </w:tcPr>
          <w:p>
            <w:r>
              <w:rPr>
                <w:color w:val="282828"/>
                <w:sz w:val="15"/>
              </w:rPr>
              <w:t>Total actif / dettes totales = 174.79x.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139.07%</w:t>
            </w:r>
          </w:p>
        </w:tc>
        <w:tc>
          <w:tcPr>
            <w:tcW w:type="dxa" w:w="5669"/>
            <w:shd w:fill="FFFFFF" w:val="clear"/>
          </w:tcPr>
          <w:p>
            <w:r>
              <w:rPr>
                <w:color w:val="282828"/>
                <w:sz w:val="15"/>
              </w:rPr>
              <w:t>Actif circulant / passif circulant = 139.07x. ✅ Liquidité satisfaisante.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34.20%</w:t>
            </w:r>
          </w:p>
        </w:tc>
        <w:tc>
          <w:tcPr>
            <w:tcW w:type="dxa" w:w="5669"/>
            <w:shd w:fill="FFFFFF" w:val="clear"/>
          </w:tcPr>
          <w:p>
            <w:r>
              <w:rPr>
                <w:color w:val="282828"/>
                <w:sz w:val="15"/>
              </w:rPr>
              <w:t>Trésorerie / passif circulant = 34.20x.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137.40%</w:t>
            </w:r>
          </w:p>
        </w:tc>
        <w:tc>
          <w:tcPr>
            <w:tcW w:type="dxa" w:w="5669"/>
            <w:shd w:fill="FFFFFF" w:val="clear"/>
          </w:tcPr>
          <w:p>
            <w:r>
              <w:rPr>
                <w:color w:val="282828"/>
                <w:sz w:val="15"/>
              </w:rPr>
              <w:t>(Actif circ. - stocks) / passif circ. = 137.40x.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104.70%</w:t>
            </w:r>
          </w:p>
        </w:tc>
        <w:tc>
          <w:tcPr>
            <w:tcW w:type="dxa" w:w="5669"/>
            <w:shd w:fill="FFFFFF" w:val="clear"/>
          </w:tcPr>
          <w:p>
            <w:r>
              <w:rPr>
                <w:color w:val="282828"/>
                <w:sz w:val="15"/>
              </w:rPr>
              <w:t>Capitaux permanents / actif immobilisé = 104.70x.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0.6 ans</w:t>
            </w:r>
          </w:p>
        </w:tc>
        <w:tc>
          <w:tcPr>
            <w:tcW w:type="dxa" w:w="5669"/>
            <w:shd w:fill="FFFFFF" w:val="clear"/>
          </w:tcPr>
          <w:p>
            <w:r>
              <w:rPr>
                <w:color w:val="282828"/>
                <w:sz w:val="15"/>
              </w:rPr>
              <w:t>Dettes financières / CAF = 0.6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2744.71%</w:t>
            </w:r>
          </w:p>
        </w:tc>
        <w:tc>
          <w:tcPr>
            <w:tcW w:type="dxa" w:w="5669"/>
            <w:shd w:fill="FFFFFF" w:val="clear"/>
          </w:tcPr>
          <w:p>
            <w:r>
              <w:rPr>
                <w:color w:val="282828"/>
                <w:sz w:val="15"/>
              </w:rPr>
              <w:t>Résultat exploit. / charges financières = 2744.71x.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243.14%</w:t>
            </w:r>
          </w:p>
        </w:tc>
        <w:tc>
          <w:tcPr>
            <w:tcW w:type="dxa" w:w="5669"/>
            <w:shd w:fill="FFFFFF" w:val="clear"/>
          </w:tcPr>
          <w:p>
            <w:r>
              <w:rPr>
                <w:color w:val="282828"/>
                <w:sz w:val="15"/>
              </w:rPr>
              <w:t>CAF / investissements = 243.14x.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46.2 j</w:t>
            </w:r>
          </w:p>
        </w:tc>
        <w:tc>
          <w:tcPr>
            <w:tcW w:type="dxa" w:w="5669"/>
            <w:shd w:fill="FFFFFF" w:val="clear"/>
          </w:tcPr>
          <w:p>
            <w:r>
              <w:rPr>
                <w:color w:val="282828"/>
                <w:sz w:val="15"/>
              </w:rPr>
              <w:t>Les clients paient en moyenne en 46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201.4 j</w:t>
            </w:r>
          </w:p>
        </w:tc>
        <w:tc>
          <w:tcPr>
            <w:tcW w:type="dxa" w:w="5669"/>
            <w:shd w:fill="FFFFFF" w:val="clear"/>
          </w:tcPr>
          <w:p>
            <w:r>
              <w:rPr>
                <w:color w:val="282828"/>
                <w:sz w:val="15"/>
              </w:rPr>
              <w:t>Paiement des fournisseurs en 201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14.5 j</w:t>
            </w:r>
          </w:p>
        </w:tc>
        <w:tc>
          <w:tcPr>
            <w:tcW w:type="dxa" w:w="5669"/>
            <w:shd w:fill="FFFFFF" w:val="clear"/>
          </w:tcPr>
          <w:p>
            <w:r>
              <w:rPr>
                <w:color w:val="282828"/>
                <w:sz w:val="15"/>
              </w:rPr>
              <w:t>Stock écoulé en 14 jours. ✅ Rotation rapide — faible immobilisation de capital.</w:t>
            </w:r>
          </w:p>
        </w:tc>
      </w:tr>
    </w:tbl>
    <w:p/>
    <w:p>
      <w:pPr>
        <w:spacing w:after="120" w:line="276" w:lineRule="auto"/>
      </w:pPr>
      <w:r>
        <w:t>**RAPPORT D'ANALYSE FINANCIÈRE — SONATEL (SNTS)**</w:t>
        <w:br/>
        <w:t>*Bourse Régionale des Valeurs Mobilières (BRVM)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4 390 milliards FCFA, Sonatel s'impose comme la première capitalisation de la BRVM, un poids systémique qui en fait la valeur de référence de la cote. Le BPA de 4 136 FCFA par action signifie que chaque titre génère près de 4 136 FCFA de bénéfice net, ce qui, rapporté au cours actuel de 43 900 FCFA, donne un PER de 10,6x — un niveau modéré et parfaitement dans la fourchette moyenne du marché BRVM (8-12x), traduisant une valorisation raisonnable sans exubérance. Le P/B de 3,14x indique que le marché paie le titre plus de trois fois sa valeur comptable, une prime de croissance justifiée par la qualité des actifs et la rentabilité élevée du groupe. Enfin, l'EV/EBITDA de 4,6x, inférieur au seuil de 5x, signale que la valeur d'entreprise reste très bon marché au regard de la capacité opérationnelle de génération de cash, ce qui constitue un signal de sous-évaluation relative attractif pour un investisseur de long terme.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SNTS affiche une performance exceptionnelle de +54,04%, bien que la dernière séance (J-1) marque une légère correction de -1,79%, signe d'une prise de profit après un rallye soutenu. Le cours a évolué dans un range très large, entre un plus bas de 28 000 FCFA et un plus haut de 45 000 FCFA, le cours actuel de 43 900 FCFA se situant à proximité immédiate du sommet, ce qui confirme une tendance haussière robuste et un momentum acheteur dominant. Les statistiques descriptives révèlent une moyenne de 34 211 FCFA nettement supérieure à la médiane de 31 900 FCFA, écart qui traduit une distribution asymétrique avec une concentration des cours vers le bas de la fourchette et une accélération récente vers le haut. L'écart-type de 5 716 FCFA (CV de 16,7%) indique une dispersion modérée du cours autour de sa moyenne, tandis que le kurtosis de -0,953 (mésokurtique) suggère une distribution proche de la normale, sans risque excessif de pics extrêmes. Le skewness positif de 0,687 confirme cette asymétrie avec davantage de journées sous la moyenne, typique d'un titre ayant connu une longue phase de consolidation avant son envolée. Enfin, la volatilité annualisée de 31,1% positionne SNTS dans la catégorie des titres à volatilité élevée (&gt;30%), ce qui implique un risque de marché non négligeable mais cohérent avec la dynamique haussière actuelle.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s'établit à 43 511 FCFA et la MM50 à 38 724 FCFA, toutes deux inférieures au cours actuel de 43 900 FCFA, ce qui confirme une configuration haussière avec le prix au-dessus de ses moyennes. L'écart positif entre la MM20 et la MM50 (4 787 FCFA) matérialise un momentum ascendant solide, justifiant la décision technique d'**Achat**.</w:t>
      </w:r>
    </w:p>
    <w:p>
      <w:pPr>
        <w:spacing w:after="120" w:line="276" w:lineRule="auto"/>
      </w:pPr>
      <w:r>
        <w:t>**Bandes de Bollinger** : Le cours actuel (43 900 FCFA) se situe à l'intérieur des bandes, entre la borne inférieure (40 079 FCFA) et la borne supérieure (46 943 FCFA), mais plus proche de cette dernière. Cette position médiane-haute traduit une volatilité contenue et une absence de signal extrême, justifiant la décision **Neutre** — le titre n'est ni en surachat technique violent, ni en zone de rebond.</w:t>
      </w:r>
    </w:p>
    <w:p>
      <w:pPr>
        <w:spacing w:after="120" w:line="276" w:lineRule="auto"/>
      </w:pPr>
      <w:r>
        <w:t>**MACD** : La valeur du MACD (1 730,605) est inférieure à son signal (2 000,076), générant un croisement baissier qui indique un essoufflement du momentum haussier à court terme. Cette divergence négative, bien que modérée, justifie la décision de **Vente** technique, suggérant une possible consolidation avant reprise.</w:t>
      </w:r>
    </w:p>
    <w:p>
      <w:pPr>
        <w:spacing w:after="120" w:line="276" w:lineRule="auto"/>
      </w:pPr>
      <w:r>
        <w:t>**RSI** : À 73,481, le RSI se situe au-dessus du seuil de 70, entrant en zone de surachat. Cette configuration signale que le titre a été acheté de manière excessive à court terme et qu'un repli technique est probable, justifiant la décision de **Vente** — les acheteurs pourraient marquer une pause.</w:t>
      </w:r>
    </w:p>
    <w:p>
      <w:pPr>
        <w:spacing w:after="120" w:line="276" w:lineRule="auto"/>
      </w:pPr>
      <w:r>
        <w:t>**Stochastique** : Le %K (56,0) est nettement inférieur au %D (81,285), avec un croisement baissier en zone haute, ce qui confirme la perte de momentum. La décision est **Neutre**, le signal baissier étant tempéré par la position encore élevée du %K qui n'est pas en zone de survente.</w:t>
      </w:r>
    </w:p>
    <w:p>
      <w:pPr>
        <w:spacing w:after="120" w:line="276" w:lineRule="auto"/>
      </w:pPr>
      <w:r>
        <w:t>**Conclusion technique** : Les indicateurs présentent une divergence notable : les moyennes mobiles restent haussières (Achat), mais le MACD et le RSI émettent des signaux de vente (surachat et croisement baissier), tandis que les Bandes de Bollinger et le Stochastique sont neutres. Cette configuration suggère que le titre, après une forte hausse de +54%, entre dans une phase de consolidation ou de correction technique à court terme, sans remettre en cause la tendance de fond haussière.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**Données structurées (exercice 2025)** : En 2025, Sonatel a réalisé un chiffre d'affaires consolidé de 1 923,122 milliards FCFA, en croissance de +8,26% sur un an, porté par la Data mobile, le Fixe Broadband et Orange Money. Le résultat net s'établit à 413,588 milliards FCFA, soit une marge nette de 21,51%, tandis que le ROE atteint 29,56% — un niveau excellent (&gt;15%) qui témoigne d'une rentabilité exceptionnelle des fonds propres — et le ROA 12,65%. La marge brute de 67,03% et la marge opérationnelle de 34,83% confirment l'efficacité opérationnelle du groupe. Sur le plan bilanciel, l'autonomie financière de 42,79% (capitaux propres/total bilan) est saine, la solvabilité générale de 174,79% et la liquidité générale de 139,07% sont solides, et le BFR négatif de -284,906 milliards FCFA constitue un atout majeur de trésorerie. Les délais clients (46,16 jours) et fournisseurs (201,39 jours) révèlent un pouvoir de négociation favorable, tandis que la capacité de remboursement de 0,64 an et la couverture des intérêts de 2 744,71% traduisent une structure financière très peu risquée.</w:t>
      </w:r>
    </w:p>
    <w:p>
      <w:pPr>
        <w:spacing w:after="120" w:line="276" w:lineRule="auto"/>
      </w:pPr>
      <w:r>
        <w:t>**Estimations basées sur les rapports trimestriels** : Le communiqué du 27 juillet 2026 (S1 2026) fait état d'un chiffre d'affaires de 1 049,8 milliards FCFA (+9,3%) et d'un résultat net de 230 milliards FCFA (+10,5%), avec un EBITDAAL de 510,8 milliards FCFA (48,7% du CA) et une notation relevée à AAA (wu) par GCR Ratings. Sur cette base, on estime que l'exercice 2026 devrait enregistrer un chiffre d'affaires d'environ 2 100 milliards FCFA (+9%) et un résultat net proche de 450 milliards FCFA (+9%), confirmant la trajectoire de croissance rentable. Le rapport annuel 2025 (publié le 16 février 2026) confirme un dividende brut de 1 933 FCFA par action (1 740 FCFA net), offrant un rendement attractif de 4,4% au cours actuel, avec une mise en paiement prévue le 25 mai 2026.</w:t>
      </w:r>
    </w:p>
    <w:p>
      <w:pPr>
        <w:spacing w:after="120" w:line="276" w:lineRule="auto"/>
      </w:pPr>
      <w:r>
        <w:t>**Recommandation fondamentale** : Sonatel présente des fondamentaux exceptionnels — croissance à deux chiffres, marges élevées, rentabilité record, structure financière solide et dividende généreux. Les risques identifiés (pression fiscale et réglementaire, concurrence accrue sur le Mobile Money, instabilité géopolitique au Mali) sont réels mais absorbés par la diversification géographique et la résilience du modèle. La solidité du bilan et la visibilité des cash-flows justifient une recommandation fondamentale **ACHAT** pour un investisseur de long terme.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SNTS apparaît raisonnable (PER 10,6x, EV/EBITDA 4,6x) malgré une prime sur la valeur comptable (P/B 3,14x), ce qui suggère une sous-évaluation relative au regard de la qualité des fondamentaux. Le comportement du cours sur 100 jours est nettement haussier (+54,04%), avec une volatilité élevée (31,1%) et une distribution asymétrique positive (skewness 0,687), mais la proximité du plus haut (45 000 FCFA) et le RSI en surachat (73,48) appellent à la prudence à court terme. Les signaux techniques sont divergents : les moyennes mobiles restent haussières, mais le MACD et le RSI émettent des signaux de vente, suggérant une consolidation imminente. Les fondamentaux sont excellents (ROE 29,56%, marge nette 21,51%, BFR négatif, dividende 1 740 FCFA net), et les estimations issues du S1 2026 (+9,3% de CA, +10,5% de résultat net) confirment la solidité de la trajectoire. Les prédictions IA (44 484 FCFA à J+1, puis stabilisation autour de 44 430 FCFA) anticipent une légère hausse suivie d'une stabilisation, ce qui contredit partiellement les signaux techniques baissiers à court terme mais confirme la tendance de fond haussière.</w:t>
      </w:r>
    </w:p>
    <w:p>
      <w:pPr>
        <w:spacing w:after="120" w:line="276" w:lineRule="auto"/>
      </w:pPr>
      <w:r>
        <w:t>**Recommandation finale : CONSERVER** — La convergence entre valorisation attractive, fondamentaux solides et prédictions IA modérément haussières est tempérée par les signaux techniques de surachat (RSI, MACD) qui suggèrent une correction à court terme. Le niveau de confiance est **Moyen**, le risque global **Moyen** (volatilité élevée mais fondamentaux robustes), et l'horizon optimal est le **moyen terme (3-12 mois)**, le temps que la consolidation technique s'achève et que la croissance bénéficiaire se matérialise. Un investisseur déjà positionné peut conserver sa position en vue du dividende de 1 740 FCFA (rendement 4,4%) ; un nouvel investisseur attendra un repli vers la MM20 (43 511 FCFA) ou la borne inférieure de Bollinger (40 079 FCFA) pour initier une position.</w:t>
      </w:r>
    </w:p>
    <w:p/>
    <w:p/>
    <w:p>
      <w:pPr>
        <w:pStyle w:val="Heading3"/>
      </w:pPr>
      <w:r>
        <w:rPr>
          <w:color w:val="00467F"/>
        </w:rPr>
        <w:t>📎 DOCUMENTS &amp; COMMUNICATIONS OFFICIELS BRVM</w:t>
      </w:r>
    </w:p>
    <w:p>
      <w:r>
        <w:rPr>
          <w:i/>
          <w:color w:val="646464"/>
          <w:sz w:val="18"/>
        </w:rPr>
        <w:t>6 document(s) disponible(s) pour cette société (affichage des 5 plus récents).</w:t>
      </w:r>
    </w:p>
    <w:p>
      <w:pPr>
        <w:spacing w:before="160"/>
      </w:pPr>
      <w:r>
        <w:rPr>
          <w:b/>
          <w:color w:val="0066CC"/>
          <w:sz w:val="20"/>
        </w:rPr>
        <w:t xml:space="preserve">[1] </w:t>
      </w:r>
      <w:r>
        <w:rPr>
          <w:b/>
          <w:sz w:val="20"/>
        </w:rPr>
        <w:t>20260423   calendrier de paiement des dividendes   exercice 2025</w:t>
      </w:r>
    </w:p>
    <w:p>
      <w:pPr>
        <w:spacing w:before="20"/>
        <w:ind w:left="400"/>
      </w:pPr>
      <w:r>
        <w:rPr>
          <w:color w:val="505050"/>
          <w:sz w:val="17"/>
        </w:rPr>
        <w:t xml:space="preserve">Date : 24/04/2026  |  Catégorie : dividende  |  Impact : </w:t>
      </w:r>
      <w:r>
        <w:rPr>
          <w:b/>
          <w:color w:val="008000"/>
          <w:sz w:val="17"/>
        </w:rPr>
        <w:t>🟢 POSITIF</w:t>
      </w:r>
    </w:p>
    <w:p>
      <w:pPr>
        <w:spacing w:before="40"/>
        <w:ind w:left="400"/>
      </w:pPr>
      <w:r>
        <w:rPr>
          <w:sz w:val="18"/>
        </w:rPr>
        <w:t>Calendrier de paiement des dividendes de la BRVM pour l'exercice 2025, publié le 23 avril 2026. Le document présente les échéances de versement pour trois entreprises cotées avec leurs montants respectifs. Les dates d'ex-dividende et de paiement s'échelonnent d'avril à mai 2026.</w:t>
      </w:r>
    </w:p>
    <w:p>
      <w:pPr>
        <w:spacing w:before="60"/>
        <w:ind w:left="400"/>
      </w:pPr>
      <w:r>
        <w:rPr>
          <w:b/>
          <w:sz w:val="18"/>
        </w:rPr>
        <w:t>Points clés :</w:t>
      </w:r>
    </w:p>
    <w:p>
      <w:pPr>
        <w:pStyle w:val="ListBullet"/>
        <w:spacing w:before="20" w:after="20"/>
        <w:ind w:left="700"/>
      </w:pPr>
      <w:r>
        <w:rPr>
          <w:sz w:val="18"/>
        </w:rPr>
        <w:t>BOA Burkina Faso verse un dividende net de 397 FCFA par action avec paiement le 23/04/2026</w:t>
      </w:r>
    </w:p>
    <w:p>
      <w:pPr>
        <w:pStyle w:val="ListBullet"/>
        <w:spacing w:before="20" w:after="20"/>
        <w:ind w:left="700"/>
      </w:pPr>
      <w:r>
        <w:rPr>
          <w:sz w:val="18"/>
        </w:rPr>
        <w:t>BOA Côte d'Ivoire distribue le dividende le plus élevé à 594,528 FCFA par action, payable le 06/05/2026</w:t>
      </w:r>
    </w:p>
    <w:p>
      <w:pPr>
        <w:pStyle w:val="ListBullet"/>
        <w:spacing w:before="20" w:after="20"/>
        <w:ind w:left="700"/>
      </w:pPr>
      <w:r>
        <w:rPr>
          <w:sz w:val="18"/>
        </w:rPr>
        <w:t>Sonatel Sénégal offre le dividende le plus important à 1 740 FCFA par action avec paiement le 26/04/2026</w:t>
      </w:r>
    </w:p>
    <w:p>
      <w:pPr>
        <w:pStyle w:val="ListBullet"/>
        <w:spacing w:before="20" w:after="20"/>
        <w:ind w:left="700"/>
      </w:pPr>
      <w:r>
        <w:rPr>
          <w:sz w:val="18"/>
        </w:rPr>
        <w:t>Les dates d'ex-dividende s'échelonnent du 22/04/2026 au 22/05/2026 selon les titres</w:t>
      </w:r>
    </w:p>
    <w:p>
      <w:pPr>
        <w:pStyle w:val="ListBullet"/>
        <w:spacing w:before="20" w:after="20"/>
        <w:ind w:left="700"/>
      </w:pPr>
      <w:r>
        <w:rPr>
          <w:sz w:val="18"/>
        </w:rPr>
        <w:t>Toutes les publications d'avis sont référencées au Bulletin Officiel de la Cote (BOC) avec numéros spécifiques</w:t>
      </w:r>
    </w:p>
    <w:p>
      <w:pPr>
        <w:ind w:left="400"/>
      </w:pPr>
      <w:r>
        <w:rPr>
          <w:color w:val="B4B4B4"/>
          <w:sz w:val="14"/>
        </w:rPr>
        <w:t xml:space="preserve">· · · · · · · · · · · · · · · · · · · · · · · · · · · · · · </w:t>
      </w:r>
    </w:p>
    <w:p>
      <w:pPr>
        <w:spacing w:before="160"/>
      </w:pPr>
      <w:r>
        <w:rPr>
          <w:b/>
          <w:color w:val="0066CC"/>
          <w:sz w:val="20"/>
        </w:rPr>
        <w:t xml:space="preserve">[2] </w:t>
      </w:r>
      <w:r>
        <w:rPr>
          <w:b/>
          <w:sz w:val="20"/>
        </w:rPr>
        <w:t>20260430   calendrier de paiement des dividendes   exercice 2025</w:t>
      </w:r>
    </w:p>
    <w:p>
      <w:pPr>
        <w:spacing w:before="20"/>
        <w:ind w:left="400"/>
      </w:pPr>
      <w:r>
        <w:rPr>
          <w:color w:val="505050"/>
          <w:sz w:val="17"/>
        </w:rPr>
        <w:t xml:space="preserve">Date : 05/05/2026  |  Catégorie : dividende  |  Impact : </w:t>
      </w:r>
      <w:r>
        <w:rPr>
          <w:b/>
          <w:color w:val="008000"/>
          <w:sz w:val="17"/>
        </w:rPr>
        <w:t>🟢 POSITIF</w:t>
      </w:r>
    </w:p>
    <w:p>
      <w:pPr>
        <w:spacing w:before="40"/>
        <w:ind w:left="400"/>
      </w:pPr>
      <w:r>
        <w:rPr>
          <w:sz w:val="18"/>
        </w:rPr>
        <w:t>Calendrier officiel de la BRVM pour le paiement des dividendes de l'exercice 2025, publié le 30 avril 2026. Le document liste trois entreprises cotées avec leurs montants de dividendes nets par action et les dates clés de versement. Les dividendes s'échelonnent d'avril à mai 2026 avec des montants variant de 397 FCFA à 1 740 FCFA par action.</w:t>
      </w:r>
    </w:p>
    <w:p>
      <w:pPr>
        <w:spacing w:before="60"/>
        <w:ind w:left="400"/>
      </w:pPr>
      <w:r>
        <w:rPr>
          <w:b/>
          <w:sz w:val="18"/>
        </w:rPr>
        <w:t>Points clés :</w:t>
      </w:r>
    </w:p>
    <w:p>
      <w:pPr>
        <w:pStyle w:val="ListBullet"/>
        <w:spacing w:before="20" w:after="20"/>
        <w:ind w:left="700"/>
      </w:pPr>
      <w:r>
        <w:rPr>
          <w:sz w:val="18"/>
        </w:rPr>
        <w:t>BOA Burkina Faso verse 397 FCFA de dividende net par action avec paiement le 23/04/2026</w:t>
      </w:r>
    </w:p>
    <w:p>
      <w:pPr>
        <w:pStyle w:val="ListBullet"/>
        <w:spacing w:before="20" w:after="20"/>
        <w:ind w:left="700"/>
      </w:pPr>
      <w:r>
        <w:rPr>
          <w:sz w:val="18"/>
        </w:rPr>
        <w:t>BOA Côte d'Ivoire distribue 594,528 FCFA par action avec versement prévu le 06/05/2026</w:t>
      </w:r>
    </w:p>
    <w:p>
      <w:pPr>
        <w:pStyle w:val="ListBullet"/>
        <w:spacing w:before="20" w:after="20"/>
        <w:ind w:left="700"/>
      </w:pPr>
      <w:r>
        <w:rPr>
          <w:sz w:val="18"/>
        </w:rPr>
        <w:t>Sonatel Sénégal offre le dividende le plus élevé à 1 740 FCFA par action, payable le 26/05/2026</w:t>
      </w:r>
    </w:p>
    <w:p>
      <w:pPr>
        <w:pStyle w:val="ListBullet"/>
        <w:spacing w:before="20" w:after="20"/>
        <w:ind w:left="700"/>
      </w:pPr>
      <w:r>
        <w:rPr>
          <w:sz w:val="18"/>
        </w:rPr>
        <w:t>Les dates ex-dividende sont fixées respectivement aux 22/04, 05/05 et 22/05/2026</w:t>
      </w:r>
    </w:p>
    <w:p>
      <w:pPr>
        <w:pStyle w:val="ListBullet"/>
        <w:spacing w:before="20" w:after="20"/>
        <w:ind w:left="700"/>
      </w:pPr>
      <w:r>
        <w:rPr>
          <w:sz w:val="18"/>
        </w:rPr>
        <w:t>Calendrier officiel publié par la BRVM avec numéros d'avis de référence pour chaque société</w:t>
      </w:r>
    </w:p>
    <w:p>
      <w:pPr>
        <w:ind w:left="400"/>
      </w:pPr>
      <w:r>
        <w:rPr>
          <w:color w:val="B4B4B4"/>
          <w:sz w:val="14"/>
        </w:rPr>
        <w:t xml:space="preserve">· · · · · · · · · · · · · · · · · · · · · · · · · · · · · · </w:t>
      </w:r>
    </w:p>
    <w:p>
      <w:pPr>
        <w:spacing w:before="160"/>
      </w:pPr>
      <w:r>
        <w:rPr>
          <w:b/>
          <w:color w:val="0066CC"/>
          <w:sz w:val="20"/>
        </w:rPr>
        <w:t xml:space="preserve">[3] </w:t>
      </w:r>
      <w:r>
        <w:rPr>
          <w:b/>
          <w:sz w:val="20"/>
        </w:rPr>
        <w:t>20260724   communique de presse   sonatel sn 0</w:t>
      </w:r>
    </w:p>
    <w:p>
      <w:pPr>
        <w:spacing w:before="20"/>
        <w:ind w:left="400"/>
      </w:pPr>
      <w:r>
        <w:rPr>
          <w:color w:val="505050"/>
          <w:sz w:val="17"/>
        </w:rPr>
        <w:t xml:space="preserve">Date : 27/07/2026  |  Catégorie : résultats financiers  |  Impact : </w:t>
      </w:r>
      <w:r>
        <w:rPr>
          <w:b/>
          <w:color w:val="008000"/>
          <w:sz w:val="17"/>
        </w:rPr>
        <w:t>🟢 POSITIF</w:t>
      </w:r>
    </w:p>
    <w:p>
      <w:pPr>
        <w:spacing w:before="40"/>
        <w:ind w:left="400"/>
      </w:pPr>
      <w:r>
        <w:rPr>
          <w:sz w:val="18"/>
        </w:rPr>
        <w:t>Le Groupe Sonatel publie ses résultats consolidés du premier semestre 2026, avec un chiffre d'affaires en hausse de 9,3% à 1 049,8 milliards FCFA et un résultat net en progression de 10,5% à 230 milliards FCFA. Le groupe poursuit ses investissements dans la fibre et le très haut débit, avec une base de clients fibre en hausse de 23% et l'obtention de licences 5G en Guinée-Bissau. La notation financière a été relevée à AAA (wu) par GCR Ratings, confirmant la solidité du modèle et les perspectives positives pour la seconde moitié de l'année.</w:t>
      </w:r>
    </w:p>
    <w:p>
      <w:pPr>
        <w:spacing w:before="60"/>
        <w:ind w:left="400"/>
      </w:pPr>
      <w:r>
        <w:rPr>
          <w:b/>
          <w:sz w:val="18"/>
        </w:rPr>
        <w:t>Points clés :</w:t>
      </w:r>
    </w:p>
    <w:p>
      <w:pPr>
        <w:pStyle w:val="ListBullet"/>
        <w:spacing w:before="20" w:after="20"/>
        <w:ind w:left="700"/>
      </w:pPr>
      <w:r>
        <w:rPr>
          <w:sz w:val="18"/>
        </w:rPr>
        <w:t>Chiffre d'affaires S1 2026: 1 049,8 milliards FCFA, +9,3%.</w:t>
      </w:r>
    </w:p>
    <w:p>
      <w:pPr>
        <w:pStyle w:val="ListBullet"/>
        <w:spacing w:before="20" w:after="20"/>
        <w:ind w:left="700"/>
      </w:pPr>
      <w:r>
        <w:rPr>
          <w:sz w:val="18"/>
        </w:rPr>
        <w:t>EBITDAAL en hausse de 11,6% à 510,8 milliards FCFA, représentant 48,7% du chiffre d'affaires.</w:t>
      </w:r>
    </w:p>
    <w:p>
      <w:pPr>
        <w:pStyle w:val="ListBullet"/>
        <w:spacing w:before="20" w:after="20"/>
        <w:ind w:left="700"/>
      </w:pPr>
      <w:r>
        <w:rPr>
          <w:sz w:val="18"/>
        </w:rPr>
        <w:t>Résultat net en hausse de 10,5% à 230 milliards FCFA.</w:t>
      </w:r>
    </w:p>
    <w:p>
      <w:pPr>
        <w:pStyle w:val="ListBullet"/>
        <w:spacing w:before="20" w:after="20"/>
        <w:ind w:left="700"/>
      </w:pPr>
      <w:r>
        <w:rPr>
          <w:sz w:val="18"/>
        </w:rPr>
        <w:t>Parc clients atteint 43 millions, avec forte croissance de la fibre (+23%) et de la 4G (+19,5%).</w:t>
      </w:r>
    </w:p>
    <w:p>
      <w:pPr>
        <w:pStyle w:val="ListBullet"/>
        <w:spacing w:before="20" w:after="20"/>
        <w:ind w:left="700"/>
      </w:pPr>
      <w:r>
        <w:rPr>
          <w:sz w:val="18"/>
        </w:rPr>
        <w:t>Notation relevée à AAA (wu) par GCR Ratings et obtention de licences 5G/renouvellements en Guinée-Bissau et Sierra Leone.</w:t>
      </w:r>
    </w:p>
    <w:p>
      <w:pPr>
        <w:ind w:left="400"/>
      </w:pPr>
      <w:r>
        <w:rPr>
          <w:color w:val="B4B4B4"/>
          <w:sz w:val="14"/>
        </w:rPr>
        <w:t xml:space="preserve">· · · · · · · · · · · · · · · · · · · · · · · · · · · · · · </w:t>
      </w:r>
    </w:p>
    <w:p>
      <w:pPr>
        <w:spacing w:before="160"/>
      </w:pPr>
      <w:r>
        <w:rPr>
          <w:b/>
          <w:color w:val="0066CC"/>
          <w:sz w:val="20"/>
        </w:rPr>
        <w:t xml:space="preserve">[4] </w:t>
      </w:r>
      <w:r>
        <w:rPr>
          <w:b/>
          <w:sz w:val="20"/>
        </w:rPr>
        <w:t>20260216   communique de presse   sonatel sn</w:t>
      </w:r>
    </w:p>
    <w:p>
      <w:pPr>
        <w:spacing w:before="20"/>
        <w:ind w:left="400"/>
      </w:pPr>
      <w:r>
        <w:rPr>
          <w:color w:val="505050"/>
          <w:sz w:val="17"/>
        </w:rPr>
        <w:t xml:space="preserve">Date : 16/02/2026  |  Catégorie : résultats financiers  |  Impact : </w:t>
      </w:r>
      <w:r>
        <w:rPr>
          <w:b/>
          <w:color w:val="008000"/>
          <w:sz w:val="17"/>
        </w:rPr>
        <w:t>🟢 POSITIF</w:t>
      </w:r>
    </w:p>
    <w:p>
      <w:pPr>
        <w:spacing w:before="40"/>
        <w:ind w:left="400"/>
      </w:pPr>
      <w:r>
        <w:rPr>
          <w:sz w:val="18"/>
        </w:rPr>
        <w:t>Le Groupe Sonatel présente ses résultats consolidés 2025 avec un chiffre d'affaires de 1 923,1 milliards FCFA (+8,3%) et un résultat net de 413,6 milliards FCFA (+5,1%). Le groupe a investi 288,6 milliards FCFA dans le développement numérique et maintient sa position de leader sur tous ses marchés en Afrique de l'Ouest. Les perspectives 2026 visent l'accélération de la transformation numérique et l'innovation durable.</w:t>
      </w:r>
    </w:p>
    <w:p>
      <w:pPr>
        <w:spacing w:before="60"/>
        <w:ind w:left="400"/>
      </w:pPr>
      <w:r>
        <w:rPr>
          <w:b/>
          <w:sz w:val="18"/>
        </w:rPr>
        <w:t>Points clés :</w:t>
      </w:r>
    </w:p>
    <w:p>
      <w:pPr>
        <w:pStyle w:val="ListBullet"/>
        <w:spacing w:before="20" w:after="20"/>
        <w:ind w:left="700"/>
      </w:pPr>
      <w:r>
        <w:rPr>
          <w:sz w:val="18"/>
        </w:rPr>
        <w:t>Chiffre d'affaires consolidé en progression de 8,3% à 1 923,1 milliards FCFA</w:t>
      </w:r>
    </w:p>
    <w:p>
      <w:pPr>
        <w:pStyle w:val="ListBullet"/>
        <w:spacing w:before="20" w:after="20"/>
        <w:ind w:left="700"/>
      </w:pPr>
      <w:r>
        <w:rPr>
          <w:sz w:val="18"/>
        </w:rPr>
        <w:t>Résultat net en hausse de 5,1% à 413,6 milliards FCFA avec un EBITDAAL à 47,9% du CA</w:t>
      </w:r>
    </w:p>
    <w:p>
      <w:pPr>
        <w:pStyle w:val="ListBullet"/>
        <w:spacing w:before="20" w:after="20"/>
        <w:ind w:left="700"/>
      </w:pPr>
      <w:r>
        <w:rPr>
          <w:sz w:val="18"/>
        </w:rPr>
        <w:t>Base clients de 42,1 millions dont 22,5 millions en data mobile (+8,6%) et 1,16 million en fixe haut débit (+26,1%)</w:t>
      </w:r>
    </w:p>
    <w:p>
      <w:pPr>
        <w:pStyle w:val="ListBullet"/>
        <w:spacing w:before="20" w:after="20"/>
        <w:ind w:left="700"/>
      </w:pPr>
      <w:r>
        <w:rPr>
          <w:sz w:val="18"/>
        </w:rPr>
        <w:t>Investissements de 288,6 milliards FCFA (15% du CA) pour renforcer les infrastructures numériques</w:t>
      </w:r>
    </w:p>
    <w:p>
      <w:pPr>
        <w:pStyle w:val="ListBullet"/>
        <w:spacing w:before="20" w:after="20"/>
        <w:ind w:left="700"/>
      </w:pPr>
      <w:r>
        <w:rPr>
          <w:sz w:val="18"/>
        </w:rPr>
        <w:t>Leadership consolidé avec des parts de marché de 55,9% au Sénégal, 54,5% au Mali et forte présence dans les autres pays</w:t>
      </w:r>
    </w:p>
    <w:p>
      <w:pPr>
        <w:ind w:left="400"/>
      </w:pPr>
      <w:r>
        <w:rPr>
          <w:color w:val="B4B4B4"/>
          <w:sz w:val="14"/>
        </w:rPr>
        <w:t xml:space="preserve">· · · · · · · · · · · · · · · · · · · · · · · · · · · · · · </w:t>
      </w:r>
    </w:p>
    <w:p>
      <w:pPr>
        <w:spacing w:before="160"/>
      </w:pPr>
      <w:r>
        <w:rPr>
          <w:b/>
          <w:color w:val="0066CC"/>
          <w:sz w:val="20"/>
        </w:rPr>
        <w:t xml:space="preserve">[5] </w:t>
      </w:r>
      <w:r>
        <w:rPr>
          <w:b/>
          <w:sz w:val="20"/>
        </w:rPr>
        <w:t>20260327   avis de convocation   assemblee generale ordinaire   sonatel sn</w:t>
      </w:r>
    </w:p>
    <w:p>
      <w:pPr>
        <w:spacing w:before="20"/>
        <w:ind w:left="400"/>
      </w:pPr>
      <w:r>
        <w:rPr>
          <w:color w:val="505050"/>
          <w:sz w:val="17"/>
        </w:rPr>
        <w:t xml:space="preserve">Date : 30/03/2026  |  Catégorie : convocation AG  |  Impact : </w:t>
      </w:r>
      <w:r>
        <w:rPr>
          <w:b/>
          <w:color w:val="008000"/>
          <w:sz w:val="17"/>
        </w:rPr>
        <w:t>🟢 POSITIF</w:t>
      </w:r>
    </w:p>
    <w:p>
      <w:pPr>
        <w:spacing w:before="40"/>
        <w:ind w:left="400"/>
      </w:pPr>
      <w:r>
        <w:rPr>
          <w:sz w:val="18"/>
        </w:rPr>
        <w:t>SONATEL convoque une Assemblée Générale Ordinaire le 16 avril 2026 pour approuver les états financiers 2025 et verser un dividende de 1 933 F CFA par action. L'ordre du jour comprend également des nominations d'administrateurs et l'approbation de conventions réglementées avec OMEA. Le dividende net sera de 1 740 F CFA après retenue à la source, payable à partir du 25 mai 2026.</w:t>
      </w:r>
    </w:p>
    <w:p>
      <w:pPr>
        <w:spacing w:before="60"/>
        <w:ind w:left="400"/>
      </w:pPr>
      <w:r>
        <w:rPr>
          <w:b/>
          <w:sz w:val="18"/>
        </w:rPr>
        <w:t>Points clés :</w:t>
      </w:r>
    </w:p>
    <w:p>
      <w:pPr>
        <w:pStyle w:val="ListBullet"/>
        <w:spacing w:before="20" w:after="20"/>
        <w:ind w:left="700"/>
      </w:pPr>
      <w:r>
        <w:rPr>
          <w:sz w:val="18"/>
        </w:rPr>
        <w:t>Assemblée Générale Ordinaire convoquée pour le 16 avril 2026 à 10h GMT</w:t>
      </w:r>
    </w:p>
    <w:p>
      <w:pPr>
        <w:pStyle w:val="ListBullet"/>
        <w:spacing w:before="20" w:after="20"/>
        <w:ind w:left="700"/>
      </w:pPr>
      <w:r>
        <w:rPr>
          <w:sz w:val="18"/>
        </w:rPr>
        <w:t>Dividende brut proposé de 1 933 F CFA par action (1 740 F CFA net)</w:t>
      </w:r>
    </w:p>
    <w:p>
      <w:pPr>
        <w:pStyle w:val="ListBullet"/>
        <w:spacing w:before="20" w:after="20"/>
        <w:ind w:left="700"/>
      </w:pPr>
      <w:r>
        <w:rPr>
          <w:sz w:val="18"/>
        </w:rPr>
        <w:t>Mise en paiement du dividende à compter du 25 mai 2026</w:t>
      </w:r>
    </w:p>
    <w:p>
      <w:pPr>
        <w:pStyle w:val="ListBullet"/>
        <w:spacing w:before="20" w:after="20"/>
        <w:ind w:left="700"/>
      </w:pPr>
      <w:r>
        <w:rPr>
          <w:sz w:val="18"/>
        </w:rPr>
        <w:t>Ratification des cooptations de MM. Samba DIOUF et Yasser SHAKER comme administrateurs</w:t>
      </w:r>
    </w:p>
    <w:p>
      <w:pPr>
        <w:pStyle w:val="ListBullet"/>
        <w:spacing w:before="20" w:after="20"/>
        <w:ind w:left="700"/>
      </w:pPr>
      <w:r>
        <w:rPr>
          <w:sz w:val="18"/>
        </w:rPr>
        <w:t>Approbation de multiples conventions réglementées avec OMEA autorisées et non autorisées</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"Les r\u00e9sultats semestriels sont solides, avec une croissance rentable et un leadership maintenu. Cependant, l'intensification concurrentielle et les contraintes r\u00e9glementaires appellent \u00e0 la prudence, justifiant une position de conservation."}</w:t>
      </w:r>
    </w:p>
    <w:p>
      <w:pPr>
        <w:spacing w:before="40"/>
        <w:ind w:left="400"/>
      </w:pPr>
      <w:r>
        <w:rPr>
          <w:sz w:val="18"/>
        </w:rPr>
        <w:t>Le Groupe Sonatel affiche une performance solide au S1 2026 avec un chiffre d'affaires de 1 049,8 Mds FCFA, en hausse de 9,3%. La croissance est portée par les activités Data, Fixe Broadband et Orange Money, tandis que l'EBITDAAL progresse de 11,6% à 510,8 Mds FCFA, soit une marge de 48,7%. Le résultat net consolidé atteint 229,96 Mds FCFA, en hausse de 10,5%, soutenu par une bonne maîtrise des charges. Le Groupe maintient son leadership dans tous ses pays de présence et a vu sa notation financière relevée à AAA(wu). Les investissements restent soutenus (154 Mds FCFA) pour accompagner la croissance et la transformation numérique.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{'capex': '154 Mds FCFA', 'ebitdaal': '510,8 Mds FCFA', 'resultat_operationnel': '362,5 Mds FCFA', 'resultat_net_part_groupe': '189,3 Mds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21,9%</w:t>
            </w:r>
          </w:p>
        </w:tc>
        <w:tc>
          <w:tcPr>
            <w:tcW w:type="dxa" w:w="2160"/>
          </w:tcPr>
          <w:p>
            <w:pPr>
              <w:ind w:left="100"/>
            </w:pPr>
            <w:r/>
            <w:r>
              <w:rPr>
                <w:b/>
                <w:sz w:val="16"/>
              </w:rPr>
              <w:t>total_actif</w:t>
              <w:br/>
            </w:r>
            <w:r>
              <w:rPr>
                <w:sz w:val="18"/>
              </w:rPr>
              <w:t>3 606,96 Mds FCFA</w:t>
            </w:r>
          </w:p>
        </w:tc>
      </w:tr>
      <w:tr>
        <w:tc>
          <w:tcPr>
            <w:tcW w:type="dxa" w:w="2160"/>
          </w:tcPr>
          <w:p>
            <w:r/>
            <w:r>
              <w:rPr>
                <w:b/>
                <w:sz w:val="16"/>
              </w:rPr>
              <w:t>resultat_net</w:t>
              <w:br/>
            </w:r>
            <w:r>
              <w:rPr>
                <w:sz w:val="18"/>
              </w:rPr>
              <w:t>229,96 Mds FCFA</w:t>
            </w:r>
          </w:p>
        </w:tc>
        <w:tc>
          <w:tcPr>
            <w:tcW w:type="dxa" w:w="2160"/>
          </w:tcPr>
          <w:p>
            <w:r/>
            <w:r>
              <w:rPr>
                <w:b/>
                <w:sz w:val="16"/>
              </w:rPr>
              <w:t>capitaux_propres</w:t>
              <w:br/>
            </w:r>
            <w:r>
              <w:rPr>
                <w:sz w:val="18"/>
              </w:rPr>
              <w:t>1 398,87 Mds FCFA</w:t>
            </w:r>
          </w:p>
        </w:tc>
        <w:tc>
          <w:tcPr>
            <w:tcW w:type="dxa" w:w="2160"/>
          </w:tcPr>
          <w:p>
            <w:r/>
            <w:r>
              <w:rPr>
                <w:b/>
                <w:sz w:val="16"/>
              </w:rPr>
              <w:t>chiffre_affaires</w:t>
              <w:br/>
            </w:r>
            <w:r>
              <w:rPr>
                <w:sz w:val="18"/>
              </w:rPr>
              <w:t>1 049,8 Mds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9,3% au S1 2026, tirée par la Data, le Fixe Broadband et Orange Money.</w:t>
      </w:r>
    </w:p>
    <w:p>
      <w:pPr>
        <w:pStyle w:val="ListBullet"/>
        <w:spacing w:before="20" w:after="20"/>
        <w:ind w:left="700"/>
      </w:pPr>
      <w:r>
        <w:rPr>
          <w:sz w:val="18"/>
        </w:rPr>
        <w:t>EBITDAAL en hausse de 11,6% à 510,8 Mds FCFA, avec une marge de 48,7%.</w:t>
      </w:r>
    </w:p>
    <w:p>
      <w:pPr>
        <w:pStyle w:val="ListBullet"/>
        <w:spacing w:before="20" w:after="20"/>
        <w:ind w:left="700"/>
      </w:pPr>
      <w:r>
        <w:rPr>
          <w:sz w:val="18"/>
        </w:rPr>
        <w:t>Résultat net consolidé en progression de 10,5% à 229,96 Mds FCFA.</w:t>
      </w:r>
    </w:p>
    <w:p>
      <w:pPr>
        <w:pStyle w:val="ListBullet"/>
        <w:spacing w:before="20" w:after="20"/>
        <w:ind w:left="700"/>
      </w:pPr>
      <w:r>
        <w:rPr>
          <w:sz w:val="18"/>
        </w:rPr>
        <w:t>Le Groupe conserve sa position de leader sur tous ses marchés avec des parts de marché élevées.</w:t>
      </w:r>
    </w:p>
    <w:p>
      <w:pPr>
        <w:pStyle w:val="ListBullet"/>
        <w:spacing w:before="20" w:after="20"/>
        <w:ind w:left="700"/>
      </w:pPr>
      <w:r>
        <w:rPr>
          <w:sz w:val="18"/>
        </w:rPr>
        <w:t>Investissements de 154 Mds FCFA (15% du CA) pour renforcer les réseaux Très Haut Débit.</w:t>
      </w:r>
    </w:p>
    <w:p>
      <w:pPr>
        <w:pStyle w:val="ListBullet"/>
        <w:spacing w:before="20" w:after="20"/>
        <w:ind w:left="700"/>
      </w:pPr>
      <w:r>
        <w:rPr>
          <w:sz w:val="18"/>
        </w:rPr>
        <w:t>Rehaussement de la notation financière à AAA(wu) par GCR Rating.</w:t>
      </w:r>
    </w:p>
    <w:p>
      <w:pPr>
        <w:spacing w:before="40"/>
        <w:ind w:left="400"/>
      </w:pPr>
      <w:r>
        <w:rPr>
          <w:b/>
          <w:color w:val="C05000"/>
          <w:sz w:val="18"/>
        </w:rPr>
        <w:t xml:space="preserve">⚠️ Risques : </w:t>
      </w:r>
      <w:r>
        <w:rPr>
          <w:sz w:val="18"/>
        </w:rPr>
        <w:t>["Intensification de la concurrence sur l'ensemble des march\u00e9s de pr\u00e9sence.", "Durcissement des mesures r\u00e9glementaires, notamment l'identification des abonn\u00e9s, impactant la croissance du parc.", "Risque de change et de d\u00e9gradation macro\u00e9conomique dans certains pays, com</w:t>
      </w:r>
    </w:p>
    <w:p>
      <w:pPr>
        <w:spacing w:before="40"/>
        <w:ind w:left="400"/>
      </w:pPr>
      <w:r>
        <w:rPr>
          <w:b/>
          <w:color w:val="0064A0"/>
          <w:sz w:val="18"/>
        </w:rPr>
        <w:t xml:space="preserve">🔮 Perspectives : </w:t>
      </w:r>
      <w:r>
        <w:rPr>
          <w:sz w:val="18"/>
        </w:rPr>
        <w:t>Pour le second semestre 2026, le Groupe Sonatel poursuivra une trajectoire de croissance rentable, portée par l'achèvement de projets structurants (fibre, 4G, licence 5G) et le développement des services digitaux et financiers. L'accent sera mis sur l'innovation, la digitalisation et la responsabili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du chiffre d'affaires, la soci\u00e9t\u00e9 maintient une marge EBITDA solide et b\u00e9n\u00e9ficie d'une croissance soutenue de sa base clients et de l'internet mobile. Les fondamentaux restent solides avec des perspectives de reprise sur le segment internet."}</w:t>
      </w:r>
    </w:p>
    <w:p>
      <w:pPr>
        <w:spacing w:before="40"/>
        <w:ind w:left="400"/>
      </w:pPr>
      <w:r>
        <w:rPr>
          <w:sz w:val="18"/>
        </w:rPr>
        <w:t>ONATEL-SA présente des résultats mitigés pour les neuf premiers mois de 2022 avec un chiffre d'affaires en recul de 5,6% à 110,3 Mds FCFA. La base clients continue sa progression avec +7,4% de croissance, portée principalement par le segment mobile et internet. Le résultat des activités ordinaires chute significativement de 28,1% à 24,5 Mds FCFA, impacté par la baisse du revenu prépayé et le recul des revenus internationaux. La marge EBITDA reste solide à 48,7% selon les normes IFRS, démontrant une bonne maîtrise opérationnelle. L'internet mobile reste un levier de croissance avec une progression de 25,7% des revenus par rapport à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'54,4 Mds FCFA (IFRS)', 'base_clients': '11,1 millions', 'marge_ebitda': '48,7% (IFRS)', 'parc_internet': '6,3 millions de clients', 'croissance_base_clients': '7,4%'}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16,9 Mds FCFA (SYSCOHADA) / 18,1 Mds FCFA (IFRS)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110,3 Mds FCFA (9 mois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5,6% à 110,3 Mds FCFA sur 9 mois 2022</w:t>
      </w:r>
    </w:p>
    <w:p>
      <w:pPr>
        <w:pStyle w:val="ListBullet"/>
        <w:spacing w:before="20" w:after="20"/>
        <w:ind w:left="700"/>
      </w:pPr>
      <w:r>
        <w:rPr>
          <w:sz w:val="18"/>
        </w:rPr>
        <w:t>Base clients en forte croissance de 7,4% atteignant 11,1 millions de clients actifs</w:t>
      </w:r>
    </w:p>
    <w:p>
      <w:pPr>
        <w:pStyle w:val="ListBullet"/>
        <w:spacing w:before="20" w:after="20"/>
        <w:ind w:left="700"/>
      </w:pPr>
      <w:r>
        <w:rPr>
          <w:sz w:val="18"/>
        </w:rPr>
        <w:t>Résultat des activités ordinaires en recul de 28,1% à 24,5 Mds FCFA</w:t>
      </w:r>
    </w:p>
    <w:p>
      <w:pPr>
        <w:pStyle w:val="ListBullet"/>
        <w:spacing w:before="20" w:after="20"/>
        <w:ind w:left="700"/>
      </w:pPr>
      <w:r>
        <w:rPr>
          <w:sz w:val="18"/>
        </w:rPr>
        <w:t>Marge EBITDA maintenue à un niveau élevé de 48,7% (IFRS)</w:t>
      </w:r>
    </w:p>
    <w:p>
      <w:pPr>
        <w:pStyle w:val="ListBullet"/>
        <w:spacing w:before="20" w:after="20"/>
        <w:ind w:left="700"/>
      </w:pPr>
      <w:r>
        <w:rPr>
          <w:sz w:val="18"/>
        </w:rPr>
        <w:t>Internet mobile en forte progression de 25,7% des revenus</w:t>
      </w:r>
    </w:p>
    <w:p>
      <w:pPr>
        <w:pStyle w:val="ListBullet"/>
        <w:spacing w:before="20" w:after="20"/>
        <w:ind w:left="700"/>
      </w:pPr>
      <w:r>
        <w:rPr>
          <w:sz w:val="18"/>
        </w:rPr>
        <w:t>Parc internet (fixe et mobile) en croissance de 13% à 6,3 millions de clients</w:t>
      </w:r>
    </w:p>
    <w:p>
      <w:pPr>
        <w:spacing w:before="40"/>
        <w:ind w:left="400"/>
      </w:pPr>
      <w:r>
        <w:rPr>
          <w:b/>
          <w:color w:val="C05000"/>
          <w:sz w:val="18"/>
        </w:rPr>
        <w:t xml:space="preserve">⚠️ Risques : </w:t>
      </w:r>
      <w:r>
        <w:rPr>
          <w:sz w:val="18"/>
        </w:rPr>
        <w:t>["Impact continu des services OTT sur les revenus traditionnels de t\u00e9l\u00e9communications", "Baisse significative des revenus internationaux affectant la rentabilit\u00e9 globale", "Pression concurrentielle dans un march\u00e9 des t\u00e9l\u00e9coms mature au Burkina Faso"]</w:t>
      </w:r>
    </w:p>
    <w:p>
      <w:pPr>
        <w:spacing w:before="40"/>
        <w:ind w:left="400"/>
      </w:pPr>
      <w:r>
        <w:rPr>
          <w:b/>
          <w:color w:val="0064A0"/>
          <w:sz w:val="18"/>
        </w:rPr>
        <w:t xml:space="preserve">🔮 Perspectives : </w:t>
      </w:r>
      <w:r>
        <w:rPr>
          <w:sz w:val="18"/>
        </w:rPr>
        <w:t>L'internet mobile et la densification de la couverture 3G/4G offrent des opportunités de croissance pour 2023. La transition vers les services numériques et data devrait compenser progressivement le déclin des services voix traditionnels, sous réserve d'une stabilisation de l'environnement économiqu</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financiers exceptionnels avec une croissance \u00e0 deux chiffres du CA et du r\u00e9sultat net, combin\u00e9s \u00e0 la notation maximale AAA et aux investissements strat\u00e9giques en 5G positionnent favorablement l'entreprise. La dynamique forte d'Orange Money et l'expansion continue du parc client offrent un potentiel de croissance soutenu."}</w:t>
      </w:r>
    </w:p>
    <w:p>
      <w:pPr>
        <w:spacing w:before="40"/>
        <w:ind w:left="400"/>
      </w:pPr>
      <w:r>
        <w:rPr>
          <w:sz w:val="18"/>
        </w:rPr>
        <w:t>Le Groupe Sonatel affiche des résultats solides au 30 septembre 2023 avec un chiffre d'affaires de 1 201,5 milliards FCFA en hausse de 11,3%. Le résultat net progresse fortement de 20,1% à 240,6 milliards FCFA avec une marge nette de 20%. L'entreprise maintient sa notation maximale AAA(WU) de GCR et poursuit ses investissements massifs dans les infrastructures 5G et fibre. Le parc client continue sa croissance avec 40,7 millions de clients FMI et une forte progression d'Orange Money. La société démontre un engagement sociétal marqué avec ses programmes RSE et ses fondations présentes dans tous les pays d'implantation.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'168,4 milliards FCFA', 'ebitdaal': '535,4 milliards FCFA', 'taux_capex': '14%', 'marge_ebitdaal': '44,6%', 'taux_cash_flow': '30,5%', 'operating_cash_flow': '366,9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240,6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1201,5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Rehaussement de la notation financière à AAA(WU), la note maximale de GCR</w:t>
      </w:r>
    </w:p>
    <w:p>
      <w:pPr>
        <w:pStyle w:val="ListBullet"/>
        <w:spacing w:before="20" w:after="20"/>
        <w:ind w:left="700"/>
      </w:pPr>
      <w:r>
        <w:rPr>
          <w:sz w:val="18"/>
        </w:rPr>
        <w:t>Acquisition de la licence 5G au Sénégal et lancement d'un pilote 5G en Sierra Leone</w:t>
      </w:r>
    </w:p>
    <w:p>
      <w:pPr>
        <w:pStyle w:val="ListBullet"/>
        <w:spacing w:before="20" w:after="20"/>
        <w:ind w:left="700"/>
      </w:pPr>
      <w:r>
        <w:rPr>
          <w:sz w:val="18"/>
        </w:rPr>
        <w:t>Forte croissance du chiffre d'affaires (+11,3%) et du résultat net (+20,1%)</w:t>
      </w:r>
    </w:p>
    <w:p>
      <w:pPr>
        <w:pStyle w:val="ListBullet"/>
        <w:spacing w:before="20" w:after="20"/>
        <w:ind w:left="700"/>
      </w:pPr>
      <w:r>
        <w:rPr>
          <w:sz w:val="18"/>
        </w:rPr>
        <w:t>Parc client FMI atteignant 40,7 millions (+6%) avec 39,6 millions de clients mobile (+5%)</w:t>
      </w:r>
    </w:p>
    <w:p>
      <w:pPr>
        <w:pStyle w:val="ListBullet"/>
        <w:spacing w:before="20" w:after="20"/>
        <w:ind w:left="700"/>
      </w:pPr>
      <w:r>
        <w:rPr>
          <w:sz w:val="18"/>
        </w:rPr>
        <w:t>Dynamisme d'Orange Money avec 29,9 millions d'inscrits (+16%) et 11,1 millions d'actifs (+10%)</w:t>
      </w:r>
    </w:p>
    <w:p>
      <w:pPr>
        <w:pStyle w:val="ListBullet"/>
        <w:spacing w:before="20" w:after="20"/>
        <w:ind w:left="700"/>
      </w:pPr>
      <w:r>
        <w:rPr>
          <w:sz w:val="18"/>
        </w:rPr>
        <w:t>Investissements soutenus de 168,4 milliards FCFA (+24,3%) dans les réseaux</w:t>
      </w:r>
    </w:p>
    <w:p>
      <w:pPr>
        <w:spacing w:before="40"/>
        <w:ind w:left="400"/>
      </w:pPr>
      <w:r>
        <w:rPr>
          <w:b/>
          <w:color w:val="C05000"/>
          <w:sz w:val="18"/>
        </w:rPr>
        <w:t xml:space="preserve">⚠️ Risques : </w:t>
      </w:r>
      <w:r>
        <w:rPr>
          <w:sz w:val="18"/>
        </w:rPr>
        <w:t>["Concurrence accrue sur le march\u00e9 du Mobile Money n\u00e9cessitant des investissements soutenus", "Contexte inflationniste pouvant impacter la ma\u00eetrise des charges op\u00e9rationnelles", "Exposition aux risques de change dans un environnement \u00e9conomique r\u00e9gional volatil"]</w:t>
      </w:r>
    </w:p>
    <w:p>
      <w:pPr>
        <w:spacing w:before="40"/>
        <w:ind w:left="400"/>
      </w:pPr>
      <w:r>
        <w:rPr>
          <w:b/>
          <w:color w:val="0064A0"/>
          <w:sz w:val="18"/>
        </w:rPr>
        <w:t xml:space="preserve">🔮 Perspectives : </w:t>
      </w:r>
      <w:r>
        <w:rPr>
          <w:sz w:val="18"/>
        </w:rPr>
        <w:t>La société prévoit de poursuivre ses investissements massifs pour étendre et améliorer la qualité de ses réseaux, notamment avec le déploiement de la 5G. L'entreprise mise sur la bataille concurrentielle du Mobile Money tout en maintenant ses actions de maîtrise des coûts dans un environnement infla</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"Solides fondamentaux avec croissance soutenue des revenus et maintien des positions de march\u00e9, mais vigilance n\u00e9cessaire sur l'impact de la concurrence sur Orange Money et les d\u00e9fis g\u00e9opolitiques au Mali. La diversification g\u00e9ographique et la mont\u00e9e en puissance de la data offrent une bonne r\u00e9silience."}</w:t>
      </w:r>
    </w:p>
    <w:p>
      <w:pPr>
        <w:spacing w:before="40"/>
        <w:ind w:left="400"/>
      </w:pPr>
      <w:r>
        <w:rPr>
          <w:sz w:val="18"/>
        </w:rPr>
        <w:t>SONATEL a réalisé une performance financière solide au S1 2022 avec un chiffre d'affaires en croissance de 11,1% à 713,4 milliards FCFA, soutenu par la forte progression de la data mobile (+26%) et du broadband fixe (+33,1%). Le résultat net progresse de 9,3% à 130,3 milliards FCFA malgré un environnement économique difficile marqué par l'inflation et les sanctions contre le Mali. Le groupe maintient ses positions de leader sur tous ses marchés avec des parts de marché comprises entre 55,5% et 63,4%. Les investissements s'élèvent à 110,2 milliards FCFA (+6,8%) principalement orientés vers le déploiement réseau 4G/4G+ et la fibre optique. Orange Money souffre de la concurrence aggressive avec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{'capex': '110,2 milliards FCFA', 'ebitdaal': '304,1 milliards FCFA', 'parc_mobile': '38,6 millions', 'marge_ebitdaal': '42,6%', 'parc_data_mobile': '15,6 millions', 'parc_orange_money': '9,9 millions', 'operating_cash_flow': '193,8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18,3%</w:t>
            </w:r>
          </w:p>
        </w:tc>
        <w:tc>
          <w:tcPr>
            <w:tcW w:type="dxa" w:w="2160"/>
          </w:tcPr>
          <w:p>
            <w:pPr>
              <w:ind w:left="100"/>
            </w:pPr>
            <w:r/>
            <w:r>
              <w:rPr>
                <w:b/>
                <w:sz w:val="16"/>
              </w:rPr>
              <w:t>total_actif</w:t>
              <w:br/>
            </w:r>
            <w:r>
              <w:rPr>
                <w:sz w:val="18"/>
              </w:rPr>
              <w:t>2 209,3 milliards FCFA</w:t>
            </w:r>
          </w:p>
        </w:tc>
      </w:tr>
      <w:tr>
        <w:tc>
          <w:tcPr>
            <w:tcW w:type="dxa" w:w="2160"/>
          </w:tcPr>
          <w:p>
            <w:r/>
            <w:r>
              <w:rPr>
                <w:b/>
                <w:sz w:val="16"/>
              </w:rPr>
              <w:t>resultat_net</w:t>
              <w:br/>
            </w:r>
            <w:r>
              <w:rPr>
                <w:sz w:val="18"/>
              </w:rPr>
              <w:t>130,3 milliards FCFA</w:t>
            </w:r>
          </w:p>
        </w:tc>
        <w:tc>
          <w:tcPr>
            <w:tcW w:type="dxa" w:w="2160"/>
          </w:tcPr>
          <w:p>
            <w:r/>
            <w:r>
              <w:rPr>
                <w:b/>
                <w:sz w:val="16"/>
              </w:rPr>
              <w:t>capitaux_propres</w:t>
              <w:br/>
            </w:r>
            <w:r>
              <w:rPr>
                <w:sz w:val="18"/>
              </w:rPr>
              <w:t>772,2 milliards FCFA</w:t>
            </w:r>
          </w:p>
        </w:tc>
        <w:tc>
          <w:tcPr>
            <w:tcW w:type="dxa" w:w="2160"/>
          </w:tcPr>
          <w:p>
            <w:r/>
            <w:r>
              <w:rPr>
                <w:b/>
                <w:sz w:val="16"/>
              </w:rPr>
              <w:t>chiffre_affaires</w:t>
              <w:br/>
            </w:r>
            <w:r>
              <w:rPr>
                <w:sz w:val="18"/>
              </w:rPr>
              <w:t>713,4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11,1% à 713,4 milliards FCFA au S1 2022</w:t>
      </w:r>
    </w:p>
    <w:p>
      <w:pPr>
        <w:pStyle w:val="ListBullet"/>
        <w:spacing w:before="20" w:after="20"/>
        <w:ind w:left="700"/>
      </w:pPr>
      <w:r>
        <w:rPr>
          <w:sz w:val="18"/>
        </w:rPr>
        <w:t>Progression du résultat net de 9,3% à 130,3 milliards FCFA</w:t>
      </w:r>
    </w:p>
    <w:p>
      <w:pPr>
        <w:pStyle w:val="ListBullet"/>
        <w:spacing w:before="20" w:after="20"/>
        <w:ind w:left="700"/>
      </w:pPr>
      <w:r>
        <w:rPr>
          <w:sz w:val="18"/>
        </w:rPr>
        <w:t>Forte croissance de la data mobile (+26%) représentant 29,5% des revenus</w:t>
      </w:r>
    </w:p>
    <w:p>
      <w:pPr>
        <w:pStyle w:val="ListBullet"/>
        <w:spacing w:before="20" w:after="20"/>
        <w:ind w:left="700"/>
      </w:pPr>
      <w:r>
        <w:rPr>
          <w:sz w:val="18"/>
        </w:rPr>
        <w:t>Expansion du broadband fixe (+33,1%) avec 512,8 milliers d'abonnés</w:t>
      </w:r>
    </w:p>
    <w:p>
      <w:pPr>
        <w:pStyle w:val="ListBullet"/>
        <w:spacing w:before="20" w:after="20"/>
        <w:ind w:left="700"/>
      </w:pPr>
      <w:r>
        <w:rPr>
          <w:sz w:val="18"/>
        </w:rPr>
        <w:t>Maintien des positions de leadership sur tous les marchés (parts de marché 55,5% à 63,4%)</w:t>
      </w:r>
    </w:p>
    <w:p>
      <w:pPr>
        <w:pStyle w:val="ListBullet"/>
        <w:spacing w:before="20" w:after="20"/>
        <w:ind w:left="700"/>
      </w:pPr>
      <w:r>
        <w:rPr>
          <w:sz w:val="18"/>
        </w:rPr>
        <w:t>Décroissance d'Orange Money (-15,5%) due à la concurrence et aux révisions tarifaires</w:t>
      </w:r>
    </w:p>
    <w:p>
      <w:pPr>
        <w:spacing w:before="40"/>
        <w:ind w:left="400"/>
      </w:pPr>
      <w:r>
        <w:rPr>
          <w:b/>
          <w:color w:val="C05000"/>
          <w:sz w:val="18"/>
        </w:rPr>
        <w:t xml:space="preserve">⚠️ Risques : </w:t>
      </w:r>
      <w:r>
        <w:rPr>
          <w:sz w:val="18"/>
        </w:rPr>
        <w:t>["Concurrence tr\u00e8s agressive sur Orange Money impactant la rentabilit\u00e9", "Instabilit\u00e9 g\u00e9opolitique au Mali et en Guin\u00e9e affectant les op\u00e9rations", "Inflation g\u00e9n\u00e9ralis\u00e9e et d\u00e9pr\u00e9ciation des devises locales (Sierra Leone)"]</w:t>
      </w:r>
    </w:p>
    <w:p>
      <w:pPr>
        <w:spacing w:before="40"/>
        <w:ind w:left="400"/>
      </w:pPr>
      <w:r>
        <w:rPr>
          <w:b/>
          <w:color w:val="0064A0"/>
          <w:sz w:val="18"/>
        </w:rPr>
        <w:t xml:space="preserve">🔮 Perspectives : </w:t>
      </w:r>
      <w:r>
        <w:rPr>
          <w:sz w:val="18"/>
        </w:rPr>
        <w:t>Le groupe vise à renforcer sa rentabilité sur Orange Money au S2 2022 et à poursuivre ses investissements dans la transformation digitale. Les opportunités de croissance restent portées par la data mobile, le très haut débit fixe et le segment B2B grâce aux synergies du groupe.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"Sonatel d\u00e9montre une r\u00e9silience remarquable avec une croissance soutenue dans un environnement difficile et des fondamentaux solides. Les investissements importants dans la 4G et la fibre positionnent bien l'entreprise pour capturer la croissance future du march\u00e9 digital africain."}</w:t>
      </w:r>
    </w:p>
    <w:p>
      <w:pPr>
        <w:spacing w:before="40"/>
        <w:ind w:left="400"/>
      </w:pPr>
      <w:r>
        <w:rPr>
          <w:sz w:val="18"/>
        </w:rPr>
        <w:t>Sonatel affiche des résultats solides au T3 2022 avec un chiffre d'affaires de 1 080 milliards FCFA (+7,6% en glissement annuel) malgré un contexte géopolitique difficile dans la sous-région et une inflation galopante. L'EBITDAaL atteint 463 milliards FCFA avec une marge de 42,9%, en croissance de 9,7% sur un an. Le résultat net progresse de 5,8% à 200,3 milliards FCFA, porté par la hausse de l'EBITDA et un niveau d'amortissement maîtrisé. La croissance est tirée par tous les pays de présence, particulièrement par la Data mobile (+24,5%). Le groupe continue d'investir massivement (168,1 milliards FCFA d'eCapex) pour soutenir le déploiement du très haut débit et l'extension réseau.</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'168,1 milliards FCFA', 'ebitdaal': '463,0 milliards FCFA', 'parc_total': '38,8 millions clients', 'marge_ebitdaal': '42,9%', 'operating_cash_flow': '294,9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200,3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1 080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7,6% YoY à 1 080 milliards FCFA malgré les défis macro-économiques</w:t>
      </w:r>
    </w:p>
    <w:p>
      <w:pPr>
        <w:pStyle w:val="ListBullet"/>
        <w:spacing w:before="20" w:after="20"/>
        <w:ind w:left="700"/>
      </w:pPr>
      <w:r>
        <w:rPr>
          <w:sz w:val="18"/>
        </w:rPr>
        <w:t>Forte progression de la Data mobile (+24,5%) qui devient un moteur de croissance clé</w:t>
      </w:r>
    </w:p>
    <w:p>
      <w:pPr>
        <w:pStyle w:val="ListBullet"/>
        <w:spacing w:before="20" w:after="20"/>
        <w:ind w:left="700"/>
      </w:pPr>
      <w:r>
        <w:rPr>
          <w:sz w:val="18"/>
        </w:rPr>
        <w:t>EBITDAaL solide à 463 milliards FCFA avec une marge maintenue à 42,9%</w:t>
      </w:r>
    </w:p>
    <w:p>
      <w:pPr>
        <w:pStyle w:val="ListBullet"/>
        <w:spacing w:before="20" w:after="20"/>
        <w:ind w:left="700"/>
      </w:pPr>
      <w:r>
        <w:rPr>
          <w:sz w:val="18"/>
        </w:rPr>
        <w:t>Parc client total de 38,8 millions (+1,4% YoY) avec une bonne dynamique sur tous les services</w:t>
      </w:r>
    </w:p>
    <w:p>
      <w:pPr>
        <w:pStyle w:val="ListBullet"/>
        <w:spacing w:before="20" w:after="20"/>
        <w:ind w:left="700"/>
      </w:pPr>
      <w:r>
        <w:rPr>
          <w:sz w:val="18"/>
        </w:rPr>
        <w:t>Croissance du parc 4G à 10,1 millions d'utilisateurs représentant 70,3% du trafic data</w:t>
      </w:r>
    </w:p>
    <w:p>
      <w:pPr>
        <w:pStyle w:val="ListBullet"/>
        <w:spacing w:before="20" w:after="20"/>
        <w:ind w:left="700"/>
      </w:pPr>
      <w:r>
        <w:rPr>
          <w:sz w:val="18"/>
        </w:rPr>
        <w:t>Orange Money atteint 10,1 millions d'utilisateurs actifs (+13,6% YoY)</w:t>
      </w:r>
    </w:p>
    <w:p>
      <w:pPr>
        <w:spacing w:before="40"/>
        <w:ind w:left="400"/>
      </w:pPr>
      <w:r>
        <w:rPr>
          <w:b/>
          <w:color w:val="C05000"/>
          <w:sz w:val="18"/>
        </w:rPr>
        <w:t xml:space="preserve">⚠️ Risques : </w:t>
      </w:r>
      <w:r>
        <w:rPr>
          <w:sz w:val="18"/>
        </w:rPr>
        <w:t xml:space="preserve">["Instabilit\u00e9 g\u00e9opolitique dans la sous-r\u00e9gion (embargo Mali, situation s\u00e9curitaire) affectant les op\u00e9rations", "Inflation galopante et hausse des co\u00fbts op\u00e9rationnels (\u00e9nergie, carburant) impactant les marges", "Intensification de la concurrence sur le mobile </w:t>
      </w:r>
    </w:p>
    <w:p>
      <w:pPr>
        <w:spacing w:before="40"/>
        <w:ind w:left="400"/>
      </w:pPr>
      <w:r>
        <w:rPr>
          <w:b/>
          <w:color w:val="0064A0"/>
          <w:sz w:val="18"/>
        </w:rPr>
        <w:t xml:space="preserve">🔮 Perspectives : </w:t>
      </w:r>
      <w:r>
        <w:rPr>
          <w:sz w:val="18"/>
        </w:rPr>
        <w:t xml:space="preserve">Les perspectives restent favorables avec la poursuite de la digitalisation en Afrique de l'Ouest et la montée en puissance des services data et mobile money. L'extension de la couverture 4G et fibre devrait soutenir la croissance, sous réserve d'une amélioration du contexte sécuritaire régional. La </w:t>
      </w:r>
    </w:p>
    <w:p/>
    <w:p>
      <w:r>
        <w:t>════════════════════════════════════════════════════════════════════════════════</w:t>
      </w:r>
    </w:p>
    <w:p>
      <w:r>
        <w:br w:type="page"/>
      </w:r>
    </w:p>
    <w:p>
      <w:pPr>
        <w:pStyle w:val="Heading2"/>
        <w:spacing w:before="360"/>
      </w:pPr>
      <w:r>
        <w:rPr>
          <w:color w:val="0066CC"/>
        </w:rPr>
        <w:t>41. SOGC - SOGC - Société des caoutchoucs de Grand-Béréby</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SOGC</w:t>
            </w:r>
          </w:p>
          <w:p>
            <w:r>
              <w:rPr>
                <w:b/>
                <w:color w:val="323250"/>
                <w:sz w:val="16"/>
              </w:rPr>
              <w:t xml:space="preserve">Société : </w:t>
            </w:r>
            <w:r>
              <w:rPr>
                <w:color w:val="000000"/>
                <w:sz w:val="16"/>
              </w:rPr>
              <w:t>SOGC - Société des caoutchoucs de Grand-...</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166.33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4,976 titres</w:t>
            </w:r>
          </w:p>
        </w:tc>
        <w:tc>
          <w:tcPr>
            <w:tcW w:type="dxa" w:w="2268"/>
            <w:shd w:fill="FFF2CC" w:val="clear"/>
          </w:tcPr>
          <w:p>
            <w:r>
              <w:rPr>
                <w:b/>
                <w:color w:val="503200"/>
                <w:sz w:val="16"/>
              </w:rPr>
              <w:t xml:space="preserve">Cours actuel : </w:t>
            </w:r>
            <w:r>
              <w:rPr>
                <w:color w:val="000000"/>
                <w:sz w:val="17"/>
              </w:rPr>
              <w:t>7,700 FCFA</w:t>
            </w:r>
          </w:p>
          <w:p>
            <w:r>
              <w:rPr>
                <w:b/>
                <w:color w:val="503200"/>
                <w:sz w:val="16"/>
              </w:rPr>
              <w:t xml:space="preserve">Var. 100 jours : </w:t>
            </w:r>
            <w:r>
              <w:rPr>
                <w:b/>
                <w:color w:val="007800"/>
                <w:sz w:val="17"/>
              </w:rPr>
              <w:t>+4.19%</w:t>
            </w:r>
          </w:p>
          <w:p>
            <w:r>
              <w:rPr>
                <w:b/>
                <w:color w:val="503200"/>
                <w:sz w:val="16"/>
              </w:rPr>
              <w:t xml:space="preserve">Plus haut 100j : </w:t>
            </w:r>
            <w:r>
              <w:rPr>
                <w:color w:val="000000"/>
                <w:sz w:val="17"/>
              </w:rPr>
              <w:t>8,875 FCFA</w:t>
            </w:r>
          </w:p>
          <w:p>
            <w:r>
              <w:rPr>
                <w:b/>
                <w:color w:val="503200"/>
                <w:sz w:val="16"/>
              </w:rPr>
              <w:t xml:space="preserve">Plus bas 100j : </w:t>
            </w:r>
            <w:r>
              <w:rPr>
                <w:color w:val="000000"/>
                <w:sz w:val="17"/>
              </w:rPr>
              <w:t>7,300 FCFA</w:t>
            </w:r>
          </w:p>
          <w:p>
            <w:r>
              <w:rPr>
                <w:b/>
                <w:color w:val="503200"/>
                <w:sz w:val="16"/>
              </w:rPr>
              <w:t xml:space="preserve">Volatilité ann. : </w:t>
            </w:r>
            <w:r>
              <w:rPr>
                <w:color w:val="000000"/>
                <w:sz w:val="17"/>
              </w:rPr>
              <w:t>41.0%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11.5/100 → Faible</w:t>
      </w:r>
    </w:p>
    <w:p>
      <w:pPr>
        <w:spacing w:before="40" w:after="80"/>
      </w:pPr>
      <w:r>
        <w:rPr>
          <w:rFonts w:ascii="Courier New" w:hAnsi="Courier New"/>
          <w:color w:val="006400"/>
          <w:sz w:val="18"/>
        </w:rPr>
        <w:t>██░░░░░░░░░░░░░░░░░░  11.5/100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3.97% (Faible) — μ=8,108 FCFA, σ=322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DEEAF1" w:val="clear"/>
          </w:tcPr>
          <w:p>
            <w:r>
              <w:rPr>
                <w:b/>
                <w:sz w:val="15"/>
              </w:rPr>
              <w:t>β=0.9859 (Neutre (suit le marché)) — Cov=0.000074, Var(idx)=0.000075, ρ=0.326, n=96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4,976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σ_j=2.59%/j (Stable) — Vol. annualisée≈41.0%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62/100  (Bon)</w:t>
      </w:r>
    </w:p>
    <w:p/>
    <w:p>
      <w:pPr>
        <w:jc w:val="center"/>
      </w:pPr>
      <w:r>
        <w:drawing>
          <wp:inline xmlns:a="http://schemas.openxmlformats.org/drawingml/2006/main" xmlns:pic="http://schemas.openxmlformats.org/drawingml/2006/picture">
            <wp:extent cx="5669280" cy="2619287"/>
            <wp:docPr id="43" name="Picture 43"/>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2026-10-16</w:t>
            </w:r>
          </w:p>
        </w:tc>
        <w:tc>
          <w:tcPr>
            <w:tcW w:type="dxa" w:w="1440"/>
            <w:shd w:fill="FAFAFA" w:val="clear"/>
          </w:tcPr>
          <w:p>
            <w:r>
              <w:rPr>
                <w:sz w:val="17"/>
              </w:rPr>
              <w:t>7,330</w:t>
            </w:r>
          </w:p>
        </w:tc>
        <w:tc>
          <w:tcPr>
            <w:tcW w:type="dxa" w:w="1440"/>
            <w:shd w:fill="FAFAFA" w:val="clear"/>
          </w:tcPr>
          <w:p>
            <w:r>
              <w:rPr>
                <w:b/>
                <w:sz w:val="17"/>
              </w:rPr>
              <w:t>7,721</w:t>
            </w:r>
          </w:p>
        </w:tc>
        <w:tc>
          <w:tcPr>
            <w:tcW w:type="dxa" w:w="1440"/>
            <w:shd w:fill="FAFAFA" w:val="clear"/>
          </w:tcPr>
          <w:p>
            <w:r>
              <w:rPr>
                <w:sz w:val="17"/>
              </w:rPr>
              <w:t>8,112</w:t>
            </w:r>
          </w:p>
        </w:tc>
        <w:tc>
          <w:tcPr>
            <w:tcW w:type="dxa" w:w="1440"/>
            <w:shd w:fill="FAFAFA" w:val="clear"/>
          </w:tcPr>
          <w:p>
            <w:r>
              <w:rPr>
                <w:b/>
                <w:color w:val="008000"/>
                <w:sz w:val="17"/>
              </w:rPr>
              <w:t>+0.3%</w:t>
            </w:r>
          </w:p>
        </w:tc>
      </w:tr>
      <w:tr>
        <w:tc>
          <w:tcPr>
            <w:tcW w:type="dxa" w:w="1440"/>
            <w:shd w:fill="FAFAFA" w:val="clear"/>
          </w:tcPr>
          <w:p>
            <w:r>
              <w:rPr>
                <w:sz w:val="17"/>
              </w:rPr>
              <w:t>J+2  Moyenne</w:t>
            </w:r>
          </w:p>
        </w:tc>
        <w:tc>
          <w:tcPr>
            <w:tcW w:type="dxa" w:w="1440"/>
            <w:shd w:fill="FAFAFA" w:val="clear"/>
          </w:tcPr>
          <w:p>
            <w:r>
              <w:rPr>
                <w:sz w:val="17"/>
              </w:rPr>
              <w:t>2026-10-19</w:t>
            </w:r>
          </w:p>
        </w:tc>
        <w:tc>
          <w:tcPr>
            <w:tcW w:type="dxa" w:w="1440"/>
            <w:shd w:fill="FAFAFA" w:val="clear"/>
          </w:tcPr>
          <w:p>
            <w:r>
              <w:rPr>
                <w:sz w:val="17"/>
              </w:rPr>
              <w:t>7,152</w:t>
            </w:r>
          </w:p>
        </w:tc>
        <w:tc>
          <w:tcPr>
            <w:tcW w:type="dxa" w:w="1440"/>
            <w:shd w:fill="FAFAFA" w:val="clear"/>
          </w:tcPr>
          <w:p>
            <w:r>
              <w:rPr>
                <w:b/>
                <w:sz w:val="17"/>
              </w:rPr>
              <w:t>7,704</w:t>
            </w:r>
          </w:p>
        </w:tc>
        <w:tc>
          <w:tcPr>
            <w:tcW w:type="dxa" w:w="1440"/>
            <w:shd w:fill="FAFAFA" w:val="clear"/>
          </w:tcPr>
          <w:p>
            <w:r>
              <w:rPr>
                <w:sz w:val="17"/>
              </w:rPr>
              <w:t>8,255</w:t>
            </w:r>
          </w:p>
        </w:tc>
        <w:tc>
          <w:tcPr>
            <w:tcW w:type="dxa" w:w="1440"/>
            <w:shd w:fill="FAFAFA" w:val="clear"/>
          </w:tcPr>
          <w:p>
            <w:r>
              <w:rPr>
                <w:b/>
                <w:color w:val="008000"/>
                <w:sz w:val="17"/>
              </w:rPr>
              <w:t>+0.0%</w:t>
            </w:r>
          </w:p>
        </w:tc>
      </w:tr>
      <w:tr>
        <w:tc>
          <w:tcPr>
            <w:tcW w:type="dxa" w:w="1440"/>
            <w:shd w:fill="FAFAFA" w:val="clear"/>
          </w:tcPr>
          <w:p>
            <w:r>
              <w:rPr>
                <w:sz w:val="17"/>
              </w:rPr>
              <w:t>J+3  Moyenne</w:t>
            </w:r>
          </w:p>
        </w:tc>
        <w:tc>
          <w:tcPr>
            <w:tcW w:type="dxa" w:w="1440"/>
            <w:shd w:fill="FAFAFA" w:val="clear"/>
          </w:tcPr>
          <w:p>
            <w:r>
              <w:rPr>
                <w:sz w:val="17"/>
              </w:rPr>
              <w:t>2026-10-20</w:t>
            </w:r>
          </w:p>
        </w:tc>
        <w:tc>
          <w:tcPr>
            <w:tcW w:type="dxa" w:w="1440"/>
            <w:shd w:fill="FAFAFA" w:val="clear"/>
          </w:tcPr>
          <w:p>
            <w:r>
              <w:rPr>
                <w:sz w:val="17"/>
              </w:rPr>
              <w:t>7,014</w:t>
            </w:r>
          </w:p>
        </w:tc>
        <w:tc>
          <w:tcPr>
            <w:tcW w:type="dxa" w:w="1440"/>
            <w:shd w:fill="FAFAFA" w:val="clear"/>
          </w:tcPr>
          <w:p>
            <w:r>
              <w:rPr>
                <w:b/>
                <w:sz w:val="17"/>
              </w:rPr>
              <w:t>7,689</w:t>
            </w:r>
          </w:p>
        </w:tc>
        <w:tc>
          <w:tcPr>
            <w:tcW w:type="dxa" w:w="1440"/>
            <w:shd w:fill="FAFAFA" w:val="clear"/>
          </w:tcPr>
          <w:p>
            <w:r>
              <w:rPr>
                <w:sz w:val="17"/>
              </w:rPr>
              <w:t>8,363</w:t>
            </w:r>
          </w:p>
        </w:tc>
        <w:tc>
          <w:tcPr>
            <w:tcW w:type="dxa" w:w="1440"/>
            <w:shd w:fill="FAFAFA" w:val="clear"/>
          </w:tcPr>
          <w:p>
            <w:r>
              <w:rPr>
                <w:b/>
                <w:color w:val="C00000"/>
                <w:sz w:val="17"/>
              </w:rPr>
              <w:t>-0.1%</w:t>
            </w:r>
          </w:p>
        </w:tc>
      </w:tr>
      <w:tr>
        <w:tc>
          <w:tcPr>
            <w:tcW w:type="dxa" w:w="1440"/>
            <w:shd w:fill="FAFAFA" w:val="clear"/>
          </w:tcPr>
          <w:p>
            <w:r>
              <w:rPr>
                <w:sz w:val="17"/>
              </w:rPr>
              <w:t>J+4  ⭐</w:t>
            </w:r>
          </w:p>
        </w:tc>
        <w:tc>
          <w:tcPr>
            <w:tcW w:type="dxa" w:w="1440"/>
            <w:shd w:fill="FAFAFA" w:val="clear"/>
          </w:tcPr>
          <w:p>
            <w:r>
              <w:rPr>
                <w:sz w:val="17"/>
              </w:rPr>
              <w:t>2026-10-21</w:t>
            </w:r>
          </w:p>
        </w:tc>
        <w:tc>
          <w:tcPr>
            <w:tcW w:type="dxa" w:w="1440"/>
            <w:shd w:fill="FAFAFA" w:val="clear"/>
          </w:tcPr>
          <w:p>
            <w:r>
              <w:rPr>
                <w:sz w:val="17"/>
              </w:rPr>
              <w:t>6,896</w:t>
            </w:r>
          </w:p>
        </w:tc>
        <w:tc>
          <w:tcPr>
            <w:tcW w:type="dxa" w:w="1440"/>
            <w:shd w:fill="FAFAFA" w:val="clear"/>
          </w:tcPr>
          <w:p>
            <w:r>
              <w:rPr>
                <w:b/>
                <w:sz w:val="17"/>
              </w:rPr>
              <w:t>7,673</w:t>
            </w:r>
          </w:p>
        </w:tc>
        <w:tc>
          <w:tcPr>
            <w:tcW w:type="dxa" w:w="1440"/>
            <w:shd w:fill="FAFAFA" w:val="clear"/>
          </w:tcPr>
          <w:p>
            <w:r>
              <w:rPr>
                <w:sz w:val="17"/>
              </w:rPr>
              <w:t>8,450</w:t>
            </w:r>
          </w:p>
        </w:tc>
        <w:tc>
          <w:tcPr>
            <w:tcW w:type="dxa" w:w="1440"/>
            <w:shd w:fill="FAFAFA" w:val="clear"/>
          </w:tcPr>
          <w:p>
            <w:r>
              <w:rPr>
                <w:b/>
                <w:color w:val="C00000"/>
                <w:sz w:val="17"/>
              </w:rPr>
              <w:t>-0.4%</w:t>
            </w:r>
          </w:p>
        </w:tc>
      </w:tr>
      <w:tr>
        <w:tc>
          <w:tcPr>
            <w:tcW w:type="dxa" w:w="1440"/>
            <w:shd w:fill="FAFAFA" w:val="clear"/>
          </w:tcPr>
          <w:p>
            <w:r>
              <w:rPr>
                <w:sz w:val="17"/>
              </w:rPr>
              <w:t>J+5  ⭐</w:t>
            </w:r>
          </w:p>
        </w:tc>
        <w:tc>
          <w:tcPr>
            <w:tcW w:type="dxa" w:w="1440"/>
            <w:shd w:fill="FAFAFA" w:val="clear"/>
          </w:tcPr>
          <w:p>
            <w:r>
              <w:rPr>
                <w:sz w:val="17"/>
              </w:rPr>
              <w:t>2026-10-22</w:t>
            </w:r>
          </w:p>
        </w:tc>
        <w:tc>
          <w:tcPr>
            <w:tcW w:type="dxa" w:w="1440"/>
            <w:shd w:fill="FAFAFA" w:val="clear"/>
          </w:tcPr>
          <w:p>
            <w:r>
              <w:rPr>
                <w:sz w:val="17"/>
              </w:rPr>
              <w:t>6,790</w:t>
            </w:r>
          </w:p>
        </w:tc>
        <w:tc>
          <w:tcPr>
            <w:tcW w:type="dxa" w:w="1440"/>
            <w:shd w:fill="FAFAFA" w:val="clear"/>
          </w:tcPr>
          <w:p>
            <w:r>
              <w:rPr>
                <w:b/>
                <w:sz w:val="17"/>
              </w:rPr>
              <w:t>7,657</w:t>
            </w:r>
          </w:p>
        </w:tc>
        <w:tc>
          <w:tcPr>
            <w:tcW w:type="dxa" w:w="1440"/>
            <w:shd w:fill="FAFAFA" w:val="clear"/>
          </w:tcPr>
          <w:p>
            <w:r>
              <w:rPr>
                <w:sz w:val="17"/>
              </w:rPr>
              <w:t>8,525</w:t>
            </w:r>
          </w:p>
        </w:tc>
        <w:tc>
          <w:tcPr>
            <w:tcW w:type="dxa" w:w="1440"/>
            <w:shd w:fill="FAFAFA" w:val="clear"/>
          </w:tcPr>
          <w:p>
            <w:r>
              <w:rPr>
                <w:b/>
                <w:color w:val="C00000"/>
                <w:sz w:val="17"/>
              </w:rPr>
              <w:t>-0.6%</w:t>
            </w:r>
          </w:p>
        </w:tc>
      </w:tr>
      <w:tr>
        <w:tc>
          <w:tcPr>
            <w:tcW w:type="dxa" w:w="1440"/>
            <w:shd w:fill="FAFAFA" w:val="clear"/>
          </w:tcPr>
          <w:p>
            <w:r>
              <w:rPr>
                <w:sz w:val="17"/>
              </w:rPr>
              <w:t>J+6  ⭐</w:t>
            </w:r>
          </w:p>
        </w:tc>
        <w:tc>
          <w:tcPr>
            <w:tcW w:type="dxa" w:w="1440"/>
            <w:shd w:fill="FAFAFA" w:val="clear"/>
          </w:tcPr>
          <w:p>
            <w:r>
              <w:rPr>
                <w:sz w:val="17"/>
              </w:rPr>
              <w:t>2026-10-23</w:t>
            </w:r>
          </w:p>
        </w:tc>
        <w:tc>
          <w:tcPr>
            <w:tcW w:type="dxa" w:w="1440"/>
            <w:shd w:fill="FAFAFA" w:val="clear"/>
          </w:tcPr>
          <w:p>
            <w:r>
              <w:rPr>
                <w:sz w:val="17"/>
              </w:rPr>
              <w:t>6,694</w:t>
            </w:r>
          </w:p>
        </w:tc>
        <w:tc>
          <w:tcPr>
            <w:tcW w:type="dxa" w:w="1440"/>
            <w:shd w:fill="FAFAFA" w:val="clear"/>
          </w:tcPr>
          <w:p>
            <w:r>
              <w:rPr>
                <w:b/>
                <w:sz w:val="17"/>
              </w:rPr>
              <w:t>7,643</w:t>
            </w:r>
          </w:p>
        </w:tc>
        <w:tc>
          <w:tcPr>
            <w:tcW w:type="dxa" w:w="1440"/>
            <w:shd w:fill="FAFAFA" w:val="clear"/>
          </w:tcPr>
          <w:p>
            <w:r>
              <w:rPr>
                <w:sz w:val="17"/>
              </w:rPr>
              <w:t>8,591</w:t>
            </w:r>
          </w:p>
        </w:tc>
        <w:tc>
          <w:tcPr>
            <w:tcW w:type="dxa" w:w="1440"/>
            <w:shd w:fill="FAFAFA" w:val="clear"/>
          </w:tcPr>
          <w:p>
            <w:r>
              <w:rPr>
                <w:b/>
                <w:color w:val="C00000"/>
                <w:sz w:val="17"/>
              </w:rPr>
              <w:t>-0.7%</w:t>
            </w:r>
          </w:p>
        </w:tc>
      </w:tr>
      <w:tr>
        <w:tc>
          <w:tcPr>
            <w:tcW w:type="dxa" w:w="1440"/>
            <w:shd w:fill="FAFAFA" w:val="clear"/>
          </w:tcPr>
          <w:p>
            <w:r>
              <w:rPr>
                <w:sz w:val="17"/>
              </w:rPr>
              <w:t>J+7  ⭐</w:t>
            </w:r>
          </w:p>
        </w:tc>
        <w:tc>
          <w:tcPr>
            <w:tcW w:type="dxa" w:w="1440"/>
            <w:shd w:fill="FAFAFA" w:val="clear"/>
          </w:tcPr>
          <w:p>
            <w:r>
              <w:rPr>
                <w:sz w:val="17"/>
              </w:rPr>
              <w:t>2026-10-26</w:t>
            </w:r>
          </w:p>
        </w:tc>
        <w:tc>
          <w:tcPr>
            <w:tcW w:type="dxa" w:w="1440"/>
            <w:shd w:fill="FAFAFA" w:val="clear"/>
          </w:tcPr>
          <w:p>
            <w:r>
              <w:rPr>
                <w:sz w:val="17"/>
              </w:rPr>
              <w:t>6,606</w:t>
            </w:r>
          </w:p>
        </w:tc>
        <w:tc>
          <w:tcPr>
            <w:tcW w:type="dxa" w:w="1440"/>
            <w:shd w:fill="FAFAFA" w:val="clear"/>
          </w:tcPr>
          <w:p>
            <w:r>
              <w:rPr>
                <w:b/>
                <w:sz w:val="17"/>
              </w:rPr>
              <w:t>7,628</w:t>
            </w:r>
          </w:p>
        </w:tc>
        <w:tc>
          <w:tcPr>
            <w:tcW w:type="dxa" w:w="1440"/>
            <w:shd w:fill="FAFAFA" w:val="clear"/>
          </w:tcPr>
          <w:p>
            <w:r>
              <w:rPr>
                <w:sz w:val="17"/>
              </w:rPr>
              <w:t>8,651</w:t>
            </w:r>
          </w:p>
        </w:tc>
        <w:tc>
          <w:tcPr>
            <w:tcW w:type="dxa" w:w="1440"/>
            <w:shd w:fill="FAFAFA" w:val="clear"/>
          </w:tcPr>
          <w:p>
            <w:r>
              <w:rPr>
                <w:b/>
                <w:color w:val="C00000"/>
                <w:sz w:val="17"/>
              </w:rPr>
              <w:t>-0.9%</w:t>
            </w:r>
          </w:p>
        </w:tc>
      </w:tr>
      <w:tr>
        <w:tc>
          <w:tcPr>
            <w:tcW w:type="dxa" w:w="1440"/>
            <w:shd w:fill="FAFAFA" w:val="clear"/>
          </w:tcPr>
          <w:p>
            <w:r>
              <w:rPr>
                <w:sz w:val="17"/>
              </w:rPr>
              <w:t>J+8  ⭐</w:t>
            </w:r>
          </w:p>
        </w:tc>
        <w:tc>
          <w:tcPr>
            <w:tcW w:type="dxa" w:w="1440"/>
            <w:shd w:fill="FAFAFA" w:val="clear"/>
          </w:tcPr>
          <w:p>
            <w:r>
              <w:rPr>
                <w:sz w:val="17"/>
              </w:rPr>
              <w:t>2026-10-27</w:t>
            </w:r>
          </w:p>
        </w:tc>
        <w:tc>
          <w:tcPr>
            <w:tcW w:type="dxa" w:w="1440"/>
            <w:shd w:fill="FAFAFA" w:val="clear"/>
          </w:tcPr>
          <w:p>
            <w:r>
              <w:rPr>
                <w:sz w:val="17"/>
              </w:rPr>
              <w:t>6,524</w:t>
            </w:r>
          </w:p>
        </w:tc>
        <w:tc>
          <w:tcPr>
            <w:tcW w:type="dxa" w:w="1440"/>
            <w:shd w:fill="FAFAFA" w:val="clear"/>
          </w:tcPr>
          <w:p>
            <w:r>
              <w:rPr>
                <w:b/>
                <w:sz w:val="17"/>
              </w:rPr>
              <w:t>7,615</w:t>
            </w:r>
          </w:p>
        </w:tc>
        <w:tc>
          <w:tcPr>
            <w:tcW w:type="dxa" w:w="1440"/>
            <w:shd w:fill="FAFAFA" w:val="clear"/>
          </w:tcPr>
          <w:p>
            <w:r>
              <w:rPr>
                <w:sz w:val="17"/>
              </w:rPr>
              <w:t>8,706</w:t>
            </w:r>
          </w:p>
        </w:tc>
        <w:tc>
          <w:tcPr>
            <w:tcW w:type="dxa" w:w="1440"/>
            <w:shd w:fill="FAFAFA" w:val="clear"/>
          </w:tcPr>
          <w:p>
            <w:r>
              <w:rPr>
                <w:b/>
                <w:color w:val="C00000"/>
                <w:sz w:val="17"/>
              </w:rPr>
              <w:t>-1.1%</w:t>
            </w:r>
          </w:p>
        </w:tc>
      </w:tr>
      <w:tr>
        <w:tc>
          <w:tcPr>
            <w:tcW w:type="dxa" w:w="1440"/>
            <w:shd w:fill="FAFAFA" w:val="clear"/>
          </w:tcPr>
          <w:p>
            <w:r>
              <w:rPr>
                <w:sz w:val="17"/>
              </w:rPr>
              <w:t>J+9  ⭐</w:t>
            </w:r>
          </w:p>
        </w:tc>
        <w:tc>
          <w:tcPr>
            <w:tcW w:type="dxa" w:w="1440"/>
            <w:shd w:fill="FAFAFA" w:val="clear"/>
          </w:tcPr>
          <w:p>
            <w:r>
              <w:rPr>
                <w:sz w:val="17"/>
              </w:rPr>
              <w:t>2026-10-28</w:t>
            </w:r>
          </w:p>
        </w:tc>
        <w:tc>
          <w:tcPr>
            <w:tcW w:type="dxa" w:w="1440"/>
            <w:shd w:fill="FAFAFA" w:val="clear"/>
          </w:tcPr>
          <w:p>
            <w:r>
              <w:rPr>
                <w:sz w:val="17"/>
              </w:rPr>
              <w:t>6,447</w:t>
            </w:r>
          </w:p>
        </w:tc>
        <w:tc>
          <w:tcPr>
            <w:tcW w:type="dxa" w:w="1440"/>
            <w:shd w:fill="FAFAFA" w:val="clear"/>
          </w:tcPr>
          <w:p>
            <w:r>
              <w:rPr>
                <w:b/>
                <w:sz w:val="17"/>
              </w:rPr>
              <w:t>7,602</w:t>
            </w:r>
          </w:p>
        </w:tc>
        <w:tc>
          <w:tcPr>
            <w:tcW w:type="dxa" w:w="1440"/>
            <w:shd w:fill="FAFAFA" w:val="clear"/>
          </w:tcPr>
          <w:p>
            <w:r>
              <w:rPr>
                <w:sz w:val="17"/>
              </w:rPr>
              <w:t>8,757</w:t>
            </w:r>
          </w:p>
        </w:tc>
        <w:tc>
          <w:tcPr>
            <w:tcW w:type="dxa" w:w="1440"/>
            <w:shd w:fill="FAFAFA" w:val="clear"/>
          </w:tcPr>
          <w:p>
            <w:r>
              <w:rPr>
                <w:b/>
                <w:color w:val="C00000"/>
                <w:sz w:val="17"/>
              </w:rPr>
              <w:t>-1.3%</w:t>
            </w:r>
          </w:p>
        </w:tc>
      </w:tr>
      <w:tr>
        <w:tc>
          <w:tcPr>
            <w:tcW w:type="dxa" w:w="1440"/>
            <w:shd w:fill="FAFAFA" w:val="clear"/>
          </w:tcPr>
          <w:p>
            <w:r>
              <w:rPr>
                <w:sz w:val="17"/>
              </w:rPr>
              <w:t>J+10  ⭐</w:t>
            </w:r>
          </w:p>
        </w:tc>
        <w:tc>
          <w:tcPr>
            <w:tcW w:type="dxa" w:w="1440"/>
            <w:shd w:fill="FAFAFA" w:val="clear"/>
          </w:tcPr>
          <w:p>
            <w:r>
              <w:rPr>
                <w:sz w:val="17"/>
              </w:rPr>
              <w:t>2026-10-29</w:t>
            </w:r>
          </w:p>
        </w:tc>
        <w:tc>
          <w:tcPr>
            <w:tcW w:type="dxa" w:w="1440"/>
            <w:shd w:fill="FAFAFA" w:val="clear"/>
          </w:tcPr>
          <w:p>
            <w:r>
              <w:rPr>
                <w:sz w:val="17"/>
              </w:rPr>
              <w:t>6,374</w:t>
            </w:r>
          </w:p>
        </w:tc>
        <w:tc>
          <w:tcPr>
            <w:tcW w:type="dxa" w:w="1440"/>
            <w:shd w:fill="FAFAFA" w:val="clear"/>
          </w:tcPr>
          <w:p>
            <w:r>
              <w:rPr>
                <w:b/>
                <w:sz w:val="17"/>
              </w:rPr>
              <w:t>7,589</w:t>
            </w:r>
          </w:p>
        </w:tc>
        <w:tc>
          <w:tcPr>
            <w:tcW w:type="dxa" w:w="1440"/>
            <w:shd w:fill="FAFAFA" w:val="clear"/>
          </w:tcPr>
          <w:p>
            <w:r>
              <w:rPr>
                <w:sz w:val="17"/>
              </w:rPr>
              <w:t>8,805</w:t>
            </w:r>
          </w:p>
        </w:tc>
        <w:tc>
          <w:tcPr>
            <w:tcW w:type="dxa" w:w="1440"/>
            <w:shd w:fill="FAFAFA" w:val="clear"/>
          </w:tcPr>
          <w:p>
            <w:r>
              <w:rPr>
                <w:b/>
                <w:color w:val="C00000"/>
                <w:sz w:val="17"/>
              </w:rPr>
              <w:t>-1.4%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8.027 Mds FCFA</w:t>
            </w:r>
          </w:p>
        </w:tc>
        <w:tc>
          <w:tcPr>
            <w:tcW w:type="dxa" w:w="5669"/>
            <w:shd w:fill="FFFFFF" w:val="clear"/>
          </w:tcPr>
          <w:p>
            <w:r>
              <w:rPr>
                <w:color w:val="282828"/>
                <w:sz w:val="15"/>
              </w:rPr>
              <w:t>Créances clients = 8.1%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15.033 Mds FCFA</w:t>
            </w:r>
          </w:p>
        </w:tc>
        <w:tc>
          <w:tcPr>
            <w:tcW w:type="dxa" w:w="5669"/>
            <w:shd w:fill="FFFFFF" w:val="clear"/>
          </w:tcPr>
          <w:p>
            <w:r>
              <w:rPr>
                <w:color w:val="282828"/>
                <w:sz w:val="15"/>
              </w:rPr>
              <w:t>Rotation stocks = 6.6x/an.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23.060 Mds FCFA</w:t>
            </w:r>
          </w:p>
        </w:tc>
        <w:tc>
          <w:tcPr>
            <w:tcW w:type="dxa" w:w="5669"/>
            <w:shd w:fill="FFFFFF" w:val="clear"/>
          </w:tcPr>
          <w:p>
            <w:r>
              <w:rPr>
                <w:color w:val="282828"/>
                <w:sz w:val="15"/>
              </w:rPr>
              <w:t>Ratio actif circ./passif circ. = 1.45x.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222,000.00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61.200 Mds FCFA</w:t>
            </w:r>
          </w:p>
        </w:tc>
        <w:tc>
          <w:tcPr>
            <w:tcW w:type="dxa" w:w="5669"/>
            <w:shd w:fill="FFFFFF" w:val="clear"/>
          </w:tcPr>
          <w:p>
            <w:r>
              <w:rPr>
                <w:color w:val="282828"/>
                <w:sz w:val="15"/>
              </w:rPr>
              <w:t>Outil industriel (67.8%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61.953 Mds FCFA</w:t>
            </w:r>
          </w:p>
        </w:tc>
        <w:tc>
          <w:tcPr>
            <w:tcW w:type="dxa" w:w="5669"/>
            <w:shd w:fill="FFFFFF" w:val="clear"/>
          </w:tcPr>
          <w:p>
            <w:r>
              <w:rPr>
                <w:color w:val="282828"/>
                <w:sz w:val="15"/>
              </w:rPr>
              <w:t>Actif immobilisé = 68.6%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5.274 Mds FCFA</w:t>
            </w:r>
          </w:p>
        </w:tc>
        <w:tc>
          <w:tcPr>
            <w:tcW w:type="dxa" w:w="5669"/>
            <w:shd w:fill="FFFFFF" w:val="clear"/>
          </w:tcPr>
          <w:p>
            <w:r>
              <w:rPr>
                <w:color w:val="282828"/>
                <w:sz w:val="15"/>
              </w:rPr>
              <w:t>Liquidités disponibles (5.8%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90.288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21.602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34.336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68.430 Mds FCFA</w:t>
            </w:r>
          </w:p>
        </w:tc>
        <w:tc>
          <w:tcPr>
            <w:tcW w:type="dxa" w:w="5669"/>
            <w:shd w:fill="FFFFFF" w:val="clear"/>
          </w:tcPr>
          <w:p>
            <w:r>
              <w:rPr>
                <w:color w:val="282828"/>
                <w:sz w:val="15"/>
              </w:rPr>
              <w:t>Fonds propres = 75.8%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73.652 Mds FCFA</w:t>
            </w:r>
          </w:p>
        </w:tc>
        <w:tc>
          <w:tcPr>
            <w:tcW w:type="dxa" w:w="5669"/>
            <w:shd w:fill="FFFFFF" w:val="clear"/>
          </w:tcPr>
          <w:p>
            <w:r>
              <w:rPr>
                <w:color w:val="282828"/>
                <w:sz w:val="15"/>
              </w:rPr>
              <w:t>Capitaux permanents / Actif immobilisé = 1.19x.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4.882 Mds FCFA</w:t>
            </w:r>
          </w:p>
        </w:tc>
        <w:tc>
          <w:tcPr>
            <w:tcW w:type="dxa" w:w="5669"/>
            <w:shd w:fill="FFFFFF" w:val="clear"/>
          </w:tcPr>
          <w:p>
            <w:r>
              <w:rPr>
                <w:color w:val="282828"/>
                <w:sz w:val="15"/>
              </w:rPr>
              <w:t>Délai fournisseurs implicite ≈ 18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9.32 M FCFA</w:t>
            </w:r>
          </w:p>
        </w:tc>
        <w:tc>
          <w:tcPr>
            <w:tcW w:type="dxa" w:w="5669"/>
            <w:shd w:fill="FFFFFF" w:val="clear"/>
          </w:tcPr>
          <w:p>
            <w:r>
              <w:rPr>
                <w:color w:val="282828"/>
                <w:sz w:val="15"/>
              </w:rPr>
              <w:t>Dette LT/MT = 0%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708.86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21.858 Mds FCFA</w:t>
            </w:r>
          </w:p>
        </w:tc>
        <w:tc>
          <w:tcPr>
            <w:tcW w:type="dxa" w:w="5669"/>
            <w:shd w:fill="FFFFFF" w:val="clear"/>
          </w:tcPr>
          <w:p>
            <w:r>
              <w:rPr>
                <w:color w:val="282828"/>
                <w:sz w:val="15"/>
              </w:rPr>
              <w:t>Dettes totales = 24.2%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98.979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98.979 Mds FCFA</w:t>
            </w:r>
          </w:p>
        </w:tc>
        <w:tc>
          <w:tcPr>
            <w:tcW w:type="dxa" w:w="5669"/>
            <w:shd w:fill="FFFFFF" w:val="clear"/>
          </w:tcPr>
          <w:p>
            <w:r>
              <w:rPr>
                <w:color w:val="282828"/>
                <w:sz w:val="15"/>
              </w:rPr>
              <w:t>Chiffre d'affaires. Croissance: 10.7%.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6.528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19.258 Mds FCFA</w:t>
            </w:r>
          </w:p>
        </w:tc>
        <w:tc>
          <w:tcPr>
            <w:tcW w:type="dxa" w:w="5669"/>
            <w:shd w:fill="FFFFFF" w:val="clear"/>
          </w:tcPr>
          <w:p>
            <w:r>
              <w:rPr>
                <w:color w:val="282828"/>
                <w:sz w:val="15"/>
              </w:rPr>
              <w:t>Masse salariale = 19.5%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42.799 Mds FCFA</w:t>
            </w:r>
          </w:p>
        </w:tc>
        <w:tc>
          <w:tcPr>
            <w:tcW w:type="dxa" w:w="5669"/>
            <w:shd w:fill="FFFFFF" w:val="clear"/>
          </w:tcPr>
          <w:p>
            <w:r>
              <w:rPr>
                <w:color w:val="282828"/>
                <w:sz w:val="15"/>
              </w:rPr>
              <w:t>VA = 43.2%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23.541 Mds FCFA</w:t>
            </w:r>
          </w:p>
        </w:tc>
        <w:tc>
          <w:tcPr>
            <w:tcW w:type="dxa" w:w="5669"/>
            <w:shd w:fill="FFFFFF" w:val="clear"/>
          </w:tcPr>
          <w:p>
            <w:r>
              <w:rPr>
                <w:color w:val="282828"/>
                <w:sz w:val="15"/>
              </w:rPr>
              <w:t>EBE = 23.8%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17.061 Mds FCFA</w:t>
            </w:r>
          </w:p>
        </w:tc>
        <w:tc>
          <w:tcPr>
            <w:tcW w:type="dxa" w:w="5669"/>
            <w:shd w:fill="FFFFFF" w:val="clear"/>
          </w:tcPr>
          <w:p>
            <w:r>
              <w:rPr>
                <w:color w:val="282828"/>
                <w:sz w:val="15"/>
              </w:rPr>
              <w:t>Profit d'exploitation = 17.2%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5.212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12.493 Mds FCFA</w:t>
            </w:r>
          </w:p>
        </w:tc>
        <w:tc>
          <w:tcPr>
            <w:tcW w:type="dxa" w:w="5669"/>
            <w:shd w:fill="FFFFFF" w:val="clear"/>
          </w:tcPr>
          <w:p>
            <w:r>
              <w:rPr>
                <w:color w:val="282828"/>
                <w:sz w:val="15"/>
              </w:rPr>
              <w:t>Marge nette = 12.6%.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18.938 Mds FCFA</w:t>
            </w:r>
          </w:p>
        </w:tc>
        <w:tc>
          <w:tcPr>
            <w:tcW w:type="dxa" w:w="5669"/>
            <w:shd w:fill="FFFFFF" w:val="clear"/>
          </w:tcPr>
          <w:p>
            <w:r>
              <w:rPr>
                <w:color w:val="282828"/>
                <w:sz w:val="15"/>
              </w:rPr>
              <w:t>CAF = 18.94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22.644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-6.613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-12.898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16.031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7.124 Mds FCFA</w:t>
            </w:r>
          </w:p>
        </w:tc>
        <w:tc>
          <w:tcPr>
            <w:tcW w:type="dxa" w:w="5669"/>
            <w:shd w:fill="FFFFFF" w:val="clear"/>
          </w:tcPr>
          <w:p>
            <w:r>
              <w:rPr>
                <w:color w:val="282828"/>
                <w:sz w:val="15"/>
              </w:rPr>
              <w:t>BFR = 7.2%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11.699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4.575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67.93%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12.62%</w:t>
            </w:r>
          </w:p>
        </w:tc>
        <w:tc>
          <w:tcPr>
            <w:tcW w:type="dxa" w:w="5669"/>
            <w:shd w:fill="FFFFFF" w:val="clear"/>
          </w:tcPr>
          <w:p>
            <w:r>
              <w:rPr>
                <w:color w:val="282828"/>
                <w:sz w:val="15"/>
              </w:rPr>
              <w:t>Résultat net / revenus = 12.62%.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17.24%</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18.26%</w:t>
            </w:r>
          </w:p>
        </w:tc>
        <w:tc>
          <w:tcPr>
            <w:tcW w:type="dxa" w:w="5669"/>
            <w:shd w:fill="FFFFFF" w:val="clear"/>
          </w:tcPr>
          <w:p>
            <w:r>
              <w:rPr>
                <w:color w:val="282828"/>
                <w:sz w:val="15"/>
              </w:rPr>
              <w:t>Résultat net / capitaux propres = 18.26%.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13.84%</w:t>
            </w:r>
          </w:p>
        </w:tc>
        <w:tc>
          <w:tcPr>
            <w:tcW w:type="dxa" w:w="5669"/>
            <w:shd w:fill="FFFFFF" w:val="clear"/>
          </w:tcPr>
          <w:p>
            <w:r>
              <w:rPr>
                <w:color w:val="282828"/>
                <w:sz w:val="15"/>
              </w:rPr>
              <w:t>Résultat net / total actif = 13.84%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109.63%</w:t>
            </w:r>
          </w:p>
        </w:tc>
        <w:tc>
          <w:tcPr>
            <w:tcW w:type="dxa" w:w="5669"/>
            <w:shd w:fill="FFFFFF" w:val="clear"/>
          </w:tcPr>
          <w:p>
            <w:r>
              <w:rPr>
                <w:color w:val="282828"/>
                <w:sz w:val="15"/>
              </w:rPr>
              <w:t>CA / total actif = 109.63x.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10.70%</w:t>
            </w:r>
          </w:p>
        </w:tc>
        <w:tc>
          <w:tcPr>
            <w:tcW w:type="dxa" w:w="5669"/>
            <w:shd w:fill="FFFFFF" w:val="clear"/>
          </w:tcPr>
          <w:p>
            <w:r>
              <w:rPr>
                <w:color w:val="282828"/>
                <w:sz w:val="15"/>
              </w:rPr>
              <w:t>Croissance CA vs exercice précédent = 10.70%.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75.79%</w:t>
            </w:r>
          </w:p>
        </w:tc>
        <w:tc>
          <w:tcPr>
            <w:tcW w:type="dxa" w:w="5669"/>
            <w:shd w:fill="FFFFFF" w:val="clear"/>
          </w:tcPr>
          <w:p>
            <w:r>
              <w:rPr>
                <w:color w:val="282828"/>
                <w:sz w:val="15"/>
              </w:rPr>
              <w:t>Fonds propres / total bilan = 75.79%.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1.04%</w:t>
            </w:r>
          </w:p>
        </w:tc>
        <w:tc>
          <w:tcPr>
            <w:tcW w:type="dxa" w:w="5669"/>
            <w:shd w:fill="FFFFFF" w:val="clear"/>
          </w:tcPr>
          <w:p>
            <w:r>
              <w:rPr>
                <w:color w:val="282828"/>
                <w:sz w:val="15"/>
              </w:rPr>
              <w:t>Dettes financières / total bilan = 1.04%.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24.21%</w:t>
            </w:r>
          </w:p>
        </w:tc>
        <w:tc>
          <w:tcPr>
            <w:tcW w:type="dxa" w:w="5669"/>
            <w:shd w:fill="FFFFFF" w:val="clear"/>
          </w:tcPr>
          <w:p>
            <w:r>
              <w:rPr>
                <w:color w:val="282828"/>
                <w:sz w:val="15"/>
              </w:rPr>
              <w:t>Dettes totales / fonds propres = 24.21%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413.07%</w:t>
            </w:r>
          </w:p>
        </w:tc>
        <w:tc>
          <w:tcPr>
            <w:tcW w:type="dxa" w:w="5669"/>
            <w:shd w:fill="FFFFFF" w:val="clear"/>
          </w:tcPr>
          <w:p>
            <w:r>
              <w:rPr>
                <w:color w:val="282828"/>
                <w:sz w:val="15"/>
              </w:rPr>
              <w:t>Total actif / dettes totales = 413.07x.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170.32%</w:t>
            </w:r>
          </w:p>
        </w:tc>
        <w:tc>
          <w:tcPr>
            <w:tcW w:type="dxa" w:w="5669"/>
            <w:shd w:fill="FFFFFF" w:val="clear"/>
          </w:tcPr>
          <w:p>
            <w:r>
              <w:rPr>
                <w:color w:val="282828"/>
                <w:sz w:val="15"/>
              </w:rPr>
              <w:t>Actif circulant / passif circulant = 170.32x.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31.71%</w:t>
            </w:r>
          </w:p>
        </w:tc>
        <w:tc>
          <w:tcPr>
            <w:tcW w:type="dxa" w:w="5669"/>
            <w:shd w:fill="FFFFFF" w:val="clear"/>
          </w:tcPr>
          <w:p>
            <w:r>
              <w:rPr>
                <w:color w:val="282828"/>
                <w:sz w:val="15"/>
              </w:rPr>
              <w:t>Trésorerie / passif circulant = 31.71x. ✅ Trésorerie immédiate confortable.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79.96%</w:t>
            </w:r>
          </w:p>
        </w:tc>
        <w:tc>
          <w:tcPr>
            <w:tcW w:type="dxa" w:w="5669"/>
            <w:shd w:fill="FFFFFF" w:val="clear"/>
          </w:tcPr>
          <w:p>
            <w:r>
              <w:rPr>
                <w:color w:val="282828"/>
                <w:sz w:val="15"/>
              </w:rPr>
              <w:t>(Actif circ. - stocks) / passif circ. = 79.96x. ⚠️ Liquidité réduite limite.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118.88%</w:t>
            </w:r>
          </w:p>
        </w:tc>
        <w:tc>
          <w:tcPr>
            <w:tcW w:type="dxa" w:w="5669"/>
            <w:shd w:fill="FFFFFF" w:val="clear"/>
          </w:tcPr>
          <w:p>
            <w:r>
              <w:rPr>
                <w:color w:val="282828"/>
                <w:sz w:val="15"/>
              </w:rPr>
              <w:t>Capitaux permanents / actif immobilisé = 118.88x.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25563.41%</w:t>
            </w:r>
          </w:p>
        </w:tc>
        <w:tc>
          <w:tcPr>
            <w:tcW w:type="dxa" w:w="5669"/>
            <w:shd w:fill="FFFFFF" w:val="clear"/>
          </w:tcPr>
          <w:p>
            <w:r>
              <w:rPr>
                <w:color w:val="282828"/>
                <w:sz w:val="15"/>
              </w:rPr>
              <w:t>Résultat exploit. / charges financières = 25563.41x.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286.38%</w:t>
            </w:r>
          </w:p>
        </w:tc>
        <w:tc>
          <w:tcPr>
            <w:tcW w:type="dxa" w:w="5669"/>
            <w:shd w:fill="FFFFFF" w:val="clear"/>
          </w:tcPr>
          <w:p>
            <w:r>
              <w:rPr>
                <w:color w:val="282828"/>
                <w:sz w:val="15"/>
              </w:rPr>
              <w:t>CAF / investissements = 286.38x.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29.6 j</w:t>
            </w:r>
          </w:p>
        </w:tc>
        <w:tc>
          <w:tcPr>
            <w:tcW w:type="dxa" w:w="5669"/>
            <w:shd w:fill="FFFFFF" w:val="clear"/>
          </w:tcPr>
          <w:p>
            <w:r>
              <w:rPr>
                <w:color w:val="282828"/>
                <w:sz w:val="15"/>
              </w:rPr>
              <w:t>Les clients paient en moyenne en 30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31.7 j</w:t>
            </w:r>
          </w:p>
        </w:tc>
        <w:tc>
          <w:tcPr>
            <w:tcW w:type="dxa" w:w="5669"/>
            <w:shd w:fill="FFFFFF" w:val="clear"/>
          </w:tcPr>
          <w:p>
            <w:r>
              <w:rPr>
                <w:color w:val="282828"/>
                <w:sz w:val="15"/>
              </w:rPr>
              <w:t>Paiement des fournisseurs en 32 jours. ✅ Délai standard.</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97.7 j</w:t>
            </w:r>
          </w:p>
        </w:tc>
        <w:tc>
          <w:tcPr>
            <w:tcW w:type="dxa" w:w="5669"/>
            <w:shd w:fill="FFFFFF" w:val="clear"/>
          </w:tcPr>
          <w:p>
            <w:r>
              <w:rPr>
                <w:color w:val="282828"/>
                <w:sz w:val="15"/>
              </w:rPr>
              <w:t>Stock écoulé en 98 jours. ⚠️ Durée de stockage longue — capital immobilisé.</w:t>
            </w:r>
          </w:p>
        </w:tc>
      </w:tr>
    </w:tbl>
    <w:p/>
    <w:p>
      <w:pPr>
        <w:spacing w:after="120" w:line="276" w:lineRule="auto"/>
      </w:pPr>
      <w:r>
        <w:t>**RAPPORT D'ANALYSE FINANCIÈRE — SOGC (Société des Caoutchoucs de Grand-Béréby)**</w:t>
        <w:br/>
        <w:t>*Bourse Régionale des Valeurs Mobilières (BRVM) — Secteur : Agro-industrie / Entreprise non bancaire*</w:t>
        <w:br/>
        <w:t>*Date d'analyse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166,33 milliards FCFA, SOGC se positionne parmi les valeurs moyennes à solides de la cote BRVM, reflétant sa taille significative dans le compartiment agro-industriel régional. Le BPA de 578 FCFA/action signifie que chaque titre génère près de 578 FCFA de bénéfice net, un niveau appréciable qui traduit la rentabilité effective de l'exploitation. Le PER de 13,3x situe le titre légèrement au-dessus de la moyenne BRVM (8-12x), ce qui indique que les investisseurs acceptent une prime modérée pour la qualité des bénéfices, sans pour autant basculer dans une valorisation excessive. Le P/B de 2,43x montre que le marché valorise SOGC à plus de deux fois sa valeur comptable, une prime de croissance justifiée par la solidité des capitaux propres (68,43 Mds FCFA) et la régularité des dividendes. Enfin, l'EV/EBITDA de 6,9x, dans la fourchette raisonnable de 5-10x, confirme que la valeur d'entreprise reste cohérente avec la capacité opérationnelle de génération de cash-flow, suggérant une valorisation globalement équilibrée, ni bradée ni surévaluée.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cours de SOGC affiche une variation totale positive de +4,19%, bien que la dernière séance (J-1) enregistre un repli de -1,03%, signalant une légère pression vendeuse à court terme. Le titre évolue actuellement à 7 700 FCFA, dans un range de trading compris entre 7 300 FCFA (plus bas) et 8 875 FCFA (plus haut), soit une amplitude d'environ 21,6% qui témoigne d'une dynamique haussière antérieure suivie d'une correction. La tendance générale reste donc modérément haussière sur la période, mais le cours se situe désormais dans la partie basse de son range, ce qui traduit un essoufflement du momentum. Les statistiques descriptives révèlent une moyenne de 8 108 FCFA légèrement supérieure à la médiane de 8 145 FCFA, avec un mode à 8 100 FCFA, indiquant une distribution quasi-symétrique centrée autour de 8 100 FCFA ; l'écart-type de 323 FCFA et le coefficient de variation de 4,0% confirment une dispersion modérée du cours. Le kurtosis (excès) de 0,228 classe le titre comme mésokurtique, proche d'une distribution normale, donc sans risque excessif de pics extrêmes, tandis que le skewness de -0,516 révèle une asymétrie négative, signifiant qu'il y a eu davantage de journées de cotation au-dessus de la moyenne, mais que les baisses, moins fréquentes, ont été plus amples. La volatilité annualisée de 41,0% place SOGC dans la catégorie des titres à volatilité élevée (&gt;30%), ce qui implique un risque de prix significatif et justifie une approche prudente pour les investisseurs averses au risque.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s'établit à 7 839,5 FCFA et la MM50 à 7 995,7 FCFA, toutes deux supérieures au cours actuel de 7 700 FCFA. Cette configuration baissière (cours sous les deux moyennes) traduit une pression vendeuse persistante et justifie la décision technique de **Vente**, le titre n'ayant pas encore trouvé de support solide pour inverser la tendance.</w:t>
      </w:r>
    </w:p>
    <w:p>
      <w:pPr>
        <w:spacing w:after="120" w:line="276" w:lineRule="auto"/>
      </w:pPr>
      <w:r>
        <w:t>**Bandes de Bollinger** : La borne supérieure est à 8 202,6 FCFA et la borne inférieure à 7 476,4 FCFA, avec un cours actuel de 7 700 FCFA qui se situe dans la moitié basse du canal. Cette position, sans être en zone de survente extrême, indique une volatilité contenue et une absence de signal directionnel fort, d'où la décision **Neutre** ; le titre pourrait tester la borne inférieure en cas de poursuite de la correction.</w:t>
      </w:r>
    </w:p>
    <w:p>
      <w:pPr>
        <w:spacing w:after="120" w:line="276" w:lineRule="auto"/>
      </w:pPr>
      <w:r>
        <w:t>**MACD** : La valeur du MACD (-55,452) est légèrement inférieure à son signal (-55,152), générant un croisement baissier marginal. Le momentum reste négatif et la divergence entre les deux lignes, bien que faible, confirme la décision de **Vente**, sans toutefois indiquer un effondrement imminent.</w:t>
      </w:r>
    </w:p>
    <w:p>
      <w:pPr>
        <w:spacing w:after="120" w:line="276" w:lineRule="auto"/>
      </w:pPr>
      <w:r>
        <w:t>**RSI** : À 48,936, le RSI se situe en zone parfaitement neutre (entre 30 et 70), sans signal de surachat ni de survente. Cette configuration justifie la décision **Neutre** et suggère que le titre dispose d'une marge de manœuvre dans les deux directions, sans pression acheteuse ou vendeuse dominante.</w:t>
      </w:r>
    </w:p>
    <w:p>
      <w:pPr>
        <w:spacing w:after="120" w:line="276" w:lineRule="auto"/>
      </w:pPr>
      <w:r>
        <w:t>**Stochastique** : Le %K (20,0) est nettement inférieur au %D (41,583), ce qui place le %K en zone de survente (&lt;20) et signale un possible rebond à court terme. Cependant, l'absence de croisement haussier confirmé et la faiblesse du %K maintiennent la décision **Neutre**, avec une vigilance sur un éventuel retournement.</w:t>
      </w:r>
    </w:p>
    <w:p>
      <w:pPr>
        <w:spacing w:after="120" w:line="276" w:lineRule="auto"/>
      </w:pPr>
      <w:r>
        <w:t>**Conclusion technique** : Les indicateurs techniques sont majoritairement baissiers ou neutres, avec un cours sous ses moyennes mobiles, un MACD en territoire négatif et un stochastique en survente. La convergence des signaux de vente (MM, MACD) et de neutralité (Bollinger, RSI) suggère une phase de consolidation baissière, sans signal d'achat clair à ce stade. Une stabilisation au-dessus de 7 700 FCFA serait nécessaire pour envisager un retournement.</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les états financiers de SOGC (exercice clos le 31 décembre 2025) affichent un chiffre d'affaires de 98,979 milliards FCFA, en hausse de 10,70% par rapport à 2024, porté par la progression des prix de l'huile de palme (+20%) et de palmiste (+47%), ainsi que par la croissance des volumes de caoutchouc (+9%). Le résultat net s'établit à 12,493 milliards FCFA, en léger recul de 5% (-618 millions FCFA) par rapport aux 13,11 milliards FCFA de 2024, en raison de la hausse de 15% des coûts d'achat du coagulum qui a comprimé les marges. La marge nette ressort à 12,62% (contre 14,0% en 2024), la marge opérationnelle à 17,24% et la marge brute à 67,93%, confirmant une rentabilité toujours solide mais en normalisation après l'exercice exceptionnel 2024. Le ROE de 18,26% demeure excellent (&gt;15%) et le ROA de 13,84% témoigne d'une utilisation efficace des actifs (90,288 milliards FCFA), tandis que la rotation des actifs de 109,63% indique une bonne intensité capitalistique. La structure financière est remarquablement saine : autonomie financière de 75,79%, ratio d'endettement de 24,21%, solvabilité générale de 413,07% et liquidité générale de 170,32%, avec un BFR de 7,124 milliards FCFA et une trésorerie nette positive de 4,575 milliards FCFA. Les délais d'exploitation (clients : 29,60 jours ; fournisseurs : 31,72 jours ; stockage : 97,67 jours) restent maîtrisés, bien que la durée de stockage élevée immobilise du capital. La CAF de 18,938 milliards FCFA et le Free Cash Flow de 16,031 milliards FCFA confirment une génération de trésorerie robuste, renforcée par des flux opérationnels de 22,644 milliards FCFA. Sur la base des rapports trimestriels 2025 (T1 : CA +63,1%, RN +262,9% ; S1 : CA +51,9%, RN +151,6% ; 9M : CA +21,3%, RN +39,5%), on estime que l'exercice 2025 marque un ralentissement progressif de la croissance, avec un second semestre plus difficile marqué par la concurrence accrue sur l'achat de coagulum et la baisse des cours SICOM du caoutchouc. La politique de dividende reste très généreuse, avec un dividende brut proposé de 570 FCFA/action (contre 60 FCFA en 2024), soit un taux de distribution proche de 98,9% du résultat net, ce qui limite les capacités de réinvestissement mais offre un rendement attractif. En synthèse, SOGC présente des fondamentaux solides (ROE 18,26%, autonomie financière 75,79%, trésorerie nette positive) mais fait face à des vents contraires (hausse des coûts, concurrence, volatilité des prix) qui pèsent sur la croissance bénéficiaire ; la recommandation fondamentale est de **Conserver** le titre, avec une vigilance sur l'évolution des marges et la capacité à maintenir les prix de vente.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SOGC apparaît équilibrée : le PER de 13,3x (légèrement supérieur à la moyenne BRVM), le P/B de 2,43x et l'EV/EBITDA de 6,9x indiquent une juste appréciation du titre, sans sous-évaluation flagrante ni surévaluation excessive. Le comportement du cours sur 100 jours (+4,19%) masque une correction récente (-1,03% en J-1) et une volatilité élevée (41,0%), avec une distribution asymétrique négative (skewness -0,516) qui suggère que les baisses, bien que moins fréquentes, sont plus amples — un facteur de risque à surveiller. Les signaux techniques sont majoritairement baissiers (cours sous MM20 et MM50, MACD en territoire négatif) ou neutres (RSI 48,9, Bollinger), sans convergence haussière, ce qui plaide pour une absence de signal d'achat à court terme. Les fondamentaux restent solides (ROE 18,26%, autonomie financière 75,79%, CAF 18,94 Mds FCFA), mais la baisse de 5% du résultat net 2025 et la pression sur les marges (marge nette 12,62% contre 14,0% en 2024) tempèrent l'optimisme, tout comme la politique de distribution quasi-totale (98,9%) qui limite les investissements futurs. Les prédictions IA pour les 10 prochains jours (7 721 → 7 657 FCFA) anticipent une légère dérive baissière, en cohérence avec les signaux techniques baissiers et l'absence de catalyseur haussier immédiat. Sur la base de cette synthèse, la recommandation finale est **CONSERVER**, avec un niveau de confiance **Moyen** et un risque global **Élevé** (volatilité 41%, dépendance aux prix des matières premières, concurrence accrue). L'horizon d'investissement optimal est le **moyen terme (3-12 mois)**, en attendant une stabilisation des cours du caoutchouc et une clarification sur la capacité de SOGC à maintenir ses marges dans un environnement concurrentiel plus difficile ; un retournement technique au-dessus de 7 995 FCFA (MM50) serait un signal d'entrée plus favorable.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20260519   avis de convocation   assemblee generale ordinaire   sogb ci</w:t>
      </w:r>
    </w:p>
    <w:p>
      <w:pPr>
        <w:spacing w:before="20"/>
        <w:ind w:left="400"/>
      </w:pPr>
      <w:r>
        <w:rPr>
          <w:color w:val="505050"/>
          <w:sz w:val="17"/>
        </w:rPr>
        <w:t xml:space="preserve">Date : 20/05/2026  |  Catégorie : convocation AG  |  Impact : </w:t>
      </w:r>
      <w:r>
        <w:rPr>
          <w:b/>
          <w:color w:val="008000"/>
          <w:sz w:val="17"/>
        </w:rPr>
        <w:t>🟢 POSITIF</w:t>
      </w:r>
    </w:p>
    <w:p>
      <w:pPr>
        <w:spacing w:before="40"/>
        <w:ind w:left="400"/>
      </w:pPr>
      <w:r>
        <w:rPr>
          <w:sz w:val="18"/>
        </w:rPr>
        <w:t>SOGB convoque ses actionnaires en assemblée générale ordinaire le 28 mai 2026 pour approuver les comptes 2025 et délibérer sur l'affectation du résultat. La société propose un dividende brut de 570 FCFA par action sur un bénéfice net de 12,49 milliards FCFA. Un nouvel administrateur sera nommé et une convention avec Induservices FR sera ratifiée.</w:t>
      </w:r>
    </w:p>
    <w:p>
      <w:pPr>
        <w:spacing w:before="60"/>
        <w:ind w:left="400"/>
      </w:pPr>
      <w:r>
        <w:rPr>
          <w:b/>
          <w:sz w:val="18"/>
        </w:rPr>
        <w:t>Points clés :</w:t>
      </w:r>
    </w:p>
    <w:p>
      <w:pPr>
        <w:pStyle w:val="ListBullet"/>
        <w:spacing w:before="20" w:after="20"/>
        <w:ind w:left="700"/>
      </w:pPr>
      <w:r>
        <w:rPr>
          <w:sz w:val="18"/>
        </w:rPr>
        <w:t>Assemblée générale ordinaire convoquée pour le 28 mai 2026</w:t>
      </w:r>
    </w:p>
    <w:p>
      <w:pPr>
        <w:pStyle w:val="ListBullet"/>
        <w:spacing w:before="20" w:after="20"/>
        <w:ind w:left="700"/>
      </w:pPr>
      <w:r>
        <w:rPr>
          <w:sz w:val="18"/>
        </w:rPr>
        <w:t>Bénéfice net 2025 de 12,49 milliards FCFA</w:t>
      </w:r>
    </w:p>
    <w:p>
      <w:pPr>
        <w:pStyle w:val="ListBullet"/>
        <w:spacing w:before="20" w:after="20"/>
        <w:ind w:left="700"/>
      </w:pPr>
      <w:r>
        <w:rPr>
          <w:sz w:val="18"/>
        </w:rPr>
        <w:t>Dividende brut proposé de 570 FCFA par action</w:t>
      </w:r>
    </w:p>
    <w:p>
      <w:pPr>
        <w:pStyle w:val="ListBullet"/>
        <w:spacing w:before="20" w:after="20"/>
        <w:ind w:left="700"/>
      </w:pPr>
      <w:r>
        <w:rPr>
          <w:sz w:val="18"/>
        </w:rPr>
        <w:t>Nomination de Jean-François de WALQUE comme nouvel administrateur</w:t>
      </w:r>
    </w:p>
    <w:p>
      <w:pPr>
        <w:pStyle w:val="ListBullet"/>
        <w:spacing w:before="20" w:after="20"/>
        <w:ind w:left="700"/>
      </w:pPr>
      <w:r>
        <w:rPr>
          <w:sz w:val="18"/>
        </w:rPr>
        <w:t>Ratification d'une convention de services avec Induservices FR</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"conserver", "justification": "Malgr\u00e9 la baisse du r\u00e9sultat net, SOGB maintient des fondamentaux solides avec une g\u00e9n\u00e9ration de cash-flow op\u00e9rationnel robuste et une politique de dividendes attractive. La hausse des prix de vente compense partiellement l'augmentation des co\u00fbts d'approvisionnement."}</w:t>
      </w:r>
    </w:p>
    <w:p>
      <w:pPr>
        <w:spacing w:before="40"/>
        <w:ind w:left="400"/>
      </w:pPr>
      <w:r>
        <w:rPr>
          <w:sz w:val="18"/>
        </w:rPr>
        <w:t>SOGB affiche un résultat net de 12,49 milliards FCFA en 2025, en baisse de 5% par rapport à 2024. La société bénéficie d'une hausse de 12% de ses ventes de produits fabriqués grâce à l'augmentation des prix de l'huile de palme (+20%) et de palmiste (+47%), ainsi qu'à la croissance des volumes de caoutchouc (+9%). Cependant, les coûts de matières premières ont augmenté de 15% en raison de la hausse des prix du coagulum. La trésorerie s'améliore significivement avec des flux opérationnels de 22,6 milliards FCFA. La société maintient une politique de dividendes attractive avec 12,3 milliards FCFA distribués.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'42,8 milliards FCFA', 'capacite_autofinancement': '18,94 milliards FCFA', 'excedent_brut_exploitation': '23,54 milliards FCFA'}</w:t>
            </w:r>
          </w:p>
        </w:tc>
        <w:tc>
          <w:tcPr>
            <w:tcW w:type="dxa" w:w="2160"/>
          </w:tcPr>
          <w:p>
            <w:pPr>
              <w:ind w:left="100"/>
            </w:pPr>
            <w:r/>
            <w:r>
              <w:rPr>
                <w:b/>
                <w:sz w:val="16"/>
              </w:rPr>
              <w:t>dividende</w:t>
              <w:br/>
            </w:r>
            <w:r>
              <w:rPr>
                <w:sz w:val="18"/>
              </w:rPr>
              <w:t>12,31 milliards FCFA</w:t>
            </w:r>
          </w:p>
        </w:tc>
        <w:tc>
          <w:tcPr>
            <w:tcW w:type="dxa" w:w="2160"/>
          </w:tcPr>
          <w:p>
            <w:pPr>
              <w:ind w:left="100"/>
            </w:pPr>
            <w:r/>
            <w:r>
              <w:rPr>
                <w:b/>
                <w:sz w:val="16"/>
              </w:rPr>
              <w:t>marge_nette</w:t>
              <w:br/>
            </w:r>
            <w:r>
              <w:rPr>
                <w:sz w:val="18"/>
              </w:rPr>
              <w:t>11,9%</w:t>
            </w:r>
          </w:p>
        </w:tc>
        <w:tc>
          <w:tcPr>
            <w:tcW w:type="dxa" w:w="2160"/>
          </w:tcPr>
          <w:p>
            <w:pPr>
              <w:ind w:left="100"/>
            </w:pPr>
            <w:r/>
            <w:r>
              <w:rPr>
                <w:b/>
                <w:sz w:val="16"/>
              </w:rPr>
              <w:t>total_actif</w:t>
              <w:br/>
            </w:r>
            <w:r>
              <w:rPr>
                <w:sz w:val="18"/>
              </w:rPr>
              <w:t>90,29 milliards FCFA</w:t>
            </w:r>
          </w:p>
        </w:tc>
      </w:tr>
      <w:tr>
        <w:tc>
          <w:tcPr>
            <w:tcW w:type="dxa" w:w="2160"/>
          </w:tcPr>
          <w:p>
            <w:r/>
            <w:r>
              <w:rPr>
                <w:b/>
                <w:sz w:val="16"/>
              </w:rPr>
              <w:t>resultat_net</w:t>
              <w:br/>
            </w:r>
            <w:r>
              <w:rPr>
                <w:sz w:val="18"/>
              </w:rPr>
              <w:t>12,49 milliards FCFA</w:t>
            </w:r>
          </w:p>
        </w:tc>
        <w:tc>
          <w:tcPr>
            <w:tcW w:type="dxa" w:w="2160"/>
          </w:tcPr>
          <w:p>
            <w:r/>
            <w:r>
              <w:rPr>
                <w:b/>
                <w:sz w:val="16"/>
              </w:rPr>
              <w:t>capitaux_propres</w:t>
              <w:br/>
            </w:r>
            <w:r>
              <w:rPr>
                <w:sz w:val="18"/>
              </w:rPr>
              <w:t>68,43 milliards FCFA</w:t>
            </w:r>
          </w:p>
        </w:tc>
        <w:tc>
          <w:tcPr>
            <w:tcW w:type="dxa" w:w="2160"/>
          </w:tcPr>
          <w:p>
            <w:r/>
            <w:r>
              <w:rPr>
                <w:b/>
                <w:sz w:val="16"/>
              </w:rPr>
              <w:t>chiffre_affaires</w:t>
              <w:br/>
            </w:r>
            <w:r>
              <w:rPr>
                <w:sz w:val="18"/>
              </w:rPr>
              <w:t>105,1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de 12,49 milliards FCFA en baisse de 5% (-618 millions FCFA)</w:t>
      </w:r>
    </w:p>
    <w:p>
      <w:pPr>
        <w:pStyle w:val="ListBullet"/>
        <w:spacing w:before="20" w:after="20"/>
        <w:ind w:left="700"/>
      </w:pPr>
      <w:r>
        <w:rPr>
          <w:sz w:val="18"/>
        </w:rPr>
        <w:t>Ventes de produits fabriqués en hausse de 12% grâce aux prix de l'huile de palme (+20%)</w:t>
      </w:r>
    </w:p>
    <w:p>
      <w:pPr>
        <w:pStyle w:val="ListBullet"/>
        <w:spacing w:before="20" w:after="20"/>
        <w:ind w:left="700"/>
      </w:pPr>
      <w:r>
        <w:rPr>
          <w:sz w:val="18"/>
        </w:rPr>
        <w:t>Coûts de matières premières en forte hausse (+15%) impactant la rentabilité</w:t>
      </w:r>
    </w:p>
    <w:p>
      <w:pPr>
        <w:pStyle w:val="ListBullet"/>
        <w:spacing w:before="20" w:after="20"/>
        <w:ind w:left="700"/>
      </w:pPr>
      <w:r>
        <w:rPr>
          <w:sz w:val="18"/>
        </w:rPr>
        <w:t>Trésorerie nette améliorée de 3,1 milliards FCFA sur l'exercice</w:t>
      </w:r>
    </w:p>
    <w:p>
      <w:pPr>
        <w:pStyle w:val="ListBullet"/>
        <w:spacing w:before="20" w:after="20"/>
        <w:ind w:left="700"/>
      </w:pPr>
      <w:r>
        <w:rPr>
          <w:sz w:val="18"/>
        </w:rPr>
        <w:t>Flux de trésorerie opérationnels solides à 22,6 milliards FCFA</w:t>
      </w:r>
    </w:p>
    <w:p>
      <w:pPr>
        <w:pStyle w:val="ListBullet"/>
        <w:spacing w:before="20" w:after="20"/>
        <w:ind w:left="700"/>
      </w:pPr>
      <w:r>
        <w:rPr>
          <w:sz w:val="18"/>
        </w:rPr>
        <w:t>Maintien d'une politique de dividendes généreuse (12,3 milliards FCFA)</w:t>
      </w:r>
    </w:p>
    <w:p>
      <w:pPr>
        <w:spacing w:before="40"/>
        <w:ind w:left="400"/>
      </w:pPr>
      <w:r>
        <w:rPr>
          <w:b/>
          <w:color w:val="C05000"/>
          <w:sz w:val="18"/>
        </w:rPr>
        <w:t xml:space="preserve">⚠️ Risques : </w:t>
      </w:r>
      <w:r>
        <w:rPr>
          <w:sz w:val="18"/>
        </w:rPr>
        <w:t>["Intensification de la concurrence sur l'achat du coagulum impactant les marges", "Volatilit\u00e9 des prix des mati\u00e8res premi\u00e8res agricoles", "D\u00e9pendance aux fluctuations des cours mondiaux de l'huile de palme et du caoutchouc"]</w:t>
      </w:r>
    </w:p>
    <w:p>
      <w:pPr>
        <w:spacing w:before="40"/>
        <w:ind w:left="400"/>
      </w:pPr>
      <w:r>
        <w:rPr>
          <w:b/>
          <w:color w:val="0064A0"/>
          <w:sz w:val="18"/>
        </w:rPr>
        <w:t xml:space="preserve">🔮 Perspectives : </w:t>
      </w:r>
      <w:r>
        <w:rPr>
          <w:sz w:val="18"/>
        </w:rPr>
        <w:t>Le contexte concurrentiel plus difficile depuis le second semestre 2025 devrait persister et continuer à peser sur les marges. La capacité de la société à maintenir ses prix de vente face à la hausse des coûts d'approvisionnement sera déterminante pour la performance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baisse des performances, la soci\u00e9t\u00e9 maintient une rentabilit\u00e9 positive et anticipe une ma\u00eetrise des charges d'exploitation au S2. Le contexte difficile des mati\u00e8res premi\u00e8res agricoles pourrait s'am\u00e9liorer progressivement."}</w:t>
      </w:r>
    </w:p>
    <w:p>
      <w:pPr>
        <w:spacing w:before="40"/>
        <w:ind w:left="400"/>
      </w:pPr>
      <w:r>
        <w:rPr>
          <w:sz w:val="18"/>
        </w:rPr>
        <w:t>SOGB affiche une performance décevante au premier semestre 2023 avec un chiffre d'affaires en baisse de 24,68% à 37,8 milliards FCFA comparé à la même période 2022. Le résultat d'exploitation chute drastiquement de 60,61% à 5,18 milliards FCFA, impacté par la baisse des activités dans tous les segments. L'activité Palmier subit une forte contraction (-31%) due à la baisse des prix et volumes de vente d'huile de palme. L'activité Hévéa n'est pas épargnée avec une diminution de 21% liée à la chute des prix du caoutchouc (-18%) et des volumes (-4%). Le résultat net s'établit à 3,77 milliards FCFA contre 9,78 milliards en 2022, soit une régression de 61,41%.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'-84,9 millions FCFA', 'resultat_exploitation': '5,18 milliards FCFA', 'variation_ca_annuelle': '-24,68%', 'variation_resultat_net': '-61,41%'}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3,77 milliards FCFA (S1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37,8 milliards FCFA (S1 2023)</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24,68% au S1 2023 à 37,8 milliards FCFA</w:t>
      </w:r>
    </w:p>
    <w:p>
      <w:pPr>
        <w:pStyle w:val="ListBullet"/>
        <w:spacing w:before="20" w:after="20"/>
        <w:ind w:left="700"/>
      </w:pPr>
      <w:r>
        <w:rPr>
          <w:sz w:val="18"/>
        </w:rPr>
        <w:t>Résultat d'exploitation en chute libre de 60,61% à 5,18 milliards FCFA</w:t>
      </w:r>
    </w:p>
    <w:p>
      <w:pPr>
        <w:pStyle w:val="ListBullet"/>
        <w:spacing w:before="20" w:after="20"/>
        <w:ind w:left="700"/>
      </w:pPr>
      <w:r>
        <w:rPr>
          <w:sz w:val="18"/>
        </w:rPr>
        <w:t>Activité Palmier en déclin de 31% due à la baisse des prix (-5%) et volumes (-24%)</w:t>
      </w:r>
    </w:p>
    <w:p>
      <w:pPr>
        <w:pStyle w:val="ListBullet"/>
        <w:spacing w:before="20" w:after="20"/>
        <w:ind w:left="700"/>
      </w:pPr>
      <w:r>
        <w:rPr>
          <w:sz w:val="18"/>
        </w:rPr>
        <w:t>Activité Hévéa en retrait de 21% avec des prix du caoutchouc en baisse de 18%</w:t>
      </w:r>
    </w:p>
    <w:p>
      <w:pPr>
        <w:pStyle w:val="ListBullet"/>
        <w:spacing w:before="20" w:after="20"/>
        <w:ind w:left="700"/>
      </w:pPr>
      <w:r>
        <w:rPr>
          <w:sz w:val="18"/>
        </w:rPr>
        <w:t>Résultat net divisé par 2,6 passant de 9,78 à 3,77 milliards FCFA</w:t>
      </w:r>
    </w:p>
    <w:p>
      <w:pPr>
        <w:pStyle w:val="ListBullet"/>
        <w:spacing w:before="20" w:after="20"/>
        <w:ind w:left="700"/>
      </w:pPr>
      <w:r>
        <w:rPr>
          <w:sz w:val="18"/>
        </w:rPr>
        <w:t>Résultat financier déficitaire de -84,9 millions FCFA contre -305,9 millions en 2022</w:t>
      </w:r>
    </w:p>
    <w:p>
      <w:pPr>
        <w:spacing w:before="40"/>
        <w:ind w:left="400"/>
      </w:pPr>
      <w:r>
        <w:rPr>
          <w:b/>
          <w:color w:val="C05000"/>
          <w:sz w:val="18"/>
        </w:rPr>
        <w:t xml:space="preserve">⚠️ Risques : </w:t>
      </w:r>
      <w:r>
        <w:rPr>
          <w:sz w:val="18"/>
        </w:rPr>
        <w:t>["Volatilit\u00e9 continue des prix des mati\u00e8res premi\u00e8res agricoles (huile de palme, caoutchouc)", "Impact persistant de la guerre russo-ukrainienne sur les march\u00e9s internationaux", "Risque de nouvelle d\u00e9gradation des volumes de vente sur les activit\u00e9s principales"]</w:t>
      </w:r>
    </w:p>
    <w:p>
      <w:pPr>
        <w:spacing w:before="40"/>
        <w:ind w:left="400"/>
      </w:pPr>
      <w:r>
        <w:rPr>
          <w:b/>
          <w:color w:val="0064A0"/>
          <w:sz w:val="18"/>
        </w:rPr>
        <w:t xml:space="preserve">🔮 Perspectives : </w:t>
      </w:r>
      <w:r>
        <w:rPr>
          <w:sz w:val="18"/>
        </w:rPr>
        <w:t>La société table sur une maîtrise des charges d'exploitation pour le second semestre dans un contexte international agité. L'évolution des prix des matières premières reste l'enjeu majeur pour la performance future de SOGB.</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croissance exceptionnelle avec un doublement du r\u00e9sultat net et une forte progression du CA. La certification RSPO et la ma\u00eetrise des co\u00fbts positionnent favorablement SOGB sur le march\u00e9 de l'huile de palme durable."}</w:t>
      </w:r>
    </w:p>
    <w:p>
      <w:pPr>
        <w:spacing w:before="40"/>
        <w:ind w:left="400"/>
      </w:pPr>
      <w:r>
        <w:rPr>
          <w:sz w:val="18"/>
        </w:rPr>
        <w:t>SOGB (Société des Caoutchoucs de Grand-Béréby) présente des résultats solides pour le premier semestre 2021 avec une croissance remarquable. Le chiffre d'affaires a progressé de 19,6% à 40,05 milliards FCFA, dépassant significativement les performances de 2020. Le résultat net a bondi de 104,6% pour atteindre 7,54 milliards FCFA, témoignant d'une excellente maîtrise opérationnelle. La société bénéficie de la hausse des prix de vente (+26%) et des volumes vendus (+2%) de ses produits Palmier certifiés RSPO. Les commissaires aux comptes ont délivré une attestation favorable sans réserve sur les états financiers.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'+19,6%', 'impot_sur_resultat': '2,21 milliards FCFA', 'resultat_financier': '-398 millions FCFA', 'resultat_exploitation': '10,15 milliards FCFA', 'croissance_resultat_net': '+104,6%'}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7,54 milliards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40,05 milliards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19,6% au S1 2021 à 40,05 milliards FCFA</w:t>
      </w:r>
    </w:p>
    <w:p>
      <w:pPr>
        <w:pStyle w:val="ListBullet"/>
        <w:spacing w:before="20" w:after="20"/>
        <w:ind w:left="700"/>
      </w:pPr>
      <w:r>
        <w:rPr>
          <w:sz w:val="18"/>
        </w:rPr>
        <w:t>Explosion du résultat net de 104,6% à 7,54 milliards FCFA</w:t>
      </w:r>
    </w:p>
    <w:p>
      <w:pPr>
        <w:pStyle w:val="ListBullet"/>
        <w:spacing w:before="20" w:after="20"/>
        <w:ind w:left="700"/>
      </w:pPr>
      <w:r>
        <w:rPr>
          <w:sz w:val="18"/>
        </w:rPr>
        <w:t>Hausse significative de 26% des prix de vente des produits Palmier</w:t>
      </w:r>
    </w:p>
    <w:p>
      <w:pPr>
        <w:pStyle w:val="ListBullet"/>
        <w:spacing w:before="20" w:after="20"/>
        <w:ind w:left="700"/>
      </w:pPr>
      <w:r>
        <w:rPr>
          <w:sz w:val="18"/>
        </w:rPr>
        <w:t>Croissance des volumes vendus de 2% malgré le contexte COVID-19</w:t>
      </w:r>
    </w:p>
    <w:p>
      <w:pPr>
        <w:pStyle w:val="ListBullet"/>
        <w:spacing w:before="20" w:after="20"/>
        <w:ind w:left="700"/>
      </w:pPr>
      <w:r>
        <w:rPr>
          <w:sz w:val="18"/>
        </w:rPr>
        <w:t>Certification RSPO obtenue pour 25% des parcelles Palmier</w:t>
      </w:r>
    </w:p>
    <w:p>
      <w:pPr>
        <w:pStyle w:val="ListBullet"/>
        <w:spacing w:before="20" w:after="20"/>
        <w:ind w:left="700"/>
      </w:pPr>
      <w:r>
        <w:rPr>
          <w:sz w:val="18"/>
        </w:rPr>
        <w:t>Progression du résultat d'exploitation de 93,6% à 10,15 milliards FCFA</w:t>
      </w:r>
    </w:p>
    <w:p>
      <w:pPr>
        <w:spacing w:before="40"/>
        <w:ind w:left="400"/>
      </w:pPr>
      <w:r>
        <w:rPr>
          <w:b/>
          <w:color w:val="C05000"/>
          <w:sz w:val="18"/>
        </w:rPr>
        <w:t xml:space="preserve">⚠️ Risques : </w:t>
      </w:r>
      <w:r>
        <w:rPr>
          <w:sz w:val="18"/>
        </w:rPr>
        <w:t>["Volatilit\u00e9 des prix des mati\u00e8res premi\u00e8res agricoles sur les march\u00e9s internationaux", "Impact potentiel de la crise COVID-19 sur les op\u00e9rations futures", "D\u00e9pendance aux conditions climatiques pour la production agricole"]</w:t>
      </w:r>
    </w:p>
    <w:p>
      <w:pPr>
        <w:spacing w:before="40"/>
        <w:ind w:left="400"/>
      </w:pPr>
      <w:r>
        <w:rPr>
          <w:b/>
          <w:color w:val="0064A0"/>
          <w:sz w:val="18"/>
        </w:rPr>
        <w:t xml:space="preserve">🔮 Perspectives : </w:t>
      </w:r>
      <w:r>
        <w:rPr>
          <w:sz w:val="18"/>
        </w:rPr>
        <w:t>SOGB devrait poursuivre sa certification RSPO pour renforcer sa position sur le marché de l'huile de palme durable. La société semble bien positionnée pour maintenir sa dynamique de croissance malgré le contexte international incertain lié à la COVID-19.</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hausse et une excellente ma\u00eetrise des co\u00fbts. Le contexte favorable des prix des mati\u00e8res premi\u00e8res soutient la dynamique positive."}</w:t>
      </w:r>
    </w:p>
    <w:p>
      <w:pPr>
        <w:spacing w:before="40"/>
        <w:ind w:left="400"/>
      </w:pPr>
      <w:r>
        <w:rPr>
          <w:sz w:val="18"/>
        </w:rPr>
        <w:t>SOGB affiche une performance exceptionnelle au 30 septembre 2021 avec un chiffre d'affaires de 62,1 milliards FCFA en hausse de 30,1%. Le résultat net bondit de 132,4% à 11,2 milliards FCFA grâce à la hausse des prix du caoutchouc (+21%) et de l'huile de palme (+36%). Les volumes vendus progressent modérément avec +2% pour le caoutchouc et +5% pour l'huile de palme. La société bénéficie d'une très bonne maîtrise des charges d'exploitation. Cette performance reflète un contexte favorable sur les matières premières agricoles.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'21,6 milliards FCFA', 'resultat_activites_ordinaires': '14,8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30,1% à 62,1 milliards FCFA</w:t>
      </w:r>
    </w:p>
    <w:p>
      <w:pPr>
        <w:pStyle w:val="ListBullet"/>
        <w:spacing w:before="20" w:after="20"/>
        <w:ind w:left="700"/>
      </w:pPr>
      <w:r>
        <w:rPr>
          <w:sz w:val="18"/>
        </w:rPr>
        <w:t>Résultat net exceptionnel en hausse de 132,4% à 11,2 milliards FCFA</w:t>
      </w:r>
    </w:p>
    <w:p>
      <w:pPr>
        <w:pStyle w:val="ListBullet"/>
        <w:spacing w:before="20" w:after="20"/>
        <w:ind w:left="700"/>
      </w:pPr>
      <w:r>
        <w:rPr>
          <w:sz w:val="18"/>
        </w:rPr>
        <w:t>Prix de l'huile de palme brute en hausse de 36% sur 9 mois</w:t>
      </w:r>
    </w:p>
    <w:p>
      <w:pPr>
        <w:pStyle w:val="ListBullet"/>
        <w:spacing w:before="20" w:after="20"/>
        <w:ind w:left="700"/>
      </w:pPr>
      <w:r>
        <w:rPr>
          <w:sz w:val="18"/>
        </w:rPr>
        <w:t>Prix du caoutchouc en progression de 21%</w:t>
      </w:r>
    </w:p>
    <w:p>
      <w:pPr>
        <w:pStyle w:val="ListBullet"/>
        <w:spacing w:before="20" w:after="20"/>
        <w:ind w:left="700"/>
      </w:pPr>
      <w:r>
        <w:rPr>
          <w:sz w:val="18"/>
        </w:rPr>
        <w:t>Volumes vendus en légère hausse : +2% caoutchouc, +5% huile de palme</w:t>
      </w:r>
    </w:p>
    <w:p>
      <w:pPr>
        <w:pStyle w:val="ListBullet"/>
        <w:spacing w:before="20" w:after="20"/>
        <w:ind w:left="700"/>
      </w:pPr>
      <w:r>
        <w:rPr>
          <w:sz w:val="18"/>
        </w:rPr>
        <w:t>Excellente maîtrise des charges d'exploitation décaissées</w:t>
      </w:r>
    </w:p>
    <w:p>
      <w:pPr>
        <w:spacing w:before="40"/>
        <w:ind w:left="400"/>
      </w:pPr>
      <w:r>
        <w:rPr>
          <w:b/>
          <w:color w:val="C05000"/>
          <w:sz w:val="18"/>
        </w:rPr>
        <w:t xml:space="preserve">⚠️ Risques : </w:t>
      </w:r>
      <w:r>
        <w:rPr>
          <w:sz w:val="18"/>
        </w:rPr>
        <w:t>["Volatilit\u00e9 des prix des mati\u00e8res premi\u00e8res (caoutchouc et huile de palme)", "D\u00e9pendance aux conditions climatiques pour la production agricole", "Risques g\u00e9opolitiques et commerciaux sur les march\u00e9s d'exportation"]</w:t>
      </w:r>
    </w:p>
    <w:p>
      <w:pPr>
        <w:spacing w:before="40"/>
        <w:ind w:left="400"/>
      </w:pPr>
      <w:r>
        <w:rPr>
          <w:b/>
          <w:color w:val="0064A0"/>
          <w:sz w:val="18"/>
        </w:rPr>
        <w:t xml:space="preserve">🔮 Perspectives : </w:t>
      </w:r>
      <w:r>
        <w:rPr>
          <w:sz w:val="18"/>
        </w:rPr>
        <w:t>Les perspectives restent favorables si les prix des matières premières se maintiennent à des niveaux élevés. La société devrait continuer à bénéficier de sa stratégie de maîtrise des coûts et de l'amélioration de ses volumes de production.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performance exceptionnelle avec un doublement du r\u00e9sultat net et une am\u00e9lioration continue de la rentabilit\u00e9 justifie un positionnement haussier. La solidit\u00e9 financi\u00e8re et la dynamique de croissance soutenue offrent un potentiel d'appr\u00e9ciation attractif."}</w:t>
      </w:r>
    </w:p>
    <w:p>
      <w:pPr>
        <w:spacing w:before="40"/>
        <w:ind w:left="400"/>
      </w:pPr>
      <w:r>
        <w:rPr>
          <w:sz w:val="18"/>
        </w:rPr>
        <w:t>SOGB affiche une performance financière exceptionnelle en 2021 avec un résultat net de 14,73 milliards FCFA contre 7,65 milliards en 2020, soit une croissance de 92,5%. Le chiffre d'affaires progresse de 33,9% à 81,63 milliards FCFA, témoignant d'une forte dynamique commerciale. La société maintient une structure bilancielle solide avec un total actif de 97 milliards FCFA et des capitaux propres renforcés à 29,90 milliards FCFA. La marge nette s'améliore significativement passant de 23,6% à 25,3%, démontrant une meilleure maîtrise des coûts. Cette performance remarquable positionne SOGB comme un acteur de premier plan sur son marché.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'33,9%', 'tresorerie_nette': '3 170 572 milliers FCFA', 'charges_personnel': '15 019 099 milliers FCFA', 'croissance_resultat_net': '92,5%'}</w:t>
            </w:r>
          </w:p>
        </w:tc>
        <w:tc>
          <w:tcPr>
            <w:tcW w:type="dxa" w:w="2160"/>
          </w:tcPr>
          <w:p>
            <w:pPr>
              <w:ind w:left="100"/>
            </w:pPr>
            <w:r/>
            <w:r>
              <w:rPr>
                <w:b/>
                <w:sz w:val="16"/>
              </w:rPr>
              <w:t>dividende</w:t>
              <w:br/>
            </w:r>
            <w:r>
              <w:rPr>
                <w:sz w:val="18"/>
              </w:rPr>
              <w:t>13 004 308 milliers FCFA</w:t>
            </w:r>
          </w:p>
        </w:tc>
        <w:tc>
          <w:tcPr>
            <w:tcW w:type="dxa" w:w="2160"/>
          </w:tcPr>
          <w:p>
            <w:pPr>
              <w:ind w:left="100"/>
            </w:pPr>
            <w:r/>
            <w:r>
              <w:rPr>
                <w:b/>
                <w:sz w:val="16"/>
              </w:rPr>
              <w:t>marge_nette</w:t>
              <w:br/>
            </w:r>
            <w:r>
              <w:rPr>
                <w:sz w:val="18"/>
              </w:rPr>
              <w:t>25,3%</w:t>
            </w:r>
          </w:p>
        </w:tc>
        <w:tc>
          <w:tcPr>
            <w:tcW w:type="dxa" w:w="2160"/>
          </w:tcPr>
          <w:p>
            <w:pPr>
              <w:ind w:left="100"/>
            </w:pPr>
            <w:r/>
            <w:r>
              <w:rPr>
                <w:b/>
                <w:sz w:val="16"/>
              </w:rPr>
              <w:t>total_actif</w:t>
              <w:br/>
            </w:r>
            <w:r>
              <w:rPr>
                <w:sz w:val="18"/>
              </w:rPr>
              <w:t>97 008 610 milliers FCFA</w:t>
            </w:r>
          </w:p>
        </w:tc>
      </w:tr>
      <w:tr>
        <w:tc>
          <w:tcPr>
            <w:tcW w:type="dxa" w:w="2160"/>
          </w:tcPr>
          <w:p>
            <w:r/>
            <w:r>
              <w:rPr>
                <w:b/>
                <w:sz w:val="16"/>
              </w:rPr>
              <w:t>resultat_net</w:t>
              <w:br/>
            </w:r>
            <w:r>
              <w:rPr>
                <w:sz w:val="18"/>
              </w:rPr>
              <w:t>14 728 280 milliers FCFA</w:t>
            </w:r>
          </w:p>
        </w:tc>
        <w:tc>
          <w:tcPr>
            <w:tcW w:type="dxa" w:w="2160"/>
          </w:tcPr>
          <w:p>
            <w:r/>
            <w:r>
              <w:rPr>
                <w:b/>
                <w:sz w:val="16"/>
              </w:rPr>
              <w:t>capitaux_propres</w:t>
              <w:br/>
            </w:r>
            <w:r>
              <w:rPr>
                <w:sz w:val="18"/>
              </w:rPr>
              <w:t>29 900 516 milliers FCFA</w:t>
            </w:r>
          </w:p>
        </w:tc>
        <w:tc>
          <w:tcPr>
            <w:tcW w:type="dxa" w:w="2160"/>
          </w:tcPr>
          <w:p>
            <w:r/>
            <w:r>
              <w:rPr>
                <w:b/>
                <w:sz w:val="16"/>
              </w:rPr>
              <w:t>chiffre_affaires</w:t>
              <w:br/>
            </w:r>
            <w:r>
              <w:rPr>
                <w:sz w:val="18"/>
              </w:rPr>
              <w:t>81 625 049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Doublement du résultat net : +92,5% à 14,73 milliards FCFA en 2021</w:t>
      </w:r>
    </w:p>
    <w:p>
      <w:pPr>
        <w:pStyle w:val="ListBullet"/>
        <w:spacing w:before="20" w:after="20"/>
        <w:ind w:left="700"/>
      </w:pPr>
      <w:r>
        <w:rPr>
          <w:sz w:val="18"/>
        </w:rPr>
        <w:t>Forte croissance du chiffre d'affaires : +33,9% à 81,63 milliards FCFA</w:t>
      </w:r>
    </w:p>
    <w:p>
      <w:pPr>
        <w:pStyle w:val="ListBullet"/>
        <w:spacing w:before="20" w:after="20"/>
        <w:ind w:left="700"/>
      </w:pPr>
      <w:r>
        <w:rPr>
          <w:sz w:val="18"/>
        </w:rPr>
        <w:t>Amélioration de la marge nette de 23,6% à 25,3%</w:t>
      </w:r>
    </w:p>
    <w:p>
      <w:pPr>
        <w:pStyle w:val="ListBullet"/>
        <w:spacing w:before="20" w:after="20"/>
        <w:ind w:left="700"/>
      </w:pPr>
      <w:r>
        <w:rPr>
          <w:sz w:val="18"/>
        </w:rPr>
        <w:t>Augmentation significative des immobilisations corporelles de 64,5 milliards FCFA</w:t>
      </w:r>
    </w:p>
    <w:p>
      <w:pPr>
        <w:pStyle w:val="ListBullet"/>
        <w:spacing w:before="20" w:after="20"/>
        <w:ind w:left="700"/>
      </w:pPr>
      <w:r>
        <w:rPr>
          <w:sz w:val="18"/>
        </w:rPr>
        <w:t>Progression des capitaux propres de 21,7 milliards à 29,9 milliards FCFA</w:t>
      </w:r>
    </w:p>
    <w:p>
      <w:pPr>
        <w:pStyle w:val="ListBullet"/>
        <w:spacing w:before="20" w:after="20"/>
        <w:ind w:left="700"/>
      </w:pPr>
      <w:r>
        <w:rPr>
          <w:sz w:val="18"/>
        </w:rPr>
        <w:t>Forte croissance des charges du personnel (+21%) reflétant l'expansion</w:t>
      </w:r>
    </w:p>
    <w:p>
      <w:pPr>
        <w:spacing w:before="40"/>
        <w:ind w:left="400"/>
      </w:pPr>
      <w:r>
        <w:rPr>
          <w:b/>
          <w:color w:val="C05000"/>
          <w:sz w:val="18"/>
        </w:rPr>
        <w:t xml:space="preserve">⚠️ Risques : </w:t>
      </w:r>
      <w:r>
        <w:rPr>
          <w:sz w:val="18"/>
        </w:rPr>
        <w:t>["Forte d\u00e9pendance aux prix des mati\u00e8res premi\u00e8res (caoutchouc et huile de palme)", "Exposition aux variations de change et aux conditions climatiques", "Risque de surcapacit\u00e9 avec les importants investissements en immobilisations"]</w:t>
      </w:r>
    </w:p>
    <w:p>
      <w:pPr>
        <w:spacing w:before="40"/>
        <w:ind w:left="400"/>
      </w:pPr>
      <w:r>
        <w:rPr>
          <w:b/>
          <w:color w:val="0064A0"/>
          <w:sz w:val="18"/>
        </w:rPr>
        <w:t xml:space="preserve">🔮 Perspectives : </w:t>
      </w:r>
      <w:r>
        <w:rPr>
          <w:sz w:val="18"/>
        </w:rPr>
        <w:t>La société devrait poursuivre sa trajectoire de croissance portée par ses investissements productifs et l'expansion de ses capacités. La forte génération de cash-flows et la solidité financière permettront de soutenir le développement tout en maintenant une politique de dividende attractive.</w:t>
      </w:r>
    </w:p>
    <w:p/>
    <w:p>
      <w:r>
        <w:t>════════════════════════════════════════════════════════════════════════════════</w:t>
      </w:r>
    </w:p>
    <w:p>
      <w:r>
        <w:br w:type="page"/>
      </w:r>
    </w:p>
    <w:p>
      <w:pPr>
        <w:pStyle w:val="Heading2"/>
        <w:spacing w:before="360"/>
      </w:pPr>
      <w:r>
        <w:rPr>
          <w:color w:val="0066CC"/>
        </w:rPr>
        <w:t>42. SPHC - SPHC - Société Africaine de Plantation d'Hévéas de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SPHC</w:t>
            </w:r>
          </w:p>
          <w:p>
            <w:r>
              <w:rPr>
                <w:b/>
                <w:color w:val="323250"/>
                <w:sz w:val="16"/>
              </w:rPr>
              <w:t xml:space="preserve">Société : </w:t>
            </w:r>
            <w:r>
              <w:rPr>
                <w:color w:val="000000"/>
                <w:sz w:val="16"/>
              </w:rPr>
              <w:t>SPHC - Société Africaine de Plantation d...</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199.35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4,979 titres</w:t>
            </w:r>
          </w:p>
        </w:tc>
        <w:tc>
          <w:tcPr>
            <w:tcW w:type="dxa" w:w="2268"/>
            <w:shd w:fill="FFF2CC" w:val="clear"/>
          </w:tcPr>
          <w:p>
            <w:r>
              <w:rPr>
                <w:b/>
                <w:color w:val="503200"/>
                <w:sz w:val="16"/>
              </w:rPr>
              <w:t xml:space="preserve">Cours actuel : </w:t>
            </w:r>
            <w:r>
              <w:rPr>
                <w:color w:val="000000"/>
                <w:sz w:val="17"/>
              </w:rPr>
              <w:t>7,800 FCFA</w:t>
            </w:r>
          </w:p>
          <w:p>
            <w:r>
              <w:rPr>
                <w:b/>
                <w:color w:val="503200"/>
                <w:sz w:val="16"/>
              </w:rPr>
              <w:t xml:space="preserve">Var. 100 jours : </w:t>
            </w:r>
            <w:r>
              <w:rPr>
                <w:b/>
                <w:color w:val="007800"/>
                <w:sz w:val="17"/>
              </w:rPr>
              <w:t>+12.31%</w:t>
            </w:r>
          </w:p>
          <w:p>
            <w:r>
              <w:rPr>
                <w:b/>
                <w:color w:val="503200"/>
                <w:sz w:val="16"/>
              </w:rPr>
              <w:t xml:space="preserve">Plus haut 100j : </w:t>
            </w:r>
            <w:r>
              <w:rPr>
                <w:color w:val="000000"/>
                <w:sz w:val="17"/>
              </w:rPr>
              <w:t>10,300 FCFA</w:t>
            </w:r>
          </w:p>
          <w:p>
            <w:r>
              <w:rPr>
                <w:b/>
                <w:color w:val="503200"/>
                <w:sz w:val="16"/>
              </w:rPr>
              <w:t xml:space="preserve">Plus bas 100j : </w:t>
            </w:r>
            <w:r>
              <w:rPr>
                <w:color w:val="000000"/>
                <w:sz w:val="17"/>
              </w:rPr>
              <w:t>6,945 FCFA</w:t>
            </w:r>
          </w:p>
          <w:p>
            <w:r>
              <w:rPr>
                <w:b/>
                <w:color w:val="503200"/>
                <w:sz w:val="16"/>
              </w:rPr>
              <w:t xml:space="preserve">Volatilité ann. : </w:t>
            </w:r>
            <w:r>
              <w:rPr>
                <w:color w:val="000000"/>
                <w:sz w:val="17"/>
              </w:rPr>
              <w:t>44.3%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8.97% (Moyenne) — μ=7,943 FCFA, σ=712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β=0.7188 (Défensif) — Cov=0.000054, Var(idx)=0.000075, ρ=0.223,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4,979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σ_j=2.79%/j (Stable) — Vol. annualisée≈44.3%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16976"/>
            <wp:docPr id="44" name="Picture 44"/>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2026-10-16</w:t>
            </w:r>
          </w:p>
        </w:tc>
        <w:tc>
          <w:tcPr>
            <w:tcW w:type="dxa" w:w="1440"/>
            <w:shd w:fill="FAFAFA" w:val="clear"/>
          </w:tcPr>
          <w:p>
            <w:r>
              <w:rPr>
                <w:sz w:val="17"/>
              </w:rPr>
              <w:t>7,306</w:t>
            </w:r>
          </w:p>
        </w:tc>
        <w:tc>
          <w:tcPr>
            <w:tcW w:type="dxa" w:w="1440"/>
            <w:shd w:fill="FAFAFA" w:val="clear"/>
          </w:tcPr>
          <w:p>
            <w:r>
              <w:rPr>
                <w:b/>
                <w:sz w:val="17"/>
              </w:rPr>
              <w:t>7,683</w:t>
            </w:r>
          </w:p>
        </w:tc>
        <w:tc>
          <w:tcPr>
            <w:tcW w:type="dxa" w:w="1440"/>
            <w:shd w:fill="FAFAFA" w:val="clear"/>
          </w:tcPr>
          <w:p>
            <w:r>
              <w:rPr>
                <w:sz w:val="17"/>
              </w:rPr>
              <w:t>8,060</w:t>
            </w:r>
          </w:p>
        </w:tc>
        <w:tc>
          <w:tcPr>
            <w:tcW w:type="dxa" w:w="1440"/>
            <w:shd w:fill="FAFAFA" w:val="clear"/>
          </w:tcPr>
          <w:p>
            <w:r>
              <w:rPr>
                <w:b/>
                <w:color w:val="C00000"/>
                <w:sz w:val="17"/>
              </w:rPr>
              <w:t>-1.5%</w:t>
            </w:r>
          </w:p>
        </w:tc>
      </w:tr>
      <w:tr>
        <w:tc>
          <w:tcPr>
            <w:tcW w:type="dxa" w:w="1440"/>
            <w:shd w:fill="FAFAFA" w:val="clear"/>
          </w:tcPr>
          <w:p>
            <w:r>
              <w:rPr>
                <w:sz w:val="17"/>
              </w:rPr>
              <w:t>J+2  Moyenne</w:t>
            </w:r>
          </w:p>
        </w:tc>
        <w:tc>
          <w:tcPr>
            <w:tcW w:type="dxa" w:w="1440"/>
            <w:shd w:fill="FAFAFA" w:val="clear"/>
          </w:tcPr>
          <w:p>
            <w:r>
              <w:rPr>
                <w:sz w:val="17"/>
              </w:rPr>
              <w:t>2026-10-19</w:t>
            </w:r>
          </w:p>
        </w:tc>
        <w:tc>
          <w:tcPr>
            <w:tcW w:type="dxa" w:w="1440"/>
            <w:shd w:fill="FAFAFA" w:val="clear"/>
          </w:tcPr>
          <w:p>
            <w:r>
              <w:rPr>
                <w:sz w:val="17"/>
              </w:rPr>
              <w:t>7,127</w:t>
            </w:r>
          </w:p>
        </w:tc>
        <w:tc>
          <w:tcPr>
            <w:tcW w:type="dxa" w:w="1440"/>
            <w:shd w:fill="FAFAFA" w:val="clear"/>
          </w:tcPr>
          <w:p>
            <w:r>
              <w:rPr>
                <w:b/>
                <w:sz w:val="17"/>
              </w:rPr>
              <w:t>7,658</w:t>
            </w:r>
          </w:p>
        </w:tc>
        <w:tc>
          <w:tcPr>
            <w:tcW w:type="dxa" w:w="1440"/>
            <w:shd w:fill="FAFAFA" w:val="clear"/>
          </w:tcPr>
          <w:p>
            <w:r>
              <w:rPr>
                <w:sz w:val="17"/>
              </w:rPr>
              <w:t>8,189</w:t>
            </w:r>
          </w:p>
        </w:tc>
        <w:tc>
          <w:tcPr>
            <w:tcW w:type="dxa" w:w="1440"/>
            <w:shd w:fill="FAFAFA" w:val="clear"/>
          </w:tcPr>
          <w:p>
            <w:r>
              <w:rPr>
                <w:b/>
                <w:color w:val="C00000"/>
                <w:sz w:val="17"/>
              </w:rPr>
              <w:t>-1.8%</w:t>
            </w:r>
          </w:p>
        </w:tc>
      </w:tr>
      <w:tr>
        <w:tc>
          <w:tcPr>
            <w:tcW w:type="dxa" w:w="1440"/>
            <w:shd w:fill="FFDCE0" w:val="clear"/>
          </w:tcPr>
          <w:p>
            <w:r>
              <w:rPr>
                <w:sz w:val="17"/>
              </w:rPr>
              <w:t>J+3  Moyenne</w:t>
            </w:r>
          </w:p>
        </w:tc>
        <w:tc>
          <w:tcPr>
            <w:tcW w:type="dxa" w:w="1440"/>
            <w:shd w:fill="FFDCE0" w:val="clear"/>
          </w:tcPr>
          <w:p>
            <w:r>
              <w:rPr>
                <w:sz w:val="17"/>
              </w:rPr>
              <w:t>2026-10-20</w:t>
            </w:r>
          </w:p>
        </w:tc>
        <w:tc>
          <w:tcPr>
            <w:tcW w:type="dxa" w:w="1440"/>
            <w:shd w:fill="FFDCE0" w:val="clear"/>
          </w:tcPr>
          <w:p>
            <w:r>
              <w:rPr>
                <w:sz w:val="17"/>
              </w:rPr>
              <w:t>6,978</w:t>
            </w:r>
          </w:p>
        </w:tc>
        <w:tc>
          <w:tcPr>
            <w:tcW w:type="dxa" w:w="1440"/>
            <w:shd w:fill="FFDCE0" w:val="clear"/>
          </w:tcPr>
          <w:p>
            <w:r>
              <w:rPr>
                <w:b/>
                <w:sz w:val="17"/>
              </w:rPr>
              <w:t>7,625</w:t>
            </w:r>
          </w:p>
        </w:tc>
        <w:tc>
          <w:tcPr>
            <w:tcW w:type="dxa" w:w="1440"/>
            <w:shd w:fill="FFDCE0" w:val="clear"/>
          </w:tcPr>
          <w:p>
            <w:r>
              <w:rPr>
                <w:sz w:val="17"/>
              </w:rPr>
              <w:t>8,273</w:t>
            </w:r>
          </w:p>
        </w:tc>
        <w:tc>
          <w:tcPr>
            <w:tcW w:type="dxa" w:w="1440"/>
            <w:shd w:fill="FFDCE0" w:val="clear"/>
          </w:tcPr>
          <w:p>
            <w:r>
              <w:rPr>
                <w:b/>
                <w:color w:val="C00000"/>
                <w:sz w:val="17"/>
              </w:rPr>
              <w:t>-2.2%</w:t>
            </w:r>
          </w:p>
        </w:tc>
      </w:tr>
      <w:tr>
        <w:tc>
          <w:tcPr>
            <w:tcW w:type="dxa" w:w="1440"/>
            <w:shd w:fill="FFDCE0" w:val="clear"/>
          </w:tcPr>
          <w:p>
            <w:r>
              <w:rPr>
                <w:sz w:val="17"/>
              </w:rPr>
              <w:t>J+4  ⭐</w:t>
            </w:r>
          </w:p>
        </w:tc>
        <w:tc>
          <w:tcPr>
            <w:tcW w:type="dxa" w:w="1440"/>
            <w:shd w:fill="FFDCE0" w:val="clear"/>
          </w:tcPr>
          <w:p>
            <w:r>
              <w:rPr>
                <w:sz w:val="17"/>
              </w:rPr>
              <w:t>2026-10-21</w:t>
            </w:r>
          </w:p>
        </w:tc>
        <w:tc>
          <w:tcPr>
            <w:tcW w:type="dxa" w:w="1440"/>
            <w:shd w:fill="FFDCE0" w:val="clear"/>
          </w:tcPr>
          <w:p>
            <w:r>
              <w:rPr>
                <w:sz w:val="17"/>
              </w:rPr>
              <w:t>6,849</w:t>
            </w:r>
          </w:p>
        </w:tc>
        <w:tc>
          <w:tcPr>
            <w:tcW w:type="dxa" w:w="1440"/>
            <w:shd w:fill="FFDCE0" w:val="clear"/>
          </w:tcPr>
          <w:p>
            <w:r>
              <w:rPr>
                <w:b/>
                <w:sz w:val="17"/>
              </w:rPr>
              <w:t>7,594</w:t>
            </w:r>
          </w:p>
        </w:tc>
        <w:tc>
          <w:tcPr>
            <w:tcW w:type="dxa" w:w="1440"/>
            <w:shd w:fill="FFDCE0" w:val="clear"/>
          </w:tcPr>
          <w:p>
            <w:r>
              <w:rPr>
                <w:sz w:val="17"/>
              </w:rPr>
              <w:t>8,339</w:t>
            </w:r>
          </w:p>
        </w:tc>
        <w:tc>
          <w:tcPr>
            <w:tcW w:type="dxa" w:w="1440"/>
            <w:shd w:fill="FFDCE0" w:val="clear"/>
          </w:tcPr>
          <w:p>
            <w:r>
              <w:rPr>
                <w:b/>
                <w:color w:val="C00000"/>
                <w:sz w:val="17"/>
              </w:rPr>
              <w:t>-2.6%</w:t>
            </w:r>
          </w:p>
        </w:tc>
      </w:tr>
      <w:tr>
        <w:tc>
          <w:tcPr>
            <w:tcW w:type="dxa" w:w="1440"/>
            <w:shd w:fill="FFDCE0" w:val="clear"/>
          </w:tcPr>
          <w:p>
            <w:r>
              <w:rPr>
                <w:sz w:val="17"/>
              </w:rPr>
              <w:t>J+5  ⭐</w:t>
            </w:r>
          </w:p>
        </w:tc>
        <w:tc>
          <w:tcPr>
            <w:tcW w:type="dxa" w:w="1440"/>
            <w:shd w:fill="FFDCE0" w:val="clear"/>
          </w:tcPr>
          <w:p>
            <w:r>
              <w:rPr>
                <w:sz w:val="17"/>
              </w:rPr>
              <w:t>2026-10-22</w:t>
            </w:r>
          </w:p>
        </w:tc>
        <w:tc>
          <w:tcPr>
            <w:tcW w:type="dxa" w:w="1440"/>
            <w:shd w:fill="FFDCE0" w:val="clear"/>
          </w:tcPr>
          <w:p>
            <w:r>
              <w:rPr>
                <w:sz w:val="17"/>
              </w:rPr>
              <w:t>6,734</w:t>
            </w:r>
          </w:p>
        </w:tc>
        <w:tc>
          <w:tcPr>
            <w:tcW w:type="dxa" w:w="1440"/>
            <w:shd w:fill="FFDCE0" w:val="clear"/>
          </w:tcPr>
          <w:p>
            <w:r>
              <w:rPr>
                <w:b/>
                <w:sz w:val="17"/>
              </w:rPr>
              <w:t>7,564</w:t>
            </w:r>
          </w:p>
        </w:tc>
        <w:tc>
          <w:tcPr>
            <w:tcW w:type="dxa" w:w="1440"/>
            <w:shd w:fill="FFDCE0" w:val="clear"/>
          </w:tcPr>
          <w:p>
            <w:r>
              <w:rPr>
                <w:sz w:val="17"/>
              </w:rPr>
              <w:t>8,393</w:t>
            </w:r>
          </w:p>
        </w:tc>
        <w:tc>
          <w:tcPr>
            <w:tcW w:type="dxa" w:w="1440"/>
            <w:shd w:fill="FFDCE0" w:val="clear"/>
          </w:tcPr>
          <w:p>
            <w:r>
              <w:rPr>
                <w:b/>
                <w:color w:val="C00000"/>
                <w:sz w:val="17"/>
              </w:rPr>
              <w:t>-3.0%</w:t>
            </w:r>
          </w:p>
        </w:tc>
      </w:tr>
      <w:tr>
        <w:tc>
          <w:tcPr>
            <w:tcW w:type="dxa" w:w="1440"/>
            <w:shd w:fill="FFDCE0" w:val="clear"/>
          </w:tcPr>
          <w:p>
            <w:r>
              <w:rPr>
                <w:sz w:val="17"/>
              </w:rPr>
              <w:t>J+6  ⭐</w:t>
            </w:r>
          </w:p>
        </w:tc>
        <w:tc>
          <w:tcPr>
            <w:tcW w:type="dxa" w:w="1440"/>
            <w:shd w:fill="FFDCE0" w:val="clear"/>
          </w:tcPr>
          <w:p>
            <w:r>
              <w:rPr>
                <w:sz w:val="17"/>
              </w:rPr>
              <w:t>2026-10-23</w:t>
            </w:r>
          </w:p>
        </w:tc>
        <w:tc>
          <w:tcPr>
            <w:tcW w:type="dxa" w:w="1440"/>
            <w:shd w:fill="FFDCE0" w:val="clear"/>
          </w:tcPr>
          <w:p>
            <w:r>
              <w:rPr>
                <w:sz w:val="17"/>
              </w:rPr>
              <w:t>6,629</w:t>
            </w:r>
          </w:p>
        </w:tc>
        <w:tc>
          <w:tcPr>
            <w:tcW w:type="dxa" w:w="1440"/>
            <w:shd w:fill="FFDCE0" w:val="clear"/>
          </w:tcPr>
          <w:p>
            <w:r>
              <w:rPr>
                <w:b/>
                <w:sz w:val="17"/>
              </w:rPr>
              <w:t>7,534</w:t>
            </w:r>
          </w:p>
        </w:tc>
        <w:tc>
          <w:tcPr>
            <w:tcW w:type="dxa" w:w="1440"/>
            <w:shd w:fill="FFDCE0" w:val="clear"/>
          </w:tcPr>
          <w:p>
            <w:r>
              <w:rPr>
                <w:sz w:val="17"/>
              </w:rPr>
              <w:t>8,440</w:t>
            </w:r>
          </w:p>
        </w:tc>
        <w:tc>
          <w:tcPr>
            <w:tcW w:type="dxa" w:w="1440"/>
            <w:shd w:fill="FFDCE0" w:val="clear"/>
          </w:tcPr>
          <w:p>
            <w:r>
              <w:rPr>
                <w:b/>
                <w:color w:val="C00000"/>
                <w:sz w:val="17"/>
              </w:rPr>
              <w:t>-3.4%</w:t>
            </w:r>
          </w:p>
        </w:tc>
      </w:tr>
      <w:tr>
        <w:tc>
          <w:tcPr>
            <w:tcW w:type="dxa" w:w="1440"/>
            <w:shd w:fill="FFDCE0" w:val="clear"/>
          </w:tcPr>
          <w:p>
            <w:r>
              <w:rPr>
                <w:sz w:val="17"/>
              </w:rPr>
              <w:t>J+7  ⭐</w:t>
            </w:r>
          </w:p>
        </w:tc>
        <w:tc>
          <w:tcPr>
            <w:tcW w:type="dxa" w:w="1440"/>
            <w:shd w:fill="FFDCE0" w:val="clear"/>
          </w:tcPr>
          <w:p>
            <w:r>
              <w:rPr>
                <w:sz w:val="17"/>
              </w:rPr>
              <w:t>2026-10-26</w:t>
            </w:r>
          </w:p>
        </w:tc>
        <w:tc>
          <w:tcPr>
            <w:tcW w:type="dxa" w:w="1440"/>
            <w:shd w:fill="FFDCE0" w:val="clear"/>
          </w:tcPr>
          <w:p>
            <w:r>
              <w:rPr>
                <w:sz w:val="17"/>
              </w:rPr>
              <w:t>6,532</w:t>
            </w:r>
          </w:p>
        </w:tc>
        <w:tc>
          <w:tcPr>
            <w:tcW w:type="dxa" w:w="1440"/>
            <w:shd w:fill="FFDCE0" w:val="clear"/>
          </w:tcPr>
          <w:p>
            <w:r>
              <w:rPr>
                <w:b/>
                <w:sz w:val="17"/>
              </w:rPr>
              <w:t>7,506</w:t>
            </w:r>
          </w:p>
        </w:tc>
        <w:tc>
          <w:tcPr>
            <w:tcW w:type="dxa" w:w="1440"/>
            <w:shd w:fill="FFDCE0" w:val="clear"/>
          </w:tcPr>
          <w:p>
            <w:r>
              <w:rPr>
                <w:sz w:val="17"/>
              </w:rPr>
              <w:t>8,480</w:t>
            </w:r>
          </w:p>
        </w:tc>
        <w:tc>
          <w:tcPr>
            <w:tcW w:type="dxa" w:w="1440"/>
            <w:shd w:fill="FFDCE0" w:val="clear"/>
          </w:tcPr>
          <w:p>
            <w:r>
              <w:rPr>
                <w:b/>
                <w:color w:val="C00000"/>
                <w:sz w:val="17"/>
              </w:rPr>
              <w:t>-3.8%</w:t>
            </w:r>
          </w:p>
        </w:tc>
      </w:tr>
      <w:tr>
        <w:tc>
          <w:tcPr>
            <w:tcW w:type="dxa" w:w="1440"/>
            <w:shd w:fill="FFDCE0" w:val="clear"/>
          </w:tcPr>
          <w:p>
            <w:r>
              <w:rPr>
                <w:sz w:val="17"/>
              </w:rPr>
              <w:t>J+8  ⭐</w:t>
            </w:r>
          </w:p>
        </w:tc>
        <w:tc>
          <w:tcPr>
            <w:tcW w:type="dxa" w:w="1440"/>
            <w:shd w:fill="FFDCE0" w:val="clear"/>
          </w:tcPr>
          <w:p>
            <w:r>
              <w:rPr>
                <w:sz w:val="17"/>
              </w:rPr>
              <w:t>2026-10-27</w:t>
            </w:r>
          </w:p>
        </w:tc>
        <w:tc>
          <w:tcPr>
            <w:tcW w:type="dxa" w:w="1440"/>
            <w:shd w:fill="FFDCE0" w:val="clear"/>
          </w:tcPr>
          <w:p>
            <w:r>
              <w:rPr>
                <w:sz w:val="17"/>
              </w:rPr>
              <w:t>6,442</w:t>
            </w:r>
          </w:p>
        </w:tc>
        <w:tc>
          <w:tcPr>
            <w:tcW w:type="dxa" w:w="1440"/>
            <w:shd w:fill="FFDCE0" w:val="clear"/>
          </w:tcPr>
          <w:p>
            <w:r>
              <w:rPr>
                <w:b/>
                <w:sz w:val="17"/>
              </w:rPr>
              <w:t>7,479</w:t>
            </w:r>
          </w:p>
        </w:tc>
        <w:tc>
          <w:tcPr>
            <w:tcW w:type="dxa" w:w="1440"/>
            <w:shd w:fill="FFDCE0" w:val="clear"/>
          </w:tcPr>
          <w:p>
            <w:r>
              <w:rPr>
                <w:sz w:val="17"/>
              </w:rPr>
              <w:t>8,517</w:t>
            </w:r>
          </w:p>
        </w:tc>
        <w:tc>
          <w:tcPr>
            <w:tcW w:type="dxa" w:w="1440"/>
            <w:shd w:fill="FFDCE0" w:val="clear"/>
          </w:tcPr>
          <w:p>
            <w:r>
              <w:rPr>
                <w:b/>
                <w:color w:val="C00000"/>
                <w:sz w:val="17"/>
              </w:rPr>
              <w:t>-4.1%</w:t>
            </w:r>
          </w:p>
        </w:tc>
      </w:tr>
      <w:tr>
        <w:tc>
          <w:tcPr>
            <w:tcW w:type="dxa" w:w="1440"/>
            <w:shd w:fill="FFDCE0" w:val="clear"/>
          </w:tcPr>
          <w:p>
            <w:r>
              <w:rPr>
                <w:sz w:val="17"/>
              </w:rPr>
              <w:t>J+9  ⭐</w:t>
            </w:r>
          </w:p>
        </w:tc>
        <w:tc>
          <w:tcPr>
            <w:tcW w:type="dxa" w:w="1440"/>
            <w:shd w:fill="FFDCE0" w:val="clear"/>
          </w:tcPr>
          <w:p>
            <w:r>
              <w:rPr>
                <w:sz w:val="17"/>
              </w:rPr>
              <w:t>2026-10-28</w:t>
            </w:r>
          </w:p>
        </w:tc>
        <w:tc>
          <w:tcPr>
            <w:tcW w:type="dxa" w:w="1440"/>
            <w:shd w:fill="FFDCE0" w:val="clear"/>
          </w:tcPr>
          <w:p>
            <w:r>
              <w:rPr>
                <w:sz w:val="17"/>
              </w:rPr>
              <w:t>6,356</w:t>
            </w:r>
          </w:p>
        </w:tc>
        <w:tc>
          <w:tcPr>
            <w:tcW w:type="dxa" w:w="1440"/>
            <w:shd w:fill="FFDCE0" w:val="clear"/>
          </w:tcPr>
          <w:p>
            <w:r>
              <w:rPr>
                <w:b/>
                <w:sz w:val="17"/>
              </w:rPr>
              <w:t>7,453</w:t>
            </w:r>
          </w:p>
        </w:tc>
        <w:tc>
          <w:tcPr>
            <w:tcW w:type="dxa" w:w="1440"/>
            <w:shd w:fill="FFDCE0" w:val="clear"/>
          </w:tcPr>
          <w:p>
            <w:r>
              <w:rPr>
                <w:sz w:val="17"/>
              </w:rPr>
              <w:t>8,550</w:t>
            </w:r>
          </w:p>
        </w:tc>
        <w:tc>
          <w:tcPr>
            <w:tcW w:type="dxa" w:w="1440"/>
            <w:shd w:fill="FFDCE0" w:val="clear"/>
          </w:tcPr>
          <w:p>
            <w:r>
              <w:rPr>
                <w:b/>
                <w:color w:val="C00000"/>
                <w:sz w:val="17"/>
              </w:rPr>
              <w:t>-4.4%</w:t>
            </w:r>
          </w:p>
        </w:tc>
      </w:tr>
      <w:tr>
        <w:tc>
          <w:tcPr>
            <w:tcW w:type="dxa" w:w="1440"/>
            <w:shd w:fill="FFDCE0" w:val="clear"/>
          </w:tcPr>
          <w:p>
            <w:r>
              <w:rPr>
                <w:sz w:val="17"/>
              </w:rPr>
              <w:t>J+10  ⭐</w:t>
            </w:r>
          </w:p>
        </w:tc>
        <w:tc>
          <w:tcPr>
            <w:tcW w:type="dxa" w:w="1440"/>
            <w:shd w:fill="FFDCE0" w:val="clear"/>
          </w:tcPr>
          <w:p>
            <w:r>
              <w:rPr>
                <w:sz w:val="17"/>
              </w:rPr>
              <w:t>2026-10-29</w:t>
            </w:r>
          </w:p>
        </w:tc>
        <w:tc>
          <w:tcPr>
            <w:tcW w:type="dxa" w:w="1440"/>
            <w:shd w:fill="FFDCE0" w:val="clear"/>
          </w:tcPr>
          <w:p>
            <w:r>
              <w:rPr>
                <w:sz w:val="17"/>
              </w:rPr>
              <w:t>6,276</w:t>
            </w:r>
          </w:p>
        </w:tc>
        <w:tc>
          <w:tcPr>
            <w:tcW w:type="dxa" w:w="1440"/>
            <w:shd w:fill="FFDCE0" w:val="clear"/>
          </w:tcPr>
          <w:p>
            <w:r>
              <w:rPr>
                <w:b/>
                <w:sz w:val="17"/>
              </w:rPr>
              <w:t>7,428</w:t>
            </w:r>
          </w:p>
        </w:tc>
        <w:tc>
          <w:tcPr>
            <w:tcW w:type="dxa" w:w="1440"/>
            <w:shd w:fill="FFDCE0" w:val="clear"/>
          </w:tcPr>
          <w:p>
            <w:r>
              <w:rPr>
                <w:sz w:val="17"/>
              </w:rPr>
              <w:t>8,580</w:t>
            </w:r>
          </w:p>
        </w:tc>
        <w:tc>
          <w:tcPr>
            <w:tcW w:type="dxa" w:w="1440"/>
            <w:shd w:fill="FFDCE0" w:val="clear"/>
          </w:tcPr>
          <w:p>
            <w:r>
              <w:rPr>
                <w:b/>
                <w:color w:val="C00000"/>
                <w:sz w:val="17"/>
              </w:rPr>
              <w:t>-4.8%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33.135 Mds FCFA</w:t>
            </w:r>
          </w:p>
        </w:tc>
        <w:tc>
          <w:tcPr>
            <w:tcW w:type="dxa" w:w="5669"/>
            <w:shd w:fill="FFFFFF" w:val="clear"/>
          </w:tcPr>
          <w:p>
            <w:r>
              <w:rPr>
                <w:color w:val="282828"/>
                <w:sz w:val="15"/>
              </w:rPr>
              <w:t>Créances clients = 9.7%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68.480 Mds FCFA</w:t>
            </w:r>
          </w:p>
        </w:tc>
        <w:tc>
          <w:tcPr>
            <w:tcW w:type="dxa" w:w="5669"/>
            <w:shd w:fill="FFFFFF" w:val="clear"/>
          </w:tcPr>
          <w:p>
            <w:r>
              <w:rPr>
                <w:color w:val="282828"/>
                <w:sz w:val="15"/>
              </w:rPr>
              <w:t>Rotation stocks = 5.0x/an.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101.615 Mds FCFA</w:t>
            </w:r>
          </w:p>
        </w:tc>
        <w:tc>
          <w:tcPr>
            <w:tcW w:type="dxa" w:w="5669"/>
            <w:shd w:fill="FFFFFF" w:val="clear"/>
          </w:tcPr>
          <w:p>
            <w:r>
              <w:rPr>
                <w:color w:val="282828"/>
                <w:sz w:val="15"/>
              </w:rPr>
              <w:t>Ratio actif circ./passif circ. = 2.81x.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8.911 Mds FCFA</w:t>
            </w:r>
          </w:p>
        </w:tc>
        <w:tc>
          <w:tcPr>
            <w:tcW w:type="dxa" w:w="5669"/>
            <w:shd w:fill="FFFFFF" w:val="clear"/>
          </w:tcPr>
          <w:p>
            <w:r>
              <w:rPr>
                <w:color w:val="282828"/>
                <w:sz w:val="15"/>
              </w:rPr>
              <w:t>Brevets, logiciels, fonds commercial (3.9%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108.024 Mds FCFA</w:t>
            </w:r>
          </w:p>
        </w:tc>
        <w:tc>
          <w:tcPr>
            <w:tcW w:type="dxa" w:w="5669"/>
            <w:shd w:fill="FFFFFF" w:val="clear"/>
          </w:tcPr>
          <w:p>
            <w:r>
              <w:rPr>
                <w:color w:val="282828"/>
                <w:sz w:val="15"/>
              </w:rPr>
              <w:t>Outil industriel (47.8%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123.560 Mds FCFA</w:t>
            </w:r>
          </w:p>
        </w:tc>
        <w:tc>
          <w:tcPr>
            <w:tcW w:type="dxa" w:w="5669"/>
            <w:shd w:fill="FFFFFF" w:val="clear"/>
          </w:tcPr>
          <w:p>
            <w:r>
              <w:rPr>
                <w:color w:val="282828"/>
                <w:sz w:val="15"/>
              </w:rPr>
              <w:t>Actif immobilisé = 54.7%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668.17 M FCFA</w:t>
            </w:r>
          </w:p>
        </w:tc>
        <w:tc>
          <w:tcPr>
            <w:tcW w:type="dxa" w:w="5669"/>
            <w:shd w:fill="FFFFFF" w:val="clear"/>
          </w:tcPr>
          <w:p>
            <w:r>
              <w:rPr>
                <w:color w:val="282828"/>
                <w:sz w:val="15"/>
              </w:rPr>
              <w:t>Liquidités disponibles (0.3%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225.843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14.594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89.722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137.937 Mds FCFA</w:t>
            </w:r>
          </w:p>
        </w:tc>
        <w:tc>
          <w:tcPr>
            <w:tcW w:type="dxa" w:w="5669"/>
            <w:shd w:fill="FFFFFF" w:val="clear"/>
          </w:tcPr>
          <w:p>
            <w:r>
              <w:rPr>
                <w:color w:val="282828"/>
                <w:sz w:val="15"/>
              </w:rPr>
              <w:t>Fonds propres = 61.1%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173.536 Mds FCFA</w:t>
            </w:r>
          </w:p>
        </w:tc>
        <w:tc>
          <w:tcPr>
            <w:tcW w:type="dxa" w:w="5669"/>
            <w:shd w:fill="FFFFFF" w:val="clear"/>
          </w:tcPr>
          <w:p>
            <w:r>
              <w:rPr>
                <w:color w:val="282828"/>
                <w:sz w:val="15"/>
              </w:rPr>
              <w:t>Capitaux permanents / Actif immobilisé = 1.40x.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35.599 Mds FCFA</w:t>
            </w:r>
          </w:p>
        </w:tc>
        <w:tc>
          <w:tcPr>
            <w:tcW w:type="dxa" w:w="5669"/>
            <w:shd w:fill="FFFFFF" w:val="clear"/>
          </w:tcPr>
          <w:p>
            <w:r>
              <w:rPr>
                <w:color w:val="282828"/>
                <w:sz w:val="15"/>
              </w:rPr>
              <w:t>Dette LT/MT = 26%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35.599 Mds FCFA</w:t>
            </w:r>
          </w:p>
        </w:tc>
        <w:tc>
          <w:tcPr>
            <w:tcW w:type="dxa" w:w="5669"/>
            <w:shd w:fill="FFFFFF" w:val="clear"/>
          </w:tcPr>
          <w:p>
            <w:r>
              <w:rPr>
                <w:color w:val="282828"/>
                <w:sz w:val="15"/>
              </w:rPr>
              <w:t>Dette financière totale = 26%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87.906 Mds FCFA</w:t>
            </w:r>
          </w:p>
        </w:tc>
        <w:tc>
          <w:tcPr>
            <w:tcW w:type="dxa" w:w="5669"/>
            <w:shd w:fill="FFFFFF" w:val="clear"/>
          </w:tcPr>
          <w:p>
            <w:r>
              <w:rPr>
                <w:color w:val="282828"/>
                <w:sz w:val="15"/>
              </w:rPr>
              <w:t>Dettes totales = 38.9%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340.831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340.831 Mds FCFA</w:t>
            </w:r>
          </w:p>
        </w:tc>
        <w:tc>
          <w:tcPr>
            <w:tcW w:type="dxa" w:w="5669"/>
            <w:shd w:fill="FFFFFF" w:val="clear"/>
          </w:tcPr>
          <w:p>
            <w:r>
              <w:rPr>
                <w:color w:val="282828"/>
                <w:sz w:val="15"/>
              </w:rPr>
              <w:t>Chiffre d'affaires. Croissance: 22.0%.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12.209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32.520 Mds FCFA</w:t>
            </w:r>
          </w:p>
        </w:tc>
        <w:tc>
          <w:tcPr>
            <w:tcW w:type="dxa" w:w="5669"/>
            <w:shd w:fill="FFFFFF" w:val="clear"/>
          </w:tcPr>
          <w:p>
            <w:r>
              <w:rPr>
                <w:color w:val="282828"/>
                <w:sz w:val="15"/>
              </w:rPr>
              <w:t>Masse salariale = 9.5%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82.192 Mds FCFA</w:t>
            </w:r>
          </w:p>
        </w:tc>
        <w:tc>
          <w:tcPr>
            <w:tcW w:type="dxa" w:w="5669"/>
            <w:shd w:fill="FFFFFF" w:val="clear"/>
          </w:tcPr>
          <w:p>
            <w:r>
              <w:rPr>
                <w:color w:val="282828"/>
                <w:sz w:val="15"/>
              </w:rPr>
              <w:t>VA = 24.1%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49.672 Mds FCFA</w:t>
            </w:r>
          </w:p>
        </w:tc>
        <w:tc>
          <w:tcPr>
            <w:tcW w:type="dxa" w:w="5669"/>
            <w:shd w:fill="FFFFFF" w:val="clear"/>
          </w:tcPr>
          <w:p>
            <w:r>
              <w:rPr>
                <w:color w:val="282828"/>
                <w:sz w:val="15"/>
              </w:rPr>
              <w:t>EBE = 14.6%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38.134 Mds FCFA</w:t>
            </w:r>
          </w:p>
        </w:tc>
        <w:tc>
          <w:tcPr>
            <w:tcW w:type="dxa" w:w="5669"/>
            <w:shd w:fill="FFFFFF" w:val="clear"/>
          </w:tcPr>
          <w:p>
            <w:r>
              <w:rPr>
                <w:color w:val="282828"/>
                <w:sz w:val="15"/>
              </w:rPr>
              <w:t>Profit d'exploitation = 11.2%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24.972 Mds FCFA</w:t>
            </w:r>
          </w:p>
        </w:tc>
        <w:tc>
          <w:tcPr>
            <w:tcW w:type="dxa" w:w="5669"/>
            <w:shd w:fill="FFFFFF" w:val="clear"/>
          </w:tcPr>
          <w:p>
            <w:r>
              <w:rPr>
                <w:color w:val="282828"/>
                <w:sz w:val="15"/>
              </w:rPr>
              <w:t>Marge nette = 7.3%.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37.612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-23.419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-4.302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14.194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65.389 Mds FCFA</w:t>
            </w:r>
          </w:p>
        </w:tc>
        <w:tc>
          <w:tcPr>
            <w:tcW w:type="dxa" w:w="5669"/>
            <w:shd w:fill="FFFFFF" w:val="clear"/>
          </w:tcPr>
          <w:p>
            <w:r>
              <w:rPr>
                <w:color w:val="282828"/>
                <w:sz w:val="15"/>
              </w:rPr>
              <w:t>BFR = 19.2%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49.976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-15.413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24.12%</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7.33%</w:t>
            </w:r>
          </w:p>
        </w:tc>
        <w:tc>
          <w:tcPr>
            <w:tcW w:type="dxa" w:w="5669"/>
            <w:shd w:fill="FFFFFF" w:val="clear"/>
          </w:tcPr>
          <w:p>
            <w:r>
              <w:rPr>
                <w:color w:val="282828"/>
                <w:sz w:val="15"/>
              </w:rPr>
              <w:t>Résultat net / revenus = 7.33%.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11.19%</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18.10%</w:t>
            </w:r>
          </w:p>
        </w:tc>
        <w:tc>
          <w:tcPr>
            <w:tcW w:type="dxa" w:w="5669"/>
            <w:shd w:fill="FFFFFF" w:val="clear"/>
          </w:tcPr>
          <w:p>
            <w:r>
              <w:rPr>
                <w:color w:val="282828"/>
                <w:sz w:val="15"/>
              </w:rPr>
              <w:t>Résultat net / capitaux propres = 18.10%.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11.06%</w:t>
            </w:r>
          </w:p>
        </w:tc>
        <w:tc>
          <w:tcPr>
            <w:tcW w:type="dxa" w:w="5669"/>
            <w:shd w:fill="FFFFFF" w:val="clear"/>
          </w:tcPr>
          <w:p>
            <w:r>
              <w:rPr>
                <w:color w:val="282828"/>
                <w:sz w:val="15"/>
              </w:rPr>
              <w:t>Résultat net / total actif = 11.06%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150.91%</w:t>
            </w:r>
          </w:p>
        </w:tc>
        <w:tc>
          <w:tcPr>
            <w:tcW w:type="dxa" w:w="5669"/>
            <w:shd w:fill="FFFFFF" w:val="clear"/>
          </w:tcPr>
          <w:p>
            <w:r>
              <w:rPr>
                <w:color w:val="282828"/>
                <w:sz w:val="15"/>
              </w:rPr>
              <w:t>CA / total actif = 150.91x. ✅ Bonne efficience des actifs.</w:t>
            </w:r>
          </w:p>
        </w:tc>
      </w:tr>
      <w:tr>
        <w:tc>
          <w:tcPr>
            <w:tcW w:type="dxa" w:w="2268"/>
            <w:shd w:fill="EEF2F7" w:val="clear"/>
          </w:tcPr>
          <w:p>
            <w:r>
              <w:rPr>
                <w:b/>
                <w:color w:val="1E1E3C"/>
                <w:sz w:val="16"/>
              </w:rPr>
              <w:t>Coût du risque</w:t>
            </w:r>
          </w:p>
        </w:tc>
        <w:tc>
          <w:tcPr>
            <w:tcW w:type="dxa" w:w="1984"/>
            <w:shd w:fill="FFEB9C" w:val="clear"/>
          </w:tcPr>
          <w:p>
            <w:r>
              <w:rPr>
                <w:b/>
                <w:color w:val="006400"/>
                <w:sz w:val="17"/>
              </w:rPr>
              <w:t>1.02%</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21.97%</w:t>
            </w:r>
          </w:p>
        </w:tc>
        <w:tc>
          <w:tcPr>
            <w:tcW w:type="dxa" w:w="5669"/>
            <w:shd w:fill="FFFFFF" w:val="clear"/>
          </w:tcPr>
          <w:p>
            <w:r>
              <w:rPr>
                <w:color w:val="282828"/>
                <w:sz w:val="15"/>
              </w:rPr>
              <w:t>Croissance CA vs exercice précédent = 21.97%.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61.08%</w:t>
            </w:r>
          </w:p>
        </w:tc>
        <w:tc>
          <w:tcPr>
            <w:tcW w:type="dxa" w:w="5669"/>
            <w:shd w:fill="FFFFFF" w:val="clear"/>
          </w:tcPr>
          <w:p>
            <w:r>
              <w:rPr>
                <w:color w:val="282828"/>
                <w:sz w:val="15"/>
              </w:rPr>
              <w:t>Fonds propres / total bilan = 61.08%.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38.92%</w:t>
            </w:r>
          </w:p>
        </w:tc>
        <w:tc>
          <w:tcPr>
            <w:tcW w:type="dxa" w:w="5669"/>
            <w:shd w:fill="FFFFFF" w:val="clear"/>
          </w:tcPr>
          <w:p>
            <w:r>
              <w:rPr>
                <w:color w:val="282828"/>
                <w:sz w:val="15"/>
              </w:rPr>
              <w:t>Dettes financières / total bilan = 38.92%.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25.81%</w:t>
            </w:r>
          </w:p>
        </w:tc>
        <w:tc>
          <w:tcPr>
            <w:tcW w:type="dxa" w:w="5669"/>
            <w:shd w:fill="FFFFFF" w:val="clear"/>
          </w:tcPr>
          <w:p>
            <w:r>
              <w:rPr>
                <w:color w:val="282828"/>
                <w:sz w:val="15"/>
              </w:rPr>
              <w:t>Dettes totales / fonds propres = 25.81%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256.91%</w:t>
            </w:r>
          </w:p>
        </w:tc>
        <w:tc>
          <w:tcPr>
            <w:tcW w:type="dxa" w:w="5669"/>
            <w:shd w:fill="FFFFFF" w:val="clear"/>
          </w:tcPr>
          <w:p>
            <w:r>
              <w:rPr>
                <w:color w:val="282828"/>
                <w:sz w:val="15"/>
              </w:rPr>
              <w:t>Total actif / dettes totales = 256.91x.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195.54%</w:t>
            </w:r>
          </w:p>
        </w:tc>
        <w:tc>
          <w:tcPr>
            <w:tcW w:type="dxa" w:w="5669"/>
            <w:shd w:fill="FFFFFF" w:val="clear"/>
          </w:tcPr>
          <w:p>
            <w:r>
              <w:rPr>
                <w:color w:val="282828"/>
                <w:sz w:val="15"/>
              </w:rPr>
              <w:t>Actif circulant / passif circulant = 195.54x.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1.28%</w:t>
            </w:r>
          </w:p>
        </w:tc>
        <w:tc>
          <w:tcPr>
            <w:tcW w:type="dxa" w:w="5669"/>
            <w:shd w:fill="FFFFFF" w:val="clear"/>
          </w:tcPr>
          <w:p>
            <w:r>
              <w:rPr>
                <w:color w:val="282828"/>
                <w:sz w:val="15"/>
              </w:rPr>
              <w:t>Trésorerie / passif circulant = 1.28x.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64.62%</w:t>
            </w:r>
          </w:p>
        </w:tc>
        <w:tc>
          <w:tcPr>
            <w:tcW w:type="dxa" w:w="5669"/>
            <w:shd w:fill="FFFFFF" w:val="clear"/>
          </w:tcPr>
          <w:p>
            <w:r>
              <w:rPr>
                <w:color w:val="282828"/>
                <w:sz w:val="15"/>
              </w:rPr>
              <w:t>(Actif circ. - stocks) / passif circ. = 64.62x.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140.45%</w:t>
            </w:r>
          </w:p>
        </w:tc>
        <w:tc>
          <w:tcPr>
            <w:tcW w:type="dxa" w:w="5669"/>
            <w:shd w:fill="FFFFFF" w:val="clear"/>
          </w:tcPr>
          <w:p>
            <w:r>
              <w:rPr>
                <w:color w:val="282828"/>
                <w:sz w:val="15"/>
              </w:rPr>
              <w:t>Capitaux permanents / actif immobilisé = 140.45x.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1094.57%</w:t>
            </w:r>
          </w:p>
        </w:tc>
        <w:tc>
          <w:tcPr>
            <w:tcW w:type="dxa" w:w="5669"/>
            <w:shd w:fill="FFFFFF" w:val="clear"/>
          </w:tcPr>
          <w:p>
            <w:r>
              <w:rPr>
                <w:color w:val="282828"/>
                <w:sz w:val="15"/>
              </w:rPr>
              <w:t>Résultat exploit. / charges financières = 1094.57x.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157.28%</w:t>
            </w:r>
          </w:p>
        </w:tc>
        <w:tc>
          <w:tcPr>
            <w:tcW w:type="dxa" w:w="5669"/>
            <w:shd w:fill="FFFFFF" w:val="clear"/>
          </w:tcPr>
          <w:p>
            <w:r>
              <w:rPr>
                <w:color w:val="282828"/>
                <w:sz w:val="15"/>
              </w:rPr>
              <w:t>CAF / investissements = 157.28x.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35.0 j</w:t>
            </w:r>
          </w:p>
        </w:tc>
        <w:tc>
          <w:tcPr>
            <w:tcW w:type="dxa" w:w="5669"/>
            <w:shd w:fill="FFFFFF" w:val="clear"/>
          </w:tcPr>
          <w:p>
            <w:r>
              <w:rPr>
                <w:color w:val="282828"/>
                <w:sz w:val="15"/>
              </w:rPr>
              <w:t>Les clients paient en moyenne en 35 jours. ✅ Délai standard.</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72.3 j</w:t>
            </w:r>
          </w:p>
        </w:tc>
        <w:tc>
          <w:tcPr>
            <w:tcW w:type="dxa" w:w="5669"/>
            <w:shd w:fill="FFFFFF" w:val="clear"/>
          </w:tcPr>
          <w:p>
            <w:r>
              <w:rPr>
                <w:color w:val="282828"/>
                <w:sz w:val="15"/>
              </w:rPr>
              <w:t>Stock écoulé en 72 jours. ⚠️ Durée de stockage longue — capital immobilisé.</w:t>
            </w:r>
          </w:p>
        </w:tc>
      </w:tr>
    </w:tbl>
    <w:p/>
    <w:p>
      <w:pPr>
        <w:spacing w:after="120" w:line="276" w:lineRule="auto"/>
      </w:pPr>
      <w:r>
        <w:t>**RAPPORT D'ANALYSE FINANCIÈRE — SPHC (SAPH CI)**</w:t>
        <w:br/>
        <w:t>*Bourse Régionale des Valeurs Mobilières (BRVM) — Secteur : Agro-industrie / Hévéa*</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199,35 milliards FCFA, SPHC se positionne parmi les valeurs moyennes à grandes de la cote BRVM, ce qui lui confère une certaine liquidité relative au sein de l'indice. Le BPA de 977 FCFA/action signifie que chaque titre génère près d'un millier de francs de bénéfice net, un niveau élevé qui traduit la rentabilité intrinsèque de l'entreprise. Le PER de 8,0x situe le titre en bas de la fourchette du marché BRVM (moyenne ~8-12x), suggérant une potentielle sous-évaluation ou une décote liée aux risques sectoriels (volatilité du caoutchouc). Le P/B de 1,45x indique que le marché valorise SPHC à 45% au-dessus de sa valeur comptable, ce qui reste raisonnable et reflète la confiance dans les actifs productifs (plantations). Enfin, l'EV/EBITDA de 5,0x montre que la valeur totale de l'entreprise (dette incluse) ne représente que 5 fois sa capacité bénéficiaire opérationnelle, un niveau attractif qui signale une génération de cash-flow solide par rapport à la structure de capital.</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SPHC affiche une progression totale de +12,31%, avec une accélération notable de +3,24% lors de la dernière séance (J-1), portant le cours actuel à 7 800 FCFA. Le titre a évolué dans un range large de 3 355 FCFA, entre un plus bas de 6 945 FCFA et un plus haut de 10 300 FCFA, ce qui témoigne d'une forte amplitude de trading. La tendance générale est haussière sur la période, mais le cours actuel se situe en retrait par rapport au sommet, suggérant une phase de consolidation après un pic. Les statistiques descriptives révèlent une moyenne de 7 943 FCFA légèrement supérieure à la médiane de 7 685 FCFA, indiquant une distribution asymétrique tirée vers le haut par des pics ponctuels. L'écart-type de 716 FCFA (CV=9,0%) traduit une dispersion modérée autour de la moyenne, mais le kurtosis de 2,086 (leptokurtique) signale des queues épaisses, donc un risque de mouvements brusques et de pics de volatilité. Le skewness positif de 1,616 confirme cette asymétrie : davantage de journées se situent sous la moyenne, mais les hausses sont plus amples que les baisses. Enfin, la volatilité annualisée de 44,3% classe SPHC dans la catégorie des titres à volatilité élevée (&gt;30%), ce qui implique un risque de marché significatif et justifie une approche prudente pour les investisseurs averses au risque.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(7 844,75 FCFA) est légèrement au-dessus du cours actuel (7 800 FCFA), tandis que la MM50 (8 365,1 FCFA) est nettement supérieure, créant une configuration baissière de court terme. Le cours évolue sous ses deux moyennes, ce qui justifie la décision technique de **Vente** : la pression vendeuse domine et la tendance de fond reste fragile tant que le cours ne réintègre pas la MM20.</w:t>
      </w:r>
    </w:p>
    <w:p>
      <w:pPr>
        <w:spacing w:after="120" w:line="276" w:lineRule="auto"/>
      </w:pPr>
      <w:r>
        <w:t>**Bandes de Bollinger** : Le cours (7 800 FCFA) se situe dans la partie basse de la bande, entre la borne inférieure (7 510,52 FCFA) et la borne supérieure (8 178,98 FCFA), sans toucher les extrêmes. Cette position médiane-basse traduit une volatilité modérée et une absence de signal directionnel fort, d'où la décision **Neutre** : le marché est en phase d'indécision, avec un potentiel de rebond vers la borne supérieure ou de cassure vers le bas.</w:t>
      </w:r>
    </w:p>
    <w:p>
      <w:pPr>
        <w:spacing w:after="120" w:line="276" w:lineRule="auto"/>
      </w:pPr>
      <w:r>
        <w:t>**MACD** : La valeur du MACD (-146,605) est supérieure à son signal (-152,754), formant un croisement haussier (MACD au-dessus du signal) bien que les deux restent en territoire négatif. Ce croisement suggère un essoufflement de la dynamique baissière et un possible retournement à court terme, justifiant la décision **Achat** : le momentum négatif s'atténue et une reprise technique est envisageable.</w:t>
      </w:r>
    </w:p>
    <w:p>
      <w:pPr>
        <w:spacing w:after="120" w:line="276" w:lineRule="auto"/>
      </w:pPr>
      <w:r>
        <w:t>**RSI** : À 53,659, le RSI se situe dans la zone neutre (30-70), sans signal de surachat (&gt;70) ni de survente (&lt;30). Cette valeur indique un équilibre entre acheteurs et vendeurs, avec une légère prédominance haussière, d'où la décision **Neutre** : aucun signal extrême ne justifie une action immédiate.</w:t>
      </w:r>
    </w:p>
    <w:p>
      <w:pPr>
        <w:spacing w:after="120" w:line="276" w:lineRule="auto"/>
      </w:pPr>
      <w:r>
        <w:t>**Stochastique** : Le %K (49,495) est supérieur au %D (40,741), formant un croisement haussier en zone neutre. Ce signal suggère une reprise progressive de la dynamique positive, mais sans excès, ce qui justifie la décision **Neutre** : le potentiel haussier existe mais reste fragile et nécessite confirmation.</w:t>
      </w:r>
    </w:p>
    <w:p>
      <w:pPr>
        <w:spacing w:after="120" w:line="276" w:lineRule="auto"/>
      </w:pPr>
      <w:r>
        <w:t>**Conclusion technique** : Les indicateurs techniques sont majoritairement neutres à légèrement haussiers (MACD et Stochastique en croisement haussier), mais la position du cours sous les moyennes mobiles et la décision de vente sur ces dernières tempèrent l'optimisme. Le titre se trouve dans une phase de consolidation avec un biais haussier naissant, mais la prudence reste de mise tant que le cours n'aura pas reconquis la MM20 (7 844 FCFA) et surtout la MM50 (8 365 FCFA). Un investisseur technique attendra une confirmation par cassure de la MM20 pour envisager une position acheteuse.</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SPHC a réalisé un chiffre d'affaires de 340,831 milliards FCFA, en croissance de 21,97% par rapport à 2024 (279,44 milliards FCFA), portée par une hausse des volumes vendus (+16,8%) et des prix moyens (+17,6%) selon le rapport T3 2025 (daté du 30/09/2025). Le résultat net s'établit à 24,972 milliards FCFA, en progression de 32,9% sur un an, avec une marge nette de 7,33% (contre 6,7% en 2024). Les ratios de rentabilité sont excellents : le ROE atteint 18,10% (bien au-dessus du seuil de 15% considéré comme excellent) et le ROA s'élève à 11,06%, témoignant d'une utilisation efficace des actifs. La structure financière est solide avec une autonomie financière de 61,08% (capitaux propres/total bilan) et un ratio d'endettement maîtrisé de 25,81%. Cependant, deux points de vigilance majeurs émergent : d'une part, la trésorerie nette est négative à -15,413 milliards FCFA, bien qu'en amélioration de 9,89 milliards par rapport à 2024 ; d'autre part, le BFR s'élève à 65,389 milliards FCFA, avec des délais clients de 35 jours et une durée de stockage de 72,33 jours, ce qui immobilise du capital et pèse sur la liquidité. Le rapport T1 2026 (daté du 31/03/2026) révèle un net ralentissement : le CA chute de 24% à 71,8 milliards FCFA et le résultat net s'effondre de 78% à 2,633 milliards FCFA, pénalisé par la baisse des cours mondiaux du caoutchouc (SICOM 20 à 1,91 USD/kg), l'engorgement du port de San Pedro et la concurrence accrue pour l'approvisionnement en matière première. Sur la base de ce T1 2026, on estime que l'exercice 2026 devrait afficher une contraction significative de la rentabilité, avec un résultat net annualisé potentiellement inférieur à 15 milliards FCFA si la tendance se poursuit. Néanmoins, la société conserve une structure financière robuste (capitaux propres de 137,937 milliards FCFA) et poursuit ses investissements stratégiques (flux d'investissement de -23,419 milliards FCFA en 2025). La politique de dividende reste attractive avec un DPA proposé de 489 FCFA brut par action (12,50 milliards FCFA au total), soit un rendement de 6,27% au cours actuel de 7 800 FCFA, et un taux de distribution stable de 50,1%. En conclusion, SPHC présente des fondamentaux solides à long terme (leader du caoutchouc en Côte d'Ivoire, avance sur la norme EUDR, rentabilité élevée), mais fait face à des défis conjoncturels majeurs en 2026 (chute des cours, tensions sur l'approvisionnement) qui justifient une recommandation de **CONSERVER** avec une surveillance active des prochains trimestres.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SPHC apparaît attractive avec un PER de 8,0x (bas de fourchette BRVM), un P/B de 1,45x (raisonnable) et un EV/EBITDA de 5,0x (génération de cash-flow solide), suggérant une sous-évaluation potentielle. Cependant, le comportement du cours sur 100 jours (+12,31%) masque une volatilité élevée (44,3% annualisée) et une distribution leptokurtique (kurtosis 2,086) avec asymétrie positive (skewness 1,616), indiquant un risque de pics baissiers brusques. Les signaux techniques sont mitigés : décision de vente sur les moyennes mobiles (cours sous MM20 et MM50), mais croisements haussiers sur le MACD et le Stochastique, tandis que le RSI et les Bandes de Bollinger restent neutres — une divergence qui traduit une phase d'indécision. Les fondamentaux 2025 sont excellents (CA +22%, résultat net +32,9%, ROE 18,1%), mais le T1 2026 (daté du 31/03/2026) révèle un effondrement de la rentabilité (-78% de résultat net) qui pèse lourdement sur les perspectives à court terme. Les prédictions IA pour les 10 prochains jours ouvrables anticipent une baisse continue de 7 683 FCFA (J+1) à 7 564 FCFA (J+5), confirmant la pression baissière à court terme et contredisant les signaux haussiers du MACD/Stochastique. Sur la base de cette synthèse, la recommandation finale est **CONSERVER** : la valorisation attractive et les fondamentaux long terme (leader, EUDR, dividende 6,27%) justifient de ne pas vendre, mais la détérioration des résultats 2026 et la trajectoire baissière prédite incitent à la prudence. Le niveau de confiance est **Moyen** (divergence entre technique et fondamental), le risque global est **Élevé** (volatilité 44,3%, dépendance aux cours du caoutchouc, trésorerie négative), et l'horizon d'investissement optimal est **long terme (&gt;1 an)** pour capter le potentiel de redressement une fois les turbulences conjoncturelles passées. Un investisseur averse au risque attendra une confirmation de stabilisation des cours du caoutchouc et une amélioration de la trésorerie avant de renforcer sa position.</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20260325   avis de convocation   assemblee generale ordinaire   saph ci</w:t>
      </w:r>
    </w:p>
    <w:p>
      <w:pPr>
        <w:spacing w:before="20"/>
        <w:ind w:left="400"/>
      </w:pPr>
      <w:r>
        <w:rPr>
          <w:color w:val="505050"/>
          <w:sz w:val="17"/>
        </w:rPr>
        <w:t xml:space="preserve">Date : 25/03/2026  |  Catégorie : convocation AG  |  Impact : </w:t>
      </w:r>
      <w:r>
        <w:rPr>
          <w:b/>
          <w:color w:val="008000"/>
          <w:sz w:val="17"/>
        </w:rPr>
        <w:t>🟢 POSITIF</w:t>
      </w:r>
    </w:p>
    <w:p>
      <w:pPr>
        <w:spacing w:before="40"/>
        <w:ind w:left="400"/>
      </w:pPr>
      <w:r>
        <w:rPr>
          <w:sz w:val="18"/>
        </w:rPr>
        <w:t>SAPH convoque ses actionnaires en Assemblée Générale Ordinaire le 09 avril 2026 pour approuver les comptes 2025 et délibérer sur l'affectation du résultat. La société propose un dividende de 489 FCFA brut par action sur un bénéfice net de 24,97 milliards FCFA (SYSCOHADA). L'assemblée se déroulera en présentiel et en visioconférence.</w:t>
      </w:r>
    </w:p>
    <w:p>
      <w:pPr>
        <w:spacing w:before="60"/>
        <w:ind w:left="400"/>
      </w:pPr>
      <w:r>
        <w:rPr>
          <w:b/>
          <w:sz w:val="18"/>
        </w:rPr>
        <w:t>Points clés :</w:t>
      </w:r>
    </w:p>
    <w:p>
      <w:pPr>
        <w:pStyle w:val="ListBullet"/>
        <w:spacing w:before="20" w:after="20"/>
        <w:ind w:left="700"/>
      </w:pPr>
      <w:r>
        <w:rPr>
          <w:sz w:val="18"/>
        </w:rPr>
        <w:t>Assemblée Générale Ordinaire convoquée le 09 avril 2026 à 09h00 GMT</w:t>
      </w:r>
    </w:p>
    <w:p>
      <w:pPr>
        <w:pStyle w:val="ListBullet"/>
        <w:spacing w:before="20" w:after="20"/>
        <w:ind w:left="700"/>
      </w:pPr>
      <w:r>
        <w:rPr>
          <w:sz w:val="18"/>
        </w:rPr>
        <w:t>Bénéfice net 2025 de 24,97 milliards FCFA selon SYSCOHADA et 27,34 milliards selon IFRS</w:t>
      </w:r>
    </w:p>
    <w:p>
      <w:pPr>
        <w:pStyle w:val="ListBullet"/>
        <w:spacing w:before="20" w:after="20"/>
        <w:ind w:left="700"/>
      </w:pPr>
      <w:r>
        <w:rPr>
          <w:sz w:val="18"/>
        </w:rPr>
        <w:t>Distribution de dividende proposée de 489 FCFA brut par action (12,50 milliards FCFA total)</w:t>
      </w:r>
    </w:p>
    <w:p>
      <w:pPr>
        <w:pStyle w:val="ListBullet"/>
        <w:spacing w:before="20" w:after="20"/>
        <w:ind w:left="700"/>
      </w:pPr>
      <w:r>
        <w:rPr>
          <w:sz w:val="18"/>
        </w:rPr>
        <w:t>Assemblée hybride : participation en présentiel et par visioconférence</w:t>
      </w:r>
    </w:p>
    <w:p>
      <w:pPr>
        <w:pStyle w:val="ListBullet"/>
        <w:spacing w:before="20" w:after="20"/>
        <w:ind w:left="700"/>
      </w:pPr>
      <w:r>
        <w:rPr>
          <w:sz w:val="18"/>
        </w:rPr>
        <w:t>Approbation de conventions réglementées avec SIFCA, PALMCI et SCASO</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pr\u00e9sente une bonne diversification de ses revenus avec des partenariats commerciaux solides et r\u00e9currents. Les conventions sont bien structur\u00e9es et g\u00e9n\u00e8rent des flux financiers significatifs."}</w:t>
      </w:r>
    </w:p>
    <w:p>
      <w:pPr>
        <w:spacing w:before="40"/>
        <w:ind w:left="400"/>
      </w:pPr>
      <w:r>
        <w:rPr>
          <w:sz w:val="18"/>
        </w:rPr>
        <w:t>Ce rapport spécial des commissaires aux comptes de SAPH (Société Africaine de Plantations d'Hévéas) porte sur les conventions réglementées pour l'exercice clos le 31 décembre 2022. La société maintient des relations commerciales significatives avec plusieurs entités liées, notamment PALMCI, SANIA, CRC et SIPH, générant des chiffres d'affaires substantiels. Les principales conventions incluent des contrats de travail à façon, des ventes d'huile de palme, de caoutchouc et de copeaux de bois. SAPH démontre une activité commerciale diversifiée avec des revenus provenant de multiples filières agricoles. L'ensemble des conventions ont été dûment autorisées par le Conseil d'Administration et respec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{'ca_crc': '1 828 109 770 FCFA HT', 'ca_sania': '4 297 433 084 FCFA HT', 'ca_palmci': '356 086 375 FCFA HT', 'ca_sania_bois': '31 439 520 FCFA HT', 'ca_siph_immobilier': '76 800 000 FCFA HT'}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Convention avec PALMCI pour transformation d'huile de palme brute générant 356 086 375 FCFA HT en 2022</w:t>
      </w:r>
    </w:p>
    <w:p>
      <w:pPr>
        <w:pStyle w:val="ListBullet"/>
        <w:spacing w:before="20" w:after="20"/>
        <w:ind w:left="700"/>
      </w:pPr>
      <w:r>
        <w:rPr>
          <w:sz w:val="18"/>
        </w:rPr>
        <w:t>Accord avec SANIA pour vente d'huile de palme rapportant 4 297 433 084 FCFA HT</w:t>
      </w:r>
    </w:p>
    <w:p>
      <w:pPr>
        <w:pStyle w:val="ListBullet"/>
        <w:spacing w:before="20" w:after="20"/>
        <w:ind w:left="700"/>
      </w:pPr>
      <w:r>
        <w:rPr>
          <w:sz w:val="18"/>
        </w:rPr>
        <w:t>Convention avec CRC pour vente de fonds de tasse représentant 1 828 109 770 FCFA HT</w:t>
      </w:r>
    </w:p>
    <w:p>
      <w:pPr>
        <w:pStyle w:val="ListBullet"/>
        <w:spacing w:before="20" w:after="20"/>
        <w:ind w:left="700"/>
      </w:pPr>
      <w:r>
        <w:rPr>
          <w:sz w:val="18"/>
        </w:rPr>
        <w:t>Commercialisation de caoutchouc avec SIPH dans le cadre d'une convention renouvelable</w:t>
      </w:r>
    </w:p>
    <w:p>
      <w:pPr>
        <w:pStyle w:val="ListBullet"/>
        <w:spacing w:before="20" w:after="20"/>
        <w:ind w:left="700"/>
      </w:pPr>
      <w:r>
        <w:rPr>
          <w:sz w:val="18"/>
        </w:rPr>
        <w:t>Diversification des activités incluant vente de copeaux de bois d'hévéas avec SANIA</w:t>
      </w:r>
    </w:p>
    <w:p>
      <w:pPr>
        <w:pStyle w:val="ListBullet"/>
        <w:spacing w:before="20" w:after="20"/>
        <w:ind w:left="700"/>
      </w:pPr>
      <w:r>
        <w:rPr>
          <w:sz w:val="18"/>
        </w:rPr>
        <w:t>Relations commerciales étendues avec GREL et CRC pour diverses matières premières</w:t>
      </w:r>
    </w:p>
    <w:p>
      <w:pPr>
        <w:spacing w:before="40"/>
        <w:ind w:left="400"/>
      </w:pPr>
      <w:r>
        <w:rPr>
          <w:b/>
          <w:color w:val="C05000"/>
          <w:sz w:val="18"/>
        </w:rPr>
        <w:t xml:space="preserve">⚠️ Risques : </w:t>
      </w:r>
      <w:r>
        <w:rPr>
          <w:sz w:val="18"/>
        </w:rPr>
        <w:t>["Forte d\u00e9pendance aux relations avec les soci\u00e9t\u00e9s du groupe et entit\u00e9s li\u00e9es", "Exposition aux fluctuations des prix des mati\u00e8res premi\u00e8res agricoles", "Risques op\u00e9rationnels li\u00e9s aux activit\u00e9s de transformation industrielle"]</w:t>
      </w:r>
    </w:p>
    <w:p>
      <w:pPr>
        <w:spacing w:before="40"/>
        <w:ind w:left="400"/>
      </w:pPr>
      <w:r>
        <w:rPr>
          <w:b/>
          <w:color w:val="0064A0"/>
          <w:sz w:val="18"/>
        </w:rPr>
        <w:t xml:space="preserve">🔮 Perspectives : </w:t>
      </w:r>
      <w:r>
        <w:rPr>
          <w:sz w:val="18"/>
        </w:rPr>
        <w:t>Les perspectives dépendront du renouvellement et de l'évolution des conventions commerciales en cours, notamment avec les principaux partenaires. La diversification des activités (huile de palme, caoutchouc, bois) offre une certaine résilience face aux variations sectorielles.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"Cette irr\u00e9gularit\u00e9 administrative ne remet pas en cause les fondamentaux financiers de SAPH. Il convient d'attendre la r\u00e9gularisation de cette situation de conformit\u00e9 avant toute d\u00e9cision d'investissement."}</w:t>
      </w:r>
    </w:p>
    <w:p>
      <w:pPr>
        <w:spacing w:before="40"/>
        <w:ind w:left="400"/>
      </w:pPr>
      <w:r>
        <w:rPr>
          <w:sz w:val="18"/>
        </w:rPr>
        <w:t>Ce document est un rapport des commissaires aux comptes de PWC et Mazars sur les registres de titres nominatifs de SAPH pour l'exercice clos le 31 décembre 2022. Les auditeurs confirment que la société n'a pas été en mesure de mettre à disposition le registre de ses titres nominatifs conformément aux dispositions légales OHADA. Cette situation constitue une irrégularité dans la tenue des registres obligatoires. Le rapport souligne l'impossibilité pour les commissaires aux comptes de procéder aux contrôles prescrits par l'article 746-2 de l'acte OHADA. Cette défaillance administrative peut avoir des implications sur la gouvernance et la conformité réglementaire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Rapport spécialisé sur les registres de titres nominatifs et non sur les états financiers</w:t>
      </w:r>
    </w:p>
    <w:p>
      <w:pPr>
        <w:pStyle w:val="ListBullet"/>
        <w:spacing w:before="20" w:after="20"/>
        <w:ind w:left="700"/>
      </w:pPr>
      <w:r>
        <w:rPr>
          <w:sz w:val="18"/>
        </w:rPr>
        <w:t>Non-mise à disposition du registre des titres nominatifs par SAPH en 2022</w:t>
      </w:r>
    </w:p>
    <w:p>
      <w:pPr>
        <w:pStyle w:val="ListBullet"/>
        <w:spacing w:before="20" w:after="20"/>
        <w:ind w:left="700"/>
      </w:pPr>
      <w:r>
        <w:rPr>
          <w:sz w:val="18"/>
        </w:rPr>
        <w:t>Impossibilité pour les commissaires aux comptes de réaliser les contrôles réglementaires prescrits</w:t>
      </w:r>
    </w:p>
    <w:p>
      <w:pPr>
        <w:pStyle w:val="ListBullet"/>
        <w:spacing w:before="20" w:after="20"/>
        <w:ind w:left="700"/>
      </w:pPr>
      <w:r>
        <w:rPr>
          <w:sz w:val="18"/>
        </w:rPr>
        <w:t>Non-conformité aux dispositions de l'article 746-1 de l'Acte Uniforme OHADA</w:t>
      </w:r>
    </w:p>
    <w:p>
      <w:pPr>
        <w:pStyle w:val="ListBullet"/>
        <w:spacing w:before="20" w:after="20"/>
        <w:ind w:left="700"/>
      </w:pPr>
      <w:r>
        <w:rPr>
          <w:sz w:val="18"/>
        </w:rPr>
        <w:t>Absence de déclaration des dirigeants attestant la tenue conforme des registres</w:t>
      </w:r>
    </w:p>
    <w:p>
      <w:pPr>
        <w:pStyle w:val="ListBullet"/>
        <w:spacing w:before="20" w:after="20"/>
        <w:ind w:left="700"/>
      </w:pPr>
      <w:r>
        <w:rPr>
          <w:sz w:val="18"/>
        </w:rPr>
        <w:t>Contrainte matérielle pesant sur les sociétés cotées identifiée par les auditeurs</w:t>
      </w:r>
    </w:p>
    <w:p>
      <w:pPr>
        <w:spacing w:before="40"/>
        <w:ind w:left="400"/>
      </w:pPr>
      <w:r>
        <w:rPr>
          <w:b/>
          <w:color w:val="C05000"/>
          <w:sz w:val="18"/>
        </w:rPr>
        <w:t xml:space="preserve">⚠️ Risques : </w:t>
      </w:r>
      <w:r>
        <w:rPr>
          <w:sz w:val="18"/>
        </w:rPr>
        <w:t>["Non-conformit\u00e9 r\u00e9glementaire persistante pouvant entra\u00eener des sanctions", "D\u00e9faillances potentielles dans la gouvernance et le suivi des actionnaires", "Impact possible sur la cotation et la confiance des investisseurs"]</w:t>
      </w:r>
    </w:p>
    <w:p>
      <w:pPr>
        <w:spacing w:before="40"/>
        <w:ind w:left="400"/>
      </w:pPr>
      <w:r>
        <w:rPr>
          <w:b/>
          <w:color w:val="0064A0"/>
          <w:sz w:val="18"/>
        </w:rPr>
        <w:t xml:space="preserve">🔮 Perspectives : </w:t>
      </w:r>
      <w:r>
        <w:rPr>
          <w:sz w:val="18"/>
        </w:rPr>
        <w:t>SAPH devra prioritairement régulariser la tenue de son registre de titres nominatifs pour se conformer aux exigences OHADA. Cette mise en conformité administrative est essentielle pour maintenir sa crédibilité auprès des régulateurs et investisseurs.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transparence confirm\u00e9e dans la gouvernance et l'absence de r\u00e9mun\u00e9rations exceptionnelles t\u00e9moignent d'une gestion saine. Cependant, l'absence de donn\u00e9es financi\u00e8res dans ce rapport ne permet pas une \u00e9valuation compl\u00e8te."}</w:t>
      </w:r>
    </w:p>
    <w:p>
      <w:pPr>
        <w:spacing w:before="40"/>
        <w:ind w:left="400"/>
      </w:pPr>
      <w:r>
        <w:rPr>
          <w:sz w:val="18"/>
        </w:rPr>
        <w:t>Ce document est un rapport spécial des commissaires aux comptes de la SAPH (Société Africaine de Plantations d'Hévéas) concernant les rémunérations exceptionnelles allouées aux membres du Conseil d'Administration pour l'exercice clos le 31 décembre 2022. Le rapport, daté du 1er juin 2023, est signé par PricewaterhouseCoopers et Mazars Côte d'Ivoire. Les commissaires aux comptes confirment qu'aucune rémunération exceptionnelle n'a été accordée aux administrateurs durant l'exercice 2022. Cette déclaration est conforme aux dispositions de l'article 432 de l'Acte Uniforme de l'OHADA. Le document atteste de la transparence dans la gouvernance de cette société spécialisée dans les plantations d'hé</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Rapport spécial des commissaires aux comptes sur les rémunérations exceptionnelles des administrateurs</w:t>
      </w:r>
    </w:p>
    <w:p>
      <w:pPr>
        <w:pStyle w:val="ListBullet"/>
        <w:spacing w:before="20" w:after="20"/>
        <w:ind w:left="700"/>
      </w:pPr>
      <w:r>
        <w:rPr>
          <w:sz w:val="18"/>
        </w:rPr>
        <w:t>Exercice social clos le 31 décembre 2022</w:t>
      </w:r>
    </w:p>
    <w:p>
      <w:pPr>
        <w:pStyle w:val="ListBullet"/>
        <w:spacing w:before="20" w:after="20"/>
        <w:ind w:left="700"/>
      </w:pPr>
      <w:r>
        <w:rPr>
          <w:sz w:val="18"/>
        </w:rPr>
        <w:t>Aucune rémunération exceptionnelle accordée aux membres du Conseil d'Administration</w:t>
      </w:r>
    </w:p>
    <w:p>
      <w:pPr>
        <w:pStyle w:val="ListBullet"/>
        <w:spacing w:before="20" w:after="20"/>
        <w:ind w:left="700"/>
      </w:pPr>
      <w:r>
        <w:rPr>
          <w:sz w:val="18"/>
        </w:rPr>
        <w:t>Conformité avec l'article 432 de l'Acte Uniforme OHADA</w:t>
      </w:r>
    </w:p>
    <w:p>
      <w:pPr>
        <w:pStyle w:val="ListBullet"/>
        <w:spacing w:before="20" w:after="20"/>
        <w:ind w:left="700"/>
      </w:pPr>
      <w:r>
        <w:rPr>
          <w:sz w:val="18"/>
        </w:rPr>
        <w:t>Audit réalisé par PricewaterhouseCoopers et Mazars Côte d'Ivoire</w:t>
      </w:r>
    </w:p>
    <w:p>
      <w:pPr>
        <w:pStyle w:val="ListBullet"/>
        <w:spacing w:before="20" w:after="20"/>
        <w:ind w:left="700"/>
      </w:pPr>
      <w:r>
        <w:rPr>
          <w:sz w:val="18"/>
        </w:rPr>
        <w:t>Société spécialisée dans les plantations d'hévéas (caoutchouc naturel)</w:t>
      </w:r>
    </w:p>
    <w:p>
      <w:pPr>
        <w:spacing w:before="40"/>
        <w:ind w:left="400"/>
      </w:pPr>
      <w:r>
        <w:rPr>
          <w:b/>
          <w:color w:val="C05000"/>
          <w:sz w:val="18"/>
        </w:rPr>
        <w:t xml:space="preserve">⚠️ Risques : </w:t>
      </w:r>
      <w:r>
        <w:rPr>
          <w:sz w:val="18"/>
        </w:rPr>
        <w:t>["Volatilit\u00e9 des cours du caoutchouc naturel sur les march\u00e9s internationaux", "Risques climatiques et phytosanitaires affectant les plantations d'h\u00e9v\u00e9as", "Concurrence du caoutchouc synth\u00e9tique et pression sur les marges"]</w:t>
      </w:r>
    </w:p>
    <w:p>
      <w:pPr>
        <w:spacing w:before="40"/>
        <w:ind w:left="400"/>
      </w:pPr>
      <w:r>
        <w:rPr>
          <w:b/>
          <w:color w:val="0064A0"/>
          <w:sz w:val="18"/>
        </w:rPr>
        <w:t xml:space="preserve">🔮 Perspectives : </w:t>
      </w:r>
      <w:r>
        <w:rPr>
          <w:sz w:val="18"/>
        </w:rPr>
        <w:t>Les perspectives dépendront de l'évolution des cours du caoutchouc naturel et de la demande mondiale. La bonne gouvernance attestée par ce rapport constitue un atout pour la confiance des investisseurs.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des r\u00e9sultats trimestriels d\u00e9cevants, la soci\u00e9t\u00e9 maintient une structure financi\u00e8re solide et poursuit ses investissements strat\u00e9giques. Les perspectives d'am\u00e9lioration des cours et de stabilisation du march\u00e9 local justifient une position d'attente."}</w:t>
      </w:r>
    </w:p>
    <w:p>
      <w:pPr>
        <w:spacing w:before="40"/>
        <w:ind w:left="400"/>
      </w:pPr>
      <w:r>
        <w:rPr>
          <w:sz w:val="18"/>
        </w:rPr>
        <w:t xml:space="preserve">SAPH CI affiche des résultats en forte baisse au T1 2026 avec un chiffre d'affaires de 71,8 milliards XOF (-24%) et un résultat net de 2,6 milliards XOF (-78%). La performance est pénalisée par la chute des cours mondiaux du caoutchouc, l'engorgement du port de San Pedro et la forte concurrence sur l'achat de matière première. Le résultat d'exploitation chute drastiquement à 4,5 milliards XOF (-73%) malgré une amélioration du résultat financier de 13%. La société maintient toutefois une structure financière solide et poursuit ses investissements stratégiques tout en se préparant aux normes EUDR. Les perspectives restent incertaines dans un environnement marqué par l'instabilité géopolitique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'-881 millions XOF', 'resultat_exploitation': '4 456 millions XOF', 'cours_moyen_sicom20_t1': '1,91 USD/kg'}</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2 633 millions XOF</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71 772 millions XOF</w:t>
            </w:r>
          </w:p>
        </w:tc>
        <w:tc>
          <w:tcPr>
            <w:tcW w:type="dxa" w:w="2160"/>
          </w:tcPr>
          <w:p/>
        </w:tc>
      </w:tr>
    </w:tbl>
    <w:p/>
    <w:p>
      <w:pPr>
        <w:spacing w:before="60"/>
        <w:ind w:left="400"/>
      </w:pPr>
      <w:r>
        <w:rPr>
          <w:b/>
          <w:sz w:val="18"/>
        </w:rPr>
        <w:t>Points clés :</w:t>
      </w:r>
    </w:p>
    <w:p>
      <w:pPr>
        <w:pStyle w:val="ListBullet"/>
        <w:spacing w:before="20" w:after="20"/>
        <w:ind w:left="700"/>
      </w:pPr>
      <w:r>
        <w:rPr>
          <w:sz w:val="18"/>
        </w:rPr>
        <w:t>Chute drastique du chiffre d'affaires de 24% à 71,8 milliards XOF due à la baisse des volumes (-11%) et des prix (-17%)</w:t>
      </w:r>
    </w:p>
    <w:p>
      <w:pPr>
        <w:pStyle w:val="ListBullet"/>
        <w:spacing w:before="20" w:after="20"/>
        <w:ind w:left="700"/>
      </w:pPr>
      <w:r>
        <w:rPr>
          <w:sz w:val="18"/>
        </w:rPr>
        <w:t>Effondrement du résultat d'exploitation de 73% à 4,5 milliards XOF impacté par la chute des cours mondiaux</w:t>
      </w:r>
    </w:p>
    <w:p>
      <w:pPr>
        <w:pStyle w:val="ListBullet"/>
        <w:spacing w:before="20" w:after="20"/>
        <w:ind w:left="700"/>
      </w:pPr>
      <w:r>
        <w:rPr>
          <w:sz w:val="18"/>
        </w:rPr>
        <w:t>Résultat net divisé par plus de 4 à 2,6 milliards XOF (-78%) avec une marge nette réduite à 4%</w:t>
      </w:r>
    </w:p>
    <w:p>
      <w:pPr>
        <w:pStyle w:val="ListBullet"/>
        <w:spacing w:before="20" w:after="20"/>
        <w:ind w:left="700"/>
      </w:pPr>
      <w:r>
        <w:rPr>
          <w:sz w:val="18"/>
        </w:rPr>
        <w:t>Amélioration du résultat financier de 13% grâce au désendettement progressif et à l'optimisation de trésorerie</w:t>
      </w:r>
    </w:p>
    <w:p>
      <w:pPr>
        <w:pStyle w:val="ListBullet"/>
        <w:spacing w:before="20" w:after="20"/>
        <w:ind w:left="700"/>
      </w:pPr>
      <w:r>
        <w:rPr>
          <w:sz w:val="18"/>
        </w:rPr>
        <w:t>Engorgement ponctuel du port de San Pedro pénalisant les expéditions</w:t>
      </w:r>
    </w:p>
    <w:p>
      <w:pPr>
        <w:pStyle w:val="ListBullet"/>
        <w:spacing w:before="20" w:after="20"/>
        <w:ind w:left="700"/>
      </w:pPr>
      <w:r>
        <w:rPr>
          <w:sz w:val="18"/>
        </w:rPr>
        <w:t>Concurrence intensifiée pour l'accès à la matière première sur le marché local</w:t>
      </w:r>
    </w:p>
    <w:p>
      <w:pPr>
        <w:spacing w:before="40"/>
        <w:ind w:left="400"/>
      </w:pPr>
      <w:r>
        <w:rPr>
          <w:b/>
          <w:color w:val="C05000"/>
          <w:sz w:val="18"/>
        </w:rPr>
        <w:t xml:space="preserve">⚠️ Risques : </w:t>
      </w:r>
      <w:r>
        <w:rPr>
          <w:sz w:val="18"/>
        </w:rPr>
        <w:t>["Volatilit\u00e9 persistante des cours mondiaux du caoutchouc et faiblesse du dollar am\u00e9ricain", "Concurrence intensifi\u00e9e pour l'approvisionnement en mati\u00e8re premi\u00e8re sur le march\u00e9 local", "Incertitudes g\u00e9opolitiques au Moyen-Orient impactant la consommation globale de</w:t>
      </w:r>
    </w:p>
    <w:p>
      <w:pPr>
        <w:spacing w:before="40"/>
        <w:ind w:left="400"/>
      </w:pPr>
      <w:r>
        <w:rPr>
          <w:b/>
          <w:color w:val="0064A0"/>
          <w:sz w:val="18"/>
        </w:rPr>
        <w:t xml:space="preserve">🔮 Perspectives : </w:t>
      </w:r>
      <w:r>
        <w:rPr>
          <w:sz w:val="18"/>
        </w:rPr>
        <w:t>L'année 2026 présente des signes encourageants avec une reprise des cours SICOM 20 et des perspectives de stabilisation du marché local grâce à la limitation des nouvelles licences industrielles. La société se positionne prudemment en maîtrisant ses coûts tout en finalisant ses investissements strat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soci\u00e9t\u00e9 maintient une rentabilit\u00e9 \u00e9lev\u00e9e avec une marge nette de 28,4% et un bilan solide. La progression du chiffre d'affaires t\u00e9moigne d'un environnement favorable mais la d\u00e9gradation de la tr\u00e9sorerie n\u00e9cessite une surveillance."}</w:t>
      </w:r>
    </w:p>
    <w:p>
      <w:pPr>
        <w:spacing w:before="40"/>
        <w:ind w:left="400"/>
      </w:pPr>
      <w:r>
        <w:rPr>
          <w:sz w:val="18"/>
        </w:rPr>
        <w:t>SAPH CI (Société Africaine de Plantations d'Hévéas) présente des résultats financiers contrastés pour l'exercice 2022. Le chiffre d'affaires a progressé de 17,7% à 58,8 milliards FCFA, porté par l'amélioration des cours du caoutchouc. Cependant, le résultat net s'est dégradé, passant d'un bénéfice de 20,8 milliards FCFA en 2021 à 16,7 milliards FCFA en 2022. La société maintient un bilan solide avec un total actif de 277,5 milliards FCFA et des capitaux propres de 129,2 milliards FCFA. L'audit révèle des points d'attention concernant l'évaluation des actifs agricoles et la gestion des stocks de matières premières.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'-15 689 752 378 FCFA', 'total_passif_circulant': '31 646 046 844 FCFA', 'stock_matieres_premieres': '26 150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28,4%</w:t>
            </w:r>
          </w:p>
        </w:tc>
        <w:tc>
          <w:tcPr>
            <w:tcW w:type="dxa" w:w="2160"/>
          </w:tcPr>
          <w:p>
            <w:pPr>
              <w:ind w:left="100"/>
            </w:pPr>
            <w:r/>
            <w:r>
              <w:rPr>
                <w:b/>
                <w:sz w:val="16"/>
              </w:rPr>
              <w:t>total_actif</w:t>
              <w:br/>
            </w:r>
            <w:r>
              <w:rPr>
                <w:sz w:val="18"/>
              </w:rPr>
              <w:t>277 518 461 858 FCFA</w:t>
            </w:r>
          </w:p>
        </w:tc>
      </w:tr>
      <w:tr>
        <w:tc>
          <w:tcPr>
            <w:tcW w:type="dxa" w:w="2160"/>
          </w:tcPr>
          <w:p>
            <w:r/>
            <w:r>
              <w:rPr>
                <w:b/>
                <w:sz w:val="16"/>
              </w:rPr>
              <w:t>resultat_net</w:t>
              <w:br/>
            </w:r>
            <w:r>
              <w:rPr>
                <w:sz w:val="18"/>
              </w:rPr>
              <w:t>16 700 611 131 FCFA</w:t>
            </w:r>
          </w:p>
        </w:tc>
        <w:tc>
          <w:tcPr>
            <w:tcW w:type="dxa" w:w="2160"/>
          </w:tcPr>
          <w:p>
            <w:r/>
            <w:r>
              <w:rPr>
                <w:b/>
                <w:sz w:val="16"/>
              </w:rPr>
              <w:t>capitaux_propres</w:t>
              <w:br/>
            </w:r>
            <w:r>
              <w:rPr>
                <w:sz w:val="18"/>
              </w:rPr>
              <w:t>129 154 839 585 FCFA</w:t>
            </w:r>
          </w:p>
        </w:tc>
        <w:tc>
          <w:tcPr>
            <w:tcW w:type="dxa" w:w="2160"/>
          </w:tcPr>
          <w:p>
            <w:r/>
            <w:r>
              <w:rPr>
                <w:b/>
                <w:sz w:val="16"/>
              </w:rPr>
              <w:t>chiffre_affaires</w:t>
              <w:br/>
            </w:r>
            <w:r>
              <w:rPr>
                <w:sz w:val="18"/>
              </w:rPr>
              <w:t>58 773 554 214 FCFA</w:t>
            </w:r>
          </w:p>
        </w:tc>
        <w:tc>
          <w:tcPr>
            <w:tcW w:type="dxa" w:w="2160"/>
          </w:tcPr>
          <w:p/>
        </w:tc>
      </w:tr>
    </w:tbl>
    <w:p/>
    <w:p>
      <w:pPr>
        <w:spacing w:before="60"/>
        <w:ind w:left="400"/>
      </w:pPr>
      <w:r>
        <w:rPr>
          <w:b/>
          <w:sz w:val="18"/>
        </w:rPr>
        <w:t>Points clés :</w:t>
      </w:r>
    </w:p>
    <w:p>
      <w:pPr>
        <w:pStyle w:val="ListBullet"/>
        <w:spacing w:before="20" w:after="20"/>
        <w:ind w:left="700"/>
      </w:pPr>
      <w:r>
        <w:rPr>
          <w:sz w:val="18"/>
        </w:rPr>
        <w:t>Progression du chiffre d'affaires de 17,7% à 58,8 milliards FCFA en 2022</w:t>
      </w:r>
    </w:p>
    <w:p>
      <w:pPr>
        <w:pStyle w:val="ListBullet"/>
        <w:spacing w:before="20" w:after="20"/>
        <w:ind w:left="700"/>
      </w:pPr>
      <w:r>
        <w:rPr>
          <w:sz w:val="18"/>
        </w:rPr>
        <w:t>Baisse du résultat net de 20,8 milliards FCFA à 16,7 milliards FCFA (-19,7%)</w:t>
      </w:r>
    </w:p>
    <w:p>
      <w:pPr>
        <w:pStyle w:val="ListBullet"/>
        <w:spacing w:before="20" w:after="20"/>
        <w:ind w:left="700"/>
      </w:pPr>
      <w:r>
        <w:rPr>
          <w:sz w:val="18"/>
        </w:rPr>
        <w:t>Total actif stable à 277,5 milliards FCFA contre 277,5 milliards en 2021</w:t>
      </w:r>
    </w:p>
    <w:p>
      <w:pPr>
        <w:pStyle w:val="ListBullet"/>
        <w:spacing w:before="20" w:after="20"/>
        <w:ind w:left="700"/>
      </w:pPr>
      <w:r>
        <w:rPr>
          <w:sz w:val="18"/>
        </w:rPr>
        <w:t>Capitaux propres légèrement en hausse à 129,2 milliards FCFA</w:t>
      </w:r>
    </w:p>
    <w:p>
      <w:pPr>
        <w:pStyle w:val="ListBullet"/>
        <w:spacing w:before="20" w:after="20"/>
        <w:ind w:left="700"/>
      </w:pPr>
      <w:r>
        <w:rPr>
          <w:sz w:val="18"/>
        </w:rPr>
        <w:t>Stock de matières premières représentant 26,2 milliards FCFA (55,39% du stock total)</w:t>
      </w:r>
    </w:p>
    <w:p>
      <w:pPr>
        <w:pStyle w:val="ListBullet"/>
        <w:spacing w:before="20" w:after="20"/>
        <w:ind w:left="700"/>
      </w:pPr>
      <w:r>
        <w:rPr>
          <w:sz w:val="18"/>
        </w:rPr>
        <w:t>Points d'audit sur l'évaluation des actifs agricoles et la gestion des stocks</w:t>
      </w:r>
    </w:p>
    <w:p>
      <w:pPr>
        <w:spacing w:before="40"/>
        <w:ind w:left="400"/>
      </w:pPr>
      <w:r>
        <w:rPr>
          <w:b/>
          <w:color w:val="C05000"/>
          <w:sz w:val="18"/>
        </w:rPr>
        <w:t xml:space="preserve">⚠️ Risques : </w:t>
      </w:r>
      <w:r>
        <w:rPr>
          <w:sz w:val="18"/>
        </w:rPr>
        <w:t>["Volatilit\u00e9 des cours du caoutchouc impactant directement les revenus", "D\u00e9gradation de la position de tr\u00e9sorerie nette qui s'aggrave", "Points d'audit sur l'\u00e9valuation des actifs agricoles et la gestion des stocks"]</w:t>
      </w:r>
    </w:p>
    <w:p>
      <w:pPr>
        <w:spacing w:before="40"/>
        <w:ind w:left="400"/>
      </w:pPr>
      <w:r>
        <w:rPr>
          <w:b/>
          <w:color w:val="0064A0"/>
          <w:sz w:val="18"/>
        </w:rPr>
        <w:t xml:space="preserve">🔮 Perspectives : </w:t>
      </w:r>
      <w:r>
        <w:rPr>
          <w:sz w:val="18"/>
        </w:rPr>
        <w:t>Les perspectives dépendront largement de l'évolution des cours mondiaux du caoutchouc et de la capacité de la société à optimiser sa gestion de trésorerie. La société devra également répondre aux recommandations d'audit concernant l'évaluation de ses actifs agricoles pour sécuriser sa valorisation.</w:t>
      </w:r>
    </w:p>
    <w:p/>
    <w:p>
      <w:r>
        <w:t>════════════════════════════════════════════════════════════════════════════════</w:t>
      </w:r>
    </w:p>
    <w:p>
      <w:r>
        <w:br w:type="page"/>
      </w:r>
    </w:p>
    <w:p>
      <w:pPr>
        <w:pStyle w:val="Heading2"/>
        <w:spacing w:before="360"/>
      </w:pPr>
      <w:r>
        <w:rPr>
          <w:color w:val="0066CC"/>
        </w:rPr>
        <w:t>43. STAC - STAC - SETAO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STAC</w:t>
            </w:r>
          </w:p>
          <w:p>
            <w:r>
              <w:rPr>
                <w:b/>
                <w:color w:val="323250"/>
                <w:sz w:val="16"/>
              </w:rPr>
              <w:t xml:space="preserve">Société : </w:t>
            </w:r>
            <w:r>
              <w:rPr>
                <w:color w:val="000000"/>
                <w:sz w:val="16"/>
              </w:rPr>
              <w:t>STAC - SETAO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25.60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6,317 titres</w:t>
            </w:r>
          </w:p>
        </w:tc>
        <w:tc>
          <w:tcPr>
            <w:tcW w:type="dxa" w:w="2268"/>
            <w:shd w:fill="FFF2CC" w:val="clear"/>
          </w:tcPr>
          <w:p>
            <w:r>
              <w:rPr>
                <w:b/>
                <w:color w:val="503200"/>
                <w:sz w:val="16"/>
              </w:rPr>
              <w:t xml:space="preserve">Cours actuel : </w:t>
            </w:r>
            <w:r>
              <w:rPr>
                <w:color w:val="000000"/>
                <w:sz w:val="17"/>
              </w:rPr>
              <w:t>1,905 FCFA</w:t>
            </w:r>
          </w:p>
          <w:p>
            <w:r>
              <w:rPr>
                <w:b/>
                <w:color w:val="503200"/>
                <w:sz w:val="16"/>
              </w:rPr>
              <w:t xml:space="preserve">Var. 100 jours : </w:t>
            </w:r>
            <w:r>
              <w:rPr>
                <w:b/>
                <w:color w:val="B40000"/>
                <w:sz w:val="17"/>
              </w:rPr>
              <w:t>-34.31%</w:t>
            </w:r>
          </w:p>
          <w:p>
            <w:r>
              <w:rPr>
                <w:b/>
                <w:color w:val="503200"/>
                <w:sz w:val="16"/>
              </w:rPr>
              <w:t xml:space="preserve">Plus haut 100j : </w:t>
            </w:r>
            <w:r>
              <w:rPr>
                <w:color w:val="000000"/>
                <w:sz w:val="17"/>
              </w:rPr>
              <w:t>3,640 FCFA</w:t>
            </w:r>
          </w:p>
          <w:p>
            <w:r>
              <w:rPr>
                <w:b/>
                <w:color w:val="503200"/>
                <w:sz w:val="16"/>
              </w:rPr>
              <w:t xml:space="preserve">Plus bas 100j : </w:t>
            </w:r>
            <w:r>
              <w:rPr>
                <w:color w:val="000000"/>
                <w:sz w:val="17"/>
              </w:rPr>
              <w:t>1,905 FCFA</w:t>
            </w:r>
          </w:p>
          <w:p>
            <w:r>
              <w:rPr>
                <w:b/>
                <w:color w:val="503200"/>
                <w:sz w:val="16"/>
              </w:rPr>
              <w:t xml:space="preserve">Volatilité ann. : </w:t>
            </w:r>
            <w:r>
              <w:rPr>
                <w:color w:val="000000"/>
                <w:sz w:val="17"/>
              </w:rPr>
              <w:t>60.5%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30.8/100 → Moyen</w:t>
      </w:r>
    </w:p>
    <w:p>
      <w:pPr>
        <w:spacing w:before="40" w:after="80"/>
      </w:pPr>
      <w:r>
        <w:rPr>
          <w:rFonts w:ascii="Courier New" w:hAnsi="Courier New"/>
          <w:color w:val="825A00"/>
          <w:sz w:val="18"/>
        </w:rPr>
        <w:t>██████░░░░░░░░░░░░░░  30.8/100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16.51% (Élevée) — μ=2,806 FCFA, σ=463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E2EFDA" w:val="clear"/>
          </w:tcPr>
          <w:p>
            <w:r>
              <w:rPr>
                <w:b/>
                <w:sz w:val="15"/>
              </w:rPr>
              <w:t>β=-0.0167 (Contre-cyclique) — Cov=-0.000001, Var(idx)=0.000075, ρ=-0.004, n=96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6,317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σ_j=3.81%/j (Modérée) — Vol. annualisée≈60.5%</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64/100  (Bon)</w:t>
      </w:r>
    </w:p>
    <w:p/>
    <w:p>
      <w:pPr>
        <w:jc w:val="center"/>
      </w:pPr>
      <w:r>
        <w:drawing>
          <wp:inline xmlns:a="http://schemas.openxmlformats.org/drawingml/2006/main" xmlns:pic="http://schemas.openxmlformats.org/drawingml/2006/picture">
            <wp:extent cx="5669280" cy="2619287"/>
            <wp:docPr id="45" name="Picture 45"/>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2026-10-16</w:t>
            </w:r>
          </w:p>
        </w:tc>
        <w:tc>
          <w:tcPr>
            <w:tcW w:type="dxa" w:w="1440"/>
            <w:shd w:fill="FAFAFA" w:val="clear"/>
          </w:tcPr>
          <w:p>
            <w:r>
              <w:rPr>
                <w:sz w:val="17"/>
              </w:rPr>
              <w:t>1,782</w:t>
            </w:r>
          </w:p>
        </w:tc>
        <w:tc>
          <w:tcPr>
            <w:tcW w:type="dxa" w:w="1440"/>
            <w:shd w:fill="FAFAFA" w:val="clear"/>
          </w:tcPr>
          <w:p>
            <w:r>
              <w:rPr>
                <w:b/>
                <w:sz w:val="17"/>
              </w:rPr>
              <w:t>1,915</w:t>
            </w:r>
          </w:p>
        </w:tc>
        <w:tc>
          <w:tcPr>
            <w:tcW w:type="dxa" w:w="1440"/>
            <w:shd w:fill="FAFAFA" w:val="clear"/>
          </w:tcPr>
          <w:p>
            <w:r>
              <w:rPr>
                <w:sz w:val="17"/>
              </w:rPr>
              <w:t>2,048</w:t>
            </w:r>
          </w:p>
        </w:tc>
        <w:tc>
          <w:tcPr>
            <w:tcW w:type="dxa" w:w="1440"/>
            <w:shd w:fill="FAFAFA" w:val="clear"/>
          </w:tcPr>
          <w:p>
            <w:r>
              <w:rPr>
                <w:b/>
                <w:color w:val="008000"/>
                <w:sz w:val="17"/>
              </w:rPr>
              <w:t>+0.5%</w:t>
            </w:r>
          </w:p>
        </w:tc>
      </w:tr>
      <w:tr>
        <w:tc>
          <w:tcPr>
            <w:tcW w:type="dxa" w:w="1440"/>
            <w:shd w:fill="FAFAFA" w:val="clear"/>
          </w:tcPr>
          <w:p>
            <w:r>
              <w:rPr>
                <w:sz w:val="17"/>
              </w:rPr>
              <w:t>J+2  Moyenne</w:t>
            </w:r>
          </w:p>
        </w:tc>
        <w:tc>
          <w:tcPr>
            <w:tcW w:type="dxa" w:w="1440"/>
            <w:shd w:fill="FAFAFA" w:val="clear"/>
          </w:tcPr>
          <w:p>
            <w:r>
              <w:rPr>
                <w:sz w:val="17"/>
              </w:rPr>
              <w:t>2026-10-19</w:t>
            </w:r>
          </w:p>
        </w:tc>
        <w:tc>
          <w:tcPr>
            <w:tcW w:type="dxa" w:w="1440"/>
            <w:shd w:fill="FAFAFA" w:val="clear"/>
          </w:tcPr>
          <w:p>
            <w:r>
              <w:rPr>
                <w:sz w:val="17"/>
              </w:rPr>
              <w:t>1,715</w:t>
            </w:r>
          </w:p>
        </w:tc>
        <w:tc>
          <w:tcPr>
            <w:tcW w:type="dxa" w:w="1440"/>
            <w:shd w:fill="FAFAFA" w:val="clear"/>
          </w:tcPr>
          <w:p>
            <w:r>
              <w:rPr>
                <w:b/>
                <w:sz w:val="17"/>
              </w:rPr>
              <w:t>1,902</w:t>
            </w:r>
          </w:p>
        </w:tc>
        <w:tc>
          <w:tcPr>
            <w:tcW w:type="dxa" w:w="1440"/>
            <w:shd w:fill="FAFAFA" w:val="clear"/>
          </w:tcPr>
          <w:p>
            <w:r>
              <w:rPr>
                <w:sz w:val="17"/>
              </w:rPr>
              <w:t>2,089</w:t>
            </w:r>
          </w:p>
        </w:tc>
        <w:tc>
          <w:tcPr>
            <w:tcW w:type="dxa" w:w="1440"/>
            <w:shd w:fill="FAFAFA" w:val="clear"/>
          </w:tcPr>
          <w:p>
            <w:r>
              <w:rPr>
                <w:b/>
                <w:color w:val="C00000"/>
                <w:sz w:val="17"/>
              </w:rPr>
              <w:t>-0.1%</w:t>
            </w:r>
          </w:p>
        </w:tc>
      </w:tr>
      <w:tr>
        <w:tc>
          <w:tcPr>
            <w:tcW w:type="dxa" w:w="1440"/>
            <w:shd w:fill="FAFAFA" w:val="clear"/>
          </w:tcPr>
          <w:p>
            <w:r>
              <w:rPr>
                <w:sz w:val="17"/>
              </w:rPr>
              <w:t>J+3  Moyenne</w:t>
            </w:r>
          </w:p>
        </w:tc>
        <w:tc>
          <w:tcPr>
            <w:tcW w:type="dxa" w:w="1440"/>
            <w:shd w:fill="FAFAFA" w:val="clear"/>
          </w:tcPr>
          <w:p>
            <w:r>
              <w:rPr>
                <w:sz w:val="17"/>
              </w:rPr>
              <w:t>2026-10-20</w:t>
            </w:r>
          </w:p>
        </w:tc>
        <w:tc>
          <w:tcPr>
            <w:tcW w:type="dxa" w:w="1440"/>
            <w:shd w:fill="FAFAFA" w:val="clear"/>
          </w:tcPr>
          <w:p>
            <w:r>
              <w:rPr>
                <w:sz w:val="17"/>
              </w:rPr>
              <w:t>1,675</w:t>
            </w:r>
          </w:p>
        </w:tc>
        <w:tc>
          <w:tcPr>
            <w:tcW w:type="dxa" w:w="1440"/>
            <w:shd w:fill="FAFAFA" w:val="clear"/>
          </w:tcPr>
          <w:p>
            <w:r>
              <w:rPr>
                <w:b/>
                <w:sz w:val="17"/>
              </w:rPr>
              <w:t>1,904</w:t>
            </w:r>
          </w:p>
        </w:tc>
        <w:tc>
          <w:tcPr>
            <w:tcW w:type="dxa" w:w="1440"/>
            <w:shd w:fill="FAFAFA" w:val="clear"/>
          </w:tcPr>
          <w:p>
            <w:r>
              <w:rPr>
                <w:sz w:val="17"/>
              </w:rPr>
              <w:t>2,134</w:t>
            </w:r>
          </w:p>
        </w:tc>
        <w:tc>
          <w:tcPr>
            <w:tcW w:type="dxa" w:w="1440"/>
            <w:shd w:fill="FAFAFA" w:val="clear"/>
          </w:tcPr>
          <w:p>
            <w:r>
              <w:rPr>
                <w:b/>
                <w:color w:val="C00000"/>
                <w:sz w:val="17"/>
              </w:rPr>
              <w:t>-0.0%</w:t>
            </w:r>
          </w:p>
        </w:tc>
      </w:tr>
      <w:tr>
        <w:tc>
          <w:tcPr>
            <w:tcW w:type="dxa" w:w="1440"/>
            <w:shd w:fill="FAFAFA" w:val="clear"/>
          </w:tcPr>
          <w:p>
            <w:r>
              <w:rPr>
                <w:sz w:val="17"/>
              </w:rPr>
              <w:t>J+4  ⭐</w:t>
            </w:r>
          </w:p>
        </w:tc>
        <w:tc>
          <w:tcPr>
            <w:tcW w:type="dxa" w:w="1440"/>
            <w:shd w:fill="FAFAFA" w:val="clear"/>
          </w:tcPr>
          <w:p>
            <w:r>
              <w:rPr>
                <w:sz w:val="17"/>
              </w:rPr>
              <w:t>2026-10-21</w:t>
            </w:r>
          </w:p>
        </w:tc>
        <w:tc>
          <w:tcPr>
            <w:tcW w:type="dxa" w:w="1440"/>
            <w:shd w:fill="FAFAFA" w:val="clear"/>
          </w:tcPr>
          <w:p>
            <w:r>
              <w:rPr>
                <w:sz w:val="17"/>
              </w:rPr>
              <w:t>1,647</w:t>
            </w:r>
          </w:p>
        </w:tc>
        <w:tc>
          <w:tcPr>
            <w:tcW w:type="dxa" w:w="1440"/>
            <w:shd w:fill="FAFAFA" w:val="clear"/>
          </w:tcPr>
          <w:p>
            <w:r>
              <w:rPr>
                <w:b/>
                <w:sz w:val="17"/>
              </w:rPr>
              <w:t>1,913</w:t>
            </w:r>
          </w:p>
        </w:tc>
        <w:tc>
          <w:tcPr>
            <w:tcW w:type="dxa" w:w="1440"/>
            <w:shd w:fill="FAFAFA" w:val="clear"/>
          </w:tcPr>
          <w:p>
            <w:r>
              <w:rPr>
                <w:sz w:val="17"/>
              </w:rPr>
              <w:t>2,178</w:t>
            </w:r>
          </w:p>
        </w:tc>
        <w:tc>
          <w:tcPr>
            <w:tcW w:type="dxa" w:w="1440"/>
            <w:shd w:fill="FAFAFA" w:val="clear"/>
          </w:tcPr>
          <w:p>
            <w:r>
              <w:rPr>
                <w:b/>
                <w:color w:val="008000"/>
                <w:sz w:val="17"/>
              </w:rPr>
              <w:t>+0.4%</w:t>
            </w:r>
          </w:p>
        </w:tc>
      </w:tr>
      <w:tr>
        <w:tc>
          <w:tcPr>
            <w:tcW w:type="dxa" w:w="1440"/>
            <w:shd w:fill="FAFAFA" w:val="clear"/>
          </w:tcPr>
          <w:p>
            <w:r>
              <w:rPr>
                <w:sz w:val="17"/>
              </w:rPr>
              <w:t>J+5  ⭐</w:t>
            </w:r>
          </w:p>
        </w:tc>
        <w:tc>
          <w:tcPr>
            <w:tcW w:type="dxa" w:w="1440"/>
            <w:shd w:fill="FAFAFA" w:val="clear"/>
          </w:tcPr>
          <w:p>
            <w:r>
              <w:rPr>
                <w:sz w:val="17"/>
              </w:rPr>
              <w:t>2026-10-22</w:t>
            </w:r>
          </w:p>
        </w:tc>
        <w:tc>
          <w:tcPr>
            <w:tcW w:type="dxa" w:w="1440"/>
            <w:shd w:fill="FAFAFA" w:val="clear"/>
          </w:tcPr>
          <w:p>
            <w:r>
              <w:rPr>
                <w:sz w:val="17"/>
              </w:rPr>
              <w:t>1,624</w:t>
            </w:r>
          </w:p>
        </w:tc>
        <w:tc>
          <w:tcPr>
            <w:tcW w:type="dxa" w:w="1440"/>
            <w:shd w:fill="FAFAFA" w:val="clear"/>
          </w:tcPr>
          <w:p>
            <w:r>
              <w:rPr>
                <w:b/>
                <w:sz w:val="17"/>
              </w:rPr>
              <w:t>1,923</w:t>
            </w:r>
          </w:p>
        </w:tc>
        <w:tc>
          <w:tcPr>
            <w:tcW w:type="dxa" w:w="1440"/>
            <w:shd w:fill="FAFAFA" w:val="clear"/>
          </w:tcPr>
          <w:p>
            <w:r>
              <w:rPr>
                <w:sz w:val="17"/>
              </w:rPr>
              <w:t>2,222</w:t>
            </w:r>
          </w:p>
        </w:tc>
        <w:tc>
          <w:tcPr>
            <w:tcW w:type="dxa" w:w="1440"/>
            <w:shd w:fill="FAFAFA" w:val="clear"/>
          </w:tcPr>
          <w:p>
            <w:r>
              <w:rPr>
                <w:b/>
                <w:color w:val="008000"/>
                <w:sz w:val="17"/>
              </w:rPr>
              <w:t>+0.9%</w:t>
            </w:r>
          </w:p>
        </w:tc>
      </w:tr>
      <w:tr>
        <w:tc>
          <w:tcPr>
            <w:tcW w:type="dxa" w:w="1440"/>
            <w:shd w:fill="FAFAFA" w:val="clear"/>
          </w:tcPr>
          <w:p>
            <w:r>
              <w:rPr>
                <w:sz w:val="17"/>
              </w:rPr>
              <w:t>J+6  ⭐</w:t>
            </w:r>
          </w:p>
        </w:tc>
        <w:tc>
          <w:tcPr>
            <w:tcW w:type="dxa" w:w="1440"/>
            <w:shd w:fill="FAFAFA" w:val="clear"/>
          </w:tcPr>
          <w:p>
            <w:r>
              <w:rPr>
                <w:sz w:val="17"/>
              </w:rPr>
              <w:t>2026-10-23</w:t>
            </w:r>
          </w:p>
        </w:tc>
        <w:tc>
          <w:tcPr>
            <w:tcW w:type="dxa" w:w="1440"/>
            <w:shd w:fill="FAFAFA" w:val="clear"/>
          </w:tcPr>
          <w:p>
            <w:r>
              <w:rPr>
                <w:sz w:val="17"/>
              </w:rPr>
              <w:t>1,605</w:t>
            </w:r>
          </w:p>
        </w:tc>
        <w:tc>
          <w:tcPr>
            <w:tcW w:type="dxa" w:w="1440"/>
            <w:shd w:fill="FAFAFA" w:val="clear"/>
          </w:tcPr>
          <w:p>
            <w:r>
              <w:rPr>
                <w:b/>
                <w:sz w:val="17"/>
              </w:rPr>
              <w:t>1,934</w:t>
            </w:r>
          </w:p>
        </w:tc>
        <w:tc>
          <w:tcPr>
            <w:tcW w:type="dxa" w:w="1440"/>
            <w:shd w:fill="FAFAFA" w:val="clear"/>
          </w:tcPr>
          <w:p>
            <w:r>
              <w:rPr>
                <w:sz w:val="17"/>
              </w:rPr>
              <w:t>2,263</w:t>
            </w:r>
          </w:p>
        </w:tc>
        <w:tc>
          <w:tcPr>
            <w:tcW w:type="dxa" w:w="1440"/>
            <w:shd w:fill="FAFAFA" w:val="clear"/>
          </w:tcPr>
          <w:p>
            <w:r>
              <w:rPr>
                <w:b/>
                <w:color w:val="008000"/>
                <w:sz w:val="17"/>
              </w:rPr>
              <w:t>+1.5%</w:t>
            </w:r>
          </w:p>
        </w:tc>
      </w:tr>
      <w:tr>
        <w:tc>
          <w:tcPr>
            <w:tcW w:type="dxa" w:w="1440"/>
            <w:shd w:fill="C6EFCE" w:val="clear"/>
          </w:tcPr>
          <w:p>
            <w:r>
              <w:rPr>
                <w:sz w:val="17"/>
              </w:rPr>
              <w:t>J+7  ⭐</w:t>
            </w:r>
          </w:p>
        </w:tc>
        <w:tc>
          <w:tcPr>
            <w:tcW w:type="dxa" w:w="1440"/>
            <w:shd w:fill="C6EFCE" w:val="clear"/>
          </w:tcPr>
          <w:p>
            <w:r>
              <w:rPr>
                <w:sz w:val="17"/>
              </w:rPr>
              <w:t>2026-10-26</w:t>
            </w:r>
          </w:p>
        </w:tc>
        <w:tc>
          <w:tcPr>
            <w:tcW w:type="dxa" w:w="1440"/>
            <w:shd w:fill="C6EFCE" w:val="clear"/>
          </w:tcPr>
          <w:p>
            <w:r>
              <w:rPr>
                <w:sz w:val="17"/>
              </w:rPr>
              <w:t>1,587</w:t>
            </w:r>
          </w:p>
        </w:tc>
        <w:tc>
          <w:tcPr>
            <w:tcW w:type="dxa" w:w="1440"/>
            <w:shd w:fill="C6EFCE" w:val="clear"/>
          </w:tcPr>
          <w:p>
            <w:r>
              <w:rPr>
                <w:b/>
                <w:sz w:val="17"/>
              </w:rPr>
              <w:t>1,945</w:t>
            </w:r>
          </w:p>
        </w:tc>
        <w:tc>
          <w:tcPr>
            <w:tcW w:type="dxa" w:w="1440"/>
            <w:shd w:fill="C6EFCE" w:val="clear"/>
          </w:tcPr>
          <w:p>
            <w:r>
              <w:rPr>
                <w:sz w:val="17"/>
              </w:rPr>
              <w:t>2,302</w:t>
            </w:r>
          </w:p>
        </w:tc>
        <w:tc>
          <w:tcPr>
            <w:tcW w:type="dxa" w:w="1440"/>
            <w:shd w:fill="C6EFCE" w:val="clear"/>
          </w:tcPr>
          <w:p>
            <w:r>
              <w:rPr>
                <w:b/>
                <w:color w:val="008000"/>
                <w:sz w:val="17"/>
              </w:rPr>
              <w:t>+2.1%</w:t>
            </w:r>
          </w:p>
        </w:tc>
      </w:tr>
      <w:tr>
        <w:tc>
          <w:tcPr>
            <w:tcW w:type="dxa" w:w="1440"/>
            <w:shd w:fill="C6EFCE" w:val="clear"/>
          </w:tcPr>
          <w:p>
            <w:r>
              <w:rPr>
                <w:sz w:val="17"/>
              </w:rPr>
              <w:t>J+8  ⭐</w:t>
            </w:r>
          </w:p>
        </w:tc>
        <w:tc>
          <w:tcPr>
            <w:tcW w:type="dxa" w:w="1440"/>
            <w:shd w:fill="C6EFCE" w:val="clear"/>
          </w:tcPr>
          <w:p>
            <w:r>
              <w:rPr>
                <w:sz w:val="17"/>
              </w:rPr>
              <w:t>2026-10-27</w:t>
            </w:r>
          </w:p>
        </w:tc>
        <w:tc>
          <w:tcPr>
            <w:tcW w:type="dxa" w:w="1440"/>
            <w:shd w:fill="C6EFCE" w:val="clear"/>
          </w:tcPr>
          <w:p>
            <w:r>
              <w:rPr>
                <w:sz w:val="17"/>
              </w:rPr>
              <w:t>1,571</w:t>
            </w:r>
          </w:p>
        </w:tc>
        <w:tc>
          <w:tcPr>
            <w:tcW w:type="dxa" w:w="1440"/>
            <w:shd w:fill="C6EFCE" w:val="clear"/>
          </w:tcPr>
          <w:p>
            <w:r>
              <w:rPr>
                <w:b/>
                <w:sz w:val="17"/>
              </w:rPr>
              <w:t>1,955</w:t>
            </w:r>
          </w:p>
        </w:tc>
        <w:tc>
          <w:tcPr>
            <w:tcW w:type="dxa" w:w="1440"/>
            <w:shd w:fill="C6EFCE" w:val="clear"/>
          </w:tcPr>
          <w:p>
            <w:r>
              <w:rPr>
                <w:sz w:val="17"/>
              </w:rPr>
              <w:t>2,339</w:t>
            </w:r>
          </w:p>
        </w:tc>
        <w:tc>
          <w:tcPr>
            <w:tcW w:type="dxa" w:w="1440"/>
            <w:shd w:fill="C6EFCE" w:val="clear"/>
          </w:tcPr>
          <w:p>
            <w:r>
              <w:rPr>
                <w:b/>
                <w:color w:val="008000"/>
                <w:sz w:val="17"/>
              </w:rPr>
              <w:t>+2.6%</w:t>
            </w:r>
          </w:p>
        </w:tc>
      </w:tr>
      <w:tr>
        <w:tc>
          <w:tcPr>
            <w:tcW w:type="dxa" w:w="1440"/>
            <w:shd w:fill="C6EFCE" w:val="clear"/>
          </w:tcPr>
          <w:p>
            <w:r>
              <w:rPr>
                <w:sz w:val="17"/>
              </w:rPr>
              <w:t>J+9  ⭐</w:t>
            </w:r>
          </w:p>
        </w:tc>
        <w:tc>
          <w:tcPr>
            <w:tcW w:type="dxa" w:w="1440"/>
            <w:shd w:fill="C6EFCE" w:val="clear"/>
          </w:tcPr>
          <w:p>
            <w:r>
              <w:rPr>
                <w:sz w:val="17"/>
              </w:rPr>
              <w:t>2026-10-28</w:t>
            </w:r>
          </w:p>
        </w:tc>
        <w:tc>
          <w:tcPr>
            <w:tcW w:type="dxa" w:w="1440"/>
            <w:shd w:fill="C6EFCE" w:val="clear"/>
          </w:tcPr>
          <w:p>
            <w:r>
              <w:rPr>
                <w:sz w:val="17"/>
              </w:rPr>
              <w:t>1,555</w:t>
            </w:r>
          </w:p>
        </w:tc>
        <w:tc>
          <w:tcPr>
            <w:tcW w:type="dxa" w:w="1440"/>
            <w:shd w:fill="C6EFCE" w:val="clear"/>
          </w:tcPr>
          <w:p>
            <w:r>
              <w:rPr>
                <w:b/>
                <w:sz w:val="17"/>
              </w:rPr>
              <w:t>1,964</w:t>
            </w:r>
          </w:p>
        </w:tc>
        <w:tc>
          <w:tcPr>
            <w:tcW w:type="dxa" w:w="1440"/>
            <w:shd w:fill="C6EFCE" w:val="clear"/>
          </w:tcPr>
          <w:p>
            <w:r>
              <w:rPr>
                <w:sz w:val="17"/>
              </w:rPr>
              <w:t>2,374</w:t>
            </w:r>
          </w:p>
        </w:tc>
        <w:tc>
          <w:tcPr>
            <w:tcW w:type="dxa" w:w="1440"/>
            <w:shd w:fill="C6EFCE" w:val="clear"/>
          </w:tcPr>
          <w:p>
            <w:r>
              <w:rPr>
                <w:b/>
                <w:color w:val="008000"/>
                <w:sz w:val="17"/>
              </w:rPr>
              <w:t>+3.1%</w:t>
            </w:r>
          </w:p>
        </w:tc>
      </w:tr>
      <w:tr>
        <w:tc>
          <w:tcPr>
            <w:tcW w:type="dxa" w:w="1440"/>
            <w:shd w:fill="C6EFCE" w:val="clear"/>
          </w:tcPr>
          <w:p>
            <w:r>
              <w:rPr>
                <w:sz w:val="17"/>
              </w:rPr>
              <w:t>J+10  ⭐</w:t>
            </w:r>
          </w:p>
        </w:tc>
        <w:tc>
          <w:tcPr>
            <w:tcW w:type="dxa" w:w="1440"/>
            <w:shd w:fill="C6EFCE" w:val="clear"/>
          </w:tcPr>
          <w:p>
            <w:r>
              <w:rPr>
                <w:sz w:val="17"/>
              </w:rPr>
              <w:t>2026-10-29</w:t>
            </w:r>
          </w:p>
        </w:tc>
        <w:tc>
          <w:tcPr>
            <w:tcW w:type="dxa" w:w="1440"/>
            <w:shd w:fill="C6EFCE" w:val="clear"/>
          </w:tcPr>
          <w:p>
            <w:r>
              <w:rPr>
                <w:sz w:val="17"/>
              </w:rPr>
              <w:t>1,540</w:t>
            </w:r>
          </w:p>
        </w:tc>
        <w:tc>
          <w:tcPr>
            <w:tcW w:type="dxa" w:w="1440"/>
            <w:shd w:fill="C6EFCE" w:val="clear"/>
          </w:tcPr>
          <w:p>
            <w:r>
              <w:rPr>
                <w:b/>
                <w:sz w:val="17"/>
              </w:rPr>
              <w:t>1,973</w:t>
            </w:r>
          </w:p>
        </w:tc>
        <w:tc>
          <w:tcPr>
            <w:tcW w:type="dxa" w:w="1440"/>
            <w:shd w:fill="C6EFCE" w:val="clear"/>
          </w:tcPr>
          <w:p>
            <w:r>
              <w:rPr>
                <w:sz w:val="17"/>
              </w:rPr>
              <w:t>2,407</w:t>
            </w:r>
          </w:p>
        </w:tc>
        <w:tc>
          <w:tcPr>
            <w:tcW w:type="dxa" w:w="1440"/>
            <w:shd w:fill="C6EFCE" w:val="clear"/>
          </w:tcPr>
          <w:p>
            <w:r>
              <w:rPr>
                <w:b/>
                <w:color w:val="008000"/>
                <w:sz w:val="17"/>
              </w:rPr>
              <w:t>+3.6%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Actif circulant</w:t>
            </w:r>
          </w:p>
        </w:tc>
        <w:tc>
          <w:tcPr>
            <w:tcW w:type="dxa" w:w="1984"/>
            <w:shd w:fill="FFC7CE" w:val="clear"/>
          </w:tcPr>
          <w:p>
            <w:r>
              <w:rPr>
                <w:b/>
                <w:color w:val="006400"/>
                <w:sz w:val="17"/>
              </w:rPr>
              <w:t>3.696 Mds FCFA</w:t>
            </w:r>
          </w:p>
        </w:tc>
        <w:tc>
          <w:tcPr>
            <w:tcW w:type="dxa" w:w="5669"/>
            <w:shd w:fill="FFFFFF" w:val="clear"/>
          </w:tcPr>
          <w:p>
            <w:r>
              <w:rPr>
                <w:color w:val="282828"/>
                <w:sz w:val="15"/>
              </w:rPr>
              <w:t>Ratio actif circ./passif circ. = 0.80x. ❌ Actif circulant insuffisant pour couvrir les dettes CT.</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420.20 M FCFA</w:t>
            </w:r>
          </w:p>
        </w:tc>
        <w:tc>
          <w:tcPr>
            <w:tcW w:type="dxa" w:w="5669"/>
            <w:shd w:fill="FFFFFF" w:val="clear"/>
          </w:tcPr>
          <w:p>
            <w:r>
              <w:rPr>
                <w:color w:val="282828"/>
                <w:sz w:val="15"/>
              </w:rPr>
              <w:t>Actif immobilisé = 7.7%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1.330 Mds FCFA</w:t>
            </w:r>
          </w:p>
        </w:tc>
        <w:tc>
          <w:tcPr>
            <w:tcW w:type="dxa" w:w="5669"/>
            <w:shd w:fill="FFFFFF" w:val="clear"/>
          </w:tcPr>
          <w:p>
            <w:r>
              <w:rPr>
                <w:color w:val="282828"/>
                <w:sz w:val="15"/>
              </w:rPr>
              <w:t>Liquidités disponibles (24.4%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5.447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672.00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Capitaux propres</w:t>
            </w:r>
          </w:p>
        </w:tc>
        <w:tc>
          <w:tcPr>
            <w:tcW w:type="dxa" w:w="1984"/>
            <w:shd w:fill="FFC7CE" w:val="clear"/>
          </w:tcPr>
          <w:p>
            <w:r>
              <w:rPr>
                <w:b/>
                <w:color w:val="006400"/>
                <w:sz w:val="17"/>
              </w:rPr>
              <w:t>356.75 M FCFA</w:t>
            </w:r>
          </w:p>
        </w:tc>
        <w:tc>
          <w:tcPr>
            <w:tcW w:type="dxa" w:w="5669"/>
            <w:shd w:fill="FFFFFF" w:val="clear"/>
          </w:tcPr>
          <w:p>
            <w:r>
              <w:rPr>
                <w:color w:val="282828"/>
                <w:sz w:val="15"/>
              </w:rPr>
              <w:t>Fonds propres = 6.5%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820.05 M FCFA</w:t>
            </w:r>
          </w:p>
        </w:tc>
        <w:tc>
          <w:tcPr>
            <w:tcW w:type="dxa" w:w="5669"/>
            <w:shd w:fill="FFFFFF" w:val="clear"/>
          </w:tcPr>
          <w:p>
            <w:r>
              <w:rPr>
                <w:color w:val="282828"/>
                <w:sz w:val="15"/>
              </w:rPr>
              <w:t>Capitaux permanents / Actif immobilisé = 1.95x.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463.31 M FCFA</w:t>
            </w:r>
          </w:p>
        </w:tc>
        <w:tc>
          <w:tcPr>
            <w:tcW w:type="dxa" w:w="5669"/>
            <w:shd w:fill="FFFFFF" w:val="clear"/>
          </w:tcPr>
          <w:p>
            <w:r>
              <w:rPr>
                <w:color w:val="282828"/>
                <w:sz w:val="15"/>
              </w:rPr>
              <w:t>Dette LT/MT = 130%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463.31 M FCFA</w:t>
            </w:r>
          </w:p>
        </w:tc>
        <w:tc>
          <w:tcPr>
            <w:tcW w:type="dxa" w:w="5669"/>
            <w:shd w:fill="FFFFFF" w:val="clear"/>
          </w:tcPr>
          <w:p>
            <w:r>
              <w:rPr>
                <w:color w:val="282828"/>
                <w:sz w:val="15"/>
              </w:rPr>
              <w:t>Dette financière totale = 130%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5.090 Mds FCFA</w:t>
            </w:r>
          </w:p>
        </w:tc>
        <w:tc>
          <w:tcPr>
            <w:tcW w:type="dxa" w:w="5669"/>
            <w:shd w:fill="FFFFFF" w:val="clear"/>
          </w:tcPr>
          <w:p>
            <w:r>
              <w:rPr>
                <w:color w:val="282828"/>
                <w:sz w:val="15"/>
              </w:rPr>
              <w:t>Dettes totales = 93.5%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3.878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3.878 Mds FCFA</w:t>
            </w:r>
          </w:p>
        </w:tc>
        <w:tc>
          <w:tcPr>
            <w:tcW w:type="dxa" w:w="5669"/>
            <w:shd w:fill="FFFFFF" w:val="clear"/>
          </w:tcPr>
          <w:p>
            <w:r>
              <w:rPr>
                <w:color w:val="282828"/>
                <w:sz w:val="15"/>
              </w:rPr>
              <w:t>Chiffre d'affaires. Croissance: 116.3%.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121.82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804.32 M FCFA</w:t>
            </w:r>
          </w:p>
        </w:tc>
        <w:tc>
          <w:tcPr>
            <w:tcW w:type="dxa" w:w="5669"/>
            <w:shd w:fill="FFFFFF" w:val="clear"/>
          </w:tcPr>
          <w:p>
            <w:r>
              <w:rPr>
                <w:color w:val="282828"/>
                <w:sz w:val="15"/>
              </w:rPr>
              <w:t>Masse salariale = 20.7%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154.19 M FCFA</w:t>
            </w:r>
          </w:p>
        </w:tc>
        <w:tc>
          <w:tcPr>
            <w:tcW w:type="dxa" w:w="5669"/>
            <w:shd w:fill="FFFFFF" w:val="clear"/>
          </w:tcPr>
          <w:p>
            <w:r>
              <w:rPr>
                <w:color w:val="282828"/>
                <w:sz w:val="15"/>
              </w:rPr>
              <w:t>VA = 4.0% du CA. ⚠️ Faible VA — modèle à faible marge (distribution, négoce).</w:t>
            </w:r>
          </w:p>
        </w:tc>
      </w:tr>
      <w:tr>
        <w:tc>
          <w:tcPr>
            <w:tcW w:type="dxa" w:w="2268"/>
            <w:shd w:fill="EEF2F7" w:val="clear"/>
          </w:tcPr>
          <w:p>
            <w:r>
              <w:rPr>
                <w:b/>
                <w:color w:val="1E1E3C"/>
                <w:sz w:val="16"/>
              </w:rPr>
              <w:t>EBE</w:t>
            </w:r>
          </w:p>
        </w:tc>
        <w:tc>
          <w:tcPr>
            <w:tcW w:type="dxa" w:w="1984"/>
            <w:shd w:fill="FFC7CE" w:val="clear"/>
          </w:tcPr>
          <w:p>
            <w:r>
              <w:rPr>
                <w:b/>
                <w:color w:val="B40000"/>
                <w:sz w:val="17"/>
              </w:rPr>
              <w:t>-650.13 M FCFA</w:t>
            </w:r>
          </w:p>
        </w:tc>
        <w:tc>
          <w:tcPr>
            <w:tcW w:type="dxa" w:w="5669"/>
            <w:shd w:fill="FFFFFF" w:val="clear"/>
          </w:tcPr>
          <w:p>
            <w:r>
              <w:rPr>
                <w:color w:val="282828"/>
                <w:sz w:val="15"/>
              </w:rPr>
              <w:t>EBE = -16.8% des revenus (marge opérationnelle brute). ❌ EBE négatif — activité structurellement déficitaire.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-771.95 M FCFA</w:t>
            </w:r>
          </w:p>
        </w:tc>
        <w:tc>
          <w:tcPr>
            <w:tcW w:type="dxa" w:w="5669"/>
            <w:shd w:fill="FFFFFF" w:val="clear"/>
          </w:tcPr>
          <w:p>
            <w:r>
              <w:rPr>
                <w:color w:val="282828"/>
                <w:sz w:val="15"/>
              </w:rPr>
              <w:t>Profit d'exploitation = -19.9% des revenus. ❌ Perte d'exploitation — l'activité principale ne couvre pas ses coûts.</w:t>
            </w:r>
          </w:p>
        </w:tc>
      </w:tr>
      <w:tr>
        <w:tc>
          <w:tcPr>
            <w:tcW w:type="dxa" w:w="2268"/>
            <w:shd w:fill="EEF2F7" w:val="clear"/>
          </w:tcPr>
          <w:p>
            <w:r>
              <w:rPr>
                <w:b/>
                <w:color w:val="1E1E3C"/>
                <w:sz w:val="16"/>
              </w:rPr>
              <w:t>Résultat net</w:t>
            </w:r>
          </w:p>
        </w:tc>
        <w:tc>
          <w:tcPr>
            <w:tcW w:type="dxa" w:w="1984"/>
            <w:shd w:fill="FFC7CE" w:val="clear"/>
          </w:tcPr>
          <w:p>
            <w:r>
              <w:rPr>
                <w:b/>
                <w:color w:val="B40000"/>
                <w:sz w:val="17"/>
              </w:rPr>
              <w:t>-96.56 M FCFA</w:t>
            </w:r>
          </w:p>
        </w:tc>
        <w:tc>
          <w:tcPr>
            <w:tcW w:type="dxa" w:w="5669"/>
            <w:shd w:fill="FFFFFF" w:val="clear"/>
          </w:tcPr>
          <w:p>
            <w:r>
              <w:rPr>
                <w:color w:val="282828"/>
                <w:sz w:val="15"/>
              </w:rPr>
              <w:t>Marge nette = -2.5%.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5.98 M FCFA</w:t>
            </w:r>
          </w:p>
        </w:tc>
        <w:tc>
          <w:tcPr>
            <w:tcW w:type="dxa" w:w="5669"/>
            <w:shd w:fill="FFFFFF" w:val="clear"/>
          </w:tcPr>
          <w:p>
            <w:r>
              <w:rPr>
                <w:color w:val="282828"/>
                <w:sz w:val="15"/>
              </w:rPr>
              <w:t>CAF = 0.01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-2.212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BFR</w:t>
            </w:r>
          </w:p>
        </w:tc>
        <w:tc>
          <w:tcPr>
            <w:tcW w:type="dxa" w:w="1984"/>
            <w:shd w:fill="C6EFCE" w:val="clear"/>
          </w:tcPr>
          <w:p>
            <w:r>
              <w:rPr>
                <w:b/>
                <w:color w:val="B40000"/>
                <w:sz w:val="17"/>
              </w:rPr>
              <w:t>-930.47 M FCFA</w:t>
            </w:r>
          </w:p>
        </w:tc>
        <w:tc>
          <w:tcPr>
            <w:tcW w:type="dxa" w:w="5669"/>
            <w:shd w:fill="FFFFFF" w:val="clear"/>
          </w:tcPr>
          <w:p>
            <w:r>
              <w:rPr>
                <w:color w:val="282828"/>
                <w:sz w:val="15"/>
              </w:rPr>
              <w:t>BFR = -24.0%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399.85 M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1.330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3.98%</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C7CE" w:val="clear"/>
          </w:tcPr>
          <w:p>
            <w:r>
              <w:rPr>
                <w:b/>
                <w:color w:val="B40000"/>
                <w:sz w:val="17"/>
              </w:rPr>
              <w:t>-2.49%</w:t>
            </w:r>
          </w:p>
        </w:tc>
        <w:tc>
          <w:tcPr>
            <w:tcW w:type="dxa" w:w="5669"/>
            <w:shd w:fill="FFFFFF" w:val="clear"/>
          </w:tcPr>
          <w:p>
            <w:r>
              <w:rPr>
                <w:color w:val="282828"/>
                <w:sz w:val="15"/>
              </w:rPr>
              <w:t>Résultat net / revenus = -2.49%.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-19.90%</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-27.07%</w:t>
            </w:r>
          </w:p>
        </w:tc>
        <w:tc>
          <w:tcPr>
            <w:tcW w:type="dxa" w:w="5669"/>
            <w:shd w:fill="FFFFFF" w:val="clear"/>
          </w:tcPr>
          <w:p>
            <w:r>
              <w:rPr>
                <w:color w:val="282828"/>
                <w:sz w:val="15"/>
              </w:rPr>
              <w:t>Résultat net / capitaux propres = -27.07%.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-1.77%</w:t>
            </w:r>
          </w:p>
        </w:tc>
        <w:tc>
          <w:tcPr>
            <w:tcW w:type="dxa" w:w="5669"/>
            <w:shd w:fill="FFFFFF" w:val="clear"/>
          </w:tcPr>
          <w:p>
            <w:r>
              <w:rPr>
                <w:color w:val="282828"/>
                <w:sz w:val="15"/>
              </w:rPr>
              <w:t>Résultat net / total actif = -1.77%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71.21%</w:t>
            </w:r>
          </w:p>
        </w:tc>
        <w:tc>
          <w:tcPr>
            <w:tcW w:type="dxa" w:w="5669"/>
            <w:shd w:fill="FFFFFF" w:val="clear"/>
          </w:tcPr>
          <w:p>
            <w:r>
              <w:rPr>
                <w:color w:val="282828"/>
                <w:sz w:val="15"/>
              </w:rPr>
              <w:t>CA / total actif = 71.21x.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116.26%</w:t>
            </w:r>
          </w:p>
        </w:tc>
        <w:tc>
          <w:tcPr>
            <w:tcW w:type="dxa" w:w="5669"/>
            <w:shd w:fill="FFFFFF" w:val="clear"/>
          </w:tcPr>
          <w:p>
            <w:r>
              <w:rPr>
                <w:color w:val="282828"/>
                <w:sz w:val="15"/>
              </w:rPr>
              <w:t>Croissance CA vs exercice précédent = 116.26%.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6.55%</w:t>
            </w:r>
          </w:p>
        </w:tc>
        <w:tc>
          <w:tcPr>
            <w:tcW w:type="dxa" w:w="5669"/>
            <w:shd w:fill="FFFFFF" w:val="clear"/>
          </w:tcPr>
          <w:p>
            <w:r>
              <w:rPr>
                <w:color w:val="282828"/>
                <w:sz w:val="15"/>
              </w:rPr>
              <w:t>Fonds propres / total bilan = 6.55%.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129.87%</w:t>
            </w:r>
          </w:p>
        </w:tc>
        <w:tc>
          <w:tcPr>
            <w:tcW w:type="dxa" w:w="5669"/>
            <w:shd w:fill="FFFFFF" w:val="clear"/>
          </w:tcPr>
          <w:p>
            <w:r>
              <w:rPr>
                <w:color w:val="282828"/>
                <w:sz w:val="15"/>
              </w:rPr>
              <w:t>Dettes financières / total bilan = 129.87%.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93.45%</w:t>
            </w:r>
          </w:p>
        </w:tc>
        <w:tc>
          <w:tcPr>
            <w:tcW w:type="dxa" w:w="5669"/>
            <w:shd w:fill="FFFFFF" w:val="clear"/>
          </w:tcPr>
          <w:p>
            <w:r>
              <w:rPr>
                <w:color w:val="282828"/>
                <w:sz w:val="15"/>
              </w:rPr>
              <w:t>Dettes totales / fonds propres = 93.45%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107.01%</w:t>
            </w:r>
          </w:p>
        </w:tc>
        <w:tc>
          <w:tcPr>
            <w:tcW w:type="dxa" w:w="5669"/>
            <w:shd w:fill="FFFFFF" w:val="clear"/>
          </w:tcPr>
          <w:p>
            <w:r>
              <w:rPr>
                <w:color w:val="282828"/>
                <w:sz w:val="15"/>
              </w:rPr>
              <w:t>Total actif / dettes totales = 107.01x.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108.64%</w:t>
            </w:r>
          </w:p>
        </w:tc>
        <w:tc>
          <w:tcPr>
            <w:tcW w:type="dxa" w:w="5669"/>
            <w:shd w:fill="FFFFFF" w:val="clear"/>
          </w:tcPr>
          <w:p>
            <w:r>
              <w:rPr>
                <w:color w:val="282828"/>
                <w:sz w:val="15"/>
              </w:rPr>
              <w:t>Actif circulant / passif circulant = 108.64x.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28.75%</w:t>
            </w:r>
          </w:p>
        </w:tc>
        <w:tc>
          <w:tcPr>
            <w:tcW w:type="dxa" w:w="5669"/>
            <w:shd w:fill="FFFFFF" w:val="clear"/>
          </w:tcPr>
          <w:p>
            <w:r>
              <w:rPr>
                <w:color w:val="282828"/>
                <w:sz w:val="15"/>
              </w:rPr>
              <w:t>Trésorerie / passif circulant = 28.75x. ⚠️ Trésorerie immédiate limitée.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195.16%</w:t>
            </w:r>
          </w:p>
        </w:tc>
        <w:tc>
          <w:tcPr>
            <w:tcW w:type="dxa" w:w="5669"/>
            <w:shd w:fill="FFFFFF" w:val="clear"/>
          </w:tcPr>
          <w:p>
            <w:r>
              <w:rPr>
                <w:color w:val="282828"/>
                <w:sz w:val="15"/>
              </w:rPr>
              <w:t>Capitaux permanents / actif immobilisé = 195.16x.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77.5 ans</w:t>
            </w:r>
          </w:p>
        </w:tc>
        <w:tc>
          <w:tcPr>
            <w:tcW w:type="dxa" w:w="5669"/>
            <w:shd w:fill="FFFFFF" w:val="clear"/>
          </w:tcPr>
          <w:p>
            <w:r>
              <w:rPr>
                <w:color w:val="282828"/>
                <w:sz w:val="15"/>
              </w:rPr>
              <w:t>Dettes financières / CAF = 77.5 ans. ❌ Capacité de remboursement très dégradée.</w:t>
            </w:r>
          </w:p>
        </w:tc>
      </w:tr>
    </w:tbl>
    <w:p/>
    <w:p>
      <w:pPr>
        <w:spacing w:after="120" w:line="276" w:lineRule="auto"/>
      </w:pPr>
      <w:r>
        <w:t># RAPPORT D'ANALYSE FINANCIÈRE — ACTION STAC (SETAO)</w:t>
        <w:br/>
        <w:t>**Bourse Régionale des Valeurs Mobilières (BRVM) — Secteur : BTP / Études &amp; Travaux**</w:t>
        <w:br/>
        <w:t>**Date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STAC s'établit à **25,60 milliards FCFA**, un niveau modeste à l'échelle de la BRVM qui la place parmi les petites capitalisations du marché régional, avec une liquidité limitée (volume moyen de 6 317 titres/jour). Le BPA ressort à **-7 FCFA/action**, traduisant une société en perte nette, ce qui rend le PER non significatif à **-265,2x** — un ratio négatif qui signale l'absence de bénéfices et disqualifie toute lecture classique de valorisation par les résultats. Le P/B de **71,77x** constitue un signal d'alerte majeur : le marché valorise l'action à plus de 70 fois sa valeur comptable (capitaux propres de seulement 356,75 M FCFA), soit une prime extrême qui n'est justifiée ni par la rentabilité (ROE de -27,07%) ni par la solidité du bilan. Le ratio EV/EBITDA n'est pas exploitable en raison de l'EBE négatif (-650,13 M FCFA), ce qui confirme que la valeur d'entreprise ne peut être adossée à une capacité opérationnelle positive. En synthèse, la valorisation boursière apparaît **totalement déconnectée des fondamentaux** : le titre se négocie sur une anticipation spéculative (projet aéroport d'Abidjan) plutôt que sur des flux financiers tangibles.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cours de STAC a enregistré une **chute vertigineuse de -34,31%**, avec une dernière séance particulièrement violente à **-4,75%**, portant le cours actuel à **1 905 FCFA** — soit précisément le plus bas de la période, tandis que le plus haut a atteint **3 640 FCFA**, matérialisant un range de trading de 1 735 FCFA (soit près de 91% du cours actuel). La tendance est donc **franchement baissière et sans signe de stabilisation**, le titre clôturant au plancher de sa fourchette. Les statistiques descriptives révèlent une distribution quasi-normale (kurtosis de -0,920, mésokurtique ; skewness de 0,084, symétrique), ce qui signifie que les mouvements extrêmes ne sont pas surreprésentés — mais la moyenne (2 806 FCFA) et la médiane (2 788 FCFA) sont très proches, confirmant l'absence d'asymétrie, tandis que le mode à 3 500 FCFA souligne que le titre a longtemps évolué bien au-dessus de son niveau actuel avant de s'effondrer. L'écart-type de 466 FCFA (CV de 16,6%) indique une dispersion modérée en relatif, mais la **volatilité annualisée de 60,5%** classe STAC dans la catégorie des titres à **volatilité élevée** (&gt;30%), ce qui est cohérent avec un marché peu liquide et une forte sensibilité aux annonces. Le fait que le cours actuel soit inférieur à la borne inférieure des Bandes de Bollinger (1 894,05 FCFA) renforce le caractère exceptionnel de la pression vendeuse actuelle.</w:t>
      </w:r>
    </w:p>
    <w:p>
      <w:pPr>
        <w:spacing w:after="120" w:line="276" w:lineRule="auto"/>
      </w:pPr>
      <w:r>
        <w:t>---</w:t>
      </w:r>
    </w:p>
    <w:p>
      <w:pPr>
        <w:spacing w:after="120" w:line="276" w:lineRule="auto"/>
      </w:pPr>
      <w:r>
        <w:t>## PARTIE 2 : ANALYSE TECHNIQUE DÉTAILLÉE</w:t>
      </w:r>
    </w:p>
    <w:p>
      <w:pPr>
        <w:spacing w:after="120" w:line="276" w:lineRule="auto"/>
      </w:pPr>
      <w:r>
        <w:t>**Moyennes Mobiles** : La MM20 (2 155 FCFA) et la MM50 (2 428,5 FCFA) se situent toutes deux **nettement au-dessus du cours actuel** (1 905 FCFA), avec un écart de -11,6% par rapport à la MM20 et de -21,6% par rapport à la MM50. Cette configuration de moyennes décroissantes et d'un cours sous les deux références confirme une **tendance baissière structurelle**, justifiant pleinement la décision technique de **Vente**.</w:t>
      </w:r>
    </w:p>
    <w:p>
      <w:pPr>
        <w:spacing w:after="120" w:line="276" w:lineRule="auto"/>
      </w:pPr>
      <w:r>
        <w:t>**Bandes de Bollinger** : Le cours (1 905 FCFA) évolue **à la limite de la borne inférieure** (1 894,05 FCFA), tandis que la borne supérieure se situe à 2 415,95 FCFA. Cette position extrême en bas de bande traduit une pression vendeuse intense, mais la décision reste **Neutre** car un rebond technique depuis la borne basse est statistiquement fréquent — sans toutefois constituer un signal d'achat fiable en tendance baissière.</w:t>
      </w:r>
    </w:p>
    <w:p>
      <w:pPr>
        <w:spacing w:after="120" w:line="276" w:lineRule="auto"/>
      </w:pPr>
      <w:r>
        <w:t>**MACD** : La valeur du MACD (-131,6) est **inférieure à son signal (-122,121)**, matérialisant une divergence baissière persistante et un momentum négatif. La décision technique est logiquement **Vente**, le croisement MACD/Signal restant défavorable et aucune inflexion haussière n'étant visible.</w:t>
      </w:r>
    </w:p>
    <w:p>
      <w:pPr>
        <w:spacing w:after="120" w:line="276" w:lineRule="auto"/>
      </w:pPr>
      <w:r>
        <w:t>**RSI** : À **38,144**, le RSI se situe en zone **neutre basse** (30-70), sans atteindre le seuil de survente (&lt;30). Cela signifie que le titre n'est pas encore techniquement "survendu" et qu'il conserve un potentiel de baisse résiduel, justifiant la décision **Neutre** — ni signal d'achat, ni signal de vente agressif.</w:t>
      </w:r>
    </w:p>
    <w:p>
      <w:pPr>
        <w:spacing w:after="120" w:line="276" w:lineRule="auto"/>
      </w:pPr>
      <w:r>
        <w:t>**Stochastique** : Le %K à **0,0** et le %D à **7,111** placent l'indicateur en **zone de survente extrême**, avec un %K au plancher absolu. Paradoxalement, la décision technique est **Achat**, car un %K à 0 est un signal classique de rebond imminent — mais ce signal doit être fortement relativisé dans un contexte de tendance baissière généralisée.</w:t>
      </w:r>
    </w:p>
    <w:p>
      <w:pPr>
        <w:spacing w:after="120" w:line="276" w:lineRule="auto"/>
      </w:pPr>
      <w:r>
        <w:t>**Conclusion technique** : Les indicateurs sont **majoritairement baissiers** (MM, MACD) ou neutres (Bollinger, RSI), avec un seul signal contradictoire d'achat (Stochastique en survente extrême). La convergence des signaux baissiers (cours sous les moyennes, MACD négatif, cours à la borne basse) l'emporte sur le signal de rebond technique, qui reste fragile et non confirmé. **La prudence reste de mise, aucun retournement de tendance n'étant validé.**</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STAC a réalisé un chiffre d'affaires de **3,878 milliards FCFA**, en croissance spectaculaire de **+116,26%** par rapport à 2024 (1,793 Md FCFA), portée par la reprise des travaux de l'aéroport d'Abidjan. Cependant, cette dynamique commerciale ne s'est pas traduite en rentabilité : le **résultat net reste négatif à -96,56 M FCFA** (marge nette de -2,49%), l'**EBE est déficitaire à -650,13 M FCFA** et le **résultat d'exploitation à -771,95 M FCFA**, révélant une structure de coûts inadaptée au niveau d'activité. Le **ROE s'établit à -27,07%** et le **ROA à -1,77%**, confirmant la destruction de valeur. La structure financière est **très fragile** : l'autonomie financière n'est que de **6,55%** (capitaux propres de 356,75 M FCFA pour un total bilan de 5,447 Mds FCFA), le ratio d'endettement atteint **93,45%** et la capacité de remboursement est de **77,53 années** de CAF — un niveau insoutenable. Point positif : le **BFR est négatif à -930,47 M FCFA** (favorable pour une entreprise) et la trésorerie nette ressort à **1,330 Md FCFA**, offrant un coussin de liquidité à court terme. La liquidité générale (108,64%) est juste au-dessus de 1, mais la liquidité immédiate (28,75%) reste faible.</w:t>
      </w:r>
    </w:p>
    <w:p>
      <w:pPr>
        <w:spacing w:after="120" w:line="276" w:lineRule="auto"/>
      </w:pPr>
      <w:r>
        <w:t>**Estimations basées sur les rapports trimestriels** : Le rapport du **T3 2025 (30/09/2025)** indiquait un CA cumulé de 3 456 M FCFA (+176%) et une perte nette de 477 M FCFA en réduction de 22%, avec une prévision annuelle de 4 Mds FCFA — objectif finalement atteint (3,878 Mds). Le rapport du **S1 2025 (30/06/2025)** faisait état d'un CA de 2 271 M FCFA (+290%) mais d'une perte nette aggravée de 557 M FCFA, soulignant le paradoxe d'une croissance non rentable. Le rapport **2024 (31/12/2024)** confirmait l'effondrement du CA à 1 793 M FCFA (-80,6%) et une perte de 348 M FCFA, avec une VA négative (-454 M FCFA). Les rapports antérieurs (2021) montraient une société rentable (marge nette de 10,9% en 2021, résultat net de 1,12 Md FCFA), illustrant une **dégradation fondamentale majeure depuis 2022**. On estime que la trajectoire 2026 dépendra crucialement de la sécurisation de nouveaux contrats après l'aéroport, la rentabilité opérationnelle restant hors d'atteinte à court terme.</w:t>
      </w:r>
    </w:p>
    <w:p>
      <w:pPr>
        <w:spacing w:after="120" w:line="276" w:lineRule="auto"/>
      </w:pPr>
      <w:r>
        <w:t>**Recommandation fondamentale** : La société présente un **profil de risque très élevé** : croissance du CA sans rentabilité, capitaux propres quasi-inexistants, endettement massif et dépendance à un projet unique. La survie à moyen terme repose sur la trésorerie (1,33 Md FCFA) et la poursuite de contrats publics. **Aucune solidité fondamentale ne justifie une exposition à ce titre en l'état.**</w:t>
      </w:r>
    </w:p>
    <w:p>
      <w:pPr>
        <w:spacing w:after="120" w:line="276" w:lineRule="auto"/>
      </w:pPr>
      <w:r>
        <w:t>---</w:t>
      </w:r>
    </w:p>
    <w:p>
      <w:pPr>
        <w:spacing w:after="120" w:line="276" w:lineRule="auto"/>
      </w:pPr>
      <w:r>
        <w:t>## PARTIE 4 : CONCLUSION D'INVESTISSEMENT</w:t>
      </w:r>
    </w:p>
    <w:p>
      <w:pPr>
        <w:spacing w:after="120" w:line="276" w:lineRule="auto"/>
      </w:pPr>
      <w:r>
        <w:t>La synthèse globale de ce rapport converge vers un **signal baissier dominant**. La **valorisation (Partie 0)** est aberrante : P/B de 71,77x pour une société en perte, PER négatif, EV/EBITDA inexploitable — le marché paie une prime spéculative sans aucun support bénéficiaire. Le **comportement du cours (Partie 1)** est préoccupant : -34,31% sur 100 jours, cours au plus bas de la période, volatilité annualisée de 60,5% (élevée), distribution symétrique sans biais haussier. Les **signaux techniques (Partie 2)** sont majoritairement baissiers (MM20/MM50 au-dessus du cours, MACD négatif, cours à la borne basse de Bollinger), avec un unique signal d'achat stochastique en survente extrême qui ne suffit pas à inverser la tendance. Les **fondamentaux (Partie 3)** sont très dégradés : ROE de -27,07%, ROA de -1,77%, autonomie financière de 6,55%, capacité de remboursement de 77,53 ans, malgré une croissance du CA de +116% en 2025 et un BFR négatif favorable. Les **prédictions IA (J+1 à J+10)** anticipent une **stabilisation autour de 1 902-1 923 FCFA**, soit une légère reprise de +0,9% sur 10 jours — une trajectoire qui **contredit partiellement** le momentum baissier mais ne constitue en aucun cas un retournement structurel.</w:t>
      </w:r>
    </w:p>
    <w:p>
      <w:pPr>
        <w:spacing w:after="120" w:line="276" w:lineRule="auto"/>
      </w:pPr>
      <w:r>
        <w:t>**Recommandation finale : VENTE (avec possibilité de VENTE FORTE pour les investisseurs averses au risque)**</w:t>
      </w:r>
    </w:p>
    <w:p>
      <w:pPr>
        <w:spacing w:after="120" w:line="276" w:lineRule="auto"/>
      </w:pPr>
      <w:r>
        <w:t>Cette recommandation repose sur la **convergence baissière** entre valorisation (surévaluée), technique (majoritairement vendeuse), fondamentaux (fragiles) et tendance de cours (négative), les prédictions IA ne faisant qu'anticiper une stabilisation technique sans inversion de tendance. Le **niveau de confiance est Élevé** (convergence des signaux) et le **niveau de risque global est Élevé** (volatilité de 60,5%, capitaux propres quasi-nuls, dépendance à un projet unique). L'**horizon d'investissement optimal est le court terme (&lt;3 mois)** pour toute position vendeuse, ou l'**évitement total** pour les investisseurs long terme — aucune exposition à moyen/long terme n'est justifiée tant que la rentabilité opérationnelle n'est pas rétablie et que la structure financière n'est pas assainie. Un retournement ne pourrait être envisagé qu'en cas d'annonce de contrats majeurs diversifiant le carnet de commandes et d'un retour à un EBE positif.</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rentable et un renforcement significatif des capitaux propres. La forte am\u00e9lioration de la marge nette et la capacit\u00e9 \u00e0 distribuer des dividendes d\u00e9montrent la solidit\u00e9 du mod\u00e8le d'affaires."}</w:t>
      </w:r>
    </w:p>
    <w:p>
      <w:pPr>
        <w:spacing w:before="40"/>
        <w:ind w:left="400"/>
      </w:pPr>
      <w:r>
        <w:rPr>
          <w:sz w:val="18"/>
        </w:rPr>
        <w:t>SETAO CI a réalisé une performance exceptionnelle en 2020 avec un chiffre d'affaires de 15,9 milliards FCFA (+71%). Le résultat net a été multiplié par 2,7 à 2,3 milliards FCFA, démontrant une forte amélioration de la rentabilité. Le total du bilan a quasiment doublé à 18,6 milliards FCFA, porté par une croissance significative de l'actif circulant. Les capitaux propres ont été multipliés par 5,4 atteignant 2,8 milliards FCFA, renforçant considérablement la structure financière. La société propose un dividende de 987,8 millions FCFA, témoignant de sa capacité à rémunérer les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'3 871 646 milliers FCFA', 'valeur_ajoutee': '6 348 003 milliers FCFA', 'capacite_autofinancement': '3 074 304 milliers FCFA'}</w:t>
            </w:r>
          </w:p>
        </w:tc>
        <w:tc>
          <w:tcPr>
            <w:tcW w:type="dxa" w:w="2160"/>
          </w:tcPr>
          <w:p>
            <w:pPr>
              <w:ind w:left="100"/>
            </w:pPr>
            <w:r/>
            <w:r>
              <w:rPr>
                <w:b/>
                <w:sz w:val="16"/>
              </w:rPr>
              <w:t>dividende</w:t>
              <w:br/>
            </w:r>
            <w:r>
              <w:rPr>
                <w:sz w:val="18"/>
              </w:rPr>
              <w:t>987 840 milliers FCFA</w:t>
            </w:r>
          </w:p>
        </w:tc>
        <w:tc>
          <w:tcPr>
            <w:tcW w:type="dxa" w:w="2160"/>
          </w:tcPr>
          <w:p>
            <w:pPr>
              <w:ind w:left="100"/>
            </w:pPr>
            <w:r/>
            <w:r>
              <w:rPr>
                <w:b/>
                <w:sz w:val="16"/>
              </w:rPr>
              <w:t>marge_nette</w:t>
              <w:br/>
            </w:r>
            <w:r>
              <w:rPr>
                <w:sz w:val="18"/>
              </w:rPr>
              <w:t>14,6%</w:t>
            </w:r>
          </w:p>
        </w:tc>
        <w:tc>
          <w:tcPr>
            <w:tcW w:type="dxa" w:w="2160"/>
          </w:tcPr>
          <w:p>
            <w:pPr>
              <w:ind w:left="100"/>
            </w:pPr>
            <w:r/>
            <w:r>
              <w:rPr>
                <w:b/>
                <w:sz w:val="16"/>
              </w:rPr>
              <w:t>total_actif</w:t>
              <w:br/>
            </w:r>
            <w:r>
              <w:rPr>
                <w:sz w:val="18"/>
              </w:rPr>
              <w:t>18 586 404 milliers FCFA</w:t>
            </w:r>
          </w:p>
        </w:tc>
      </w:tr>
      <w:tr>
        <w:tc>
          <w:tcPr>
            <w:tcW w:type="dxa" w:w="2160"/>
          </w:tcPr>
          <w:p>
            <w:r/>
            <w:r>
              <w:rPr>
                <w:b/>
                <w:sz w:val="16"/>
              </w:rPr>
              <w:t>resultat_net</w:t>
              <w:br/>
            </w:r>
            <w:r>
              <w:rPr>
                <w:sz w:val="18"/>
              </w:rPr>
              <w:t>2 320 633 milliers FCFA</w:t>
            </w:r>
          </w:p>
        </w:tc>
        <w:tc>
          <w:tcPr>
            <w:tcW w:type="dxa" w:w="2160"/>
          </w:tcPr>
          <w:p>
            <w:r/>
            <w:r>
              <w:rPr>
                <w:b/>
                <w:sz w:val="16"/>
              </w:rPr>
              <w:t>capitaux_propres</w:t>
              <w:br/>
            </w:r>
            <w:r>
              <w:rPr>
                <w:sz w:val="18"/>
              </w:rPr>
              <w:t>2 845 997 milliers FCFA</w:t>
            </w:r>
          </w:p>
        </w:tc>
        <w:tc>
          <w:tcPr>
            <w:tcW w:type="dxa" w:w="2160"/>
          </w:tcPr>
          <w:p>
            <w:r/>
            <w:r>
              <w:rPr>
                <w:b/>
                <w:sz w:val="16"/>
              </w:rPr>
              <w:t>chiffre_affaires</w:t>
              <w:br/>
            </w:r>
            <w:r>
              <w:rPr>
                <w:sz w:val="18"/>
              </w:rPr>
              <w:t>15 900 707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+71% à 15,9 milliards FCFA</w:t>
      </w:r>
    </w:p>
    <w:p>
      <w:pPr>
        <w:pStyle w:val="ListBullet"/>
        <w:spacing w:before="20" w:after="20"/>
        <w:ind w:left="700"/>
      </w:pPr>
      <w:r>
        <w:rPr>
          <w:sz w:val="18"/>
        </w:rPr>
        <w:t>Résultat net multiplié par 2,7 atteignant 2,3 milliards FCFA contre 866 millions en 2019</w:t>
      </w:r>
    </w:p>
    <w:p>
      <w:pPr>
        <w:pStyle w:val="ListBullet"/>
        <w:spacing w:before="20" w:after="20"/>
        <w:ind w:left="700"/>
      </w:pPr>
      <w:r>
        <w:rPr>
          <w:sz w:val="18"/>
        </w:rPr>
        <w:t>Total actif doublé à 18,6 milliards FCFA (+72%)</w:t>
      </w:r>
    </w:p>
    <w:p>
      <w:pPr>
        <w:pStyle w:val="ListBullet"/>
        <w:spacing w:before="20" w:after="20"/>
        <w:ind w:left="700"/>
      </w:pPr>
      <w:r>
        <w:rPr>
          <w:sz w:val="18"/>
        </w:rPr>
        <w:t>Capitaux propres renforcés de 525 millions à 2,8 milliards FCFA (+442%)</w:t>
      </w:r>
    </w:p>
    <w:p>
      <w:pPr>
        <w:pStyle w:val="ListBullet"/>
        <w:spacing w:before="20" w:after="20"/>
        <w:ind w:left="700"/>
      </w:pPr>
      <w:r>
        <w:rPr>
          <w:sz w:val="18"/>
        </w:rPr>
        <w:t>Actif circulant net multiplié par 2,7 à 12,5 milliards FCFA</w:t>
      </w:r>
    </w:p>
    <w:p>
      <w:pPr>
        <w:pStyle w:val="ListBullet"/>
        <w:spacing w:before="20" w:after="20"/>
        <w:ind w:left="700"/>
      </w:pPr>
      <w:r>
        <w:rPr>
          <w:sz w:val="18"/>
        </w:rPr>
        <w:t>Marge nette améliorée de 9,3% à 14,6%</w:t>
      </w:r>
    </w:p>
    <w:p>
      <w:pPr>
        <w:spacing w:before="40"/>
        <w:ind w:left="400"/>
      </w:pPr>
      <w:r>
        <w:rPr>
          <w:b/>
          <w:color w:val="C05000"/>
          <w:sz w:val="18"/>
        </w:rPr>
        <w:t xml:space="preserve">⚠️ Risques : </w:t>
      </w:r>
      <w:r>
        <w:rPr>
          <w:sz w:val="18"/>
        </w:rPr>
        <w:t>["Flux de tr\u00e9sorerie op\u00e9rationnels n\u00e9gatifs \u00e0 -278 millions FCFA malgr\u00e9 la forte croissance", "Forte augmentation du passif circulant qui pourrait cr\u00e9er des tensions de liquidit\u00e9", "D\u00e9pendance potentielle \u00e0 la conjoncture \u00e9conomique r\u00e9gionale po</w:t>
      </w:r>
    </w:p>
    <w:p>
      <w:pPr>
        <w:spacing w:before="40"/>
        <w:ind w:left="400"/>
      </w:pPr>
      <w:r>
        <w:rPr>
          <w:b/>
          <w:color w:val="0064A0"/>
          <w:sz w:val="18"/>
        </w:rPr>
        <w:t xml:space="preserve">🔮 Perspectives : </w:t>
      </w:r>
      <w:r>
        <w:rPr>
          <w:sz w:val="18"/>
        </w:rPr>
        <w:t>La dynamique de croissance exceptionnelle de 2020 pourrait se poursuivre si la société maintient sa stratégie commerciale efficace. L'amélioration des flux de trésorerie opérationnels sera cruciale pour assurer la pérennité de cette croissance.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d'activit\u00e9, SETAO maintient sa rentabilit\u00e9 et renforce sa position de tr\u00e9sorerie. La capacit\u00e9 de distribution de dividendes t\u00e9moigne de la solidit\u00e9 financi\u00e8re de l'entreprise."}</w:t>
      </w:r>
    </w:p>
    <w:p>
      <w:pPr>
        <w:spacing w:before="40"/>
        <w:ind w:left="400"/>
      </w:pPr>
      <w:r>
        <w:rPr>
          <w:sz w:val="18"/>
        </w:rPr>
        <w:t>SETAO CI a réalisé un chiffre d'affaires de 10,27 milliards FCFA en 2021, en baisse de 35,4% par rapport aux 15,9 milliards de 2020. Le résultat net s'établit à 1,12 milliard FCFA, soit une division par deux par rapport aux 2,32 milliards de 2020. Malgré cette baisse, la société maintient une rentabilité avec une marge nette de 10,9%. La trésorerie s'améliore nettement avec 7,41 milliards FCFA contre 4,58 milliards en 2020. La société propose de distribuer 987,84 millions FCFA de dividendes sur les bénéfices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'1,19 milliard FCFA', 'variation_ca': '-35,4%', 'tresorerie_nette': '7,41 milliards FCFA', 'capacite_autofinancement': '935,18 millions FCFA'}</w:t>
            </w:r>
          </w:p>
        </w:tc>
        <w:tc>
          <w:tcPr>
            <w:tcW w:type="dxa" w:w="2160"/>
          </w:tcPr>
          <w:p>
            <w:pPr>
              <w:ind w:left="100"/>
            </w:pPr>
            <w:r/>
            <w:r>
              <w:rPr>
                <w:b/>
                <w:sz w:val="16"/>
              </w:rPr>
              <w:t>dividende</w:t>
              <w:br/>
            </w:r>
            <w:r>
              <w:rPr>
                <w:sz w:val="18"/>
              </w:rPr>
              <w:t>987,84 millions FCFA au total</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16,26 milliards FCFA</w:t>
            </w:r>
          </w:p>
        </w:tc>
      </w:tr>
      <w:tr>
        <w:tc>
          <w:tcPr>
            <w:tcW w:type="dxa" w:w="2160"/>
          </w:tcPr>
          <w:p>
            <w:r/>
            <w:r>
              <w:rPr>
                <w:b/>
                <w:sz w:val="16"/>
              </w:rPr>
              <w:t>resultat_net</w:t>
              <w:br/>
            </w:r>
            <w:r>
              <w:rPr>
                <w:sz w:val="18"/>
              </w:rPr>
              <w:t>1,12 milliard FCFA</w:t>
            </w:r>
          </w:p>
        </w:tc>
        <w:tc>
          <w:tcPr>
            <w:tcW w:type="dxa" w:w="2160"/>
          </w:tcPr>
          <w:p>
            <w:r/>
            <w:r>
              <w:rPr>
                <w:b/>
                <w:sz w:val="16"/>
              </w:rPr>
              <w:t>capitaux_propres</w:t>
              <w:br/>
            </w:r>
            <w:r>
              <w:rPr>
                <w:sz w:val="18"/>
              </w:rPr>
              <w:t>2,98 milliards FCFA</w:t>
            </w:r>
          </w:p>
        </w:tc>
        <w:tc>
          <w:tcPr>
            <w:tcW w:type="dxa" w:w="2160"/>
          </w:tcPr>
          <w:p>
            <w:r/>
            <w:r>
              <w:rPr>
                <w:b/>
                <w:sz w:val="16"/>
              </w:rPr>
              <w:t>chiffre_affaires</w:t>
              <w:br/>
            </w:r>
            <w:r>
              <w:rPr>
                <w:sz w:val="18"/>
              </w:rPr>
              <w:t>10,27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du chiffre d'affaires de 35,4% à 10,27 milliards FCFA en 2021</w:t>
      </w:r>
    </w:p>
    <w:p>
      <w:pPr>
        <w:pStyle w:val="ListBullet"/>
        <w:spacing w:before="20" w:after="20"/>
        <w:ind w:left="700"/>
      </w:pPr>
      <w:r>
        <w:rPr>
          <w:sz w:val="18"/>
        </w:rPr>
        <w:t>Résultat net divisé par deux à 1,12 milliard FCFA contre 2,32 milliards en 2020</w:t>
      </w:r>
    </w:p>
    <w:p>
      <w:pPr>
        <w:pStyle w:val="ListBullet"/>
        <w:spacing w:before="20" w:after="20"/>
        <w:ind w:left="700"/>
      </w:pPr>
      <w:r>
        <w:rPr>
          <w:sz w:val="18"/>
        </w:rPr>
        <w:t>Maintien d'une marge nette solide à 10,9% malgré la baisse d'activité</w:t>
      </w:r>
    </w:p>
    <w:p>
      <w:pPr>
        <w:pStyle w:val="ListBullet"/>
        <w:spacing w:before="20" w:after="20"/>
        <w:ind w:left="700"/>
      </w:pPr>
      <w:r>
        <w:rPr>
          <w:sz w:val="18"/>
        </w:rPr>
        <w:t>Amélioration significative de la trésorerie-actif à 7,41 milliards FCFA (+61,7%)</w:t>
      </w:r>
    </w:p>
    <w:p>
      <w:pPr>
        <w:pStyle w:val="ListBullet"/>
        <w:spacing w:before="20" w:after="20"/>
        <w:ind w:left="700"/>
      </w:pPr>
      <w:r>
        <w:rPr>
          <w:sz w:val="18"/>
        </w:rPr>
        <w:t>Diminution de l'actif circulant net de 41,7% à 7,29 milliards FCFA</w:t>
      </w:r>
    </w:p>
    <w:p>
      <w:pPr>
        <w:pStyle w:val="ListBullet"/>
        <w:spacing w:before="20" w:after="20"/>
        <w:ind w:left="700"/>
      </w:pPr>
      <w:r>
        <w:rPr>
          <w:sz w:val="18"/>
        </w:rPr>
        <w:t>Flux de trésorerie opérationnels positifs à 4,31 milliards FCFA</w:t>
      </w:r>
    </w:p>
    <w:p>
      <w:pPr>
        <w:spacing w:before="40"/>
        <w:ind w:left="400"/>
      </w:pPr>
      <w:r>
        <w:rPr>
          <w:b/>
          <w:color w:val="C05000"/>
          <w:sz w:val="18"/>
        </w:rPr>
        <w:t xml:space="preserve">⚠️ Risques : </w:t>
      </w:r>
      <w:r>
        <w:rPr>
          <w:sz w:val="18"/>
        </w:rPr>
        <w:t>["Forte d\u00e9pendance \u00e0 l'activit\u00e9 \u00e9conomique r\u00e9gionale avec une baisse de 35% du CA", "Diminution significative de la capacit\u00e9 d'autofinancement (-70% \u00e0 935 millions FCFA)", "R\u00e9duction importante de l'EBE de 69% impactant la performance op\u00e9rationnelle"]</w:t>
      </w:r>
    </w:p>
    <w:p>
      <w:pPr>
        <w:spacing w:before="40"/>
        <w:ind w:left="400"/>
      </w:pPr>
      <w:r>
        <w:rPr>
          <w:b/>
          <w:color w:val="0064A0"/>
          <w:sz w:val="18"/>
        </w:rPr>
        <w:t xml:space="preserve">🔮 Perspectives : </w:t>
      </w:r>
      <w:r>
        <w:rPr>
          <w:sz w:val="18"/>
        </w:rPr>
        <w:t>La société devra surveiller l'évolution de son marché pour retrouver des niveaux d'activité plus élevés. La forte position de trésorerie lui donne une flexibilité pour investir dans la reprise d'activité ou maintenir sa politique de dividendes. L'amélioration des flux de trésorerie opérationnels est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l'am\u00e9lioration significative de la rentabilit\u00e9 d\u00e9montre une bonne ma\u00eetrise op\u00e9rationnelle. Les pr\u00e9visions 2021 restent prudentes mais la trajectoire de profitabilit\u00e9 est encourageante."}</w:t>
      </w:r>
    </w:p>
    <w:p>
      <w:pPr>
        <w:spacing w:before="40"/>
        <w:ind w:left="400"/>
      </w:pPr>
      <w:r>
        <w:rPr>
          <w:sz w:val="18"/>
        </w:rPr>
        <w:t>SETAO CI affiche des résultats contrastés au 30 septembre 2021 avec un chiffre d'affaires en baisse de 18% à 7,7 milliards FCFA par rapport à 2020. Malgré cette baisse d'activité, le résultat net progresse de 13% à 1,16 milliard FCFA grâce à une amélioration de la rentabilité opérationnelle et financière. Le résultat d'exploitation augmente de 89 millions FCFA et le résultat financier s'améliore de 57 millions FCFA. La société anticipe un chiffre d'affaires de 11 milliards FCFA pour l'ensemble de l'exercice 2021. Cette performance témoigne d'une gestion efficace des coûts et d'une optimisation de la structure financière.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{'impots_resultats': '432 millions FCFA', 'resultat_financier': '160 millions FCFA', 'ca_previsionnel_2021': '11 milliards FCFA', 'resultat_exploitation': '1,36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1,16 milliard FCFA (9 mois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7,7 milliards FCFA (9 mois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18% à 7,7 Mrds FCFA sur 9 mois vs 2020</w:t>
      </w:r>
    </w:p>
    <w:p>
      <w:pPr>
        <w:pStyle w:val="ListBullet"/>
        <w:spacing w:before="20" w:after="20"/>
        <w:ind w:left="700"/>
      </w:pPr>
      <w:r>
        <w:rPr>
          <w:sz w:val="18"/>
        </w:rPr>
        <w:t>Résultat net en hausse de 13% à 1,16 Mrd FCFA malgré la baisse du CA</w:t>
      </w:r>
    </w:p>
    <w:p>
      <w:pPr>
        <w:pStyle w:val="ListBullet"/>
        <w:spacing w:before="20" w:after="20"/>
        <w:ind w:left="700"/>
      </w:pPr>
      <w:r>
        <w:rPr>
          <w:sz w:val="18"/>
        </w:rPr>
        <w:t>Amélioration du résultat d'exploitation de 89 millions FCFA</w:t>
      </w:r>
    </w:p>
    <w:p>
      <w:pPr>
        <w:pStyle w:val="ListBullet"/>
        <w:spacing w:before="20" w:after="20"/>
        <w:ind w:left="700"/>
      </w:pPr>
      <w:r>
        <w:rPr>
          <w:sz w:val="18"/>
        </w:rPr>
        <w:t>Progression du résultat financier de 57 millions FCFA</w:t>
      </w:r>
    </w:p>
    <w:p>
      <w:pPr>
        <w:pStyle w:val="ListBullet"/>
        <w:spacing w:before="20" w:after="20"/>
        <w:ind w:left="700"/>
      </w:pPr>
      <w:r>
        <w:rPr>
          <w:sz w:val="18"/>
        </w:rPr>
        <w:t>Marge nette améliorée à 15% contre 10,9% en 2020</w:t>
      </w:r>
    </w:p>
    <w:p>
      <w:pPr>
        <w:pStyle w:val="ListBullet"/>
        <w:spacing w:before="20" w:after="20"/>
        <w:ind w:left="700"/>
      </w:pPr>
      <w:r>
        <w:rPr>
          <w:sz w:val="18"/>
        </w:rPr>
        <w:t>Prévision de CA 2021 à 11 Mrds FCFA vs 15,9 Mrds en 2020</w:t>
      </w:r>
    </w:p>
    <w:p>
      <w:pPr>
        <w:spacing w:before="40"/>
        <w:ind w:left="400"/>
      </w:pPr>
      <w:r>
        <w:rPr>
          <w:b/>
          <w:color w:val="C05000"/>
          <w:sz w:val="18"/>
        </w:rPr>
        <w:t xml:space="preserve">⚠️ Risques : </w:t>
      </w:r>
      <w:r>
        <w:rPr>
          <w:sz w:val="18"/>
        </w:rPr>
        <w:t>["Contraction importante de l'activit\u00e9 avec une baisse de 18% du chiffre d'affaires", "Pr\u00e9visions 2021 encore en retrait par rapport aux performances historiques de 2020", "D\u00e9pendance aux conditions \u00e9conomiques r\u00e9gionales ouest-africaines"]</w:t>
      </w:r>
    </w:p>
    <w:p>
      <w:pPr>
        <w:spacing w:before="40"/>
        <w:ind w:left="400"/>
      </w:pPr>
      <w:r>
        <w:rPr>
          <w:b/>
          <w:color w:val="0064A0"/>
          <w:sz w:val="18"/>
        </w:rPr>
        <w:t xml:space="preserve">🔮 Perspectives : </w:t>
      </w:r>
      <w:r>
        <w:rPr>
          <w:sz w:val="18"/>
        </w:rPr>
        <w:t xml:space="preserve">La société table sur un chiffre d'affaires de 11 milliards FCFA pour 2021, soit une amélioration par rapport aux 9 premiers mois mais toujours inférieur aux 15,9 milliards de 2020. L'amélioration continue de la rentabilité devrait permettre de maintenir un niveau de résultat net satisfaisant malgré </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spectaculaire de la rentabilit\u00e9 avec un r\u00e9sultat net multipli\u00e9 par 24 et une marge nette de pr\u00e8s de 20% d\u00e9montre une excellente ma\u00eetrise op\u00e9rationnelle. Les perspectives annuelles solides avec un CA pr\u00e9visionnel de 11 milliards FCFA renforcent l'attractivit\u00e9 du titre."}</w:t>
      </w:r>
    </w:p>
    <w:p>
      <w:pPr>
        <w:spacing w:before="40"/>
        <w:ind w:left="400"/>
      </w:pPr>
      <w:r>
        <w:rPr>
          <w:sz w:val="18"/>
        </w:rPr>
        <w:t>SETAO a réalisé un excellent premier semestre 2021 avec un chiffre d'affaires de 5,34 milliards FCFA, en légère baisse de 4,2% par rapport à 2020. Le résultat net s'élève à 1,05 milliard FCFA, en très forte hausse comparé aux 43,6 millions FCFA du premier semestre 2020. Cette performance remarquable reflète une amélioration significative de la rentabilité opérationnelle avec un résultat d'exploitation de 1,26 milliard FCFA contre 23,4 millions FCFA l'année précédente. La société prévoit un chiffre d'affaires annuel de 11 milliards FCFA pour 2021. L'attestation des commissaires aux comptes KPMG et Ernst &amp; Young confirme la fiabilité des informations financières présentées.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'128,5 millions FCFA', 'ca_previsionnel_2021': '11 milliards FCFA', 'impots_sur_resultats': '412,8 millions FCFA', 'resultat_exploitation': '1,26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1,05 milliard FCFA (6 mois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5,34 milliards FCFA (6 mois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semestriel de 5,34 milliards FCFA en légère baisse de 4,2%</w:t>
      </w:r>
    </w:p>
    <w:p>
      <w:pPr>
        <w:pStyle w:val="ListBullet"/>
        <w:spacing w:before="20" w:after="20"/>
        <w:ind w:left="700"/>
      </w:pPr>
      <w:r>
        <w:rPr>
          <w:sz w:val="18"/>
        </w:rPr>
        <w:t>Résultat net exceptionnel de 1,05 milliard FCFA contre 43,6 millions FCFA en 2020</w:t>
      </w:r>
    </w:p>
    <w:p>
      <w:pPr>
        <w:pStyle w:val="ListBullet"/>
        <w:spacing w:before="20" w:after="20"/>
        <w:ind w:left="700"/>
      </w:pPr>
      <w:r>
        <w:rPr>
          <w:sz w:val="18"/>
        </w:rPr>
        <w:t>Résultat d'exploitation multiplié par 54, passant de 23,4 millions à 1,26 milliard FCFA</w:t>
      </w:r>
    </w:p>
    <w:p>
      <w:pPr>
        <w:pStyle w:val="ListBullet"/>
        <w:spacing w:before="20" w:after="20"/>
        <w:ind w:left="700"/>
      </w:pPr>
      <w:r>
        <w:rPr>
          <w:sz w:val="18"/>
        </w:rPr>
        <w:t>Marge nette impressionnante de 19,6% au premier semestre 2021</w:t>
      </w:r>
    </w:p>
    <w:p>
      <w:pPr>
        <w:pStyle w:val="ListBullet"/>
        <w:spacing w:before="20" w:after="20"/>
        <w:ind w:left="700"/>
      </w:pPr>
      <w:r>
        <w:rPr>
          <w:sz w:val="18"/>
        </w:rPr>
        <w:t>Amélioration drastique de la rentabilité malgré un CA en légère baisse</w:t>
      </w:r>
    </w:p>
    <w:p>
      <w:pPr>
        <w:pStyle w:val="ListBullet"/>
        <w:spacing w:before="20" w:after="20"/>
        <w:ind w:left="700"/>
      </w:pPr>
      <w:r>
        <w:rPr>
          <w:sz w:val="18"/>
        </w:rPr>
        <w:t>Prévision de chiffre d'affaires annuel de 11 milliards FCFA pour 2021</w:t>
      </w:r>
    </w:p>
    <w:p>
      <w:pPr>
        <w:spacing w:before="40"/>
        <w:ind w:left="400"/>
      </w:pPr>
      <w:r>
        <w:rPr>
          <w:b/>
          <w:color w:val="C05000"/>
          <w:sz w:val="18"/>
        </w:rPr>
        <w:t xml:space="preserve">⚠️ Risques : </w:t>
      </w:r>
      <w:r>
        <w:rPr>
          <w:sz w:val="18"/>
        </w:rPr>
        <w:t>["D\u00e9pendance potentielle aux projets d'infrastructure en Afrique de l'Ouest", "Volatilit\u00e9 possible des r\u00e9sultats trimestriels compte tenu de la nature projet des activit\u00e9s", "Exposition aux risques politiques et \u00e9conomiques de la zone UEMOA"]</w:t>
      </w:r>
    </w:p>
    <w:p>
      <w:pPr>
        <w:spacing w:before="40"/>
        <w:ind w:left="400"/>
      </w:pPr>
      <w:r>
        <w:rPr>
          <w:b/>
          <w:color w:val="0064A0"/>
          <w:sz w:val="18"/>
        </w:rPr>
        <w:t xml:space="preserve">🔮 Perspectives : </w:t>
      </w:r>
      <w:r>
        <w:rPr>
          <w:sz w:val="18"/>
        </w:rPr>
        <w:t>Les perspectives pour la fin 2021 sont très favorables avec un objectif de chiffre d'affaires de 11 milliards FCFA qui pourrait être atteint au vu de la performance du premier semestre. La société semble avoir trouvé un rythme de croisière optimal qui devrait se maintenir sur les prochains trimestre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exceptionnelle avec une rentabilit\u00e9 retrouv\u00e9e, mais prudence n\u00e9cessaire car la base de comparaison 2020 \u00e9tait tr\u00e8s faible. Attendre confirmation de la soutenabilit\u00e9 de ces marges \u00e9lev\u00e9es."}</w:t>
      </w:r>
    </w:p>
    <w:p>
      <w:pPr>
        <w:spacing w:before="40"/>
        <w:ind w:left="400"/>
      </w:pPr>
      <w:r>
        <w:rPr>
          <w:sz w:val="18"/>
        </w:rPr>
        <w:t>SETAO, société ivoirienne du BTP, présente des résultats semestriels 2021 contrastés avec un chiffre d'affaires en légère baisse de 4,2% à 5,34 milliards FCFA. Le résultat net bondit spectaculairement de 43,6 millions à 1,05 milliard FCFA, multiplié par 24 par rapport au premier semestre 2020 impacté par le Covid. La rentabilité s'améliore drastiquement avec une marge nette de 19,6% contre 0,8% un an plus tôt. Le résultat d'exploitation explose de 23,4 millions à 1,26 milliard FCFA, témoignant d'une excellente performance opérationnelle. La société prévoit un chiffre d'affaires de 11 milliards FCFA pour l'ensemble de l'exercice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'672 millions FCFA', 'impots_resultats': '412,8 millions FCFA', 'resultat_financier': '128,5 millions FCFA', 'ca_previsionnel_2021': '11 milliards FCFA', 'resultat_exploitation': '1,26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1,05 milliard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5,34 milliards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semestriel de 5,34 milliards FCFA en recul de 4,2% vs S1 2020</w:t>
      </w:r>
    </w:p>
    <w:p>
      <w:pPr>
        <w:pStyle w:val="ListBullet"/>
        <w:spacing w:before="20" w:after="20"/>
        <w:ind w:left="700"/>
      </w:pPr>
      <w:r>
        <w:rPr>
          <w:sz w:val="18"/>
        </w:rPr>
        <w:t>Résultat net multiplié par 24 à 1,05 milliard FCFA (vs 43,6 millions en S1 2020)</w:t>
      </w:r>
    </w:p>
    <w:p>
      <w:pPr>
        <w:pStyle w:val="ListBullet"/>
        <w:spacing w:before="20" w:after="20"/>
        <w:ind w:left="700"/>
      </w:pPr>
      <w:r>
        <w:rPr>
          <w:sz w:val="18"/>
        </w:rPr>
        <w:t>Résultat d'exploitation en explosion : +1,24 milliard FCFA de variation</w:t>
      </w:r>
    </w:p>
    <w:p>
      <w:pPr>
        <w:pStyle w:val="ListBullet"/>
        <w:spacing w:before="20" w:after="20"/>
        <w:ind w:left="700"/>
      </w:pPr>
      <w:r>
        <w:rPr>
          <w:sz w:val="18"/>
        </w:rPr>
        <w:t>Marge nette exceptionnelle de 19,6% contre 0,8% au S1 2020</w:t>
      </w:r>
    </w:p>
    <w:p>
      <w:pPr>
        <w:pStyle w:val="ListBullet"/>
        <w:spacing w:before="20" w:after="20"/>
        <w:ind w:left="700"/>
      </w:pPr>
      <w:r>
        <w:rPr>
          <w:sz w:val="18"/>
        </w:rPr>
        <w:t>Impact Covid-19 sur la base de comparaison 2020 explique en partie cette performance</w:t>
      </w:r>
    </w:p>
    <w:p>
      <w:pPr>
        <w:pStyle w:val="ListBullet"/>
        <w:spacing w:before="20" w:after="20"/>
        <w:ind w:left="700"/>
      </w:pPr>
      <w:r>
        <w:rPr>
          <w:sz w:val="18"/>
        </w:rPr>
        <w:t>Bonne performance des chantiers livrés au premier semestre 2021</w:t>
      </w:r>
    </w:p>
    <w:p>
      <w:pPr>
        <w:spacing w:before="40"/>
        <w:ind w:left="400"/>
      </w:pPr>
      <w:r>
        <w:rPr>
          <w:b/>
          <w:color w:val="C05000"/>
          <w:sz w:val="18"/>
        </w:rPr>
        <w:t xml:space="preserve">⚠️ Risques : </w:t>
      </w:r>
      <w:r>
        <w:rPr>
          <w:sz w:val="18"/>
        </w:rPr>
        <w:t>["Soutenabilit\u00e9 des marges exceptionnelles actuelles de 19,6%", "D\u00e9pendance aux cycles de livraison des chantiers BTP", "Volatilit\u00e9 du secteur de la construction en Afrique de l'Ouest"]</w:t>
      </w:r>
    </w:p>
    <w:p>
      <w:pPr>
        <w:spacing w:before="40"/>
        <w:ind w:left="400"/>
      </w:pPr>
      <w:r>
        <w:rPr>
          <w:b/>
          <w:color w:val="0064A0"/>
          <w:sz w:val="18"/>
        </w:rPr>
        <w:t xml:space="preserve">🔮 Perspectives : </w:t>
      </w:r>
      <w:r>
        <w:rPr>
          <w:sz w:val="18"/>
        </w:rPr>
        <w:t>Avec un objectif de 11 milliards FCFA de chiffre d'affaires pour 2021, la société vise une croissance annuelle significative. La performance du premier semestre suggère une trajectoire positive, mais l'enjeu sera de maintenir cette rentabilité exceptionnelle sur la durée.</w:t>
      </w:r>
    </w:p>
    <w:p/>
    <w:p>
      <w:r>
        <w:t>════════════════════════════════════════════════════════════════════════════════</w:t>
      </w:r>
    </w:p>
    <w:p>
      <w:r>
        <w:br w:type="page"/>
      </w:r>
    </w:p>
    <w:p>
      <w:pPr>
        <w:pStyle w:val="Heading2"/>
        <w:spacing w:before="360"/>
      </w:pPr>
      <w:r>
        <w:rPr>
          <w:color w:val="0066CC"/>
        </w:rPr>
        <w:t>44. STBC - STBC - SITAB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STBC</w:t>
            </w:r>
          </w:p>
          <w:p>
            <w:r>
              <w:rPr>
                <w:b/>
                <w:color w:val="323250"/>
                <w:sz w:val="16"/>
              </w:rPr>
              <w:t xml:space="preserve">Société : </w:t>
            </w:r>
            <w:r>
              <w:rPr>
                <w:color w:val="000000"/>
                <w:sz w:val="16"/>
              </w:rPr>
              <w:t>STBC - SITAB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380.65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4,170 titres</w:t>
            </w:r>
          </w:p>
        </w:tc>
        <w:tc>
          <w:tcPr>
            <w:tcW w:type="dxa" w:w="2268"/>
            <w:shd w:fill="FFF2CC" w:val="clear"/>
          </w:tcPr>
          <w:p>
            <w:r>
              <w:rPr>
                <w:b/>
                <w:color w:val="503200"/>
                <w:sz w:val="16"/>
              </w:rPr>
              <w:t xml:space="preserve">Cours actuel : </w:t>
            </w:r>
            <w:r>
              <w:rPr>
                <w:color w:val="000000"/>
                <w:sz w:val="17"/>
              </w:rPr>
              <w:t>21,200 FCFA</w:t>
            </w:r>
          </w:p>
          <w:p>
            <w:r>
              <w:rPr>
                <w:b/>
                <w:color w:val="503200"/>
                <w:sz w:val="16"/>
              </w:rPr>
              <w:t xml:space="preserve">Var. 100 jours : </w:t>
            </w:r>
            <w:r>
              <w:rPr>
                <w:b/>
                <w:color w:val="B40000"/>
                <w:sz w:val="17"/>
              </w:rPr>
              <w:t>-0.35%</w:t>
            </w:r>
          </w:p>
          <w:p>
            <w:r>
              <w:rPr>
                <w:b/>
                <w:color w:val="503200"/>
                <w:sz w:val="16"/>
              </w:rPr>
              <w:t xml:space="preserve">Plus haut 100j : </w:t>
            </w:r>
            <w:r>
              <w:rPr>
                <w:color w:val="000000"/>
                <w:sz w:val="17"/>
              </w:rPr>
              <w:t>25,000 FCFA</w:t>
            </w:r>
          </w:p>
          <w:p>
            <w:r>
              <w:rPr>
                <w:b/>
                <w:color w:val="503200"/>
                <w:sz w:val="16"/>
              </w:rPr>
              <w:t xml:space="preserve">Plus bas 100j : </w:t>
            </w:r>
            <w:r>
              <w:rPr>
                <w:color w:val="000000"/>
                <w:sz w:val="17"/>
              </w:rPr>
              <w:t>20,895 FCFA</w:t>
            </w:r>
          </w:p>
          <w:p>
            <w:r>
              <w:rPr>
                <w:b/>
                <w:color w:val="503200"/>
                <w:sz w:val="16"/>
              </w:rPr>
              <w:t xml:space="preserve">Volatilité ann. : </w:t>
            </w:r>
            <w:r>
              <w:rPr>
                <w:color w:val="000000"/>
                <w:sz w:val="17"/>
              </w:rPr>
              <w:t>36.6%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4.89% (Faible) — μ=22,572 FCFA, σ=1,104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β=0.4501 (Défensif) — Cov=0.000034, Var(idx)=0.000075, ρ=0.166,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4,170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σ_j=2.31%/j (Stable) — Vol. annualisée≈36.6%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03190"/>
            <wp:docPr id="46" name="Picture 46"/>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Moyenne</w:t>
            </w:r>
          </w:p>
        </w:tc>
        <w:tc>
          <w:tcPr>
            <w:tcW w:type="dxa" w:w="1440"/>
            <w:shd w:fill="C6EFCE" w:val="clear"/>
          </w:tcPr>
          <w:p>
            <w:r>
              <w:rPr>
                <w:sz w:val="17"/>
              </w:rPr>
              <w:t>2026-10-16</w:t>
            </w:r>
          </w:p>
        </w:tc>
        <w:tc>
          <w:tcPr>
            <w:tcW w:type="dxa" w:w="1440"/>
            <w:shd w:fill="C6EFCE" w:val="clear"/>
          </w:tcPr>
          <w:p>
            <w:r>
              <w:rPr>
                <w:sz w:val="17"/>
              </w:rPr>
              <w:t>21,352</w:t>
            </w:r>
          </w:p>
        </w:tc>
        <w:tc>
          <w:tcPr>
            <w:tcW w:type="dxa" w:w="1440"/>
            <w:shd w:fill="C6EFCE" w:val="clear"/>
          </w:tcPr>
          <w:p>
            <w:r>
              <w:rPr>
                <w:b/>
                <w:sz w:val="17"/>
              </w:rPr>
              <w:t>21,941</w:t>
            </w:r>
          </w:p>
        </w:tc>
        <w:tc>
          <w:tcPr>
            <w:tcW w:type="dxa" w:w="1440"/>
            <w:shd w:fill="C6EFCE" w:val="clear"/>
          </w:tcPr>
          <w:p>
            <w:r>
              <w:rPr>
                <w:sz w:val="17"/>
              </w:rPr>
              <w:t>22,530</w:t>
            </w:r>
          </w:p>
        </w:tc>
        <w:tc>
          <w:tcPr>
            <w:tcW w:type="dxa" w:w="1440"/>
            <w:shd w:fill="C6EFCE" w:val="clear"/>
          </w:tcPr>
          <w:p>
            <w:r>
              <w:rPr>
                <w:b/>
                <w:color w:val="008000"/>
                <w:sz w:val="17"/>
              </w:rPr>
              <w:t>+3.5%</w:t>
            </w:r>
          </w:p>
        </w:tc>
      </w:tr>
      <w:tr>
        <w:tc>
          <w:tcPr>
            <w:tcW w:type="dxa" w:w="1440"/>
            <w:shd w:fill="C6EFCE" w:val="clear"/>
          </w:tcPr>
          <w:p>
            <w:r>
              <w:rPr>
                <w:sz w:val="17"/>
              </w:rPr>
              <w:t>J+2  Moyenne</w:t>
            </w:r>
          </w:p>
        </w:tc>
        <w:tc>
          <w:tcPr>
            <w:tcW w:type="dxa" w:w="1440"/>
            <w:shd w:fill="C6EFCE" w:val="clear"/>
          </w:tcPr>
          <w:p>
            <w:r>
              <w:rPr>
                <w:sz w:val="17"/>
              </w:rPr>
              <w:t>2026-10-19</w:t>
            </w:r>
          </w:p>
        </w:tc>
        <w:tc>
          <w:tcPr>
            <w:tcW w:type="dxa" w:w="1440"/>
            <w:shd w:fill="C6EFCE" w:val="clear"/>
          </w:tcPr>
          <w:p>
            <w:r>
              <w:rPr>
                <w:sz w:val="17"/>
              </w:rPr>
              <w:t>21,418</w:t>
            </w:r>
          </w:p>
        </w:tc>
        <w:tc>
          <w:tcPr>
            <w:tcW w:type="dxa" w:w="1440"/>
            <w:shd w:fill="C6EFCE" w:val="clear"/>
          </w:tcPr>
          <w:p>
            <w:r>
              <w:rPr>
                <w:b/>
                <w:sz w:val="17"/>
              </w:rPr>
              <w:t>22,264</w:t>
            </w:r>
          </w:p>
        </w:tc>
        <w:tc>
          <w:tcPr>
            <w:tcW w:type="dxa" w:w="1440"/>
            <w:shd w:fill="C6EFCE" w:val="clear"/>
          </w:tcPr>
          <w:p>
            <w:r>
              <w:rPr>
                <w:sz w:val="17"/>
              </w:rPr>
              <w:t>23,109</w:t>
            </w:r>
          </w:p>
        </w:tc>
        <w:tc>
          <w:tcPr>
            <w:tcW w:type="dxa" w:w="1440"/>
            <w:shd w:fill="C6EFCE" w:val="clear"/>
          </w:tcPr>
          <w:p>
            <w:r>
              <w:rPr>
                <w:b/>
                <w:color w:val="008000"/>
                <w:sz w:val="17"/>
              </w:rPr>
              <w:t>+5.0%</w:t>
            </w:r>
          </w:p>
        </w:tc>
      </w:tr>
      <w:tr>
        <w:tc>
          <w:tcPr>
            <w:tcW w:type="dxa" w:w="1440"/>
            <w:shd w:fill="C6EFCE" w:val="clear"/>
          </w:tcPr>
          <w:p>
            <w:r>
              <w:rPr>
                <w:sz w:val="17"/>
              </w:rPr>
              <w:t>J+3  ⭐</w:t>
            </w:r>
          </w:p>
        </w:tc>
        <w:tc>
          <w:tcPr>
            <w:tcW w:type="dxa" w:w="1440"/>
            <w:shd w:fill="C6EFCE" w:val="clear"/>
          </w:tcPr>
          <w:p>
            <w:r>
              <w:rPr>
                <w:sz w:val="17"/>
              </w:rPr>
              <w:t>2026-10-20</w:t>
            </w:r>
          </w:p>
        </w:tc>
        <w:tc>
          <w:tcPr>
            <w:tcW w:type="dxa" w:w="1440"/>
            <w:shd w:fill="C6EFCE" w:val="clear"/>
          </w:tcPr>
          <w:p>
            <w:r>
              <w:rPr>
                <w:sz w:val="17"/>
              </w:rPr>
              <w:t>21,518</w:t>
            </w:r>
          </w:p>
        </w:tc>
        <w:tc>
          <w:tcPr>
            <w:tcW w:type="dxa" w:w="1440"/>
            <w:shd w:fill="C6EFCE" w:val="clear"/>
          </w:tcPr>
          <w:p>
            <w:r>
              <w:rPr>
                <w:b/>
                <w:sz w:val="17"/>
              </w:rPr>
              <w:t>22,568</w:t>
            </w:r>
          </w:p>
        </w:tc>
        <w:tc>
          <w:tcPr>
            <w:tcW w:type="dxa" w:w="1440"/>
            <w:shd w:fill="C6EFCE" w:val="clear"/>
          </w:tcPr>
          <w:p>
            <w:r>
              <w:rPr>
                <w:sz w:val="17"/>
              </w:rPr>
              <w:t>23,617</w:t>
            </w:r>
          </w:p>
        </w:tc>
        <w:tc>
          <w:tcPr>
            <w:tcW w:type="dxa" w:w="1440"/>
            <w:shd w:fill="C6EFCE" w:val="clear"/>
          </w:tcPr>
          <w:p>
            <w:r>
              <w:rPr>
                <w:b/>
                <w:color w:val="008000"/>
                <w:sz w:val="17"/>
              </w:rPr>
              <w:t>+6.5%</w:t>
            </w:r>
          </w:p>
        </w:tc>
      </w:tr>
      <w:tr>
        <w:tc>
          <w:tcPr>
            <w:tcW w:type="dxa" w:w="1440"/>
            <w:shd w:fill="C6EFCE" w:val="clear"/>
          </w:tcPr>
          <w:p>
            <w:r>
              <w:rPr>
                <w:sz w:val="17"/>
              </w:rPr>
              <w:t>J+4  ⭐</w:t>
            </w:r>
          </w:p>
        </w:tc>
        <w:tc>
          <w:tcPr>
            <w:tcW w:type="dxa" w:w="1440"/>
            <w:shd w:fill="C6EFCE" w:val="clear"/>
          </w:tcPr>
          <w:p>
            <w:r>
              <w:rPr>
                <w:sz w:val="17"/>
              </w:rPr>
              <w:t>2026-10-21</w:t>
            </w:r>
          </w:p>
        </w:tc>
        <w:tc>
          <w:tcPr>
            <w:tcW w:type="dxa" w:w="1440"/>
            <w:shd w:fill="C6EFCE" w:val="clear"/>
          </w:tcPr>
          <w:p>
            <w:r>
              <w:rPr>
                <w:sz w:val="17"/>
              </w:rPr>
              <w:t>21,615</w:t>
            </w:r>
          </w:p>
        </w:tc>
        <w:tc>
          <w:tcPr>
            <w:tcW w:type="dxa" w:w="1440"/>
            <w:shd w:fill="C6EFCE" w:val="clear"/>
          </w:tcPr>
          <w:p>
            <w:r>
              <w:rPr>
                <w:b/>
                <w:sz w:val="17"/>
              </w:rPr>
              <w:t>22,841</w:t>
            </w:r>
          </w:p>
        </w:tc>
        <w:tc>
          <w:tcPr>
            <w:tcW w:type="dxa" w:w="1440"/>
            <w:shd w:fill="C6EFCE" w:val="clear"/>
          </w:tcPr>
          <w:p>
            <w:r>
              <w:rPr>
                <w:sz w:val="17"/>
              </w:rPr>
              <w:t>24,068</w:t>
            </w:r>
          </w:p>
        </w:tc>
        <w:tc>
          <w:tcPr>
            <w:tcW w:type="dxa" w:w="1440"/>
            <w:shd w:fill="C6EFCE" w:val="clear"/>
          </w:tcPr>
          <w:p>
            <w:r>
              <w:rPr>
                <w:b/>
                <w:color w:val="008000"/>
                <w:sz w:val="17"/>
              </w:rPr>
              <w:t>+7.7%</w:t>
            </w:r>
          </w:p>
        </w:tc>
      </w:tr>
      <w:tr>
        <w:tc>
          <w:tcPr>
            <w:tcW w:type="dxa" w:w="1440"/>
            <w:shd w:fill="C6EFCE" w:val="clear"/>
          </w:tcPr>
          <w:p>
            <w:r>
              <w:rPr>
                <w:sz w:val="17"/>
              </w:rPr>
              <w:t>J+5  ⭐</w:t>
            </w:r>
          </w:p>
        </w:tc>
        <w:tc>
          <w:tcPr>
            <w:tcW w:type="dxa" w:w="1440"/>
            <w:shd w:fill="C6EFCE" w:val="clear"/>
          </w:tcPr>
          <w:p>
            <w:r>
              <w:rPr>
                <w:sz w:val="17"/>
              </w:rPr>
              <w:t>2026-10-22</w:t>
            </w:r>
          </w:p>
        </w:tc>
        <w:tc>
          <w:tcPr>
            <w:tcW w:type="dxa" w:w="1440"/>
            <w:shd w:fill="C6EFCE" w:val="clear"/>
          </w:tcPr>
          <w:p>
            <w:r>
              <w:rPr>
                <w:sz w:val="17"/>
              </w:rPr>
              <w:t>21,710</w:t>
            </w:r>
          </w:p>
        </w:tc>
        <w:tc>
          <w:tcPr>
            <w:tcW w:type="dxa" w:w="1440"/>
            <w:shd w:fill="C6EFCE" w:val="clear"/>
          </w:tcPr>
          <w:p>
            <w:r>
              <w:rPr>
                <w:b/>
                <w:sz w:val="17"/>
              </w:rPr>
              <w:t>23,097</w:t>
            </w:r>
          </w:p>
        </w:tc>
        <w:tc>
          <w:tcPr>
            <w:tcW w:type="dxa" w:w="1440"/>
            <w:shd w:fill="C6EFCE" w:val="clear"/>
          </w:tcPr>
          <w:p>
            <w:r>
              <w:rPr>
                <w:sz w:val="17"/>
              </w:rPr>
              <w:t>24,484</w:t>
            </w:r>
          </w:p>
        </w:tc>
        <w:tc>
          <w:tcPr>
            <w:tcW w:type="dxa" w:w="1440"/>
            <w:shd w:fill="C6EFCE" w:val="clear"/>
          </w:tcPr>
          <w:p>
            <w:r>
              <w:rPr>
                <w:b/>
                <w:color w:val="008000"/>
                <w:sz w:val="17"/>
              </w:rPr>
              <w:t>+8.9%</w:t>
            </w:r>
          </w:p>
        </w:tc>
      </w:tr>
      <w:tr>
        <w:tc>
          <w:tcPr>
            <w:tcW w:type="dxa" w:w="1440"/>
            <w:shd w:fill="C6EFCE" w:val="clear"/>
          </w:tcPr>
          <w:p>
            <w:r>
              <w:rPr>
                <w:sz w:val="17"/>
              </w:rPr>
              <w:t>J+6  ⭐</w:t>
            </w:r>
          </w:p>
        </w:tc>
        <w:tc>
          <w:tcPr>
            <w:tcW w:type="dxa" w:w="1440"/>
            <w:shd w:fill="C6EFCE" w:val="clear"/>
          </w:tcPr>
          <w:p>
            <w:r>
              <w:rPr>
                <w:sz w:val="17"/>
              </w:rPr>
              <w:t>2026-10-23</w:t>
            </w:r>
          </w:p>
        </w:tc>
        <w:tc>
          <w:tcPr>
            <w:tcW w:type="dxa" w:w="1440"/>
            <w:shd w:fill="C6EFCE" w:val="clear"/>
          </w:tcPr>
          <w:p>
            <w:r>
              <w:rPr>
                <w:sz w:val="17"/>
              </w:rPr>
              <w:t>21,792</w:t>
            </w:r>
          </w:p>
        </w:tc>
        <w:tc>
          <w:tcPr>
            <w:tcW w:type="dxa" w:w="1440"/>
            <w:shd w:fill="C6EFCE" w:val="clear"/>
          </w:tcPr>
          <w:p>
            <w:r>
              <w:rPr>
                <w:b/>
                <w:sz w:val="17"/>
              </w:rPr>
              <w:t>23,326</w:t>
            </w:r>
          </w:p>
        </w:tc>
        <w:tc>
          <w:tcPr>
            <w:tcW w:type="dxa" w:w="1440"/>
            <w:shd w:fill="C6EFCE" w:val="clear"/>
          </w:tcPr>
          <w:p>
            <w:r>
              <w:rPr>
                <w:sz w:val="17"/>
              </w:rPr>
              <w:t>24,860</w:t>
            </w:r>
          </w:p>
        </w:tc>
        <w:tc>
          <w:tcPr>
            <w:tcW w:type="dxa" w:w="1440"/>
            <w:shd w:fill="C6EFCE" w:val="clear"/>
          </w:tcPr>
          <w:p>
            <w:r>
              <w:rPr>
                <w:b/>
                <w:color w:val="008000"/>
                <w:sz w:val="17"/>
              </w:rPr>
              <w:t>+10.0%</w:t>
            </w:r>
          </w:p>
        </w:tc>
      </w:tr>
      <w:tr>
        <w:tc>
          <w:tcPr>
            <w:tcW w:type="dxa" w:w="1440"/>
            <w:shd w:fill="C6EFCE" w:val="clear"/>
          </w:tcPr>
          <w:p>
            <w:r>
              <w:rPr>
                <w:sz w:val="17"/>
              </w:rPr>
              <w:t>J+7  ⭐</w:t>
            </w:r>
          </w:p>
        </w:tc>
        <w:tc>
          <w:tcPr>
            <w:tcW w:type="dxa" w:w="1440"/>
            <w:shd w:fill="C6EFCE" w:val="clear"/>
          </w:tcPr>
          <w:p>
            <w:r>
              <w:rPr>
                <w:sz w:val="17"/>
              </w:rPr>
              <w:t>2026-10-26</w:t>
            </w:r>
          </w:p>
        </w:tc>
        <w:tc>
          <w:tcPr>
            <w:tcW w:type="dxa" w:w="1440"/>
            <w:shd w:fill="C6EFCE" w:val="clear"/>
          </w:tcPr>
          <w:p>
            <w:r>
              <w:rPr>
                <w:sz w:val="17"/>
              </w:rPr>
              <w:t>21,886</w:t>
            </w:r>
          </w:p>
        </w:tc>
        <w:tc>
          <w:tcPr>
            <w:tcW w:type="dxa" w:w="1440"/>
            <w:shd w:fill="C6EFCE" w:val="clear"/>
          </w:tcPr>
          <w:p>
            <w:r>
              <w:rPr>
                <w:b/>
                <w:sz w:val="17"/>
              </w:rPr>
              <w:t>23,559</w:t>
            </w:r>
          </w:p>
        </w:tc>
        <w:tc>
          <w:tcPr>
            <w:tcW w:type="dxa" w:w="1440"/>
            <w:shd w:fill="C6EFCE" w:val="clear"/>
          </w:tcPr>
          <w:p>
            <w:r>
              <w:rPr>
                <w:sz w:val="17"/>
              </w:rPr>
              <w:t>25,233</w:t>
            </w:r>
          </w:p>
        </w:tc>
        <w:tc>
          <w:tcPr>
            <w:tcW w:type="dxa" w:w="1440"/>
            <w:shd w:fill="C6EFCE" w:val="clear"/>
          </w:tcPr>
          <w:p>
            <w:r>
              <w:rPr>
                <w:b/>
                <w:color w:val="008000"/>
                <w:sz w:val="17"/>
              </w:rPr>
              <w:t>+11.1%</w:t>
            </w:r>
          </w:p>
        </w:tc>
      </w:tr>
      <w:tr>
        <w:tc>
          <w:tcPr>
            <w:tcW w:type="dxa" w:w="1440"/>
            <w:shd w:fill="C6EFCE" w:val="clear"/>
          </w:tcPr>
          <w:p>
            <w:r>
              <w:rPr>
                <w:sz w:val="17"/>
              </w:rPr>
              <w:t>J+8  ⭐</w:t>
            </w:r>
          </w:p>
        </w:tc>
        <w:tc>
          <w:tcPr>
            <w:tcW w:type="dxa" w:w="1440"/>
            <w:shd w:fill="C6EFCE" w:val="clear"/>
          </w:tcPr>
          <w:p>
            <w:r>
              <w:rPr>
                <w:sz w:val="17"/>
              </w:rPr>
              <w:t>2026-10-27</w:t>
            </w:r>
          </w:p>
        </w:tc>
        <w:tc>
          <w:tcPr>
            <w:tcW w:type="dxa" w:w="1440"/>
            <w:shd w:fill="C6EFCE" w:val="clear"/>
          </w:tcPr>
          <w:p>
            <w:r>
              <w:rPr>
                <w:sz w:val="17"/>
              </w:rPr>
              <w:t>21,996</w:t>
            </w:r>
          </w:p>
        </w:tc>
        <w:tc>
          <w:tcPr>
            <w:tcW w:type="dxa" w:w="1440"/>
            <w:shd w:fill="C6EFCE" w:val="clear"/>
          </w:tcPr>
          <w:p>
            <w:r>
              <w:rPr>
                <w:b/>
                <w:sz w:val="17"/>
              </w:rPr>
              <w:t>23,804</w:t>
            </w:r>
          </w:p>
        </w:tc>
        <w:tc>
          <w:tcPr>
            <w:tcW w:type="dxa" w:w="1440"/>
            <w:shd w:fill="C6EFCE" w:val="clear"/>
          </w:tcPr>
          <w:p>
            <w:r>
              <w:rPr>
                <w:sz w:val="17"/>
              </w:rPr>
              <w:t>25,612</w:t>
            </w:r>
          </w:p>
        </w:tc>
        <w:tc>
          <w:tcPr>
            <w:tcW w:type="dxa" w:w="1440"/>
            <w:shd w:fill="C6EFCE" w:val="clear"/>
          </w:tcPr>
          <w:p>
            <w:r>
              <w:rPr>
                <w:b/>
                <w:color w:val="008000"/>
                <w:sz w:val="17"/>
              </w:rPr>
              <w:t>+12.3%</w:t>
            </w:r>
          </w:p>
        </w:tc>
      </w:tr>
      <w:tr>
        <w:tc>
          <w:tcPr>
            <w:tcW w:type="dxa" w:w="1440"/>
            <w:shd w:fill="C6EFCE" w:val="clear"/>
          </w:tcPr>
          <w:p>
            <w:r>
              <w:rPr>
                <w:sz w:val="17"/>
              </w:rPr>
              <w:t>J+9  ⭐</w:t>
            </w:r>
          </w:p>
        </w:tc>
        <w:tc>
          <w:tcPr>
            <w:tcW w:type="dxa" w:w="1440"/>
            <w:shd w:fill="C6EFCE" w:val="clear"/>
          </w:tcPr>
          <w:p>
            <w:r>
              <w:rPr>
                <w:sz w:val="17"/>
              </w:rPr>
              <w:t>2026-10-28</w:t>
            </w:r>
          </w:p>
        </w:tc>
        <w:tc>
          <w:tcPr>
            <w:tcW w:type="dxa" w:w="1440"/>
            <w:shd w:fill="C6EFCE" w:val="clear"/>
          </w:tcPr>
          <w:p>
            <w:r>
              <w:rPr>
                <w:sz w:val="17"/>
              </w:rPr>
              <w:t>22,119</w:t>
            </w:r>
          </w:p>
        </w:tc>
        <w:tc>
          <w:tcPr>
            <w:tcW w:type="dxa" w:w="1440"/>
            <w:shd w:fill="C6EFCE" w:val="clear"/>
          </w:tcPr>
          <w:p>
            <w:r>
              <w:rPr>
                <w:b/>
                <w:sz w:val="17"/>
              </w:rPr>
              <w:t>24,057</w:t>
            </w:r>
          </w:p>
        </w:tc>
        <w:tc>
          <w:tcPr>
            <w:tcW w:type="dxa" w:w="1440"/>
            <w:shd w:fill="C6EFCE" w:val="clear"/>
          </w:tcPr>
          <w:p>
            <w:r>
              <w:rPr>
                <w:sz w:val="17"/>
              </w:rPr>
              <w:t>25,995</w:t>
            </w:r>
          </w:p>
        </w:tc>
        <w:tc>
          <w:tcPr>
            <w:tcW w:type="dxa" w:w="1440"/>
            <w:shd w:fill="C6EFCE" w:val="clear"/>
          </w:tcPr>
          <w:p>
            <w:r>
              <w:rPr>
                <w:b/>
                <w:color w:val="008000"/>
                <w:sz w:val="17"/>
              </w:rPr>
              <w:t>+13.5%</w:t>
            </w:r>
          </w:p>
        </w:tc>
      </w:tr>
      <w:tr>
        <w:tc>
          <w:tcPr>
            <w:tcW w:type="dxa" w:w="1440"/>
            <w:shd w:fill="C6EFCE" w:val="clear"/>
          </w:tcPr>
          <w:p>
            <w:r>
              <w:rPr>
                <w:sz w:val="17"/>
              </w:rPr>
              <w:t>J+10  ⭐</w:t>
            </w:r>
          </w:p>
        </w:tc>
        <w:tc>
          <w:tcPr>
            <w:tcW w:type="dxa" w:w="1440"/>
            <w:shd w:fill="C6EFCE" w:val="clear"/>
          </w:tcPr>
          <w:p>
            <w:r>
              <w:rPr>
                <w:sz w:val="17"/>
              </w:rPr>
              <w:t>2026-10-29</w:t>
            </w:r>
          </w:p>
        </w:tc>
        <w:tc>
          <w:tcPr>
            <w:tcW w:type="dxa" w:w="1440"/>
            <w:shd w:fill="C6EFCE" w:val="clear"/>
          </w:tcPr>
          <w:p>
            <w:r>
              <w:rPr>
                <w:sz w:val="17"/>
              </w:rPr>
              <w:t>22,279</w:t>
            </w:r>
          </w:p>
        </w:tc>
        <w:tc>
          <w:tcPr>
            <w:tcW w:type="dxa" w:w="1440"/>
            <w:shd w:fill="C6EFCE" w:val="clear"/>
          </w:tcPr>
          <w:p>
            <w:r>
              <w:rPr>
                <w:b/>
                <w:sz w:val="17"/>
              </w:rPr>
              <w:t>24,346</w:t>
            </w:r>
          </w:p>
        </w:tc>
        <w:tc>
          <w:tcPr>
            <w:tcW w:type="dxa" w:w="1440"/>
            <w:shd w:fill="C6EFCE" w:val="clear"/>
          </w:tcPr>
          <w:p>
            <w:r>
              <w:rPr>
                <w:sz w:val="17"/>
              </w:rPr>
              <w:t>26,414</w:t>
            </w:r>
          </w:p>
        </w:tc>
        <w:tc>
          <w:tcPr>
            <w:tcW w:type="dxa" w:w="1440"/>
            <w:shd w:fill="C6EFCE" w:val="clear"/>
          </w:tcPr>
          <w:p>
            <w:r>
              <w:rPr>
                <w:b/>
                <w:color w:val="008000"/>
                <w:sz w:val="17"/>
              </w:rPr>
              <w:t>+14.8%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31.318 Mds FCFA</w:t>
            </w:r>
          </w:p>
        </w:tc>
        <w:tc>
          <w:tcPr>
            <w:tcW w:type="dxa" w:w="5669"/>
            <w:shd w:fill="FFFFFF" w:val="clear"/>
          </w:tcPr>
          <w:p>
            <w:r>
              <w:rPr>
                <w:color w:val="282828"/>
                <w:sz w:val="15"/>
              </w:rPr>
              <w:t>Créances clients = 11.7%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3.446 Mds FCFA</w:t>
            </w:r>
          </w:p>
        </w:tc>
        <w:tc>
          <w:tcPr>
            <w:tcW w:type="dxa" w:w="5669"/>
            <w:shd w:fill="FFFFFF" w:val="clear"/>
          </w:tcPr>
          <w:p>
            <w:r>
              <w:rPr>
                <w:color w:val="282828"/>
                <w:sz w:val="15"/>
              </w:rPr>
              <w:t>Rotation stocks = 77.9x/an.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34.764 Mds FCFA</w:t>
            </w:r>
          </w:p>
        </w:tc>
        <w:tc>
          <w:tcPr>
            <w:tcW w:type="dxa" w:w="5669"/>
            <w:shd w:fill="FFFFFF" w:val="clear"/>
          </w:tcPr>
          <w:p>
            <w:r>
              <w:rPr>
                <w:color w:val="282828"/>
                <w:sz w:val="15"/>
              </w:rPr>
              <w:t>Ratio actif circ./passif circ. = 1.19x.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10.32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857.84 M FCFA</w:t>
            </w:r>
          </w:p>
        </w:tc>
        <w:tc>
          <w:tcPr>
            <w:tcW w:type="dxa" w:w="5669"/>
            <w:shd w:fill="FFFFFF" w:val="clear"/>
          </w:tcPr>
          <w:p>
            <w:r>
              <w:rPr>
                <w:color w:val="282828"/>
                <w:sz w:val="15"/>
              </w:rPr>
              <w:t>Outil industriel (1.1%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9.657 Mds FCFA</w:t>
            </w:r>
          </w:p>
        </w:tc>
        <w:tc>
          <w:tcPr>
            <w:tcW w:type="dxa" w:w="5669"/>
            <w:shd w:fill="FFFFFF" w:val="clear"/>
          </w:tcPr>
          <w:p>
            <w:r>
              <w:rPr>
                <w:color w:val="282828"/>
                <w:sz w:val="15"/>
              </w:rPr>
              <w:t>Actif immobilisé = 12.8%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30.763 Mds FCFA</w:t>
            </w:r>
          </w:p>
        </w:tc>
        <w:tc>
          <w:tcPr>
            <w:tcW w:type="dxa" w:w="5669"/>
            <w:shd w:fill="FFFFFF" w:val="clear"/>
          </w:tcPr>
          <w:p>
            <w:r>
              <w:rPr>
                <w:color w:val="282828"/>
                <w:sz w:val="15"/>
              </w:rPr>
              <w:t>Liquidités disponibles (40.9%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75.184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4.489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4.690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45.337 Mds FCFA</w:t>
            </w:r>
          </w:p>
        </w:tc>
        <w:tc>
          <w:tcPr>
            <w:tcW w:type="dxa" w:w="5669"/>
            <w:shd w:fill="FFFFFF" w:val="clear"/>
          </w:tcPr>
          <w:p>
            <w:r>
              <w:rPr>
                <w:color w:val="282828"/>
                <w:sz w:val="15"/>
              </w:rPr>
              <w:t>Fonds propres = 60.3%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46.059 Mds FCFA</w:t>
            </w:r>
          </w:p>
        </w:tc>
        <w:tc>
          <w:tcPr>
            <w:tcW w:type="dxa" w:w="5669"/>
            <w:shd w:fill="FFFFFF" w:val="clear"/>
          </w:tcPr>
          <w:p>
            <w:r>
              <w:rPr>
                <w:color w:val="282828"/>
                <w:sz w:val="15"/>
              </w:rPr>
              <w:t>Capitaux permanents / Actif immobilisé = 4.77x.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1.40 M FCFA</w:t>
            </w:r>
          </w:p>
        </w:tc>
        <w:tc>
          <w:tcPr>
            <w:tcW w:type="dxa" w:w="5669"/>
            <w:shd w:fill="FFFFFF" w:val="clear"/>
          </w:tcPr>
          <w:p>
            <w:r>
              <w:rPr>
                <w:color w:val="282828"/>
                <w:sz w:val="15"/>
              </w:rPr>
              <w:t>Dette LT/MT = 0%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1.40 M FCFA</w:t>
            </w:r>
          </w:p>
        </w:tc>
        <w:tc>
          <w:tcPr>
            <w:tcW w:type="dxa" w:w="5669"/>
            <w:shd w:fill="FFFFFF" w:val="clear"/>
          </w:tcPr>
          <w:p>
            <w:r>
              <w:rPr>
                <w:color w:val="282828"/>
                <w:sz w:val="15"/>
              </w:rPr>
              <w:t>Dette financière totale = 0%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29.847 Mds FCFA</w:t>
            </w:r>
          </w:p>
        </w:tc>
        <w:tc>
          <w:tcPr>
            <w:tcW w:type="dxa" w:w="5669"/>
            <w:shd w:fill="FFFFFF" w:val="clear"/>
          </w:tcPr>
          <w:p>
            <w:r>
              <w:rPr>
                <w:color w:val="282828"/>
                <w:sz w:val="15"/>
              </w:rPr>
              <w:t>Dettes totales = 39.7%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268.537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268.537 Mds FCFA</w:t>
            </w:r>
          </w:p>
        </w:tc>
        <w:tc>
          <w:tcPr>
            <w:tcW w:type="dxa" w:w="5669"/>
            <w:shd w:fill="FFFFFF" w:val="clear"/>
          </w:tcPr>
          <w:p>
            <w:r>
              <w:rPr>
                <w:color w:val="282828"/>
                <w:sz w:val="15"/>
              </w:rPr>
              <w:t>Chiffre d'affaires. Croissance: 25.3%.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832.44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2.693 Mds FCFA</w:t>
            </w:r>
          </w:p>
        </w:tc>
        <w:tc>
          <w:tcPr>
            <w:tcW w:type="dxa" w:w="5669"/>
            <w:shd w:fill="FFFFFF" w:val="clear"/>
          </w:tcPr>
          <w:p>
            <w:r>
              <w:rPr>
                <w:color w:val="282828"/>
                <w:sz w:val="15"/>
              </w:rPr>
              <w:t>Masse salariale = 1.0%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49.083 Mds FCFA</w:t>
            </w:r>
          </w:p>
        </w:tc>
        <w:tc>
          <w:tcPr>
            <w:tcW w:type="dxa" w:w="5669"/>
            <w:shd w:fill="FFFFFF" w:val="clear"/>
          </w:tcPr>
          <w:p>
            <w:r>
              <w:rPr>
                <w:color w:val="282828"/>
                <w:sz w:val="15"/>
              </w:rPr>
              <w:t>VA = 18.3% du CA. ⚠️ Faible VA — modèle à faible marge (distribution, négoce).</w:t>
            </w:r>
          </w:p>
        </w:tc>
      </w:tr>
      <w:tr>
        <w:tc>
          <w:tcPr>
            <w:tcW w:type="dxa" w:w="2268"/>
            <w:shd w:fill="EEF2F7" w:val="clear"/>
          </w:tcPr>
          <w:p>
            <w:r>
              <w:rPr>
                <w:b/>
                <w:color w:val="1E1E3C"/>
                <w:sz w:val="16"/>
              </w:rPr>
              <w:t>EBE</w:t>
            </w:r>
          </w:p>
        </w:tc>
        <w:tc>
          <w:tcPr>
            <w:tcW w:type="dxa" w:w="1984"/>
            <w:shd w:fill="C6EFCE" w:val="clear"/>
          </w:tcPr>
          <w:p>
            <w:r>
              <w:rPr>
                <w:b/>
                <w:color w:val="006400"/>
                <w:sz w:val="17"/>
              </w:rPr>
              <w:t>46.390 Mds FCFA</w:t>
            </w:r>
          </w:p>
        </w:tc>
        <w:tc>
          <w:tcPr>
            <w:tcW w:type="dxa" w:w="5669"/>
            <w:shd w:fill="FFFFFF" w:val="clear"/>
          </w:tcPr>
          <w:p>
            <w:r>
              <w:rPr>
                <w:color w:val="282828"/>
                <w:sz w:val="15"/>
              </w:rPr>
              <w:t>EBE = 17.3%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45.972 Mds FCFA</w:t>
            </w:r>
          </w:p>
        </w:tc>
        <w:tc>
          <w:tcPr>
            <w:tcW w:type="dxa" w:w="5669"/>
            <w:shd w:fill="FFFFFF" w:val="clear"/>
          </w:tcPr>
          <w:p>
            <w:r>
              <w:rPr>
                <w:color w:val="282828"/>
                <w:sz w:val="15"/>
              </w:rPr>
              <w:t>Profit d'exploitation = 17.1%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721.19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36.158 Mds FCFA</w:t>
            </w:r>
          </w:p>
        </w:tc>
        <w:tc>
          <w:tcPr>
            <w:tcW w:type="dxa" w:w="5669"/>
            <w:shd w:fill="FFFFFF" w:val="clear"/>
          </w:tcPr>
          <w:p>
            <w:r>
              <w:rPr>
                <w:color w:val="282828"/>
                <w:sz w:val="15"/>
              </w:rPr>
              <w:t>Marge nette = 13.5%.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34.262 Mds FCFA</w:t>
            </w:r>
          </w:p>
        </w:tc>
        <w:tc>
          <w:tcPr>
            <w:tcW w:type="dxa" w:w="5669"/>
            <w:shd w:fill="FFFFFF" w:val="clear"/>
          </w:tcPr>
          <w:p>
            <w:r>
              <w:rPr>
                <w:color w:val="282828"/>
                <w:sz w:val="15"/>
              </w:rPr>
              <w:t>CAF = 34.26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18.486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DEEAF1" w:val="clear"/>
          </w:tcPr>
          <w:p>
            <w:r>
              <w:rPr>
                <w:b/>
                <w:color w:val="006400"/>
                <w:sz w:val="17"/>
              </w:rPr>
              <w:t>2.172 Mds FCFA</w:t>
            </w:r>
          </w:p>
        </w:tc>
        <w:tc>
          <w:tcPr>
            <w:tcW w:type="dxa" w:w="5669"/>
            <w:shd w:fill="FFFFFF" w:val="clear"/>
          </w:tcPr>
          <w:p>
            <w:r>
              <w:rPr>
                <w:color w:val="282828"/>
                <w:sz w:val="15"/>
              </w:rPr>
              <w:t>Sorties nettes pour investissements. ℹ️ Cessions nettes — désinvestissement ou rééquilibrage du portefeuille.</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-38.096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20.657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5.639 Mds FCFA</w:t>
            </w:r>
          </w:p>
        </w:tc>
        <w:tc>
          <w:tcPr>
            <w:tcW w:type="dxa" w:w="5669"/>
            <w:shd w:fill="FFFFFF" w:val="clear"/>
          </w:tcPr>
          <w:p>
            <w:r>
              <w:rPr>
                <w:color w:val="282828"/>
                <w:sz w:val="15"/>
              </w:rPr>
              <w:t>BFR = 2.1%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36.403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30.763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22.87%</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13.46%</w:t>
            </w:r>
          </w:p>
        </w:tc>
        <w:tc>
          <w:tcPr>
            <w:tcW w:type="dxa" w:w="5669"/>
            <w:shd w:fill="FFFFFF" w:val="clear"/>
          </w:tcPr>
          <w:p>
            <w:r>
              <w:rPr>
                <w:color w:val="282828"/>
                <w:sz w:val="15"/>
              </w:rPr>
              <w:t>Résultat net / revenus = 13.46%.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17.12%</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79.75%</w:t>
            </w:r>
          </w:p>
        </w:tc>
        <w:tc>
          <w:tcPr>
            <w:tcW w:type="dxa" w:w="5669"/>
            <w:shd w:fill="FFFFFF" w:val="clear"/>
          </w:tcPr>
          <w:p>
            <w:r>
              <w:rPr>
                <w:color w:val="282828"/>
                <w:sz w:val="15"/>
              </w:rPr>
              <w:t>Résultat net / capitaux propres = 79.75%.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48.09%</w:t>
            </w:r>
          </w:p>
        </w:tc>
        <w:tc>
          <w:tcPr>
            <w:tcW w:type="dxa" w:w="5669"/>
            <w:shd w:fill="FFFFFF" w:val="clear"/>
          </w:tcPr>
          <w:p>
            <w:r>
              <w:rPr>
                <w:color w:val="282828"/>
                <w:sz w:val="15"/>
              </w:rPr>
              <w:t>Résultat net / total actif = 48.09%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357.17%</w:t>
            </w:r>
          </w:p>
        </w:tc>
        <w:tc>
          <w:tcPr>
            <w:tcW w:type="dxa" w:w="5669"/>
            <w:shd w:fill="FFFFFF" w:val="clear"/>
          </w:tcPr>
          <w:p>
            <w:r>
              <w:rPr>
                <w:color w:val="282828"/>
                <w:sz w:val="15"/>
              </w:rPr>
              <w:t>CA / total actif = 357.17x.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25.30%</w:t>
            </w:r>
          </w:p>
        </w:tc>
        <w:tc>
          <w:tcPr>
            <w:tcW w:type="dxa" w:w="5669"/>
            <w:shd w:fill="FFFFFF" w:val="clear"/>
          </w:tcPr>
          <w:p>
            <w:r>
              <w:rPr>
                <w:color w:val="282828"/>
                <w:sz w:val="15"/>
              </w:rPr>
              <w:t>Croissance CA vs exercice précédent = 25.30%.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60.30%</w:t>
            </w:r>
          </w:p>
        </w:tc>
        <w:tc>
          <w:tcPr>
            <w:tcW w:type="dxa" w:w="5669"/>
            <w:shd w:fill="FFFFFF" w:val="clear"/>
          </w:tcPr>
          <w:p>
            <w:r>
              <w:rPr>
                <w:color w:val="282828"/>
                <w:sz w:val="15"/>
              </w:rPr>
              <w:t>Fonds propres / total bilan = 60.30%.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505050"/>
                <w:sz w:val="17"/>
              </w:rPr>
              <w:t>0.00%</w:t>
            </w:r>
          </w:p>
        </w:tc>
        <w:tc>
          <w:tcPr>
            <w:tcW w:type="dxa" w:w="5669"/>
            <w:shd w:fill="FFFFFF" w:val="clear"/>
          </w:tcPr>
          <w:p>
            <w:r>
              <w:rPr>
                <w:color w:val="282828"/>
                <w:sz w:val="15"/>
              </w:rPr>
              <w:t>Dettes financières / total bilan = 0.00%.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39.70%</w:t>
            </w:r>
          </w:p>
        </w:tc>
        <w:tc>
          <w:tcPr>
            <w:tcW w:type="dxa" w:w="5669"/>
            <w:shd w:fill="FFFFFF" w:val="clear"/>
          </w:tcPr>
          <w:p>
            <w:r>
              <w:rPr>
                <w:color w:val="282828"/>
                <w:sz w:val="15"/>
              </w:rPr>
              <w:t>Dettes totales / fonds propres = 39.70%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251.89%</w:t>
            </w:r>
          </w:p>
        </w:tc>
        <w:tc>
          <w:tcPr>
            <w:tcW w:type="dxa" w:w="5669"/>
            <w:shd w:fill="FFFFFF" w:val="clear"/>
          </w:tcPr>
          <w:p>
            <w:r>
              <w:rPr>
                <w:color w:val="282828"/>
                <w:sz w:val="15"/>
              </w:rPr>
              <w:t>Total actif / dettes totales = 251.89x.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224.99%</w:t>
            </w:r>
          </w:p>
        </w:tc>
        <w:tc>
          <w:tcPr>
            <w:tcW w:type="dxa" w:w="5669"/>
            <w:shd w:fill="FFFFFF" w:val="clear"/>
          </w:tcPr>
          <w:p>
            <w:r>
              <w:rPr>
                <w:color w:val="282828"/>
                <w:sz w:val="15"/>
              </w:rPr>
              <w:t>Actif circulant / passif circulant = 224.99x.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105.63%</w:t>
            </w:r>
          </w:p>
        </w:tc>
        <w:tc>
          <w:tcPr>
            <w:tcW w:type="dxa" w:w="5669"/>
            <w:shd w:fill="FFFFFF" w:val="clear"/>
          </w:tcPr>
          <w:p>
            <w:r>
              <w:rPr>
                <w:color w:val="282828"/>
                <w:sz w:val="15"/>
              </w:rPr>
              <w:t>Trésorerie / passif circulant = 105.63x.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213.16%</w:t>
            </w:r>
          </w:p>
        </w:tc>
        <w:tc>
          <w:tcPr>
            <w:tcW w:type="dxa" w:w="5669"/>
            <w:shd w:fill="FFFFFF" w:val="clear"/>
          </w:tcPr>
          <w:p>
            <w:r>
              <w:rPr>
                <w:color w:val="282828"/>
                <w:sz w:val="15"/>
              </w:rPr>
              <w:t>(Actif circ. - stocks) / passif circ. = 213.16x.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476.97%</w:t>
            </w:r>
          </w:p>
        </w:tc>
        <w:tc>
          <w:tcPr>
            <w:tcW w:type="dxa" w:w="5669"/>
            <w:shd w:fill="FFFFFF" w:val="clear"/>
          </w:tcPr>
          <w:p>
            <w:r>
              <w:rPr>
                <w:color w:val="282828"/>
                <w:sz w:val="15"/>
              </w:rPr>
              <w:t>Capitaux permanents / actif immobilisé = 476.97x.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955970.80%</w:t>
            </w:r>
          </w:p>
        </w:tc>
        <w:tc>
          <w:tcPr>
            <w:tcW w:type="dxa" w:w="5669"/>
            <w:shd w:fill="FFFFFF" w:val="clear"/>
          </w:tcPr>
          <w:p>
            <w:r>
              <w:rPr>
                <w:color w:val="282828"/>
                <w:sz w:val="15"/>
              </w:rPr>
              <w:t>Résultat exploit. / charges financières = 955970.80x.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1577.73%</w:t>
            </w:r>
          </w:p>
        </w:tc>
        <w:tc>
          <w:tcPr>
            <w:tcW w:type="dxa" w:w="5669"/>
            <w:shd w:fill="FFFFFF" w:val="clear"/>
          </w:tcPr>
          <w:p>
            <w:r>
              <w:rPr>
                <w:color w:val="282828"/>
                <w:sz w:val="15"/>
              </w:rPr>
              <w:t>CAF / investissements = 1577.73x.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42.6 j</w:t>
            </w:r>
          </w:p>
        </w:tc>
        <w:tc>
          <w:tcPr>
            <w:tcW w:type="dxa" w:w="5669"/>
            <w:shd w:fill="FFFFFF" w:val="clear"/>
          </w:tcPr>
          <w:p>
            <w:r>
              <w:rPr>
                <w:color w:val="282828"/>
                <w:sz w:val="15"/>
              </w:rPr>
              <w:t>Les clients paient en moyenne en 43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5.7 j</w:t>
            </w:r>
          </w:p>
        </w:tc>
        <w:tc>
          <w:tcPr>
            <w:tcW w:type="dxa" w:w="5669"/>
            <w:shd w:fill="FFFFFF" w:val="clear"/>
          </w:tcPr>
          <w:p>
            <w:r>
              <w:rPr>
                <w:color w:val="282828"/>
                <w:sz w:val="15"/>
              </w:rPr>
              <w:t>Stock écoulé en 6 jours. ✅ Rotation rapide — faible immobilisation de capital.</w:t>
            </w:r>
          </w:p>
        </w:tc>
      </w:tr>
    </w:tbl>
    <w:p/>
    <w:p>
      <w:pPr>
        <w:spacing w:after="120" w:line="276" w:lineRule="auto"/>
      </w:pPr>
      <w:r>
        <w:t># 📊 RAPPORT D'ANALYSE FINANCIÈRE — STBC (SITAB S.A.)</w:t>
        <w:br/>
        <w:t>**Bourse Régionale des Valeurs Mobilières (BRVM) — Secteur : Entreprise (Distribution de tabac)**</w:t>
        <w:br/>
        <w:t>*Date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380,65 Mds FCFA, STBC se positionne parmi les valeurs moyennes-capitalisations de la cote BRVM, ce qui lui confère une liquidité correcte mais limitée. Le BPA de 2 014 FCFA/action signifie que chaque titre génère environ 2 014 FCFA de bénéfice net, un niveau élevé qui traduit la forte rentabilité de la société. Le PER de 10,5x situe le titre dans la fourchette modérée de la BRVM (moyenne ~8-12x), indiquant que les investisseurs ne paient pas une prime excessive pour les bénéfices, ce qui est rassurant. En revanche, le P/B de 8,40x révèle que le marché valorise l'action à plus de huit fois sa valeur comptable — une prime très forte, typique des sociétés à fort ROE et à structure d'actifs légère (peu d'immobilisations, beaucoup de trésorerie). Enfin, l'EV/EBITDA de 7,5x, dans la fourchette raisonnable de 5-10x, suggère que la valeur totale de l'entreprise (capitalisation + dette nette) reste cohérente avec sa capacité opérationnelle à générer de l'EBE.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cours de STBC affiche une variation quasi nulle de **-0,35%**, avec une légère reprise de **+0,28%** lors de la dernière séance, traduisant une phase de consolidation latérale. Le titre a évolué dans un range étroit entre un plus haut de **25 000 FCFA** et un plus bas de **20 895 FCFA**, soit un écart d'environ 20%, ce qui reste modéré pour la BRVM. La tendance générale est donc **stable à légèrement baissière**, le cours actuel (21 200 FCFA) se situant dans le bas de la fourchette. Les statistiques descriptives confirment cette stabilité : la moyenne (22 572 FCFA) est supérieure à la médiane (22 218 FCFA), avec un mode à 22 000 FCFA, ce qui indique une distribution légèrement asymétrique. L'écart-type de 1 110 FCFA et le coefficient de variation de 4,9% témoignent d'une **dispersion faible** du cours, donc d'une certaine stabilité. Le kurtosis de -0,699 (mésokurtique) suggère une distribution proche de la normale, sans risque de pics extrêmes marqués, tandis que le skewness positif de 0,592 indique davantage de journées sous la moyenne, cohérent avec la pression baissière récente. Enfin, la **volatilité annualisée de 36,6%** classe le titre dans la catégorie des valeurs à volatilité élevée (&gt;30%), ce qui implique un risque de marché non négligeable pour les investisseurs.</w:t>
      </w:r>
    </w:p>
    <w:p>
      <w:pPr>
        <w:spacing w:after="120" w:line="276" w:lineRule="auto"/>
      </w:pPr>
      <w:r>
        <w:t>---</w:t>
      </w:r>
    </w:p>
    <w:p>
      <w:pPr>
        <w:spacing w:after="120" w:line="276" w:lineRule="auto"/>
      </w:pPr>
      <w:r>
        <w:t>## PARTIE 2 : ANALYSE TECHNIQUE DÉTAILLÉE</w:t>
      </w:r>
    </w:p>
    <w:p>
      <w:pPr>
        <w:spacing w:after="120" w:line="276" w:lineRule="auto"/>
      </w:pPr>
      <w:r>
        <w:t>**Moyennes Mobiles** — La MM20 (21 564 FCFA) et la MM50 (22 256 FCFA) se situent toutes deux au-dessus du cours actuel (21 200 FCFA), ce qui place le titre en configuration baissière à court et moyen terme. La MM20 étant en dessous de la MM50, cela confirme une dynamique négative, justifiant la décision de **Vente** émise par cet indicateur.</w:t>
      </w:r>
    </w:p>
    <w:p>
      <w:pPr>
        <w:spacing w:after="120" w:line="276" w:lineRule="auto"/>
      </w:pPr>
      <w:r>
        <w:t>**Bandes de Bollinger** — Le cours actuel (21 200 FCFA) se situe dans la moitié inférieure de la bande, entre la borne inférieure (20 910 FCFA) et la borne supérieure (22 218 FCFA), sans franchissement des bornes. Cette position neutre, avec un cours proche de la borne basse, indique une absence de signal fort, justifiant la décision **Neutre**.</w:t>
      </w:r>
    </w:p>
    <w:p>
      <w:pPr>
        <w:spacing w:after="120" w:line="276" w:lineRule="auto"/>
      </w:pPr>
      <w:r>
        <w:t>**MACD** — La valeur du MACD (-239,312) est inférieure à son signal (-227,753), avec un histogramme négatif, ce qui confirme un momentum baissier persistant. La divergence négative entre les deux lignes justifie la décision de **Vente**, bien que l'écart reste modéré.</w:t>
      </w:r>
    </w:p>
    <w:p>
      <w:pPr>
        <w:spacing w:after="120" w:line="276" w:lineRule="auto"/>
      </w:pPr>
      <w:r>
        <w:t>**RSI** — À 40,506, le RSI se situe dans la zone neutre (30-70), sans signal de surachat ni de survente. Cette valeur légèrement sous la barre des 50 indique une faiblesse relative mais sans excès, justifiant la décision **Neutre**.</w:t>
      </w:r>
    </w:p>
    <w:p>
      <w:pPr>
        <w:spacing w:after="120" w:line="276" w:lineRule="auto"/>
      </w:pPr>
      <w:r>
        <w:t>**Stochastique** — Le %K (7,186) est très bas et inférieur au %D (14,895), ce qui place l'indicateur en zone de survente (&lt;20). Ce positionnement suggère un potentiel rebond technique à court terme, justifiant la décision d'**Achat** — seul indicateur haussier du tableau.</w:t>
      </w:r>
    </w:p>
    <w:p>
      <w:pPr>
        <w:spacing w:after="120" w:line="276" w:lineRule="auto"/>
      </w:pPr>
      <w:r>
        <w:t>**Conclusion technique** — Les indicateurs techniques sont majoritairement baissiers (MM, MACD) ou neutres (Bollinger, RSI), avec un seul signal d'achat (Stochastique en survente). Cette divergence suggère que le titre pourrait connaître un rebond technique à court terme, mais la tendance de fond reste fragile. La prudence est de mise tant que le cours ne repasse pas au-dessus de la MM20 (21 564 FCFA).</w:t>
      </w:r>
    </w:p>
    <w:p>
      <w:pPr>
        <w:spacing w:after="120" w:line="276" w:lineRule="auto"/>
      </w:pPr>
      <w:r>
        <w:t>---</w:t>
      </w:r>
    </w:p>
    <w:p>
      <w:pPr>
        <w:spacing w:after="120" w:line="276" w:lineRule="auto"/>
      </w:pPr>
      <w:r>
        <w:t>## PARTIE 3 : ANALYSE FONDAMENTALE</w:t>
      </w:r>
    </w:p>
    <w:p>
      <w:pPr>
        <w:spacing w:after="120" w:line="276" w:lineRule="auto"/>
      </w:pPr>
      <w:r>
        <w:t>Les données structurées de l'exercice **2025** révèlent une société à la croissance commerciale robuste mais à la rentabilité en repli. Le chiffre d'affaires s'établit à **268,537 Mds FCFA** en 2025, en hausse de **+25,3%** par rapport à 2024 (213,8 Mds FCFA), porté par une progression des volumes de 5,6% et un effet prix favorable. Le résultat net recule toutefois à **36,158 Mds FCFA** (contre 44,2 Mds en 2024, soit -17,5%), sous l'effet de la hausse des droits d'accises (de 49% à 70%) et de la pression fiscale. La marge nette se dégrade à **13,46%** (contre 20,4% en 2024), tandis que la marge brute chute à 22,87% (contre 29,8%). Les ratios de rentabilité restent néanmoins excellents : **ROE de 79,75%** (largement supérieur au seuil de 15%) et **ROA de 48,09%**, témoignant d'une efficacité remarquable dans l'utilisation des capitaux. La structure financière est très saine : **autonomie financière de 60,3%**, **dettes financières quasi nulles** (1,4 M FCFA), trésorerie nette de **30,763 Mds FCFA** et **liquidité générale de 225%**. Le BFR est positif à 5,639 Mds FCFA, avec un délai client de 42,57 jours (risque de trésorerie modéré) et une durée de stockage très faible de 5,73 jours. Les rapports trimestriels récents confirment cette dynamique : le **T1 2026** (rapport du 26/06/2026) affiche un CA de 68,8 Mds FCFA (+12%) et un résultat net de 9,3 Mds (-1%), tandis que le **T2 2026** (rapport du 26/06/2026) montre un CA de 70,05 Mds (+1%) et un résultat net de 8,64 Mds (-0,2%). Sur la base de ces tendances, on estime que l'exercice 2026 devrait maintenir un CA autour de 280-290 Mds FCFA, avec un résultat net stable autour de 36-38 Mds FCFA, la société parvenant à compenser la pression fiscale par la croissance des volumes. La politique de dividende reste généreuse (1 940 FCFA/action proposé pour 2025, soit un rendement d'environ 9,2% au cours actuel), mais le taux de distribution de 84,9% limite les capacités de réinvestissement. **Recommandation fondamentale : CONSERVER**, pour la solidité bilantielle et le rendement, avec une surveillance des marges.</w:t>
      </w:r>
    </w:p>
    <w:p>
      <w:pPr>
        <w:spacing w:after="120" w:line="276" w:lineRule="auto"/>
      </w:pPr>
      <w:r>
        <w:t>---</w:t>
      </w:r>
    </w:p>
    <w:p>
      <w:pPr>
        <w:spacing w:after="120" w:line="276" w:lineRule="auto"/>
      </w:pPr>
      <w:r>
        <w:t>## PARTIE 4 : CONCLUSION D'INVESTISSEMENT</w:t>
      </w:r>
    </w:p>
    <w:p>
      <w:pPr>
        <w:spacing w:after="120" w:line="276" w:lineRule="auto"/>
      </w:pPr>
      <w:r>
        <w:t>La valorisation de STBC apparaît **modérément attractive** : le PER de 10,5x est raisonnable, l'EV/EBITDA de 7,5x est correct, mais le P/B de 8,40x traduit une prime élevée qui se justifie par le ROE exceptionnel de 79,75%. Le comportement du cours sur 100 jours est **stable mais fragile** (variation -0,35%, volatilité élevée de 36,6%, skewness positif indiquant une pression baissière), avec un cours proche du bas de la fourchette. Les signaux techniques sont **majoritairement baissiers** (MM20 et MM50 au-dessus du cours, MACD négatif), mais le Stochastique en zone de survente (7,186) suggère un rebond technique imminent. Les fondamentaux restent **solides** : croissance du CA (+25,3% en 2025), rentabilité élevée (ROE 79,75%, ROA 48,09%), trésorerie confortable (30,8 Mds FCFA) et absence de dette, malgré la dégradation des marges et la pression fiscale. Les **prédictions IA** anticipent une trajectoire haussière sur 10 jours (de 21 941 FCFA à 23 097 FCFA, soit +5,3%), ce qui **confirme** le signal d'achat technique du Stochastique et contredit la tendance baissière des MM et du MACD. Sur la base de cette synthèse, la recommandation finale est **CONSERVER**, avec un biais haussier à court terme. La convergence entre le rebond technique attendu (Stochastique), les prédictions IA haussières et la solidité fondamentale plaide pour une **position de conservation active**, mais l'absence de signal fort des autres indicateurs techniques et la pression persistante sur les marges incitent à la prudence avant tout renforcement. Le **niveau de confiance est Moyen**, le **risque global est Moyen** (volatilité élevée, dépendance réglementaire), et l'**horizon d'investissement optimal est moyen terme (3-12 mois)**, le temps que la société démontre sa capacité à stabiliser ses marges et à maintenir sa politique de dividende.</w:t>
      </w:r>
    </w:p>
    <w:p>
      <w:pPr>
        <w:spacing w:after="120" w:line="276" w:lineRule="auto"/>
      </w:pPr>
      <w:r>
        <w:t>---</w:t>
      </w:r>
    </w:p>
    <w:p>
      <w:pPr>
        <w:spacing w:after="120" w:line="276" w:lineRule="auto"/>
      </w:pPr>
      <w:r>
        <w:t>*Rapport généré le 16 octobre 2026 — Sources : BRVM, états financiers SITAB 2025, rapports trimestriels T1/T2 2026, analyses fondamentales (DEEPSEEK, MISTRAL, GEMINI-VISION), prédictions IA.*</w:t>
      </w:r>
    </w:p>
    <w:p/>
    <w:p/>
    <w:p>
      <w:pPr>
        <w:pStyle w:val="Heading3"/>
      </w:pPr>
      <w:r>
        <w:rPr>
          <w:color w:val="00467F"/>
        </w:rPr>
        <w:t>📎 DOCUMENTS &amp; COMMUNICATIONS OFFICIELS BRVM</w:t>
      </w:r>
    </w:p>
    <w:p>
      <w:r>
        <w:rPr>
          <w:i/>
          <w:color w:val="646464"/>
          <w:sz w:val="18"/>
        </w:rPr>
        <w:t>3 document(s) disponible(s) pour cette société (affichage des 3 plus récents).</w:t>
      </w:r>
    </w:p>
    <w:p>
      <w:pPr>
        <w:spacing w:before="160"/>
      </w:pPr>
      <w:r>
        <w:rPr>
          <w:b/>
          <w:color w:val="0066CC"/>
          <w:sz w:val="20"/>
        </w:rPr>
        <w:t xml:space="preserve">[1] </w:t>
      </w:r>
      <w:r>
        <w:rPr>
          <w:b/>
          <w:sz w:val="20"/>
        </w:rPr>
        <w:t>20260625   avis de convocation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La Société Ivoirienne des Tabacs (SITAB) convoque ses actionnaires à une Assemblée Générale Ordinaire le 15 juillet 2026 à Abidjan. L'ordre du jour comprend l'approbation des comptes de l'exercice 2025, l'affectation du résultat, et le renouvellement de mandats d'administrateurs. Les actionnaires doivent justifier leur identité et le transfert de leurs actions au moins cinq jours avant l'assemblée.</w:t>
      </w:r>
    </w:p>
    <w:p>
      <w:pPr>
        <w:spacing w:before="60"/>
        <w:ind w:left="400"/>
      </w:pPr>
      <w:r>
        <w:rPr>
          <w:b/>
          <w:sz w:val="18"/>
        </w:rPr>
        <w:t>Points clés :</w:t>
      </w:r>
    </w:p>
    <w:p>
      <w:pPr>
        <w:pStyle w:val="ListBullet"/>
        <w:spacing w:before="20" w:after="20"/>
        <w:ind w:left="700"/>
      </w:pPr>
      <w:r>
        <w:rPr>
          <w:sz w:val="18"/>
        </w:rPr>
        <w:t>Assemblée Générale Ordinaire prévue le 15 juillet 2026 à la salle Jewels de la CGECI au Plateau, à 10h00 GMT.</w:t>
      </w:r>
    </w:p>
    <w:p>
      <w:pPr>
        <w:pStyle w:val="ListBullet"/>
        <w:spacing w:before="20" w:after="20"/>
        <w:ind w:left="700"/>
      </w:pPr>
      <w:r>
        <w:rPr>
          <w:sz w:val="18"/>
        </w:rPr>
        <w:t>Approbation des comptes de l'exercice clos le 31 décembre 2025 et affectation du résultat.</w:t>
      </w:r>
    </w:p>
    <w:p>
      <w:pPr>
        <w:pStyle w:val="ListBullet"/>
        <w:spacing w:before="20" w:after="20"/>
        <w:ind w:left="700"/>
      </w:pPr>
      <w:r>
        <w:rPr>
          <w:sz w:val="18"/>
        </w:rPr>
        <w:t>Renouvellement du mandat d'administrateur de Monsieur Pierre MAGNE et de la société ITWA.</w:t>
      </w:r>
    </w:p>
    <w:p>
      <w:pPr>
        <w:pStyle w:val="ListBullet"/>
        <w:spacing w:before="20" w:after="20"/>
        <w:ind w:left="700"/>
      </w:pPr>
      <w:r>
        <w:rPr>
          <w:sz w:val="18"/>
        </w:rPr>
        <w:t>Fixation des indemnités de fonction pour l'exercice 2026.</w:t>
      </w:r>
    </w:p>
    <w:p>
      <w:pPr>
        <w:pStyle w:val="ListBullet"/>
        <w:spacing w:before="20" w:after="20"/>
        <w:ind w:left="700"/>
      </w:pPr>
      <w:r>
        <w:rPr>
          <w:sz w:val="18"/>
        </w:rPr>
        <w:t>Dépôt des pouvoirs des mandataires à la Direction Générale de la SITAB avant l'assemblée.</w:t>
      </w:r>
    </w:p>
    <w:p>
      <w:pPr>
        <w:ind w:left="400"/>
      </w:pPr>
      <w:r>
        <w:rPr>
          <w:color w:val="B4B4B4"/>
          <w:sz w:val="14"/>
        </w:rPr>
        <w:t xml:space="preserve">· · · · · · · · · · · · · · · · · · · · · · · · · · · · · · </w:t>
      </w:r>
    </w:p>
    <w:p>
      <w:pPr>
        <w:spacing w:before="160"/>
      </w:pPr>
      <w:r>
        <w:rPr>
          <w:b/>
          <w:color w:val="0066CC"/>
          <w:sz w:val="20"/>
        </w:rPr>
        <w:t xml:space="preserve">[2] </w:t>
      </w:r>
      <w:r>
        <w:rPr>
          <w:b/>
          <w:sz w:val="20"/>
        </w:rPr>
        <w:t>20260625   pouvoir personne physique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Ce document est un formulaire de pouvoir pour personne physique en vue de l'Assemblée Générale Ordinaire de la Société Ivoirienne des Tabacs (SITAB). L'AG se tiendra le 15 juillet 2026 à la salle Jewels de la CGECI au Plateau à 10h GMT. L'ordre du jour comprend l'approbation des comptes 2025,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Assemblée Générale Ordinaire de SITAB prévue le 15 juillet 2026 à Abidjan.</w:t>
      </w:r>
    </w:p>
    <w:p>
      <w:pPr>
        <w:pStyle w:val="ListBullet"/>
        <w:spacing w:before="20" w:after="20"/>
        <w:ind w:left="700"/>
      </w:pPr>
      <w:r>
        <w:rPr>
          <w:sz w:val="18"/>
        </w:rPr>
        <w:t>Examen et approbation des comptes de l'exercice clos le 31 décembre 2025.</w:t>
      </w:r>
    </w:p>
    <w:p>
      <w:pPr>
        <w:pStyle w:val="ListBullet"/>
        <w:spacing w:before="20" w:after="20"/>
        <w:ind w:left="700"/>
      </w:pPr>
      <w:r>
        <w:rPr>
          <w:sz w:val="18"/>
        </w:rPr>
        <w:t>Affectation du résultat de l'exercice 2025.</w:t>
      </w:r>
    </w:p>
    <w:p>
      <w:pPr>
        <w:pStyle w:val="ListBullet"/>
        <w:spacing w:before="20" w:after="20"/>
        <w:ind w:left="700"/>
      </w:pPr>
      <w:r>
        <w:rPr>
          <w:sz w:val="18"/>
        </w:rPr>
        <w:t>Renouvellement des mandats d'administrateurs de Pierre MAGNE et de la société ITWA.</w:t>
      </w:r>
    </w:p>
    <w:p>
      <w:pPr>
        <w:pStyle w:val="ListBullet"/>
        <w:spacing w:before="20" w:after="20"/>
        <w:ind w:left="700"/>
      </w:pPr>
      <w:r>
        <w:rPr>
          <w:sz w:val="18"/>
        </w:rPr>
        <w:t>Fixation des indemnités de fonction pour l'exercice 2026.</w:t>
      </w:r>
    </w:p>
    <w:p>
      <w:pPr>
        <w:ind w:left="400"/>
      </w:pPr>
      <w:r>
        <w:rPr>
          <w:color w:val="B4B4B4"/>
          <w:sz w:val="14"/>
        </w:rPr>
        <w:t xml:space="preserve">· · · · · · · · · · · · · · · · · · · · · · · · · · · · · · </w:t>
      </w:r>
    </w:p>
    <w:p>
      <w:pPr>
        <w:spacing w:before="160"/>
      </w:pPr>
      <w:r>
        <w:rPr>
          <w:b/>
          <w:color w:val="0066CC"/>
          <w:sz w:val="20"/>
        </w:rPr>
        <w:t xml:space="preserve">[3] </w:t>
      </w:r>
      <w:r>
        <w:rPr>
          <w:b/>
          <w:sz w:val="20"/>
        </w:rPr>
        <w:t>20260625   pouvoir personne morale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Ce document est un modèle de délégation de pouvoir pour l'Assemblée Générale Ordinaire de la SITAB. L'assemblée se tiendra le 15 juillet 2026 à la Salle Jewels de la CGECI au Plateau. L'ordre du jour porte notamment sur l'approbation des comptes 2025,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Assemblée Générale Ordinaire de SITAB prévue le mercredi 15 juillet 2026 à la Salle Jewels de la CGECI au Plateau.</w:t>
      </w:r>
    </w:p>
    <w:p>
      <w:pPr>
        <w:pStyle w:val="ListBullet"/>
        <w:spacing w:before="20" w:after="20"/>
        <w:ind w:left="700"/>
      </w:pPr>
      <w:r>
        <w:rPr>
          <w:sz w:val="18"/>
        </w:rPr>
        <w:t>Le document est un formulaire de délégation de pouvoir pour les actionnaires personnes morales.</w:t>
      </w:r>
    </w:p>
    <w:p>
      <w:pPr>
        <w:pStyle w:val="ListBullet"/>
        <w:spacing w:before="20" w:after="20"/>
        <w:ind w:left="700"/>
      </w:pPr>
      <w:r>
        <w:rPr>
          <w:sz w:val="18"/>
        </w:rPr>
        <w:t>L'ordre du jour comprend l'approbation des comptes de l'exercice clos le 31 décembre 2025 et l'affectation du résultat.</w:t>
      </w:r>
    </w:p>
    <w:p>
      <w:pPr>
        <w:pStyle w:val="ListBullet"/>
        <w:spacing w:before="20" w:after="20"/>
        <w:ind w:left="700"/>
      </w:pPr>
      <w:r>
        <w:rPr>
          <w:sz w:val="18"/>
        </w:rPr>
        <w:t>Il est prévu le renouvellement des mandats d'administrateurs de Pierre MAGNE et de la société ITWA.</w:t>
      </w:r>
    </w:p>
    <w:p>
      <w:pPr>
        <w:pStyle w:val="ListBullet"/>
        <w:spacing w:before="20" w:after="20"/>
        <w:ind w:left="700"/>
      </w:pPr>
      <w:r>
        <w:rPr>
          <w:sz w:val="18"/>
        </w:rPr>
        <w:t>Le pouvoir doit être signé avec la mention manuscrite 'Bon pour pouvoir' et remis ou retourné à la SITAB.</w:t>
      </w:r>
    </w:p>
    <w:p/>
    <w:p>
      <w:pPr>
        <w:pStyle w:val="Heading3"/>
      </w:pPr>
      <w:r>
        <w:rPr>
          <w:color w:val="005A32"/>
        </w:rPr>
        <w:t>📋 RAPPORTS &amp; COMMUNIQUÉS OFFICIELS</w:t>
      </w:r>
    </w:p>
    <w:p>
      <w:r>
        <w:rPr>
          <w:i/>
          <w:color w:val="646464"/>
          <w:sz w:val="18"/>
        </w:rPr>
        <w:t>25 rapport(s)/communiqué(s) disponible(s) (affichage des 5 plus récents).</w:t>
      </w:r>
    </w:p>
    <w:p>
      <w:pPr>
        <w:spacing w:before="160"/>
      </w:pPr>
      <w:r>
        <w:rPr>
          <w:b/>
          <w:color w:val="00783C"/>
          <w:sz w:val="20"/>
        </w:rPr>
        <w:t xml:space="preserve">[1] </w:t>
      </w:r>
      <w:r>
        <w:rPr>
          <w:b/>
          <w:sz w:val="20"/>
        </w:rPr>
        <w:t>Rapport d'activités - 2ème trimestre 2026</w:t>
      </w:r>
    </w:p>
    <w:p>
      <w:pPr>
        <w:spacing w:before="20"/>
        <w:ind w:left="400"/>
      </w:pPr>
      <w:r>
        <w:rPr>
          <w:color w:val="505050"/>
          <w:sz w:val="17"/>
        </w:rPr>
        <w:t>Année : 2026  |  Type : Rapport d'activités trimestriel</w:t>
      </w:r>
    </w:p>
    <w:p>
      <w:pPr>
        <w:spacing w:before="20"/>
        <w:ind w:left="400"/>
      </w:pPr>
      <w:r>
        <w:rPr>
          <w:b/>
          <w:sz w:val="18"/>
        </w:rPr>
        <w:t xml:space="preserve">Recommandation source : </w:t>
      </w:r>
      <w:r>
        <w:rPr>
          <w:b/>
          <w:color w:val="646464"/>
          <w:sz w:val="18"/>
        </w:rPr>
        <w:t>{"decision": "conserver", "justification": "La SITAB démontre une stabilité remarquable de ses performances avec une rentabilité nette supérieure à 12 %, dans un environnement économique, réglementaire et concurrentiel difficile. En l'absence d'information sur le cours de Bourse et le dividende dans ce document, une position de conservation paraît la plus prudente en attendant des signaux de croissance plus dynamique des volumes."}</w:t>
      </w:r>
    </w:p>
    <w:p>
      <w:pPr>
        <w:spacing w:before="40"/>
        <w:ind w:left="400"/>
      </w:pPr>
      <w:r>
        <w:rPr>
          <w:sz w:val="18"/>
        </w:rPr>
        <w:t>La SITAB affiche au deuxième trimestre 2026 des performances solides et stables, avec des volumes de ventes en légère hausse de 0,22 % à 1 921,6 millions de tiges. Le chiffre d'affaires s'établit à 70,05 milliards de FCFA, en progression de 1 % par rapport au T2 2025, confirmant la continuité de la dynamique commerciale de la société. Le résultat des activités ordinaires progresse de 4 % à 11,50 milliards de FCFA, témoignant d'une bonne maîtrise des charges d'exploitation. Le résultat net ressort à 8,64 milliards de FCFA, quasi stable (-0,2 %), illustrant une rentabilité élevée et résiliente. Sur l'ensemble des six premiers mois de 2026, la société cumule un chiffre d'affaires de 268,54 mill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'4 488 750 000 FCFA', 'volumes_ventes': '1 921,60 millions de tiges (T2 2026, +0,22 %)', 'ca_cumule_31_12_2025': '268,54 milliards FCFA', 'resultat_activites_ordinaires': '11,50 milliards FCFA (T2 2026, +4 %)', 'resultat_net_cumule_31_12_2025': '36,46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12,3 % (T2 2026) ; 13,6 % (cumul 31/12/2025)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8,64 milliards FCFA (T2 2026)</w:t>
            </w:r>
          </w:p>
        </w:tc>
        <w:tc>
          <w:tcPr>
            <w:tcW w:type="dxa" w:w="2160"/>
          </w:tcPr>
          <w:p>
            <w:r/>
            <w:r>
              <w:rPr>
                <w:b/>
                <w:sz w:val="16"/>
              </w:rPr>
              <w:t>capitaux_propres</w:t>
              <w:br/>
            </w:r>
            <w:r>
              <w:rPr>
                <w:sz w:val="18"/>
              </w:rPr>
              <w:t>None</w:t>
            </w:r>
          </w:p>
        </w:tc>
        <w:tc>
          <w:tcPr>
            <w:tcW w:type="dxa" w:w="2160"/>
          </w:tcPr>
          <w:p>
            <w:r/>
            <w:r>
              <w:rPr>
                <w:b/>
                <w:sz w:val="16"/>
              </w:rPr>
              <w:t>chiffre_affaires</w:t>
              <w:br/>
            </w:r>
            <w:r>
              <w:rPr>
                <w:sz w:val="18"/>
              </w:rPr>
              <w:t>70,05 milliards FCFA (T2 2026)</w:t>
            </w:r>
          </w:p>
        </w:tc>
        <w:tc>
          <w:tcPr>
            <w:tcW w:type="dxa" w:w="2160"/>
          </w:tcPr>
          <w:p/>
        </w:tc>
      </w:tr>
    </w:tbl>
    <w:p/>
    <w:p>
      <w:pPr>
        <w:spacing w:before="60"/>
        <w:ind w:left="400"/>
      </w:pPr>
      <w:r>
        <w:rPr>
          <w:b/>
          <w:sz w:val="18"/>
        </w:rPr>
        <w:t>Points clés :</w:t>
      </w:r>
    </w:p>
    <w:p>
      <w:pPr>
        <w:pStyle w:val="ListBullet"/>
        <w:spacing w:before="20" w:after="20"/>
        <w:ind w:left="700"/>
      </w:pPr>
      <w:r>
        <w:rPr>
          <w:sz w:val="18"/>
        </w:rPr>
        <w:t>Volumes de ventes du T2 2026 en hausse de 0,22 % à 1 921,60 millions de tiges (T2 2025 : 1 917,40 millions), démontrant une stabilité commerciale.</w:t>
      </w:r>
    </w:p>
    <w:p>
      <w:pPr>
        <w:pStyle w:val="ListBullet"/>
        <w:spacing w:before="20" w:after="20"/>
        <w:ind w:left="700"/>
      </w:pPr>
      <w:r>
        <w:rPr>
          <w:sz w:val="18"/>
        </w:rPr>
        <w:t>Chiff d'affaires du T2 2026 en croissance de 1 % à 70,05 milliards de FCFA (T2 2025 : 69,53 milliards), dépassant la barre symbolique des 70 milliards.</w:t>
      </w:r>
    </w:p>
    <w:p>
      <w:pPr>
        <w:pStyle w:val="ListBullet"/>
        <w:spacing w:before="20" w:after="20"/>
        <w:ind w:left="700"/>
      </w:pPr>
      <w:r>
        <w:rPr>
          <w:sz w:val="18"/>
        </w:rPr>
        <w:t>Résultat des activités ordinaires en progression de 4 % à 11,50 milliards de FCFA, reflétant l'amélioration de l'efficacité opérationnelle et la maîtrise des charges.</w:t>
      </w:r>
    </w:p>
    <w:p>
      <w:pPr>
        <w:pStyle w:val="ListBullet"/>
        <w:spacing w:before="20" w:after="20"/>
        <w:ind w:left="700"/>
      </w:pPr>
      <w:r>
        <w:rPr>
          <w:sz w:val="18"/>
        </w:rPr>
        <w:t>Résultat net quasi stable à 8,64 milliards de FCFA (-0,2 %), démontrant une forte résilience de la rentabilité.</w:t>
      </w:r>
    </w:p>
    <w:p>
      <w:pPr>
        <w:pStyle w:val="ListBullet"/>
        <w:spacing w:before="20" w:after="20"/>
        <w:ind w:left="700"/>
      </w:pPr>
      <w:r>
        <w:rPr>
          <w:sz w:val="18"/>
        </w:rPr>
        <w:t>Marge nette trimestrielle élevée, ressortant à environ 12,3 % du chiffre d'affaires, niveau très confortable.</w:t>
      </w:r>
    </w:p>
    <w:p>
      <w:pPr>
        <w:pStyle w:val="ListBullet"/>
        <w:spacing w:before="20" w:after="20"/>
        <w:ind w:left="700"/>
      </w:pPr>
      <w:r>
        <w:rPr>
          <w:sz w:val="18"/>
        </w:rPr>
        <w:t>Cumul au 31/12/2025 (exercice précédent) : chiffre d'affaires de 268,54 milliards de FCFA et résultat net de 36,46 milliards de FCFA, soit une marge nette d'environ 13,6 %.</w:t>
      </w:r>
    </w:p>
    <w:p>
      <w:pPr>
        <w:spacing w:before="40"/>
        <w:ind w:left="400"/>
      </w:pPr>
      <w:r>
        <w:rPr>
          <w:b/>
          <w:color w:val="C05000"/>
          <w:sz w:val="18"/>
        </w:rPr>
        <w:t xml:space="preserve">⚠️ Risques : </w:t>
      </w:r>
      <w:r>
        <w:rPr>
          <w:sz w:val="18"/>
        </w:rPr>
        <w:t xml:space="preserve">["Environnement réglementaire et fiscal contraignant pour l'industrie du tabac (taxes, restrictions publicitaires et sanitaires) pesant sur les volumes à moyen terme.", "Croissance des volumes quasi nulle (+0,22 %), signalant un marché potentiellement saturé et une exposition à la concurrence et au </w:t>
      </w:r>
    </w:p>
    <w:p>
      <w:pPr>
        <w:spacing w:before="40"/>
        <w:ind w:left="400"/>
      </w:pPr>
      <w:r>
        <w:rPr>
          <w:b/>
          <w:color w:val="0064A0"/>
          <w:sz w:val="18"/>
        </w:rPr>
        <w:t xml:space="preserve">🔮 Perspectives : </w:t>
      </w:r>
      <w:r>
        <w:rPr>
          <w:sz w:val="18"/>
        </w:rPr>
        <w:t>Pour la clôture 2026, la direction vise la consolidation des performances commerciales et financières, avec un focus sur le développement des volumes de ventes, l'amélioration continue de l'efficacité opérationnelle et la préservation des équilibres financiers. La trajectoire actuelle laisse présage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forte croissance du chiffre d'affaires et des volumes t\u00e9moigne d'un redressement encourageant de l'activit\u00e9. Cependant, la pression sur les marges n\u00e9cessite une surveillance attentive de l'\u00e9volution des charges."}</w:t>
      </w:r>
    </w:p>
    <w:p>
      <w:pPr>
        <w:spacing w:before="40"/>
        <w:ind w:left="400"/>
      </w:pPr>
      <w:r>
        <w:rPr>
          <w:sz w:val="18"/>
        </w:rPr>
        <w:t>SITAB S.A. présente des résultats mitigés pour le premier trimestre 2026 avec une croissance significative du chiffre d'affaires de 12% à 68,8 milliards FCFA. Les volumes de ventes progressent fortement de 10% démontrant un redressement de la dynamique commerciale après la contraction de 2025. Cependant, les résultats opérationnels et nets reculent respectivement de 6% et 1% en raison de l'augmentation des charges courantes. Le résultat net s'établit à 9,3 milliards FCFA, en légère baisse par rapport aux 9,4 milliards de l'année précédente. La société vise à consolider cette performance et prolonger la dynamique positive sur l'ensemble de l'exercice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'+12%', 'volumes_ventes': '1 883,8 millions de tiges', 'variation_volumes': '+10%', 'resultat_exploitation': '11 640 377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9 265 982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68 842 751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progression de 12% à 68,8 milliards FCFA au T1 2026</w:t>
      </w:r>
    </w:p>
    <w:p>
      <w:pPr>
        <w:pStyle w:val="ListBullet"/>
        <w:spacing w:before="20" w:after="20"/>
        <w:ind w:left="700"/>
      </w:pPr>
      <w:r>
        <w:rPr>
          <w:sz w:val="18"/>
        </w:rPr>
        <w:t>Volumes de ventes en hausse de 10% traduisant un redressement de l'activité commerciale</w:t>
      </w:r>
    </w:p>
    <w:p>
      <w:pPr>
        <w:pStyle w:val="ListBullet"/>
        <w:spacing w:before="20" w:after="20"/>
        <w:ind w:left="700"/>
      </w:pPr>
      <w:r>
        <w:rPr>
          <w:sz w:val="18"/>
        </w:rPr>
        <w:t>Résultat d'exploitation en baisse de 6% à 11,6 milliards FCFA malgré la croissance du CA</w:t>
      </w:r>
    </w:p>
    <w:p>
      <w:pPr>
        <w:pStyle w:val="ListBullet"/>
        <w:spacing w:before="20" w:after="20"/>
        <w:ind w:left="700"/>
      </w:pPr>
      <w:r>
        <w:rPr>
          <w:sz w:val="18"/>
        </w:rPr>
        <w:t>Résultat net stable avec un léger recul de 1% à 9,3 milliards FCFA</w:t>
      </w:r>
    </w:p>
    <w:p>
      <w:pPr>
        <w:pStyle w:val="ListBullet"/>
        <w:spacing w:before="20" w:after="20"/>
        <w:ind w:left="700"/>
      </w:pPr>
      <w:r>
        <w:rPr>
          <w:sz w:val="18"/>
        </w:rPr>
        <w:t>Impact négatif des charges courantes en hausse lié à l'augmentation du niveau d'activité</w:t>
      </w:r>
    </w:p>
    <w:p>
      <w:pPr>
        <w:pStyle w:val="ListBullet"/>
        <w:spacing w:before="20" w:after="20"/>
        <w:ind w:left="700"/>
      </w:pPr>
      <w:r>
        <w:rPr>
          <w:sz w:val="18"/>
        </w:rPr>
        <w:t>Investissements maintenus pour soutenir l'activité commerciale et renforcer les marques</w:t>
      </w:r>
    </w:p>
    <w:p>
      <w:pPr>
        <w:spacing w:before="40"/>
        <w:ind w:left="400"/>
      </w:pPr>
      <w:r>
        <w:rPr>
          <w:b/>
          <w:color w:val="C05000"/>
          <w:sz w:val="18"/>
        </w:rPr>
        <w:t xml:space="preserve">⚠️ Risques : </w:t>
      </w:r>
      <w:r>
        <w:rPr>
          <w:sz w:val="18"/>
        </w:rPr>
        <w:t>["Pression continue sur les marges op\u00e9rationnelles due \u00e0 l'augmentation des charges courantes", "Volatilit\u00e9 r\u00e9glementaire pouvant impacter les prix comme observ\u00e9 en 2025", "Capacit\u00e9 \u00e0 maintenir la dynamique de croissance des volumes sur les trimestres suivants"]</w:t>
      </w:r>
    </w:p>
    <w:p>
      <w:pPr>
        <w:spacing w:before="40"/>
        <w:ind w:left="400"/>
      </w:pPr>
      <w:r>
        <w:rPr>
          <w:b/>
          <w:color w:val="0064A0"/>
          <w:sz w:val="18"/>
        </w:rPr>
        <w:t xml:space="preserve">🔮 Perspectives : </w:t>
      </w:r>
      <w:r>
        <w:rPr>
          <w:sz w:val="18"/>
        </w:rPr>
        <w:t>SITAB vise à consolider les performances du premier trimestre et à prolonger cette dynamique positive sur l'ensemble de l'exercice 2026. La société mise sur le renforcement de la progression des ventes et l'amélioration de son résultat grâce aux investissements commerciaux réalisés.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r\u00e9sultat net et de la tr\u00e9sorerie, la soci\u00e9t\u00e9 maintient une rentabilit\u00e9 positive et propose un dividende attrayant. La hausse du chiffre d'affaires et la solidit\u00e9 des capitaux propres justifient de conserver la valeur."}</w:t>
      </w:r>
    </w:p>
    <w:p>
      <w:pPr>
        <w:spacing w:before="40"/>
        <w:ind w:left="400"/>
      </w:pPr>
      <w:r>
        <w:rPr>
          <w:sz w:val="18"/>
        </w:rPr>
        <w:t>SITAB a réalisé un chiffre d'affaires de 268 milliards FCFA en 2025, en hausse de 25% par rapport à 2024. Le résultat net a baissé à 36,5 milliards FCFA, contre 44,2 milliards précédemment, soit une marge nette en recul à 13,6%. La trésorerie nette a diminué de 48,2 à 30,8 milliards FCFA, mais reste confortable. Le Conseil propose un dividende de 1 940 FCFA par action, traduisant une politique de distribution généreuse. Les capitaux propres demeurent solides à 45,6 milliards FCFA, soutenant la stabilité financière de l'entreprise.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'30,763,290,013 FCFA', 'dettes_financieres': '1,400,000 FCFA', 'capacite_autofinancement': '34,406,839,736 FCFA'}</w:t>
            </w:r>
          </w:p>
        </w:tc>
        <w:tc>
          <w:tcPr>
            <w:tcW w:type="dxa" w:w="2160"/>
          </w:tcPr>
          <w:p>
            <w:pPr>
              <w:ind w:left="100"/>
            </w:pPr>
            <w:r/>
            <w:r>
              <w:rPr>
                <w:b/>
                <w:sz w:val="16"/>
              </w:rPr>
              <w:t>dividende</w:t>
              <w:br/>
            </w:r>
            <w:r>
              <w:rPr>
                <w:sz w:val="18"/>
              </w:rPr>
              <w:t>1,940 FCFA par action</w:t>
            </w:r>
          </w:p>
        </w:tc>
        <w:tc>
          <w:tcPr>
            <w:tcW w:type="dxa" w:w="2160"/>
          </w:tcPr>
          <w:p>
            <w:pPr>
              <w:ind w:left="100"/>
            </w:pPr>
            <w:r/>
            <w:r>
              <w:rPr>
                <w:b/>
                <w:sz w:val="16"/>
              </w:rPr>
              <w:t>marge_nette</w:t>
              <w:br/>
            </w:r>
            <w:r>
              <w:rPr>
                <w:sz w:val="18"/>
              </w:rPr>
              <w:t>13.6%</w:t>
            </w:r>
          </w:p>
        </w:tc>
        <w:tc>
          <w:tcPr>
            <w:tcW w:type="dxa" w:w="2160"/>
          </w:tcPr>
          <w:p>
            <w:pPr>
              <w:ind w:left="100"/>
            </w:pPr>
            <w:r/>
            <w:r>
              <w:rPr>
                <w:b/>
                <w:sz w:val="16"/>
              </w:rPr>
              <w:t>total_actif</w:t>
              <w:br/>
            </w:r>
            <w:r>
              <w:rPr>
                <w:sz w:val="18"/>
              </w:rPr>
              <w:t>75,047,177,792 FCFA</w:t>
            </w:r>
          </w:p>
        </w:tc>
      </w:tr>
      <w:tr>
        <w:tc>
          <w:tcPr>
            <w:tcW w:type="dxa" w:w="2160"/>
          </w:tcPr>
          <w:p>
            <w:r/>
            <w:r>
              <w:rPr>
                <w:b/>
                <w:sz w:val="16"/>
              </w:rPr>
              <w:t>resultat_net</w:t>
              <w:br/>
            </w:r>
            <w:r>
              <w:rPr>
                <w:sz w:val="18"/>
              </w:rPr>
              <w:t>36,463,616,375 FCFA</w:t>
            </w:r>
          </w:p>
        </w:tc>
        <w:tc>
          <w:tcPr>
            <w:tcW w:type="dxa" w:w="2160"/>
          </w:tcPr>
          <w:p>
            <w:r/>
            <w:r>
              <w:rPr>
                <w:b/>
                <w:sz w:val="16"/>
              </w:rPr>
              <w:t>capitaux_propres</w:t>
              <w:br/>
            </w:r>
            <w:r>
              <w:rPr>
                <w:sz w:val="18"/>
              </w:rPr>
              <w:t>45,642,447,915 FCFA</w:t>
            </w:r>
          </w:p>
        </w:tc>
        <w:tc>
          <w:tcPr>
            <w:tcW w:type="dxa" w:w="2160"/>
          </w:tcPr>
          <w:p>
            <w:r/>
            <w:r>
              <w:rPr>
                <w:b/>
                <w:sz w:val="16"/>
              </w:rPr>
              <w:t>chiffre_affaires</w:t>
              <w:br/>
            </w:r>
            <w:r>
              <w:rPr>
                <w:sz w:val="18"/>
              </w:rPr>
              <w:t>268,074,013,096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25,4% à 268,1 milliards FCFA.</w:t>
      </w:r>
    </w:p>
    <w:p>
      <w:pPr>
        <w:pStyle w:val="ListBullet"/>
        <w:spacing w:before="20" w:after="20"/>
        <w:ind w:left="700"/>
      </w:pPr>
      <w:r>
        <w:rPr>
          <w:sz w:val="18"/>
        </w:rPr>
        <w:t>Résultat net en baisse de 17,4% à 36,5 milliards FCFA.</w:t>
      </w:r>
    </w:p>
    <w:p>
      <w:pPr>
        <w:pStyle w:val="ListBullet"/>
        <w:spacing w:before="20" w:after="20"/>
        <w:ind w:left="700"/>
      </w:pPr>
      <w:r>
        <w:rPr>
          <w:sz w:val="18"/>
        </w:rPr>
        <w:t>Dividende proposé de 1 940 FCFA par action.</w:t>
      </w:r>
    </w:p>
    <w:p>
      <w:pPr>
        <w:pStyle w:val="ListBullet"/>
        <w:spacing w:before="20" w:after="20"/>
        <w:ind w:left="700"/>
      </w:pPr>
      <w:r>
        <w:rPr>
          <w:sz w:val="18"/>
        </w:rPr>
        <w:t>Total actif en baisse de 21% à 75,0 milliards FCFA.</w:t>
      </w:r>
    </w:p>
    <w:p>
      <w:pPr>
        <w:pStyle w:val="ListBullet"/>
        <w:spacing w:before="20" w:after="20"/>
        <w:ind w:left="700"/>
      </w:pPr>
      <w:r>
        <w:rPr>
          <w:sz w:val="18"/>
        </w:rPr>
        <w:t>Trésorerie nette en recul à 30,8 milliards FCFA contre 48,2 milliards.</w:t>
      </w:r>
    </w:p>
    <w:p>
      <w:pPr>
        <w:pStyle w:val="ListBullet"/>
        <w:spacing w:before="20" w:after="20"/>
        <w:ind w:left="700"/>
      </w:pPr>
      <w:r>
        <w:rPr>
          <w:sz w:val="18"/>
        </w:rPr>
        <w:t>Capitaux propres solides à 45,6 milliards FCFA.</w:t>
      </w:r>
    </w:p>
    <w:p>
      <w:pPr>
        <w:spacing w:before="40"/>
        <w:ind w:left="400"/>
      </w:pPr>
      <w:r>
        <w:rPr>
          <w:b/>
          <w:color w:val="C05000"/>
          <w:sz w:val="18"/>
        </w:rPr>
        <w:t xml:space="preserve">⚠️ Risques : </w:t>
      </w:r>
      <w:r>
        <w:rPr>
          <w:sz w:val="18"/>
        </w:rPr>
        <w:t>["Baisse de la marge nette due \u00e0 l'augmentation des co\u00fbts d'achat.", "Diminution significative de la tr\u00e9sorerie par rapport \u00e0 l'ann\u00e9e pr\u00e9c\u00e9dente.", "Environnement concurrentiel et r\u00e9glementaire sur le march\u00e9 du tabac en Afrique de l'Ouest."]</w:t>
      </w:r>
    </w:p>
    <w:p>
      <w:pPr>
        <w:spacing w:before="40"/>
        <w:ind w:left="400"/>
      </w:pPr>
      <w:r>
        <w:rPr>
          <w:b/>
          <w:color w:val="0064A0"/>
          <w:sz w:val="18"/>
        </w:rPr>
        <w:t xml:space="preserve">🔮 Perspectives : </w:t>
      </w:r>
      <w:r>
        <w:rPr>
          <w:sz w:val="18"/>
        </w:rPr>
        <w:t>Pour 2026, SITAB devrait capitaliser sur la croissance de son chiffre d'affaires, mais devra maîtriser ses coûts pour restaurer sa rentabilité. Le maintien du dividende pourrait soutenir le cours de l'action, tandis que la solidité du bilan offre une marge de manœuvre pour investir.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 la rentabilit\u00e9 et un environnement fiscal d\u00e9grad\u00e9, la SITAB conserve une structure financi\u00e8re solide, une tr\u00e9sorerie \u00e9lev\u00e9e et propose un dividende attractif de 1 940 FCFA. Les incertitudes r\u00e9glementaires et la pression sur les marges incitent toutefois \u00e0 la prudence avant un renforcement de la position."}</w:t>
      </w:r>
    </w:p>
    <w:p>
      <w:pPr>
        <w:spacing w:before="40"/>
        <w:ind w:left="400"/>
      </w:pPr>
      <w:r>
        <w:rPr>
          <w:sz w:val="18"/>
        </w:rPr>
        <w:t xml:space="preserve">En 2025, la SITAB a réalisé un chiffre d'affaires de 268,5 milliards FCFA, en hausse de 25,3 %, grâce notamment à la progression des volumes de 5,6 %. Malgré cette croissance, la rentabilité s'est fortement dégradée, le résultat net reculant à 36,5 milliards FCFA (-17,5 %), sous l'effet de la hausse des droits d'accise et de la pression fiscale. La marge commerciale est tombée de 29,8 % à 22,7 %, et les charges d'exploitation ont bondi de 68,9 %, affectant le résultat d'exploitation. La structure financière reste solide avec 45,6 milliards FCFA de capitaux propres, 30,8 milliards FCFA de trésorerie et un endettement très faible. Le conseil propose un dividende brut de 1 940 FCFA par action,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{'effectif': '97 personnes', 'tresorerie': '30 763 290 013 FCFA', 'investissements_2025': '165 000 000 FCFA', 'resultat_exploitation': '45 935 264 330 FCFA', 'taux_de_marge_commerciale': '22,7 %', 'investissements_prevus_2026': '452 300 000 FCFA'}</w:t>
            </w:r>
          </w:p>
        </w:tc>
        <w:tc>
          <w:tcPr>
            <w:tcW w:type="dxa" w:w="2160"/>
          </w:tcPr>
          <w:p>
            <w:pPr>
              <w:ind w:left="100"/>
            </w:pPr>
            <w:r/>
            <w:r>
              <w:rPr>
                <w:b/>
                <w:sz w:val="16"/>
              </w:rPr>
              <w:t>dividende</w:t>
              <w:br/>
            </w:r>
            <w:r>
              <w:rPr>
                <w:sz w:val="18"/>
              </w:rPr>
              <w:t>1 940 FCFA par action</w:t>
            </w:r>
          </w:p>
        </w:tc>
        <w:tc>
          <w:tcPr>
            <w:tcW w:type="dxa" w:w="2160"/>
          </w:tcPr>
          <w:p>
            <w:pPr>
              <w:ind w:left="100"/>
            </w:pPr>
            <w:r/>
            <w:r>
              <w:rPr>
                <w:b/>
                <w:sz w:val="16"/>
              </w:rPr>
              <w:t>marge_nette</w:t>
              <w:br/>
            </w:r>
            <w:r>
              <w:rPr>
                <w:sz w:val="18"/>
              </w:rPr>
              <w:t>13,6 %</w:t>
            </w:r>
          </w:p>
        </w:tc>
        <w:tc>
          <w:tcPr>
            <w:tcW w:type="dxa" w:w="2160"/>
          </w:tcPr>
          <w:p>
            <w:pPr>
              <w:ind w:left="100"/>
            </w:pPr>
            <w:r/>
            <w:r>
              <w:rPr>
                <w:b/>
                <w:sz w:val="16"/>
              </w:rPr>
              <w:t>total_actif</w:t>
              <w:br/>
            </w:r>
            <w:r>
              <w:rPr>
                <w:sz w:val="18"/>
              </w:rPr>
              <w:t>75 047 177 792 FCFA</w:t>
            </w:r>
          </w:p>
        </w:tc>
      </w:tr>
      <w:tr>
        <w:tc>
          <w:tcPr>
            <w:tcW w:type="dxa" w:w="2160"/>
          </w:tcPr>
          <w:p>
            <w:r/>
            <w:r>
              <w:rPr>
                <w:b/>
                <w:sz w:val="16"/>
              </w:rPr>
              <w:t>resultat_net</w:t>
              <w:br/>
            </w:r>
            <w:r>
              <w:rPr>
                <w:sz w:val="18"/>
              </w:rPr>
              <w:t>36 463 616 375 FCFA</w:t>
            </w:r>
          </w:p>
        </w:tc>
        <w:tc>
          <w:tcPr>
            <w:tcW w:type="dxa" w:w="2160"/>
          </w:tcPr>
          <w:p>
            <w:r/>
            <w:r>
              <w:rPr>
                <w:b/>
                <w:sz w:val="16"/>
              </w:rPr>
              <w:t>capitaux_propres</w:t>
              <w:br/>
            </w:r>
            <w:r>
              <w:rPr>
                <w:sz w:val="18"/>
              </w:rPr>
              <w:t>45 642 447 915 FCFA</w:t>
            </w:r>
          </w:p>
        </w:tc>
        <w:tc>
          <w:tcPr>
            <w:tcW w:type="dxa" w:w="2160"/>
          </w:tcPr>
          <w:p>
            <w:r/>
            <w:r>
              <w:rPr>
                <w:b/>
                <w:sz w:val="16"/>
              </w:rPr>
              <w:t>chiffre_affaires</w:t>
              <w:br/>
            </w:r>
            <w:r>
              <w:rPr>
                <w:sz w:val="18"/>
              </w:rPr>
              <w:t>268 537 063 096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soutenue de l'activité : chiffre d'affaires de 268,5 milliards FCFA, +25,3 % par rapport à 2024.</w:t>
      </w:r>
    </w:p>
    <w:p>
      <w:pPr>
        <w:pStyle w:val="ListBullet"/>
        <w:spacing w:before="20" w:after="20"/>
        <w:ind w:left="700"/>
      </w:pPr>
      <w:r>
        <w:rPr>
          <w:sz w:val="18"/>
        </w:rPr>
        <w:t>Volumes en hausse de 6 % sur le marché légal, portés par Fine Light (+11 %), malgré une érosion de 75 % des volumes de Fine Duo après son augmentation de prix.</w:t>
      </w:r>
    </w:p>
    <w:p>
      <w:pPr>
        <w:pStyle w:val="ListBullet"/>
        <w:spacing w:before="20" w:after="20"/>
        <w:ind w:left="700"/>
      </w:pPr>
      <w:r>
        <w:rPr>
          <w:sz w:val="18"/>
        </w:rPr>
        <w:t>Résultat net en baisse de 17,5 % à 36,5 milliards FCFA, impacté par la hausse des droits d'accise (49 % à 70 %) et un contrôle fiscal 2025.</w:t>
      </w:r>
    </w:p>
    <w:p>
      <w:pPr>
        <w:pStyle w:val="ListBullet"/>
        <w:spacing w:before="20" w:after="20"/>
        <w:ind w:left="700"/>
      </w:pPr>
      <w:r>
        <w:rPr>
          <w:sz w:val="18"/>
        </w:rPr>
        <w:t>Marge commerciale en net recul : contribution sur ventes de 22,7 % en 2025 contre 29,8 % en 2024.</w:t>
      </w:r>
    </w:p>
    <w:p>
      <w:pPr>
        <w:pStyle w:val="ListBullet"/>
        <w:spacing w:before="20" w:after="20"/>
        <w:ind w:left="700"/>
      </w:pPr>
      <w:r>
        <w:rPr>
          <w:sz w:val="18"/>
        </w:rPr>
        <w:t>Structure financière solide : capitaux propres de 45,6 milliards FCFA, trésorerie de 30,8 milliards FCFA et dettes financières très faibles (0,6 milliard FCFA).</w:t>
      </w:r>
    </w:p>
    <w:p>
      <w:pPr>
        <w:pStyle w:val="ListBullet"/>
        <w:spacing w:before="20" w:after="20"/>
        <w:ind w:left="700"/>
      </w:pPr>
      <w:r>
        <w:rPr>
          <w:sz w:val="18"/>
        </w:rPr>
        <w:t>Dividende proposé de 1 940 FCFA par action, pour un montant total distribué de 34,8 milliards FCFA.</w:t>
      </w:r>
    </w:p>
    <w:p>
      <w:pPr>
        <w:spacing w:before="40"/>
        <w:ind w:left="400"/>
      </w:pPr>
      <w:r>
        <w:rPr>
          <w:b/>
          <w:color w:val="C05000"/>
          <w:sz w:val="18"/>
        </w:rPr>
        <w:t xml:space="preserve">⚠️ Risques : </w:t>
      </w:r>
      <w:r>
        <w:rPr>
          <w:sz w:val="18"/>
        </w:rPr>
        <w:t>["Augmentation des droits d'accise de 49 % \u00e0 70 % et intensification de la pression fiscale, avec un contr\u00f4le fiscal ayant impact\u00e9 les charges 2025.", "Nouvelles exigences r\u00e9glementaires en 2026 : conditionnement neutre, marquage fiscal obligatoire avec sanctions pouvant aller ju</w:t>
      </w:r>
    </w:p>
    <w:p>
      <w:pPr>
        <w:spacing w:before="40"/>
        <w:ind w:left="400"/>
      </w:pPr>
      <w:r>
        <w:rPr>
          <w:b/>
          <w:color w:val="0064A0"/>
          <w:sz w:val="18"/>
        </w:rPr>
        <w:t xml:space="preserve">🔮 Perspectives : </w:t>
      </w:r>
      <w:r>
        <w:rPr>
          <w:sz w:val="18"/>
        </w:rPr>
        <w:t>En 2026, la SITAB entend maintenir des objectifs de croissance ambitieux, appuyée par la loi de finances 2026 qui favorise les fabricants locaux et par l'amélioration des capacités de production de SITAB Industries. Toutefois, l'entrée en vigueur du conditionnement neutre et du marquage fiscal oblig</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d\u00e9gradation des marges, SITAB maintient une rentabilit\u00e9 solide et une politique de dividende attractive. La croissance du chiffre d'affaires t\u00e9moigne d'un positionnement commercial robuste."}</w:t>
      </w:r>
    </w:p>
    <w:p>
      <w:pPr>
        <w:spacing w:before="40"/>
        <w:ind w:left="400"/>
      </w:pPr>
      <w:r>
        <w:rPr>
          <w:sz w:val="18"/>
        </w:rPr>
        <w:t>SITAB affiche une performance contrastée en 2025 avec un chiffre d'affaires en hausse de 24,1% à 268,7 milliards FCFA. Cependant, le résultat net recule de 18,1% à 36,2 milliards FCFA malgré une activité commerciale dynamique. La société maintient une politique de dividende généreuse avec 38,1 milliards FCFA distribués. La trésorerie reste solide à 30,8 milliards FCFA bien qu'en baisse par rapport à 2024. Les marges se dégradent sous l'effet de l'augmentation des coûts opérationnels.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'30,8 milliards FCFA', 'marge_brute': '18,3%', 'taux_distribution': '105%', 'marge_exploitation': '17,1%'}</w:t>
            </w:r>
          </w:p>
        </w:tc>
        <w:tc>
          <w:tcPr>
            <w:tcW w:type="dxa" w:w="2160"/>
          </w:tcPr>
          <w:p>
            <w:pPr>
              <w:ind w:left="100"/>
            </w:pPr>
            <w:r/>
            <w:r>
              <w:rPr>
                <w:b/>
                <w:sz w:val="16"/>
              </w:rPr>
              <w:t>dividende</w:t>
              <w:br/>
            </w:r>
            <w:r>
              <w:rPr>
                <w:sz w:val="18"/>
              </w:rPr>
              <w:t>8 489 FCFA par action</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75,2 milliards FCFA</w:t>
            </w:r>
          </w:p>
        </w:tc>
      </w:tr>
      <w:tr>
        <w:tc>
          <w:tcPr>
            <w:tcW w:type="dxa" w:w="2160"/>
          </w:tcPr>
          <w:p>
            <w:r/>
            <w:r>
              <w:rPr>
                <w:b/>
                <w:sz w:val="16"/>
              </w:rPr>
              <w:t>resultat_net</w:t>
              <w:br/>
            </w:r>
            <w:r>
              <w:rPr>
                <w:sz w:val="18"/>
              </w:rPr>
              <w:t>36,2 milliards FCFA</w:t>
            </w:r>
          </w:p>
        </w:tc>
        <w:tc>
          <w:tcPr>
            <w:tcW w:type="dxa" w:w="2160"/>
          </w:tcPr>
          <w:p>
            <w:r/>
            <w:r>
              <w:rPr>
                <w:b/>
                <w:sz w:val="16"/>
              </w:rPr>
              <w:t>capitaux_propres</w:t>
              <w:br/>
            </w:r>
            <w:r>
              <w:rPr>
                <w:sz w:val="18"/>
              </w:rPr>
              <w:t>45,4 milliards FCFA</w:t>
            </w:r>
          </w:p>
        </w:tc>
        <w:tc>
          <w:tcPr>
            <w:tcW w:type="dxa" w:w="2160"/>
          </w:tcPr>
          <w:p>
            <w:r/>
            <w:r>
              <w:rPr>
                <w:b/>
                <w:sz w:val="16"/>
              </w:rPr>
              <w:t>chiffre_affaires</w:t>
              <w:br/>
            </w:r>
            <w:r>
              <w:rPr>
                <w:sz w:val="18"/>
              </w:rPr>
              <w:t>268,7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24,1% portée par les ventes de marchandises</w:t>
      </w:r>
    </w:p>
    <w:p>
      <w:pPr>
        <w:pStyle w:val="ListBullet"/>
        <w:spacing w:before="20" w:after="20"/>
        <w:ind w:left="700"/>
      </w:pPr>
      <w:r>
        <w:rPr>
          <w:sz w:val="18"/>
        </w:rPr>
        <w:t>Baisse du résultat net de 18,1% à 36,2 milliards FCFA due à l'augmentation des charges</w:t>
      </w:r>
    </w:p>
    <w:p>
      <w:pPr>
        <w:pStyle w:val="ListBullet"/>
        <w:spacing w:before="20" w:after="20"/>
        <w:ind w:left="700"/>
      </w:pPr>
      <w:r>
        <w:rPr>
          <w:sz w:val="18"/>
        </w:rPr>
        <w:t>Détérioration de la marge nette de 20,4% à 13,5%</w:t>
      </w:r>
    </w:p>
    <w:p>
      <w:pPr>
        <w:pStyle w:val="ListBullet"/>
        <w:spacing w:before="20" w:after="20"/>
        <w:ind w:left="700"/>
      </w:pPr>
      <w:r>
        <w:rPr>
          <w:sz w:val="18"/>
        </w:rPr>
        <w:t>Forte augmentation des coûts d'achats de marchandises (+38,2%)</w:t>
      </w:r>
    </w:p>
    <w:p>
      <w:pPr>
        <w:pStyle w:val="ListBullet"/>
        <w:spacing w:before="20" w:after="20"/>
        <w:ind w:left="700"/>
      </w:pPr>
      <w:r>
        <w:rPr>
          <w:sz w:val="18"/>
        </w:rPr>
        <w:t>Politique de dividende attractive avec un taux de distribution de 105%</w:t>
      </w:r>
    </w:p>
    <w:p>
      <w:pPr>
        <w:pStyle w:val="ListBullet"/>
        <w:spacing w:before="20" w:after="20"/>
        <w:ind w:left="700"/>
      </w:pPr>
      <w:r>
        <w:rPr>
          <w:sz w:val="18"/>
        </w:rPr>
        <w:t>Position de trésorerie solide malgré une baisse de 36,2%</w:t>
      </w:r>
    </w:p>
    <w:p>
      <w:pPr>
        <w:spacing w:before="40"/>
        <w:ind w:left="400"/>
      </w:pPr>
      <w:r>
        <w:rPr>
          <w:b/>
          <w:color w:val="C05000"/>
          <w:sz w:val="18"/>
        </w:rPr>
        <w:t xml:space="preserve">⚠️ Risques : </w:t>
      </w:r>
      <w:r>
        <w:rPr>
          <w:sz w:val="18"/>
        </w:rPr>
        <w:t>["Pression sur les marges due \u00e0 l'inflation des co\u00fbts d'approvisionnement", "Politique de dividende non soutenable avec un taux de distribution sup\u00e9rieur \u00e0 100%", "Baisse de la tr\u00e9sorerie qui pourrait affecter la flexibilit\u00e9 financi\u00e8re"]</w:t>
      </w:r>
    </w:p>
    <w:p>
      <w:pPr>
        <w:spacing w:before="40"/>
        <w:ind w:left="400"/>
      </w:pPr>
      <w:r>
        <w:rPr>
          <w:b/>
          <w:color w:val="0064A0"/>
          <w:sz w:val="18"/>
        </w:rPr>
        <w:t xml:space="preserve">🔮 Perspectives : </w:t>
      </w:r>
      <w:r>
        <w:rPr>
          <w:sz w:val="18"/>
        </w:rPr>
        <w:t>La société devra arbitrer entre maintien de sa généreuse politique de dividende et préservation de ses équilibres financiers. L'enjeu sera de restaurer les marges dans un environnement de coûts élevés tout en capitalisant sur la dynamique commerciale positive.</w:t>
      </w:r>
    </w:p>
    <w:p/>
    <w:p>
      <w:r>
        <w:t>════════════════════════════════════════════════════════════════════════════════</w:t>
      </w:r>
    </w:p>
    <w:p>
      <w:r>
        <w:br w:type="page"/>
      </w:r>
    </w:p>
    <w:p>
      <w:pPr>
        <w:pStyle w:val="Heading2"/>
        <w:spacing w:before="360"/>
      </w:pPr>
      <w:r>
        <w:rPr>
          <w:color w:val="0066CC"/>
        </w:rPr>
        <w:t>45. TTLC - TTLC - TOTAL ENERGIES MARKETING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TTLC</w:t>
            </w:r>
          </w:p>
          <w:p>
            <w:r>
              <w:rPr>
                <w:b/>
                <w:color w:val="323250"/>
                <w:sz w:val="16"/>
              </w:rPr>
              <w:t xml:space="preserve">Société : </w:t>
            </w:r>
            <w:r>
              <w:rPr>
                <w:color w:val="000000"/>
                <w:sz w:val="16"/>
              </w:rPr>
              <w:t>TTLC - TOTAL ENERGIES MARKETING COTE D'I...</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188.88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6,821 titres</w:t>
            </w:r>
          </w:p>
        </w:tc>
        <w:tc>
          <w:tcPr>
            <w:tcW w:type="dxa" w:w="2268"/>
            <w:shd w:fill="FFF2CC" w:val="clear"/>
          </w:tcPr>
          <w:p>
            <w:r>
              <w:rPr>
                <w:b/>
                <w:color w:val="503200"/>
                <w:sz w:val="16"/>
              </w:rPr>
              <w:t xml:space="preserve">Cours actuel : </w:t>
            </w:r>
            <w:r>
              <w:rPr>
                <w:color w:val="000000"/>
                <w:sz w:val="17"/>
              </w:rPr>
              <w:t>3,000 FCFA</w:t>
            </w:r>
          </w:p>
          <w:p>
            <w:r>
              <w:rPr>
                <w:b/>
                <w:color w:val="503200"/>
                <w:sz w:val="16"/>
              </w:rPr>
              <w:t xml:space="preserve">Var. 100 jours : </w:t>
            </w:r>
            <w:r>
              <w:rPr>
                <w:b/>
                <w:color w:val="007800"/>
                <w:sz w:val="17"/>
              </w:rPr>
              <w:t>+4.35%</w:t>
            </w:r>
          </w:p>
          <w:p>
            <w:r>
              <w:rPr>
                <w:b/>
                <w:color w:val="503200"/>
                <w:sz w:val="16"/>
              </w:rPr>
              <w:t xml:space="preserve">Plus haut 100j : </w:t>
            </w:r>
            <w:r>
              <w:rPr>
                <w:color w:val="000000"/>
                <w:sz w:val="17"/>
              </w:rPr>
              <w:t>3,595 FCFA</w:t>
            </w:r>
          </w:p>
          <w:p>
            <w:r>
              <w:rPr>
                <w:b/>
                <w:color w:val="503200"/>
                <w:sz w:val="16"/>
              </w:rPr>
              <w:t xml:space="preserve">Plus bas 100j : </w:t>
            </w:r>
            <w:r>
              <w:rPr>
                <w:color w:val="000000"/>
                <w:sz w:val="17"/>
              </w:rPr>
              <w:t>2,770 FCFA</w:t>
            </w:r>
          </w:p>
          <w:p>
            <w:r>
              <w:rPr>
                <w:b/>
                <w:color w:val="503200"/>
                <w:sz w:val="16"/>
              </w:rPr>
              <w:t xml:space="preserve">Volatilité ann. : </w:t>
            </w:r>
            <w:r>
              <w:rPr>
                <w:color w:val="000000"/>
                <w:sz w:val="17"/>
              </w:rPr>
              <w:t>43.6%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6.26% (Moyenne) — μ=3,031 FCFA, σ=190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β=0.1398 (Défensif) — Cov=0.000010, Var(idx)=0.000075, ρ=0.045,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6,821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σ_j=2.75%/j (Stable) — Vol. annualisée≈43.6%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47" name="Picture 47"/>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2026-10-16</w:t>
            </w:r>
          </w:p>
        </w:tc>
        <w:tc>
          <w:tcPr>
            <w:tcW w:type="dxa" w:w="1440"/>
            <w:shd w:fill="FAFAFA" w:val="clear"/>
          </w:tcPr>
          <w:p>
            <w:r>
              <w:rPr>
                <w:sz w:val="17"/>
              </w:rPr>
              <w:t>2,861</w:t>
            </w:r>
          </w:p>
        </w:tc>
        <w:tc>
          <w:tcPr>
            <w:tcW w:type="dxa" w:w="1440"/>
            <w:shd w:fill="FAFAFA" w:val="clear"/>
          </w:tcPr>
          <w:p>
            <w:r>
              <w:rPr>
                <w:b/>
                <w:sz w:val="17"/>
              </w:rPr>
              <w:t>2,992</w:t>
            </w:r>
          </w:p>
        </w:tc>
        <w:tc>
          <w:tcPr>
            <w:tcW w:type="dxa" w:w="1440"/>
            <w:shd w:fill="FAFAFA" w:val="clear"/>
          </w:tcPr>
          <w:p>
            <w:r>
              <w:rPr>
                <w:sz w:val="17"/>
              </w:rPr>
              <w:t>3,124</w:t>
            </w:r>
          </w:p>
        </w:tc>
        <w:tc>
          <w:tcPr>
            <w:tcW w:type="dxa" w:w="1440"/>
            <w:shd w:fill="FAFAFA" w:val="clear"/>
          </w:tcPr>
          <w:p>
            <w:r>
              <w:rPr>
                <w:b/>
                <w:color w:val="C00000"/>
                <w:sz w:val="17"/>
              </w:rPr>
              <w:t>-0.3%</w:t>
            </w:r>
          </w:p>
        </w:tc>
      </w:tr>
      <w:tr>
        <w:tc>
          <w:tcPr>
            <w:tcW w:type="dxa" w:w="1440"/>
            <w:shd w:fill="FAFAFA" w:val="clear"/>
          </w:tcPr>
          <w:p>
            <w:r>
              <w:rPr>
                <w:sz w:val="17"/>
              </w:rPr>
              <w:t>J+2  ⭐</w:t>
            </w:r>
          </w:p>
        </w:tc>
        <w:tc>
          <w:tcPr>
            <w:tcW w:type="dxa" w:w="1440"/>
            <w:shd w:fill="FAFAFA" w:val="clear"/>
          </w:tcPr>
          <w:p>
            <w:r>
              <w:rPr>
                <w:sz w:val="17"/>
              </w:rPr>
              <w:t>2026-10-19</w:t>
            </w:r>
          </w:p>
        </w:tc>
        <w:tc>
          <w:tcPr>
            <w:tcW w:type="dxa" w:w="1440"/>
            <w:shd w:fill="FAFAFA" w:val="clear"/>
          </w:tcPr>
          <w:p>
            <w:r>
              <w:rPr>
                <w:sz w:val="17"/>
              </w:rPr>
              <w:t>2,799</w:t>
            </w:r>
          </w:p>
        </w:tc>
        <w:tc>
          <w:tcPr>
            <w:tcW w:type="dxa" w:w="1440"/>
            <w:shd w:fill="FAFAFA" w:val="clear"/>
          </w:tcPr>
          <w:p>
            <w:r>
              <w:rPr>
                <w:b/>
                <w:sz w:val="17"/>
              </w:rPr>
              <w:t>2,985</w:t>
            </w:r>
          </w:p>
        </w:tc>
        <w:tc>
          <w:tcPr>
            <w:tcW w:type="dxa" w:w="1440"/>
            <w:shd w:fill="FAFAFA" w:val="clear"/>
          </w:tcPr>
          <w:p>
            <w:r>
              <w:rPr>
                <w:sz w:val="17"/>
              </w:rPr>
              <w:t>3,171</w:t>
            </w:r>
          </w:p>
        </w:tc>
        <w:tc>
          <w:tcPr>
            <w:tcW w:type="dxa" w:w="1440"/>
            <w:shd w:fill="FAFAFA" w:val="clear"/>
          </w:tcPr>
          <w:p>
            <w:r>
              <w:rPr>
                <w:b/>
                <w:color w:val="C00000"/>
                <w:sz w:val="17"/>
              </w:rPr>
              <w:t>-0.5%</w:t>
            </w:r>
          </w:p>
        </w:tc>
      </w:tr>
      <w:tr>
        <w:tc>
          <w:tcPr>
            <w:tcW w:type="dxa" w:w="1440"/>
            <w:shd w:fill="FAFAFA" w:val="clear"/>
          </w:tcPr>
          <w:p>
            <w:r>
              <w:rPr>
                <w:sz w:val="17"/>
              </w:rPr>
              <w:t>J+3  ⭐</w:t>
            </w:r>
          </w:p>
        </w:tc>
        <w:tc>
          <w:tcPr>
            <w:tcW w:type="dxa" w:w="1440"/>
            <w:shd w:fill="FAFAFA" w:val="clear"/>
          </w:tcPr>
          <w:p>
            <w:r>
              <w:rPr>
                <w:sz w:val="17"/>
              </w:rPr>
              <w:t>2026-10-20</w:t>
            </w:r>
          </w:p>
        </w:tc>
        <w:tc>
          <w:tcPr>
            <w:tcW w:type="dxa" w:w="1440"/>
            <w:shd w:fill="FAFAFA" w:val="clear"/>
          </w:tcPr>
          <w:p>
            <w:r>
              <w:rPr>
                <w:sz w:val="17"/>
              </w:rPr>
              <w:t>2,756</w:t>
            </w:r>
          </w:p>
        </w:tc>
        <w:tc>
          <w:tcPr>
            <w:tcW w:type="dxa" w:w="1440"/>
            <w:shd w:fill="FAFAFA" w:val="clear"/>
          </w:tcPr>
          <w:p>
            <w:r>
              <w:rPr>
                <w:b/>
                <w:sz w:val="17"/>
              </w:rPr>
              <w:t>2,984</w:t>
            </w:r>
          </w:p>
        </w:tc>
        <w:tc>
          <w:tcPr>
            <w:tcW w:type="dxa" w:w="1440"/>
            <w:shd w:fill="FAFAFA" w:val="clear"/>
          </w:tcPr>
          <w:p>
            <w:r>
              <w:rPr>
                <w:sz w:val="17"/>
              </w:rPr>
              <w:t>3,211</w:t>
            </w:r>
          </w:p>
        </w:tc>
        <w:tc>
          <w:tcPr>
            <w:tcW w:type="dxa" w:w="1440"/>
            <w:shd w:fill="FAFAFA" w:val="clear"/>
          </w:tcPr>
          <w:p>
            <w:r>
              <w:rPr>
                <w:b/>
                <w:color w:val="C00000"/>
                <w:sz w:val="17"/>
              </w:rPr>
              <w:t>-0.5%</w:t>
            </w:r>
          </w:p>
        </w:tc>
      </w:tr>
      <w:tr>
        <w:tc>
          <w:tcPr>
            <w:tcW w:type="dxa" w:w="1440"/>
            <w:shd w:fill="FAFAFA" w:val="clear"/>
          </w:tcPr>
          <w:p>
            <w:r>
              <w:rPr>
                <w:sz w:val="17"/>
              </w:rPr>
              <w:t>J+4  ⭐</w:t>
            </w:r>
          </w:p>
        </w:tc>
        <w:tc>
          <w:tcPr>
            <w:tcW w:type="dxa" w:w="1440"/>
            <w:shd w:fill="FAFAFA" w:val="clear"/>
          </w:tcPr>
          <w:p>
            <w:r>
              <w:rPr>
                <w:sz w:val="17"/>
              </w:rPr>
              <w:t>2026-10-21</w:t>
            </w:r>
          </w:p>
        </w:tc>
        <w:tc>
          <w:tcPr>
            <w:tcW w:type="dxa" w:w="1440"/>
            <w:shd w:fill="FAFAFA" w:val="clear"/>
          </w:tcPr>
          <w:p>
            <w:r>
              <w:rPr>
                <w:sz w:val="17"/>
              </w:rPr>
              <w:t>2,718</w:t>
            </w:r>
          </w:p>
        </w:tc>
        <w:tc>
          <w:tcPr>
            <w:tcW w:type="dxa" w:w="1440"/>
            <w:shd w:fill="FAFAFA" w:val="clear"/>
          </w:tcPr>
          <w:p>
            <w:r>
              <w:rPr>
                <w:b/>
                <w:sz w:val="17"/>
              </w:rPr>
              <w:t>2,980</w:t>
            </w:r>
          </w:p>
        </w:tc>
        <w:tc>
          <w:tcPr>
            <w:tcW w:type="dxa" w:w="1440"/>
            <w:shd w:fill="FAFAFA" w:val="clear"/>
          </w:tcPr>
          <w:p>
            <w:r>
              <w:rPr>
                <w:sz w:val="17"/>
              </w:rPr>
              <w:t>3,243</w:t>
            </w:r>
          </w:p>
        </w:tc>
        <w:tc>
          <w:tcPr>
            <w:tcW w:type="dxa" w:w="1440"/>
            <w:shd w:fill="FAFAFA" w:val="clear"/>
          </w:tcPr>
          <w:p>
            <w:r>
              <w:rPr>
                <w:b/>
                <w:color w:val="C00000"/>
                <w:sz w:val="17"/>
              </w:rPr>
              <w:t>-0.7%</w:t>
            </w:r>
          </w:p>
        </w:tc>
      </w:tr>
      <w:tr>
        <w:tc>
          <w:tcPr>
            <w:tcW w:type="dxa" w:w="1440"/>
            <w:shd w:fill="FAFAFA" w:val="clear"/>
          </w:tcPr>
          <w:p>
            <w:r>
              <w:rPr>
                <w:sz w:val="17"/>
              </w:rPr>
              <w:t>J+5  ⭐</w:t>
            </w:r>
          </w:p>
        </w:tc>
        <w:tc>
          <w:tcPr>
            <w:tcW w:type="dxa" w:w="1440"/>
            <w:shd w:fill="FAFAFA" w:val="clear"/>
          </w:tcPr>
          <w:p>
            <w:r>
              <w:rPr>
                <w:sz w:val="17"/>
              </w:rPr>
              <w:t>2026-10-22</w:t>
            </w:r>
          </w:p>
        </w:tc>
        <w:tc>
          <w:tcPr>
            <w:tcW w:type="dxa" w:w="1440"/>
            <w:shd w:fill="FAFAFA" w:val="clear"/>
          </w:tcPr>
          <w:p>
            <w:r>
              <w:rPr>
                <w:sz w:val="17"/>
              </w:rPr>
              <w:t>2,683</w:t>
            </w:r>
          </w:p>
        </w:tc>
        <w:tc>
          <w:tcPr>
            <w:tcW w:type="dxa" w:w="1440"/>
            <w:shd w:fill="FAFAFA" w:val="clear"/>
          </w:tcPr>
          <w:p>
            <w:r>
              <w:rPr>
                <w:b/>
                <w:sz w:val="17"/>
              </w:rPr>
              <w:t>2,976</w:t>
            </w:r>
          </w:p>
        </w:tc>
        <w:tc>
          <w:tcPr>
            <w:tcW w:type="dxa" w:w="1440"/>
            <w:shd w:fill="FAFAFA" w:val="clear"/>
          </w:tcPr>
          <w:p>
            <w:r>
              <w:rPr>
                <w:sz w:val="17"/>
              </w:rPr>
              <w:t>3,270</w:t>
            </w:r>
          </w:p>
        </w:tc>
        <w:tc>
          <w:tcPr>
            <w:tcW w:type="dxa" w:w="1440"/>
            <w:shd w:fill="FAFAFA" w:val="clear"/>
          </w:tcPr>
          <w:p>
            <w:r>
              <w:rPr>
                <w:b/>
                <w:color w:val="C00000"/>
                <w:sz w:val="17"/>
              </w:rPr>
              <w:t>-0.8%</w:t>
            </w:r>
          </w:p>
        </w:tc>
      </w:tr>
      <w:tr>
        <w:tc>
          <w:tcPr>
            <w:tcW w:type="dxa" w:w="1440"/>
            <w:shd w:fill="FAFAFA" w:val="clear"/>
          </w:tcPr>
          <w:p>
            <w:r>
              <w:rPr>
                <w:sz w:val="17"/>
              </w:rPr>
              <w:t>J+6  ⭐</w:t>
            </w:r>
          </w:p>
        </w:tc>
        <w:tc>
          <w:tcPr>
            <w:tcW w:type="dxa" w:w="1440"/>
            <w:shd w:fill="FAFAFA" w:val="clear"/>
          </w:tcPr>
          <w:p>
            <w:r>
              <w:rPr>
                <w:sz w:val="17"/>
              </w:rPr>
              <w:t>2026-10-23</w:t>
            </w:r>
          </w:p>
        </w:tc>
        <w:tc>
          <w:tcPr>
            <w:tcW w:type="dxa" w:w="1440"/>
            <w:shd w:fill="FAFAFA" w:val="clear"/>
          </w:tcPr>
          <w:p>
            <w:r>
              <w:rPr>
                <w:sz w:val="17"/>
              </w:rPr>
              <w:t>2,651</w:t>
            </w:r>
          </w:p>
        </w:tc>
        <w:tc>
          <w:tcPr>
            <w:tcW w:type="dxa" w:w="1440"/>
            <w:shd w:fill="FAFAFA" w:val="clear"/>
          </w:tcPr>
          <w:p>
            <w:r>
              <w:rPr>
                <w:b/>
                <w:sz w:val="17"/>
              </w:rPr>
              <w:t>2,972</w:t>
            </w:r>
          </w:p>
        </w:tc>
        <w:tc>
          <w:tcPr>
            <w:tcW w:type="dxa" w:w="1440"/>
            <w:shd w:fill="FAFAFA" w:val="clear"/>
          </w:tcPr>
          <w:p>
            <w:r>
              <w:rPr>
                <w:sz w:val="17"/>
              </w:rPr>
              <w:t>3,293</w:t>
            </w:r>
          </w:p>
        </w:tc>
        <w:tc>
          <w:tcPr>
            <w:tcW w:type="dxa" w:w="1440"/>
            <w:shd w:fill="FAFAFA" w:val="clear"/>
          </w:tcPr>
          <w:p>
            <w:r>
              <w:rPr>
                <w:b/>
                <w:color w:val="C00000"/>
                <w:sz w:val="17"/>
              </w:rPr>
              <w:t>-0.9%</w:t>
            </w:r>
          </w:p>
        </w:tc>
      </w:tr>
      <w:tr>
        <w:tc>
          <w:tcPr>
            <w:tcW w:type="dxa" w:w="1440"/>
            <w:shd w:fill="FAFAFA" w:val="clear"/>
          </w:tcPr>
          <w:p>
            <w:r>
              <w:rPr>
                <w:sz w:val="17"/>
              </w:rPr>
              <w:t>J+7  ⭐</w:t>
            </w:r>
          </w:p>
        </w:tc>
        <w:tc>
          <w:tcPr>
            <w:tcW w:type="dxa" w:w="1440"/>
            <w:shd w:fill="FAFAFA" w:val="clear"/>
          </w:tcPr>
          <w:p>
            <w:r>
              <w:rPr>
                <w:sz w:val="17"/>
              </w:rPr>
              <w:t>2026-10-26</w:t>
            </w:r>
          </w:p>
        </w:tc>
        <w:tc>
          <w:tcPr>
            <w:tcW w:type="dxa" w:w="1440"/>
            <w:shd w:fill="FAFAFA" w:val="clear"/>
          </w:tcPr>
          <w:p>
            <w:r>
              <w:rPr>
                <w:sz w:val="17"/>
              </w:rPr>
              <w:t>2,621</w:t>
            </w:r>
          </w:p>
        </w:tc>
        <w:tc>
          <w:tcPr>
            <w:tcW w:type="dxa" w:w="1440"/>
            <w:shd w:fill="FAFAFA" w:val="clear"/>
          </w:tcPr>
          <w:p>
            <w:r>
              <w:rPr>
                <w:b/>
                <w:sz w:val="17"/>
              </w:rPr>
              <w:t>2,967</w:t>
            </w:r>
          </w:p>
        </w:tc>
        <w:tc>
          <w:tcPr>
            <w:tcW w:type="dxa" w:w="1440"/>
            <w:shd w:fill="FAFAFA" w:val="clear"/>
          </w:tcPr>
          <w:p>
            <w:r>
              <w:rPr>
                <w:sz w:val="17"/>
              </w:rPr>
              <w:t>3,313</w:t>
            </w:r>
          </w:p>
        </w:tc>
        <w:tc>
          <w:tcPr>
            <w:tcW w:type="dxa" w:w="1440"/>
            <w:shd w:fill="FAFAFA" w:val="clear"/>
          </w:tcPr>
          <w:p>
            <w:r>
              <w:rPr>
                <w:b/>
                <w:color w:val="C00000"/>
                <w:sz w:val="17"/>
              </w:rPr>
              <w:t>-1.1%</w:t>
            </w:r>
          </w:p>
        </w:tc>
      </w:tr>
      <w:tr>
        <w:tc>
          <w:tcPr>
            <w:tcW w:type="dxa" w:w="1440"/>
            <w:shd w:fill="FAFAFA" w:val="clear"/>
          </w:tcPr>
          <w:p>
            <w:r>
              <w:rPr>
                <w:sz w:val="17"/>
              </w:rPr>
              <w:t>J+8  ⭐</w:t>
            </w:r>
          </w:p>
        </w:tc>
        <w:tc>
          <w:tcPr>
            <w:tcW w:type="dxa" w:w="1440"/>
            <w:shd w:fill="FAFAFA" w:val="clear"/>
          </w:tcPr>
          <w:p>
            <w:r>
              <w:rPr>
                <w:sz w:val="17"/>
              </w:rPr>
              <w:t>2026-10-27</w:t>
            </w:r>
          </w:p>
        </w:tc>
        <w:tc>
          <w:tcPr>
            <w:tcW w:type="dxa" w:w="1440"/>
            <w:shd w:fill="FAFAFA" w:val="clear"/>
          </w:tcPr>
          <w:p>
            <w:r>
              <w:rPr>
                <w:sz w:val="17"/>
              </w:rPr>
              <w:t>2,593</w:t>
            </w:r>
          </w:p>
        </w:tc>
        <w:tc>
          <w:tcPr>
            <w:tcW w:type="dxa" w:w="1440"/>
            <w:shd w:fill="FAFAFA" w:val="clear"/>
          </w:tcPr>
          <w:p>
            <w:r>
              <w:rPr>
                <w:b/>
                <w:sz w:val="17"/>
              </w:rPr>
              <w:t>2,963</w:t>
            </w:r>
          </w:p>
        </w:tc>
        <w:tc>
          <w:tcPr>
            <w:tcW w:type="dxa" w:w="1440"/>
            <w:shd w:fill="FAFAFA" w:val="clear"/>
          </w:tcPr>
          <w:p>
            <w:r>
              <w:rPr>
                <w:sz w:val="17"/>
              </w:rPr>
              <w:t>3,332</w:t>
            </w:r>
          </w:p>
        </w:tc>
        <w:tc>
          <w:tcPr>
            <w:tcW w:type="dxa" w:w="1440"/>
            <w:shd w:fill="FAFAFA" w:val="clear"/>
          </w:tcPr>
          <w:p>
            <w:r>
              <w:rPr>
                <w:b/>
                <w:color w:val="C00000"/>
                <w:sz w:val="17"/>
              </w:rPr>
              <w:t>-1.2%</w:t>
            </w:r>
          </w:p>
        </w:tc>
      </w:tr>
      <w:tr>
        <w:tc>
          <w:tcPr>
            <w:tcW w:type="dxa" w:w="1440"/>
            <w:shd w:fill="FAFAFA" w:val="clear"/>
          </w:tcPr>
          <w:p>
            <w:r>
              <w:rPr>
                <w:sz w:val="17"/>
              </w:rPr>
              <w:t>J+9  ⭐</w:t>
            </w:r>
          </w:p>
        </w:tc>
        <w:tc>
          <w:tcPr>
            <w:tcW w:type="dxa" w:w="1440"/>
            <w:shd w:fill="FAFAFA" w:val="clear"/>
          </w:tcPr>
          <w:p>
            <w:r>
              <w:rPr>
                <w:sz w:val="17"/>
              </w:rPr>
              <w:t>2026-10-28</w:t>
            </w:r>
          </w:p>
        </w:tc>
        <w:tc>
          <w:tcPr>
            <w:tcW w:type="dxa" w:w="1440"/>
            <w:shd w:fill="FAFAFA" w:val="clear"/>
          </w:tcPr>
          <w:p>
            <w:r>
              <w:rPr>
                <w:sz w:val="17"/>
              </w:rPr>
              <w:t>2,567</w:t>
            </w:r>
          </w:p>
        </w:tc>
        <w:tc>
          <w:tcPr>
            <w:tcW w:type="dxa" w:w="1440"/>
            <w:shd w:fill="FAFAFA" w:val="clear"/>
          </w:tcPr>
          <w:p>
            <w:r>
              <w:rPr>
                <w:b/>
                <w:sz w:val="17"/>
              </w:rPr>
              <w:t>2,958</w:t>
            </w:r>
          </w:p>
        </w:tc>
        <w:tc>
          <w:tcPr>
            <w:tcW w:type="dxa" w:w="1440"/>
            <w:shd w:fill="FAFAFA" w:val="clear"/>
          </w:tcPr>
          <w:p>
            <w:r>
              <w:rPr>
                <w:sz w:val="17"/>
              </w:rPr>
              <w:t>3,349</w:t>
            </w:r>
          </w:p>
        </w:tc>
        <w:tc>
          <w:tcPr>
            <w:tcW w:type="dxa" w:w="1440"/>
            <w:shd w:fill="FAFAFA" w:val="clear"/>
          </w:tcPr>
          <w:p>
            <w:r>
              <w:rPr>
                <w:b/>
                <w:color w:val="C00000"/>
                <w:sz w:val="17"/>
              </w:rPr>
              <w:t>-1.4%</w:t>
            </w:r>
          </w:p>
        </w:tc>
      </w:tr>
      <w:tr>
        <w:tc>
          <w:tcPr>
            <w:tcW w:type="dxa" w:w="1440"/>
            <w:shd w:fill="FAFAFA" w:val="clear"/>
          </w:tcPr>
          <w:p>
            <w:r>
              <w:rPr>
                <w:sz w:val="17"/>
              </w:rPr>
              <w:t>J+10  ⭐</w:t>
            </w:r>
          </w:p>
        </w:tc>
        <w:tc>
          <w:tcPr>
            <w:tcW w:type="dxa" w:w="1440"/>
            <w:shd w:fill="FAFAFA" w:val="clear"/>
          </w:tcPr>
          <w:p>
            <w:r>
              <w:rPr>
                <w:sz w:val="17"/>
              </w:rPr>
              <w:t>2026-10-29</w:t>
            </w:r>
          </w:p>
        </w:tc>
        <w:tc>
          <w:tcPr>
            <w:tcW w:type="dxa" w:w="1440"/>
            <w:shd w:fill="FAFAFA" w:val="clear"/>
          </w:tcPr>
          <w:p>
            <w:r>
              <w:rPr>
                <w:sz w:val="17"/>
              </w:rPr>
              <w:t>2,542</w:t>
            </w:r>
          </w:p>
        </w:tc>
        <w:tc>
          <w:tcPr>
            <w:tcW w:type="dxa" w:w="1440"/>
            <w:shd w:fill="FAFAFA" w:val="clear"/>
          </w:tcPr>
          <w:p>
            <w:r>
              <w:rPr>
                <w:b/>
                <w:sz w:val="17"/>
              </w:rPr>
              <w:t>2,954</w:t>
            </w:r>
          </w:p>
        </w:tc>
        <w:tc>
          <w:tcPr>
            <w:tcW w:type="dxa" w:w="1440"/>
            <w:shd w:fill="FAFAFA" w:val="clear"/>
          </w:tcPr>
          <w:p>
            <w:r>
              <w:rPr>
                <w:sz w:val="17"/>
              </w:rPr>
              <w:t>3,366</w:t>
            </w:r>
          </w:p>
        </w:tc>
        <w:tc>
          <w:tcPr>
            <w:tcW w:type="dxa" w:w="1440"/>
            <w:shd w:fill="FAFAFA" w:val="clear"/>
          </w:tcPr>
          <w:p>
            <w:r>
              <w:rPr>
                <w:b/>
                <w:color w:val="C00000"/>
                <w:sz w:val="17"/>
              </w:rPr>
              <w:t>-1.5%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Stocks</w:t>
            </w:r>
          </w:p>
        </w:tc>
        <w:tc>
          <w:tcPr>
            <w:tcW w:type="dxa" w:w="1984"/>
            <w:shd w:fill="C6EFCE" w:val="clear"/>
          </w:tcPr>
          <w:p>
            <w:r>
              <w:rPr>
                <w:b/>
                <w:color w:val="006400"/>
                <w:sz w:val="17"/>
              </w:rPr>
              <w:t>19.634 Mds FCFA</w:t>
            </w:r>
          </w:p>
        </w:tc>
        <w:tc>
          <w:tcPr>
            <w:tcW w:type="dxa" w:w="5669"/>
            <w:shd w:fill="FFFFFF" w:val="clear"/>
          </w:tcPr>
          <w:p>
            <w:r>
              <w:rPr>
                <w:color w:val="282828"/>
                <w:sz w:val="15"/>
              </w:rPr>
              <w:t>Rotation stocks = 30.0x/an.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108.382 Mds FCFA</w:t>
            </w:r>
          </w:p>
        </w:tc>
        <w:tc>
          <w:tcPr>
            <w:tcW w:type="dxa" w:w="5669"/>
            <w:shd w:fill="FFFFFF" w:val="clear"/>
          </w:tcPr>
          <w:p>
            <w:r>
              <w:rPr>
                <w:color w:val="282828"/>
                <w:sz w:val="15"/>
              </w:rPr>
              <w:t>Ratio actif circ./passif circ. = 0.92x.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2.168 Mds FCFA</w:t>
            </w:r>
          </w:p>
        </w:tc>
        <w:tc>
          <w:tcPr>
            <w:tcW w:type="dxa" w:w="5669"/>
            <w:shd w:fill="FFFFFF" w:val="clear"/>
          </w:tcPr>
          <w:p>
            <w:r>
              <w:rPr>
                <w:color w:val="282828"/>
                <w:sz w:val="15"/>
              </w:rPr>
              <w:t>Brevets, logiciels, fonds commercial (1.2%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61.130 Mds FCFA</w:t>
            </w:r>
          </w:p>
        </w:tc>
        <w:tc>
          <w:tcPr>
            <w:tcW w:type="dxa" w:w="5669"/>
            <w:shd w:fill="FFFFFF" w:val="clear"/>
          </w:tcPr>
          <w:p>
            <w:r>
              <w:rPr>
                <w:color w:val="282828"/>
                <w:sz w:val="15"/>
              </w:rPr>
              <w:t>Outil industriel (32.4%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71.239 Mds FCFA</w:t>
            </w:r>
          </w:p>
        </w:tc>
        <w:tc>
          <w:tcPr>
            <w:tcW w:type="dxa" w:w="5669"/>
            <w:shd w:fill="FFFFFF" w:val="clear"/>
          </w:tcPr>
          <w:p>
            <w:r>
              <w:rPr>
                <w:color w:val="282828"/>
                <w:sz w:val="15"/>
              </w:rPr>
              <w:t>Actif immobilisé = 37.8%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8.851 Mds FCFA</w:t>
            </w:r>
          </w:p>
        </w:tc>
        <w:tc>
          <w:tcPr>
            <w:tcW w:type="dxa" w:w="5669"/>
            <w:shd w:fill="FFFFFF" w:val="clear"/>
          </w:tcPr>
          <w:p>
            <w:r>
              <w:rPr>
                <w:color w:val="282828"/>
                <w:sz w:val="15"/>
              </w:rPr>
              <w:t>Liquidités disponibles (4.7%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188.472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3.148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19.934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36.202 Mds FCFA</w:t>
            </w:r>
          </w:p>
        </w:tc>
        <w:tc>
          <w:tcPr>
            <w:tcW w:type="dxa" w:w="5669"/>
            <w:shd w:fill="FFFFFF" w:val="clear"/>
          </w:tcPr>
          <w:p>
            <w:r>
              <w:rPr>
                <w:color w:val="282828"/>
                <w:sz w:val="15"/>
              </w:rPr>
              <w:t>Fonds propres = 19.2%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39.652 Mds FCFA</w:t>
            </w:r>
          </w:p>
        </w:tc>
        <w:tc>
          <w:tcPr>
            <w:tcW w:type="dxa" w:w="5669"/>
            <w:shd w:fill="FFFFFF" w:val="clear"/>
          </w:tcPr>
          <w:p>
            <w:r>
              <w:rPr>
                <w:color w:val="282828"/>
                <w:sz w:val="15"/>
              </w:rPr>
              <w:t>Capitaux permanents / Actif immobilisé = 0.56x.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70.725 Mds FCFA</w:t>
            </w:r>
          </w:p>
        </w:tc>
        <w:tc>
          <w:tcPr>
            <w:tcW w:type="dxa" w:w="5669"/>
            <w:shd w:fill="FFFFFF" w:val="clear"/>
          </w:tcPr>
          <w:p>
            <w:r>
              <w:rPr>
                <w:color w:val="282828"/>
                <w:sz w:val="15"/>
              </w:rPr>
              <w:t>Délai fournisseurs implicite ≈ 44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1.888 Mds FCFA</w:t>
            </w:r>
          </w:p>
        </w:tc>
        <w:tc>
          <w:tcPr>
            <w:tcW w:type="dxa" w:w="5669"/>
            <w:shd w:fill="FFFFFF" w:val="clear"/>
          </w:tcPr>
          <w:p>
            <w:r>
              <w:rPr>
                <w:color w:val="282828"/>
                <w:sz w:val="15"/>
              </w:rPr>
              <w:t>Dette LT/MT = 5%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32.665 Mds FCFA</w:t>
            </w:r>
          </w:p>
        </w:tc>
        <w:tc>
          <w:tcPr>
            <w:tcW w:type="dxa" w:w="5669"/>
            <w:shd w:fill="FFFFFF" w:val="clear"/>
          </w:tcPr>
          <w:p>
            <w:r>
              <w:rPr>
                <w:color w:val="282828"/>
                <w:sz w:val="15"/>
              </w:rPr>
              <w:t>Dette financière totale = 90%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152.270 Mds FCFA</w:t>
            </w:r>
          </w:p>
        </w:tc>
        <w:tc>
          <w:tcPr>
            <w:tcW w:type="dxa" w:w="5669"/>
            <w:shd w:fill="FFFFFF" w:val="clear"/>
          </w:tcPr>
          <w:p>
            <w:r>
              <w:rPr>
                <w:color w:val="282828"/>
                <w:sz w:val="15"/>
              </w:rPr>
              <w:t>Dettes totales = 80.8%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588.709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588.709 Mds FCFA</w:t>
            </w:r>
          </w:p>
        </w:tc>
        <w:tc>
          <w:tcPr>
            <w:tcW w:type="dxa" w:w="5669"/>
            <w:shd w:fill="FFFFFF" w:val="clear"/>
          </w:tcPr>
          <w:p>
            <w:r>
              <w:rPr>
                <w:color w:val="282828"/>
                <w:sz w:val="15"/>
              </w:rPr>
              <w:t>Chiffre d'affaires. Croissance: -5.2%. ❌ CA en baisse — perte de parts de marché ou demande en recul.</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-49.155 Mds FCFA</w:t>
            </w:r>
          </w:p>
        </w:tc>
        <w:tc>
          <w:tcPr>
            <w:tcW w:type="dxa" w:w="5669"/>
            <w:shd w:fill="FFFFFF" w:val="clear"/>
          </w:tcPr>
          <w:p>
            <w:r>
              <w:rPr>
                <w:color w:val="282828"/>
                <w:sz w:val="15"/>
              </w:rPr>
              <w:t>-8.3%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-10.018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-7.206 Mds FCFA</w:t>
            </w:r>
          </w:p>
        </w:tc>
        <w:tc>
          <w:tcPr>
            <w:tcW w:type="dxa" w:w="5669"/>
            <w:shd w:fill="FFFFFF" w:val="clear"/>
          </w:tcPr>
          <w:p>
            <w:r>
              <w:rPr>
                <w:color w:val="282828"/>
                <w:sz w:val="15"/>
              </w:rPr>
              <w:t>Masse salariale = -1.2%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29.553 Mds FCFA</w:t>
            </w:r>
          </w:p>
        </w:tc>
        <w:tc>
          <w:tcPr>
            <w:tcW w:type="dxa" w:w="5669"/>
            <w:shd w:fill="FFFFFF" w:val="clear"/>
          </w:tcPr>
          <w:p>
            <w:r>
              <w:rPr>
                <w:color w:val="282828"/>
                <w:sz w:val="15"/>
              </w:rPr>
              <w:t>VA = 5.0%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22.347 Mds FCFA</w:t>
            </w:r>
          </w:p>
        </w:tc>
        <w:tc>
          <w:tcPr>
            <w:tcW w:type="dxa" w:w="5669"/>
            <w:shd w:fill="FFFFFF" w:val="clear"/>
          </w:tcPr>
          <w:p>
            <w:r>
              <w:rPr>
                <w:color w:val="282828"/>
                <w:sz w:val="15"/>
              </w:rPr>
              <w:t>EBE = 3.8%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12.329 Mds FCFA</w:t>
            </w:r>
          </w:p>
        </w:tc>
        <w:tc>
          <w:tcPr>
            <w:tcW w:type="dxa" w:w="5669"/>
            <w:shd w:fill="FFFFFF" w:val="clear"/>
          </w:tcPr>
          <w:p>
            <w:r>
              <w:rPr>
                <w:color w:val="282828"/>
                <w:sz w:val="15"/>
              </w:rPr>
              <w:t>Profit d'exploitation = 2.1% des revenus. ⚠️ Bénéfice d'exploitation limité.</w:t>
            </w:r>
          </w:p>
        </w:tc>
      </w:tr>
      <w:tr>
        <w:tc>
          <w:tcPr>
            <w:tcW w:type="dxa" w:w="2268"/>
            <w:shd w:fill="EEF2F7" w:val="clear"/>
          </w:tcPr>
          <w:p>
            <w:r>
              <w:rPr>
                <w:b/>
                <w:color w:val="1E1E3C"/>
                <w:sz w:val="16"/>
              </w:rPr>
              <w:t>Résultat net</w:t>
            </w:r>
          </w:p>
        </w:tc>
        <w:tc>
          <w:tcPr>
            <w:tcW w:type="dxa" w:w="1984"/>
            <w:shd w:fill="FFEB9C" w:val="clear"/>
          </w:tcPr>
          <w:p>
            <w:r>
              <w:rPr>
                <w:b/>
                <w:color w:val="006400"/>
                <w:sz w:val="17"/>
              </w:rPr>
              <w:t>9.087 Mds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19.106 Mds FCFA</w:t>
            </w:r>
          </w:p>
        </w:tc>
        <w:tc>
          <w:tcPr>
            <w:tcW w:type="dxa" w:w="5669"/>
            <w:shd w:fill="FFFFFF" w:val="clear"/>
          </w:tcPr>
          <w:p>
            <w:r>
              <w:rPr>
                <w:color w:val="282828"/>
                <w:sz w:val="15"/>
              </w:rPr>
              <w:t>CAF = 19.11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10.196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-10.124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-13.793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72.00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-9.662 Mds FCFA</w:t>
            </w:r>
          </w:p>
        </w:tc>
        <w:tc>
          <w:tcPr>
            <w:tcW w:type="dxa" w:w="5669"/>
            <w:shd w:fill="FFFFFF" w:val="clear"/>
          </w:tcPr>
          <w:p>
            <w:r>
              <w:rPr>
                <w:color w:val="282828"/>
                <w:sz w:val="15"/>
              </w:rPr>
              <w:t>BFR = -1.6%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-31.587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-21.926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11.81%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1.54%</w:t>
            </w:r>
          </w:p>
        </w:tc>
        <w:tc>
          <w:tcPr>
            <w:tcW w:type="dxa" w:w="5669"/>
            <w:shd w:fill="FFFFFF" w:val="clear"/>
          </w:tcPr>
          <w:p>
            <w:r>
              <w:rPr>
                <w:color w:val="282828"/>
                <w:sz w:val="15"/>
              </w:rPr>
              <w:t>Résultat net / revenus = 1.54%.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2.09%</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25.10%</w:t>
            </w:r>
          </w:p>
        </w:tc>
        <w:tc>
          <w:tcPr>
            <w:tcW w:type="dxa" w:w="5669"/>
            <w:shd w:fill="FFFFFF" w:val="clear"/>
          </w:tcPr>
          <w:p>
            <w:r>
              <w:rPr>
                <w:color w:val="282828"/>
                <w:sz w:val="15"/>
              </w:rPr>
              <w:t>Résultat net / capitaux propres = 25.10%.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4.82%</w:t>
            </w:r>
          </w:p>
        </w:tc>
        <w:tc>
          <w:tcPr>
            <w:tcW w:type="dxa" w:w="5669"/>
            <w:shd w:fill="FFFFFF" w:val="clear"/>
          </w:tcPr>
          <w:p>
            <w:r>
              <w:rPr>
                <w:color w:val="282828"/>
                <w:sz w:val="15"/>
              </w:rPr>
              <w:t>Résultat net / total actif = 4.82%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312.36%</w:t>
            </w:r>
          </w:p>
        </w:tc>
        <w:tc>
          <w:tcPr>
            <w:tcW w:type="dxa" w:w="5669"/>
            <w:shd w:fill="FFFFFF" w:val="clear"/>
          </w:tcPr>
          <w:p>
            <w:r>
              <w:rPr>
                <w:color w:val="282828"/>
                <w:sz w:val="15"/>
              </w:rPr>
              <w:t>CA / total actif = 312.36x.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-5.21%</w:t>
            </w:r>
          </w:p>
        </w:tc>
        <w:tc>
          <w:tcPr>
            <w:tcW w:type="dxa" w:w="5669"/>
            <w:shd w:fill="FFFFFF" w:val="clear"/>
          </w:tcPr>
          <w:p>
            <w:r>
              <w:rPr>
                <w:color w:val="282828"/>
                <w:sz w:val="15"/>
              </w:rPr>
              <w:t>Croissance CA vs exercice précédent = -5.21%.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19.21%</w:t>
            </w:r>
          </w:p>
        </w:tc>
        <w:tc>
          <w:tcPr>
            <w:tcW w:type="dxa" w:w="5669"/>
            <w:shd w:fill="FFFFFF" w:val="clear"/>
          </w:tcPr>
          <w:p>
            <w:r>
              <w:rPr>
                <w:color w:val="282828"/>
                <w:sz w:val="15"/>
              </w:rPr>
              <w:t>Fonds propres / total bilan = 19.21%.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80.79%</w:t>
            </w:r>
          </w:p>
        </w:tc>
        <w:tc>
          <w:tcPr>
            <w:tcW w:type="dxa" w:w="5669"/>
            <w:shd w:fill="FFFFFF" w:val="clear"/>
          </w:tcPr>
          <w:p>
            <w:r>
              <w:rPr>
                <w:color w:val="282828"/>
                <w:sz w:val="15"/>
              </w:rPr>
              <w:t>Dettes financières / total bilan = 80.79%.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90.23%</w:t>
            </w:r>
          </w:p>
        </w:tc>
        <w:tc>
          <w:tcPr>
            <w:tcW w:type="dxa" w:w="5669"/>
            <w:shd w:fill="FFFFFF" w:val="clear"/>
          </w:tcPr>
          <w:p>
            <w:r>
              <w:rPr>
                <w:color w:val="282828"/>
                <w:sz w:val="15"/>
              </w:rPr>
              <w:t>Dettes totales / fonds propres = 90.23%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123.77%</w:t>
            </w:r>
          </w:p>
        </w:tc>
        <w:tc>
          <w:tcPr>
            <w:tcW w:type="dxa" w:w="5669"/>
            <w:shd w:fill="FFFFFF" w:val="clear"/>
          </w:tcPr>
          <w:p>
            <w:r>
              <w:rPr>
                <w:color w:val="282828"/>
                <w:sz w:val="15"/>
              </w:rPr>
              <w:t>Total actif / dettes totales = 123.77x.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78.77%</w:t>
            </w:r>
          </w:p>
        </w:tc>
        <w:tc>
          <w:tcPr>
            <w:tcW w:type="dxa" w:w="5669"/>
            <w:shd w:fill="FFFFFF" w:val="clear"/>
          </w:tcPr>
          <w:p>
            <w:r>
              <w:rPr>
                <w:color w:val="282828"/>
                <w:sz w:val="15"/>
              </w:rPr>
              <w:t>Actif circulant / passif circulant = 78.77x.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5.95%</w:t>
            </w:r>
          </w:p>
        </w:tc>
        <w:tc>
          <w:tcPr>
            <w:tcW w:type="dxa" w:w="5669"/>
            <w:shd w:fill="FFFFFF" w:val="clear"/>
          </w:tcPr>
          <w:p>
            <w:r>
              <w:rPr>
                <w:color w:val="282828"/>
                <w:sz w:val="15"/>
              </w:rPr>
              <w:t>Trésorerie / passif circulant = 5.95x.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65.58%</w:t>
            </w:r>
          </w:p>
        </w:tc>
        <w:tc>
          <w:tcPr>
            <w:tcW w:type="dxa" w:w="5669"/>
            <w:shd w:fill="FFFFFF" w:val="clear"/>
          </w:tcPr>
          <w:p>
            <w:r>
              <w:rPr>
                <w:color w:val="282828"/>
                <w:sz w:val="15"/>
              </w:rPr>
              <w:t>(Actif circ. - stocks) / passif circ. = 65.58x.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55.66%</w:t>
            </w:r>
          </w:p>
        </w:tc>
        <w:tc>
          <w:tcPr>
            <w:tcW w:type="dxa" w:w="5669"/>
            <w:shd w:fill="FFFFFF" w:val="clear"/>
          </w:tcPr>
          <w:p>
            <w:r>
              <w:rPr>
                <w:color w:val="282828"/>
                <w:sz w:val="15"/>
              </w:rPr>
              <w:t>Capitaux permanents / actif immobilisé = 55.66x.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1.7 ans</w:t>
            </w:r>
          </w:p>
        </w:tc>
        <w:tc>
          <w:tcPr>
            <w:tcW w:type="dxa" w:w="5669"/>
            <w:shd w:fill="FFFFFF" w:val="clear"/>
          </w:tcPr>
          <w:p>
            <w:r>
              <w:rPr>
                <w:color w:val="282828"/>
                <w:sz w:val="15"/>
              </w:rPr>
              <w:t>Dettes financières / CAF = 1.7 ans. ✅ Dette remboursable rapidement.</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188.72%</w:t>
            </w:r>
          </w:p>
        </w:tc>
        <w:tc>
          <w:tcPr>
            <w:tcW w:type="dxa" w:w="5669"/>
            <w:shd w:fill="FFFFFF" w:val="clear"/>
          </w:tcPr>
          <w:p>
            <w:r>
              <w:rPr>
                <w:color w:val="282828"/>
                <w:sz w:val="15"/>
              </w:rPr>
              <w:t>CAF / investissements = 188.72x.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49.7 j</w:t>
            </w:r>
          </w:p>
        </w:tc>
        <w:tc>
          <w:tcPr>
            <w:tcW w:type="dxa" w:w="5669"/>
            <w:shd w:fill="FFFFFF" w:val="clear"/>
          </w:tcPr>
          <w:p>
            <w:r>
              <w:rPr>
                <w:color w:val="282828"/>
                <w:sz w:val="15"/>
              </w:rPr>
              <w:t>Paiement des fournisseurs en 50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13.8 j</w:t>
            </w:r>
          </w:p>
        </w:tc>
        <w:tc>
          <w:tcPr>
            <w:tcW w:type="dxa" w:w="5669"/>
            <w:shd w:fill="FFFFFF" w:val="clear"/>
          </w:tcPr>
          <w:p>
            <w:r>
              <w:rPr>
                <w:color w:val="282828"/>
                <w:sz w:val="15"/>
              </w:rPr>
              <w:t>Stock écoulé en 14 jours. ✅ Rotation rapide — faible immobilisation de capital.</w:t>
            </w:r>
          </w:p>
        </w:tc>
      </w:tr>
    </w:tbl>
    <w:p/>
    <w:p>
      <w:pPr>
        <w:spacing w:after="120" w:line="276" w:lineRule="auto"/>
      </w:pPr>
      <w:r>
        <w:t>**RAPPORT D'ANALYSE FINANCIÈRE — TOTALENERGIES MARKETING CÔTE D'IVOIRE (TTLC)**</w:t>
        <w:br/>
        <w:t>*Bourse Régionale des Valeurs Mobilières (BRVM)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188,88 milliards FCFA, TTLC figure parmi les valeurs les plus importantes de la BRVM, ce qui lui confère une liquidité relative et une visibilité institutionnelle appréciables. Le BPA de 144 FCFA/action signifie que chaque titre génère 144 FCFA de bénéfice net, ce qui, rapporté au cours de 3 000 FCFA, donne un PER de 20,8x — nettement supérieur à la moyenne du marché BRVM (8-12x), traduisant soit une prime de qualité et de croissance attendue, soit une surévaluation relative. Le P/B de 5,22x, largement supérieur au seuil de 4x, indique que le marché valorise l'entreprise à plus de cinq fois sa valeur comptable, ce qui est exigeant et reflète la confiance dans la rentabilité future et la solidité de la marque TotalEnergies. Enfin, l'EV/EBITDA de 10,9x, dans la fourchette 10-15x, confirme une valorisation élevée de la capacité opérationnelle, cohérente avec un modèle de distribution à marges faibles mais à volumes importants.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TTLC affiche une variation totale positive de +4,35%, mais la dernière séance (J-1) enregistre un repli marqué de -3,23%, signalant une pression vendeuse récente. Le cours actuel de 3 000 FCFA se situe dans la partie médiane du range de trading, entre un plus bas de 2 770 FCFA et un plus haut de 3 595 FCFA, ce qui traduit une tendance globalement haussière mais avec une correction en cours. Les statistiques descriptives révèlent une moyenne de 3 031 FCFA légèrement supérieure à la médiane de 2 988 FCFA, avec un mode à 2 850 FCFA, indiquant une distribution asymétrique positivement (skewness de 0,816), c'est-à-dire que le cours a passé plus de journées sous sa moyenne, mais avec des pics occasionnels tirant la moyenne vers le haut. L'écart-type de 191 FCFA et le coefficient de variation de 6,3% témoignent d'une dispersion modérée du cours autour de sa moyenne, tandis que le kurtosis de -0,368 (mésokurtique) suggère une distribution proche de la normale, sans risque excessif de pics extrêmes. La volatilité annualisée de 43,6% classe le titre dans la catégorie des valeurs à volatilité élevée (&gt;30%), ce qui implique un risque de prix significatif pour les investisseurs à court terme.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(3 072,75 FCFA) et la MM50 (3 169,4 FCFA) se situent toutes deux au-dessus du cours actuel (3 000 FCFA), avec une MM20 inférieure à la MM50, ce qui configure une tendance baissière de court terme. La décision technique qui en résulte est « Vente », car le cours évolue sous ses moyennes mobiles, signalant une pression baissière persistante.</w:t>
      </w:r>
    </w:p>
    <w:p>
      <w:pPr>
        <w:spacing w:after="120" w:line="276" w:lineRule="auto"/>
      </w:pPr>
      <w:r>
        <w:t>**Bandes de Bollinger** : Le cours actuel (3 000 FCFA) se situe entre la borne inférieure (2 872,816 FCFA) et la borne supérieure (3 272,684 FCFA), plus proche de la borne basse, ce qui indique une volatilité modérée et une absence de signal directionnel fort. La décision « Neutre » reflète cette position médiane, le marché attendant un catalyseur pour choisir une direction.</w:t>
      </w:r>
    </w:p>
    <w:p>
      <w:pPr>
        <w:spacing w:after="120" w:line="276" w:lineRule="auto"/>
      </w:pPr>
      <w:r>
        <w:t>**MACD** : La valeur du MACD (-41,94) est supérieure à son signal (-44,248), générant un croisement haussier (MACD au-dessus du signal) bien que les deux restent en territoire négatif. La décision « Achat » suggère un début de retournement de momentum, mais la prudence reste de mise tant que le MACD n'a pas franchi la ligne zéro.</w:t>
      </w:r>
    </w:p>
    <w:p>
      <w:pPr>
        <w:spacing w:after="120" w:line="276" w:lineRule="auto"/>
      </w:pPr>
      <w:r>
        <w:t>**RSI** : À 47,619, le RSI se situe dans la zone neutre (30-70), sans signal de surachat ni de survente. La décision « Neutre » confirme l'absence de pression acheteuse ou vendeuse dominante, le marché étant en équilibre relatif.</w:t>
      </w:r>
    </w:p>
    <w:p>
      <w:pPr>
        <w:spacing w:after="120" w:line="276" w:lineRule="auto"/>
      </w:pPr>
      <w:r>
        <w:t>**Stochastique** : Le %K (38,806) est inférieur au %D (69,154), avec un croisement baissier en cours, ce qui indique une perte de momentum haussier. La décision « Neutre » reflète cette configuration ambiguë, le stochastique n'ayant pas encore atteint la zone de survente (&lt;20) pour générer un signal d'achat.</w:t>
      </w:r>
    </w:p>
    <w:p>
      <w:pPr>
        <w:spacing w:after="120" w:line="276" w:lineRule="auto"/>
      </w:pPr>
      <w:r>
        <w:t>**Conclusion technique** : Les indicateurs techniques présentent une configuration mitigée, avec une tendance baissière de court terme (MM20 &lt; MM50, cours sous les moyennes) mais des signaux de retournement potentiel (MACD haussier, RSI neutre). La convergence n'est pas suffisante pour un signal directionnel fort, ce qui plaide pour une attitude attentiste dans l'immédiat.</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TotalEnergies Marketing Côte d'Ivoire (TTLC) a réalisé un chiffre d'affaires de 588,709 milliards FCFA, en repli de 5,2% par rapport à 2024 (621,042 milliards FCFA), selon les états financiers annuels définitifs. Le résultat net s'établit à 9,087 milliards FCFA, en légère baisse de 3% (contre 9,374 milliards en 2024), avec une marge nette de 1,54%, stable. La rentabilité des fonds propres (ROE) reste excellente à 25,1%, bien supérieure au seuil de 15%, tandis que le ROA de 4,82% reflète la faible intensité capitalistique du modèle de distribution. L'Excédent Brut d'Exploitation (EBE) progresse de 12% à 22,347 milliards FCFA et le résultat d'exploitation bondit de 18% à 12,329 milliards FCFA, démontrant une meilleure maîtrise des coûts malgré la baisse des volumes. Le BFR est négatif (-9,662 milliards FCFA), ce qui est favorable pour une entreprise de distribution, mais la trésorerie nette est négative (-21,926 milliards FCFA), signalant une dépendance aux crédits court terme. Le ratio d'endettement de 90,23% et l'autonomie financière de 19,21% (inférieure au seuil sain de 30%) constituent des points de vigilance. Le rapport du T1 2026 (publié en 2026) indique une reprise avec un chiffre d'affaires de 154,392 milliards FCFA (+4,3%) et un résultat net de 2,329 milliards FCFA (+5,5%), soutenu par la croissance des volumes sur tous les canaux. Sur la base de ce rapport trimestriel, on peut estimer que l'exercice 2026 devrait renouer avec la croissance, porté par l'expansion du réseau (182 stations) et la diversification énergétique. La recommandation fondamentale est de **CONSERVER**, l'entreprise affichant une solidité opérationnelle et une politique de dividende généreuse (10 milliards FCFA, payout &gt;100%), mais les risques liés à la trésorerie négative et à l'endettement élevé appellent à la prudence.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TTLC apparaît exigeante avec un PER de 20,8x (vs 8-12x pour le marché), un P/B de 5,22x et un EV/EBITDA de 10,9x, ce qui intègre déjà une prime de qualité et de croissance. Le comportement du cours sur 100 jours est globalement haussier (+4,35%) mais avec une correction récente (-3,23% en J-1) et une volatilité élevée (43,6%), tandis que les statistiques descriptives (skewness positif, kurtosis mésokurtique) indiquent une distribution proche de la normale avec une légère asymétrie positive. Les signaux techniques sont mitigés : les moyennes mobiles sont baissières (décision « Vente »), mais le MACD est haussier (décision « Achat »), le RSI et le stochastique étant neutres, ce qui traduit une absence de consensus directionnel. Les fondamentaux restent solides (ROE de 25,1%, EBE en hausse de 12%, BFR négatif) mais entachés par une trésorerie nette négative et un endettement élevé, avec une reprise attendue en 2026 selon le T1 (+4,3% de CA). Les prédictions IA pour les 10 prochains jours (2 992 → 2 976 FCFA) suggèrent une légère tendance baissière, en ligne avec la pression vendeuse récente mais en contradiction avec le signal haussier du MACD. Sur la base de cette synthèse, la recommandation finale est de **CONSERVER**, avec un niveau de confiance **Moyen** et un risque global **Élevé**. L'horizon d'investissement optimal est le **moyen terme (3-12 mois)**, en attendant la confirmation de la reprise de la croissance et l'amélioration de la structure financière.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affiche une croissance soutenue du chiffre d'affaires et une am\u00e9lioration de la rentabilit\u00e9 nette malgr\u00e9 une l\u00e9g\u00e8re pression sur les activit\u00e9s ordinaires. La position dominante sur le march\u00e9 ivoirien et la diversification \u00e9nerg\u00e9tique offrent de bonnes perspectives."}</w:t>
      </w:r>
    </w:p>
    <w:p>
      <w:pPr>
        <w:spacing w:before="40"/>
        <w:ind w:left="400"/>
      </w:pPr>
      <w:r>
        <w:rPr>
          <w:sz w:val="18"/>
        </w:rPr>
        <w:t>TotalEnergies Marketing Côte d'Ivoire affiche des performances solides au premier trimestre 2026 avec un chiffre d'affaires de 154,392 milliards FCFA en hausse de 4,3% par rapport à 2025. Le résultat net progresse de 5,5% à 2,329 milliards FCFA, témoignant d'une amélioration de la rentabilité. Cette croissance est principalement portée par l'augmentation des volumes vendus sur la quasi-totalité des canaux de distribution. La société maintient sa position d'acteur majeur du secteur énergétique ivoirien avec un réseau de 182 stations-services. Les résultats des activités ordinaires restent stables malgré un léger recul de 0,6%.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'4,3%', 'nombre_stations': '182', 'croissance_resultat_net': '5,5%', 'resultat_activites_ordinaires': '3,119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2,329 milliards FCFA</w:t>
            </w:r>
          </w:p>
        </w:tc>
        <w:tc>
          <w:tcPr>
            <w:tcW w:type="dxa" w:w="2160"/>
          </w:tcPr>
          <w:p>
            <w:r/>
            <w:r>
              <w:rPr>
                <w:b/>
                <w:sz w:val="16"/>
              </w:rPr>
              <w:t>capitaux_propres</w:t>
              <w:br/>
            </w:r>
            <w:r>
              <w:rPr>
                <w:sz w:val="18"/>
              </w:rPr>
              <w:t>3,148 milliards FCFA</w:t>
            </w:r>
          </w:p>
        </w:tc>
        <w:tc>
          <w:tcPr>
            <w:tcW w:type="dxa" w:w="2160"/>
          </w:tcPr>
          <w:p>
            <w:r/>
            <w:r>
              <w:rPr>
                <w:b/>
                <w:sz w:val="16"/>
              </w:rPr>
              <w:t>chiffre_affaires</w:t>
              <w:br/>
            </w:r>
            <w:r>
              <w:rPr>
                <w:sz w:val="18"/>
              </w:rPr>
              <w:t>154,392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de 4,3% à 154,392 milliards FCFA au T1 2026</w:t>
      </w:r>
    </w:p>
    <w:p>
      <w:pPr>
        <w:pStyle w:val="ListBullet"/>
        <w:spacing w:before="20" w:after="20"/>
        <w:ind w:left="700"/>
      </w:pPr>
      <w:r>
        <w:rPr>
          <w:sz w:val="18"/>
        </w:rPr>
        <w:t>Résultat net en hausse de 5,5% à 2,329 milliards FCFA</w:t>
      </w:r>
    </w:p>
    <w:p>
      <w:pPr>
        <w:pStyle w:val="ListBullet"/>
        <w:spacing w:before="20" w:after="20"/>
        <w:ind w:left="700"/>
      </w:pPr>
      <w:r>
        <w:rPr>
          <w:sz w:val="18"/>
        </w:rPr>
        <w:t>Croissance tirée par l'augmentation des volumes vendus sur tous les canaux</w:t>
      </w:r>
    </w:p>
    <w:p>
      <w:pPr>
        <w:pStyle w:val="ListBullet"/>
        <w:spacing w:before="20" w:after="20"/>
        <w:ind w:left="700"/>
      </w:pPr>
      <w:r>
        <w:rPr>
          <w:sz w:val="18"/>
        </w:rPr>
        <w:t>Résultat des activités ordinaires légèrement en baisse de 0,6%</w:t>
      </w:r>
    </w:p>
    <w:p>
      <w:pPr>
        <w:pStyle w:val="ListBullet"/>
        <w:spacing w:before="20" w:after="20"/>
        <w:ind w:left="700"/>
      </w:pPr>
      <w:r>
        <w:rPr>
          <w:sz w:val="18"/>
        </w:rPr>
        <w:t>Réseau de distribution étendu avec 182 stations-services</w:t>
      </w:r>
    </w:p>
    <w:p>
      <w:pPr>
        <w:pStyle w:val="ListBullet"/>
        <w:spacing w:before="20" w:after="20"/>
        <w:ind w:left="700"/>
      </w:pPr>
      <w:r>
        <w:rPr>
          <w:sz w:val="18"/>
        </w:rPr>
        <w:t>Diversification des activités : carburants, GPL, lubrifiants et énergies renouvelables</w:t>
      </w:r>
    </w:p>
    <w:p>
      <w:pPr>
        <w:spacing w:before="40"/>
        <w:ind w:left="400"/>
      </w:pPr>
      <w:r>
        <w:rPr>
          <w:b/>
          <w:color w:val="C05000"/>
          <w:sz w:val="18"/>
        </w:rPr>
        <w:t xml:space="preserve">⚠️ Risques : </w:t>
      </w:r>
      <w:r>
        <w:rPr>
          <w:sz w:val="18"/>
        </w:rPr>
        <w:t>["Volatilit\u00e9 des prix des produits p\u00e9troliers impactant les marges", "Concurrence accrue sur le march\u00e9 des carburants en C\u00f4te d'Ivoire", "D\u00e9pendance au contexte \u00e9conomique ivoirien et aux fluctuations du FCFA"]</w:t>
      </w:r>
    </w:p>
    <w:p>
      <w:pPr>
        <w:spacing w:before="40"/>
        <w:ind w:left="400"/>
      </w:pPr>
      <w:r>
        <w:rPr>
          <w:b/>
          <w:color w:val="0064A0"/>
          <w:sz w:val="18"/>
        </w:rPr>
        <w:t xml:space="preserve">🔮 Perspectives : </w:t>
      </w:r>
      <w:r>
        <w:rPr>
          <w:sz w:val="18"/>
        </w:rPr>
        <w:t>La dynamique positive du premier trimestre laisse présager une année 2026 favorable, soutenue par la croissance économique ivoirienne et l'expansion du réseau de distribution. La diversification vers les énergies renouvelables positionne favorablement la société pour répondre aux enjeux de transitio</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"Entreprise rentable et leader de la distribution, avec des marges en amélioration et un dividende attractif. Mais le payout supérieur à 100 % et la trésorerie nette négative appellent à surveiller la soutenabilité de la distribution."}</w:t>
      </w:r>
    </w:p>
    <w:p>
      <w:pPr>
        <w:spacing w:before="40"/>
        <w:ind w:left="400"/>
      </w:pPr>
      <w:r>
        <w:rPr>
          <w:sz w:val="18"/>
        </w:rPr>
        <w:t>TotalEnergies Marketing Côte d'Ivoire affiche un exercice 2025 solide mais en léger repli. Le chiffre d'affaires recule de 5 % à 588,7 milliards FCFA, tandis que la rentabilité opérationnelle s'améliore : le résultat d'exploitation progresse de 18 % à 12,3 milliards et l'EBE de 12 %, signe d'une meilleure maîtrise des marges. Le bénéfice net s'établit à 9,09 milliards FCFA (-3 %). La société distribue un dividende brut de 10 milliards FCFA, soit un taux de distribution supérieur à 100 % du résultat, ce qui réduit les capitaux propres (41,1 Md à 36,2 Md). La trésorerie nette reste structurellement négative à -21,9 milliards, traduisant une forte dépendance aux crédits bancaires de court terme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'19,11 milliards FCFA', 'resultat_exploitation': '12,33 milliards FCFA', 'excedent_brut_exploitation': '22,35 milliards FCFA'}</w:t>
            </w:r>
          </w:p>
        </w:tc>
        <w:tc>
          <w:tcPr>
            <w:tcW w:type="dxa" w:w="2160"/>
          </w:tcPr>
          <w:p>
            <w:pPr>
              <w:ind w:left="100"/>
            </w:pPr>
            <w:r/>
            <w:r>
              <w:rPr>
                <w:b/>
                <w:sz w:val="16"/>
              </w:rPr>
              <w:t>dividende</w:t>
              <w:br/>
            </w:r>
            <w:r>
              <w:rPr>
                <w:sz w:val="18"/>
              </w:rPr>
              <w:t>10 milliards FCFA (dividende brut total)</w:t>
            </w:r>
          </w:p>
        </w:tc>
        <w:tc>
          <w:tcPr>
            <w:tcW w:type="dxa" w:w="2160"/>
          </w:tcPr>
          <w:p>
            <w:pPr>
              <w:ind w:left="100"/>
            </w:pPr>
            <w:r/>
            <w:r>
              <w:rPr>
                <w:b/>
                <w:sz w:val="16"/>
              </w:rPr>
              <w:t>marge_nette</w:t>
              <w:br/>
            </w:r>
            <w:r>
              <w:rPr>
                <w:sz w:val="18"/>
              </w:rPr>
              <w:t>1,54 %</w:t>
            </w:r>
          </w:p>
        </w:tc>
        <w:tc>
          <w:tcPr>
            <w:tcW w:type="dxa" w:w="2160"/>
          </w:tcPr>
          <w:p>
            <w:pPr>
              <w:ind w:left="100"/>
            </w:pPr>
            <w:r/>
            <w:r>
              <w:rPr>
                <w:b/>
                <w:sz w:val="16"/>
              </w:rPr>
              <w:t>total_actif</w:t>
              <w:br/>
            </w:r>
            <w:r>
              <w:rPr>
                <w:sz w:val="18"/>
              </w:rPr>
              <w:t>188,5 milliards FCFA</w:t>
            </w:r>
          </w:p>
        </w:tc>
      </w:tr>
      <w:tr>
        <w:tc>
          <w:tcPr>
            <w:tcW w:type="dxa" w:w="2160"/>
          </w:tcPr>
          <w:p>
            <w:r/>
            <w:r>
              <w:rPr>
                <w:b/>
                <w:sz w:val="16"/>
              </w:rPr>
              <w:t>resultat_net</w:t>
              <w:br/>
            </w:r>
            <w:r>
              <w:rPr>
                <w:sz w:val="18"/>
              </w:rPr>
              <w:t>9,09 milliards FCFA (bénéfice)</w:t>
            </w:r>
          </w:p>
        </w:tc>
        <w:tc>
          <w:tcPr>
            <w:tcW w:type="dxa" w:w="2160"/>
          </w:tcPr>
          <w:p>
            <w:r/>
            <w:r>
              <w:rPr>
                <w:b/>
                <w:sz w:val="16"/>
              </w:rPr>
              <w:t>capitaux_propres</w:t>
              <w:br/>
            </w:r>
            <w:r>
              <w:rPr>
                <w:sz w:val="18"/>
              </w:rPr>
              <w:t>36,20 milliards FCFA</w:t>
            </w:r>
          </w:p>
        </w:tc>
        <w:tc>
          <w:tcPr>
            <w:tcW w:type="dxa" w:w="2160"/>
          </w:tcPr>
          <w:p>
            <w:r/>
            <w:r>
              <w:rPr>
                <w:b/>
                <w:sz w:val="16"/>
              </w:rPr>
              <w:t>chiffre_affaires</w:t>
              <w:br/>
            </w:r>
            <w:r>
              <w:rPr>
                <w:sz w:val="18"/>
              </w:rPr>
              <w:t>588,7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588,7 Md FCFA, en repli de 5 %</w:t>
      </w:r>
    </w:p>
    <w:p>
      <w:pPr>
        <w:pStyle w:val="ListBullet"/>
        <w:spacing w:before="20" w:after="20"/>
        <w:ind w:left="700"/>
      </w:pPr>
      <w:r>
        <w:rPr>
          <w:sz w:val="18"/>
        </w:rPr>
        <w:t>Résultat d'exploitation 12,3 Md (+18 %) et EBE +12 % : marges en amélioration</w:t>
      </w:r>
    </w:p>
    <w:p>
      <w:pPr>
        <w:pStyle w:val="ListBullet"/>
        <w:spacing w:before="20" w:after="20"/>
        <w:ind w:left="700"/>
      </w:pPr>
      <w:r>
        <w:rPr>
          <w:sz w:val="18"/>
        </w:rPr>
        <w:t>Bénéfice net 9,09 Md FCFA (-3 %)</w:t>
      </w:r>
    </w:p>
    <w:p>
      <w:pPr>
        <w:pStyle w:val="ListBullet"/>
        <w:spacing w:before="20" w:after="20"/>
        <w:ind w:left="700"/>
      </w:pPr>
      <w:r>
        <w:rPr>
          <w:sz w:val="18"/>
        </w:rPr>
        <w:t>Dividende brut de 10 Md FCFA : taux de distribution supérieur à 100 %</w:t>
      </w:r>
    </w:p>
    <w:p>
      <w:pPr>
        <w:pStyle w:val="ListBullet"/>
        <w:spacing w:before="20" w:after="20"/>
        <w:ind w:left="700"/>
      </w:pPr>
      <w:r>
        <w:rPr>
          <w:sz w:val="18"/>
        </w:rPr>
        <w:t>Capitaux propres en baisse (41,1 Md à 36,2 Md) du fait de la distribution</w:t>
      </w:r>
    </w:p>
    <w:p>
      <w:pPr>
        <w:pStyle w:val="ListBullet"/>
        <w:spacing w:before="20" w:after="20"/>
        <w:ind w:left="700"/>
      </w:pPr>
      <w:r>
        <w:rPr>
          <w:sz w:val="18"/>
        </w:rPr>
        <w:t>Trésorerie nette négative à -21,9 Md (recours aux crédits court terme)</w:t>
      </w:r>
    </w:p>
    <w:p>
      <w:pPr>
        <w:spacing w:before="40"/>
        <w:ind w:left="400"/>
      </w:pPr>
      <w:r>
        <w:rPr>
          <w:b/>
          <w:color w:val="C05000"/>
          <w:sz w:val="18"/>
        </w:rPr>
        <w:t xml:space="preserve">⚠️ Risques : </w:t>
      </w:r>
      <w:r>
        <w:rPr>
          <w:sz w:val="18"/>
        </w:rPr>
        <w:t>["Chiffre d'affaires en repli (-5 %), sensibilité aux prix et volumes des produits pétroliers", "Trésorerie nette structurellement négative (-21,9 Md), dépendance aux crédits bancaires court terme", "Dividende (10 Md) supérieur au résultat net (9,09 Md) : ponction sur les réserves", "Marché aval pét</w:t>
      </w:r>
    </w:p>
    <w:p>
      <w:pPr>
        <w:spacing w:before="40"/>
        <w:ind w:left="400"/>
      </w:pPr>
      <w:r>
        <w:rPr>
          <w:b/>
          <w:color w:val="0064A0"/>
          <w:sz w:val="18"/>
        </w:rPr>
        <w:t xml:space="preserve">🔮 Perspectives : </w:t>
      </w:r>
      <w:r>
        <w:rPr>
          <w:sz w:val="18"/>
        </w:rPr>
        <w:t>La rentabilité opérationnelle progresse malgré un chiffre d'affaires en baisse, confirmant la position de leader et la qualité de la gestion des marges. Le dividende reste généreux, mais sa soutenabilité et le redressement de la trésorerie nette constituent les points de vigilance pour les exercices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soutenue du CA et une rentabilit\u00e9 en forte am\u00e9lioration. La politique de distribution g\u00e9n\u00e9reuse et la solidit\u00e9 financi\u00e8re renforcent l'attractivit\u00e9 de l'investissement."}</w:t>
      </w:r>
    </w:p>
    <w:p>
      <w:pPr>
        <w:spacing w:before="40"/>
        <w:ind w:left="400"/>
      </w:pPr>
      <w:r>
        <w:rPr>
          <w:sz w:val="18"/>
        </w:rPr>
        <w:t>TotalEnergies Marketing Côte d'Ivoire S.A. affiche une excellente performance financière en 2021 avec un chiffre d'affaires de 494,4 milliards FCFA, en hausse de 19,83%. Le résultat net a bondi de 45,7% à 11,1 milliards FCFA, démontrant une forte rentabilité opérationnelle. La marge nette s'établit à 2,25% avec une valeur ajoutée qui progresse de 41,06%. La société maintient une politique de distribution généreuse avec 11,1 milliards FCFA de dividendes bruts. La structure financière reste solide avec 48,1 milliards FCFA de capitaux propres et une trésorerie nette positive.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'19 578 millions FCFA', 'valeur_ajoutee': '30 970 millions FCFA', 'tresorerie_nette': '2 145 millions FCFA', 'resultat_exploitation': '16 088 millions FCFA'}</w:t>
            </w:r>
          </w:p>
        </w:tc>
        <w:tc>
          <w:tcPr>
            <w:tcW w:type="dxa" w:w="2160"/>
          </w:tcPr>
          <w:p>
            <w:pPr>
              <w:ind w:left="100"/>
            </w:pPr>
            <w:r/>
            <w:r>
              <w:rPr>
                <w:b/>
                <w:sz w:val="16"/>
              </w:rPr>
              <w:t>dividende</w:t>
              <w:br/>
            </w:r>
            <w:r>
              <w:rPr>
                <w:sz w:val="18"/>
              </w:rPr>
              <w:t>11 143 millions FCFA (dividendes bruts totaux)</w:t>
            </w:r>
          </w:p>
        </w:tc>
        <w:tc>
          <w:tcPr>
            <w:tcW w:type="dxa" w:w="2160"/>
          </w:tcPr>
          <w:p>
            <w:pPr>
              <w:ind w:left="100"/>
            </w:pPr>
            <w:r/>
            <w:r>
              <w:rPr>
                <w:b/>
                <w:sz w:val="16"/>
              </w:rPr>
              <w:t>marge_nette</w:t>
              <w:br/>
            </w:r>
            <w:r>
              <w:rPr>
                <w:sz w:val="18"/>
              </w:rPr>
              <w:t>2,25%</w:t>
            </w:r>
          </w:p>
        </w:tc>
        <w:tc>
          <w:tcPr>
            <w:tcW w:type="dxa" w:w="2160"/>
          </w:tcPr>
          <w:p>
            <w:pPr>
              <w:ind w:left="100"/>
            </w:pPr>
            <w:r/>
            <w:r>
              <w:rPr>
                <w:b/>
                <w:sz w:val="16"/>
              </w:rPr>
              <w:t>total_actif</w:t>
              <w:br/>
            </w:r>
            <w:r>
              <w:rPr>
                <w:sz w:val="18"/>
              </w:rPr>
              <w:t>156 297 millions FCFA</w:t>
            </w:r>
          </w:p>
        </w:tc>
      </w:tr>
      <w:tr>
        <w:tc>
          <w:tcPr>
            <w:tcW w:type="dxa" w:w="2160"/>
          </w:tcPr>
          <w:p>
            <w:r/>
            <w:r>
              <w:rPr>
                <w:b/>
                <w:sz w:val="16"/>
              </w:rPr>
              <w:t>resultat_net</w:t>
              <w:br/>
            </w:r>
            <w:r>
              <w:rPr>
                <w:sz w:val="18"/>
              </w:rPr>
              <w:t>11 143 millions FCFA</w:t>
            </w:r>
          </w:p>
        </w:tc>
        <w:tc>
          <w:tcPr>
            <w:tcW w:type="dxa" w:w="2160"/>
          </w:tcPr>
          <w:p>
            <w:r/>
            <w:r>
              <w:rPr>
                <w:b/>
                <w:sz w:val="16"/>
              </w:rPr>
              <w:t>capitaux_propres</w:t>
              <w:br/>
            </w:r>
            <w:r>
              <w:rPr>
                <w:sz w:val="18"/>
              </w:rPr>
              <w:t>48 133 millions FCFA</w:t>
            </w:r>
          </w:p>
        </w:tc>
        <w:tc>
          <w:tcPr>
            <w:tcW w:type="dxa" w:w="2160"/>
          </w:tcPr>
          <w:p>
            <w:r/>
            <w:r>
              <w:rPr>
                <w:b/>
                <w:sz w:val="16"/>
              </w:rPr>
              <w:t>chiffre_affaires</w:t>
              <w:br/>
            </w:r>
            <w:r>
              <w:rPr>
                <w:sz w:val="18"/>
              </w:rPr>
              <w:t>494 433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19,83% atteignant 494,4 milliards FCFA</w:t>
      </w:r>
    </w:p>
    <w:p>
      <w:pPr>
        <w:pStyle w:val="ListBullet"/>
        <w:spacing w:before="20" w:after="20"/>
        <w:ind w:left="700"/>
      </w:pPr>
      <w:r>
        <w:rPr>
          <w:sz w:val="18"/>
        </w:rPr>
        <w:t>Résultat net en forte progression de 45,7% à 11,1 milliards FCFA</w:t>
      </w:r>
    </w:p>
    <w:p>
      <w:pPr>
        <w:pStyle w:val="ListBullet"/>
        <w:spacing w:before="20" w:after="20"/>
        <w:ind w:left="700"/>
      </w:pPr>
      <w:r>
        <w:rPr>
          <w:sz w:val="18"/>
        </w:rPr>
        <w:t>Valeur ajoutée en hausse remarquable de 41,06% à 31 milliards FCFA</w:t>
      </w:r>
    </w:p>
    <w:p>
      <w:pPr>
        <w:pStyle w:val="ListBullet"/>
        <w:spacing w:before="20" w:after="20"/>
        <w:ind w:left="700"/>
      </w:pPr>
      <w:r>
        <w:rPr>
          <w:sz w:val="18"/>
        </w:rPr>
        <w:t>Marge d'exploitation doublée de 7,98 à 16,09 milliards FCFA (+101,55%)</w:t>
      </w:r>
    </w:p>
    <w:p>
      <w:pPr>
        <w:pStyle w:val="ListBullet"/>
        <w:spacing w:before="20" w:after="20"/>
        <w:ind w:left="700"/>
      </w:pPr>
      <w:r>
        <w:rPr>
          <w:sz w:val="18"/>
        </w:rPr>
        <w:t>Distribution de dividendes quasi-intégrale du résultat (11,1 milliards FCFA)</w:t>
      </w:r>
    </w:p>
    <w:p>
      <w:pPr>
        <w:pStyle w:val="ListBullet"/>
        <w:spacing w:before="20" w:after="20"/>
        <w:ind w:left="700"/>
      </w:pPr>
      <w:r>
        <w:rPr>
          <w:sz w:val="18"/>
        </w:rPr>
        <w:t>Investissements soutenus de 8,5 milliards FCFA pour le développement</w:t>
      </w:r>
    </w:p>
    <w:p>
      <w:pPr>
        <w:spacing w:before="40"/>
        <w:ind w:left="400"/>
      </w:pPr>
      <w:r>
        <w:rPr>
          <w:b/>
          <w:color w:val="C05000"/>
          <w:sz w:val="18"/>
        </w:rPr>
        <w:t xml:space="preserve">⚠️ Risques : </w:t>
      </w:r>
      <w:r>
        <w:rPr>
          <w:sz w:val="18"/>
        </w:rPr>
        <w:t>["D\u00e9pendance aux fluctuations des prix du p\u00e9trole et produits p\u00e9troliers", "Exposition au risque de change et \u00e0 l'instabilit\u00e9 \u00e9conomique r\u00e9gionale", "Intensification de la concurrence sur le march\u00e9 des hydrocarbures en C\u00f4te d'Ivoire"]</w:t>
      </w:r>
    </w:p>
    <w:p>
      <w:pPr>
        <w:spacing w:before="40"/>
        <w:ind w:left="400"/>
      </w:pPr>
      <w:r>
        <w:rPr>
          <w:b/>
          <w:color w:val="0064A0"/>
          <w:sz w:val="18"/>
        </w:rPr>
        <w:t xml:space="preserve">🔮 Perspectives : </w:t>
      </w:r>
      <w:r>
        <w:rPr>
          <w:sz w:val="18"/>
        </w:rPr>
        <w:t>La société bénéficie d'une position solide sur le marché ivoirien avec des fondamentaux robustes pour poursuivre sa croissance. L'amélioration continue de l'efficacité opérationnelle et les investissements stratégiques devraient soutenir la performance future. La transition énergétique pourrait offr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l'am\u00e9lioration significative de la rentabilit\u00e9 op\u00e9rationnelle et du r\u00e9sultat net d\u00e9montre une bonne gestion des co\u00fbts. La soci\u00e9t\u00e9 maintient sa position sur un march\u00e9 essentiel avec des perspectives d'adaptation vers les \u00e9nergies renouvelables."}</w:t>
      </w:r>
    </w:p>
    <w:p>
      <w:pPr>
        <w:spacing w:before="40"/>
        <w:ind w:left="400"/>
      </w:pPr>
      <w:r>
        <w:rPr>
          <w:sz w:val="18"/>
        </w:rPr>
        <w:t>Total Energies Marketing Côte d'Ivoire a enregistré une performance mitigée au premier semestre 2022 avec un chiffre d'affaires de 249,028 millions FCFA en baisse de 11,5% par rapport aux 277,751 millions FCFA du premier semestre 2021. Le tonnage vendu a diminué de 4,4% à 390,213 tonnes contre 373,071 tonnes l'année précédente. Malgré cette baisse d'activité, le résultat d'exploitation s'améliore significativement passant de 7,786 millions FCFA à 8,808 millions FCFA, soit une progression de 13,1%. Le résultat net progresse également de 17,8% pour atteindre 5,566 millions FCFA contre 8,559 millions FCFA précédemment. La société évolue dans un environnement économique sous tension marqué par 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'-11,5%', 'tonnage_vendu': '390,213 tonnes', 'resultat_exploitation': '7,786 millions FCFA', 'variation_resultat_net': '+17,8%'}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2,23%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5,566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249,028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11,5% à 249,028 millions FCFA au S1 2022</w:t>
      </w:r>
    </w:p>
    <w:p>
      <w:pPr>
        <w:pStyle w:val="ListBullet"/>
        <w:spacing w:before="20" w:after="20"/>
        <w:ind w:left="700"/>
      </w:pPr>
      <w:r>
        <w:rPr>
          <w:sz w:val="18"/>
        </w:rPr>
        <w:t>Diminution du tonnage vendu de 4,4% à 390,213 tonnes</w:t>
      </w:r>
    </w:p>
    <w:p>
      <w:pPr>
        <w:pStyle w:val="ListBullet"/>
        <w:spacing w:before="20" w:after="20"/>
        <w:ind w:left="700"/>
      </w:pPr>
      <w:r>
        <w:rPr>
          <w:sz w:val="18"/>
        </w:rPr>
        <w:t>Amélioration du résultat d'exploitation de 13,1% à 7,786 millions FCFA</w:t>
      </w:r>
    </w:p>
    <w:p>
      <w:pPr>
        <w:pStyle w:val="ListBullet"/>
        <w:spacing w:before="20" w:after="20"/>
        <w:ind w:left="700"/>
      </w:pPr>
      <w:r>
        <w:rPr>
          <w:sz w:val="18"/>
        </w:rPr>
        <w:t>Progression du résultat net de 17,8% à 5,566 millions FCFA</w:t>
      </w:r>
    </w:p>
    <w:p>
      <w:pPr>
        <w:pStyle w:val="ListBullet"/>
        <w:spacing w:before="20" w:after="20"/>
        <w:ind w:left="700"/>
      </w:pPr>
      <w:r>
        <w:rPr>
          <w:sz w:val="18"/>
        </w:rPr>
        <w:t>Impact de la guerre en Ukraine et de l'inflation mondiale sur l'activité</w:t>
      </w:r>
    </w:p>
    <w:p>
      <w:pPr>
        <w:pStyle w:val="ListBullet"/>
        <w:spacing w:before="20" w:after="20"/>
        <w:ind w:left="700"/>
      </w:pPr>
      <w:r>
        <w:rPr>
          <w:sz w:val="18"/>
        </w:rPr>
        <w:t>Régression des volumes principalement due à la hausse des prix des produits pétroliers</w:t>
      </w:r>
    </w:p>
    <w:p>
      <w:pPr>
        <w:spacing w:before="40"/>
        <w:ind w:left="400"/>
      </w:pPr>
      <w:r>
        <w:rPr>
          <w:b/>
          <w:color w:val="C05000"/>
          <w:sz w:val="18"/>
        </w:rPr>
        <w:t xml:space="preserve">⚠️ Risques : </w:t>
      </w:r>
      <w:r>
        <w:rPr>
          <w:sz w:val="18"/>
        </w:rPr>
        <w:t>["Volatilit\u00e9 des prix du p\u00e9trole et impact de la crise ukrainienne", "Inflation mondiale affectant les co\u00fbts et la demande", "Baisse tendancielle des volumes de vente de produits p\u00e9troliers"]</w:t>
      </w:r>
    </w:p>
    <w:p>
      <w:pPr>
        <w:spacing w:before="40"/>
        <w:ind w:left="400"/>
      </w:pPr>
      <w:r>
        <w:rPr>
          <w:b/>
          <w:color w:val="0064A0"/>
          <w:sz w:val="18"/>
        </w:rPr>
        <w:t xml:space="preserve">🔮 Perspectives : </w:t>
      </w:r>
      <w:r>
        <w:rPr>
          <w:sz w:val="18"/>
        </w:rPr>
        <w:t>La société devra s'adapter à un environnement économique difficile marqué par l'inflation et les tensions géopolitiques. Les investissements dans les énergies renouvelables constituent un axe de développement prometteur pour diversifier l'activité et créer de la valeur à moyen terme.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confirme la r\u00e9gularit\u00e9 des comptes semestriels sans anomalies significatives. Cependant, l'absence de donn\u00e9es financi\u00e8res d\u00e9taill\u00e9es limite l'\u00e9valuation de la performance."}</w:t>
      </w:r>
    </w:p>
    <w:p>
      <w:pPr>
        <w:spacing w:before="40"/>
        <w:ind w:left="400"/>
      </w:pPr>
      <w:r>
        <w:rPr>
          <w:sz w:val="18"/>
        </w:rPr>
        <w:t>Ce document présente l'attestation des Commissaires aux Comptes de Total Energies Marketing Côte d'Ivoire, S.A. concernant l'examen limité du tableau d'activités et de résultat et du rapport d'activité semestriel au 30 juin 2022. Les commissaires aux comptes Uniconseil et Ernst &amp; Young ont effectué un examen limité selon la norme ISRE 2410. L'examen limité offre une assurance modérée, moins élevée qu'un audit complet selon les normes ISA. Les commissaires n'ont pas relevé de faits significatifs remettant en cause l'établissement des états financiers semestriels. Le document confirme la conformité aux dispositions réglementaires de l'OHADA et aux circulaires de l'UMOA.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{'rccm': 'CI-ABJ-01-1970-B14-07118', 'capital_social': '12.000.000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les comptes semestriels au 30 juin 2022</w:t>
      </w:r>
    </w:p>
    <w:p>
      <w:pPr>
        <w:pStyle w:val="ListBullet"/>
        <w:spacing w:before="20" w:after="20"/>
        <w:ind w:left="700"/>
      </w:pPr>
      <w:r>
        <w:rPr>
          <w:sz w:val="18"/>
        </w:rPr>
        <w:t>Examen limité effectué selon la norme ISRE 2410 par Uniconseil et Ernst &amp; Young</w:t>
      </w:r>
    </w:p>
    <w:p>
      <w:pPr>
        <w:pStyle w:val="ListBullet"/>
        <w:spacing w:before="20" w:after="20"/>
        <w:ind w:left="700"/>
      </w:pPr>
      <w:r>
        <w:rPr>
          <w:sz w:val="18"/>
        </w:rPr>
        <w:t>Assurance modérée fournie, moins élevée qu'un audit complet</w:t>
      </w:r>
    </w:p>
    <w:p>
      <w:pPr>
        <w:pStyle w:val="ListBullet"/>
        <w:spacing w:before="20" w:after="20"/>
        <w:ind w:left="700"/>
      </w:pPr>
      <w:r>
        <w:rPr>
          <w:sz w:val="18"/>
        </w:rPr>
        <w:t>Aucun fait significatif relevé remettant en cause l'établissement des états financiers</w:t>
      </w:r>
    </w:p>
    <w:p>
      <w:pPr>
        <w:pStyle w:val="ListBullet"/>
        <w:spacing w:before="20" w:after="20"/>
        <w:ind w:left="700"/>
      </w:pPr>
      <w:r>
        <w:rPr>
          <w:sz w:val="18"/>
        </w:rPr>
        <w:t>Conformité aux dispositions des articles 850 à 851 de l'Acte Uniforme OHADA</w:t>
      </w:r>
    </w:p>
    <w:p>
      <w:pPr>
        <w:pStyle w:val="ListBullet"/>
        <w:spacing w:before="20" w:after="20"/>
        <w:ind w:left="700"/>
      </w:pPr>
      <w:r>
        <w:rPr>
          <w:sz w:val="18"/>
        </w:rPr>
        <w:t>Respect des formats de présentation selon la Circulaire n°004-2010 de l'UMOA</w:t>
      </w:r>
    </w:p>
    <w:p>
      <w:pPr>
        <w:spacing w:before="40"/>
        <w:ind w:left="400"/>
      </w:pPr>
      <w:r>
        <w:rPr>
          <w:b/>
          <w:color w:val="C05000"/>
          <w:sz w:val="18"/>
        </w:rPr>
        <w:t xml:space="preserve">⚠️ Risques : </w:t>
      </w:r>
      <w:r>
        <w:rPr>
          <w:sz w:val="18"/>
        </w:rPr>
        <w:t>["Manque de transparence financi\u00e8re avec absence de donn\u00e9es chiffr\u00e9es d\u00e9taill\u00e9es", "D\u00e9pendance au secteur \u00e9nerg\u00e9tique dans un contexte de volatilit\u00e9 des prix", "Exposition aux risques r\u00e9glementaires et fiscaux du march\u00e9 ivoirien"]</w:t>
      </w:r>
    </w:p>
    <w:p>
      <w:pPr>
        <w:spacing w:before="40"/>
        <w:ind w:left="400"/>
      </w:pPr>
      <w:r>
        <w:rPr>
          <w:b/>
          <w:color w:val="0064A0"/>
          <w:sz w:val="18"/>
        </w:rPr>
        <w:t xml:space="preserve">🔮 Perspectives : </w:t>
      </w:r>
      <w:r>
        <w:rPr>
          <w:sz w:val="18"/>
        </w:rPr>
        <w:t>Les perspectives restent difficiles à évaluer en l'absence de données financières concrètes dans ce document d'attestation. La régularité comptable attestée suggère une gestion conforme aux normes, mais nécessite l'analyse des états financiers complets pour une évaluation prospective.</w:t>
      </w:r>
    </w:p>
    <w:p/>
    <w:p>
      <w:r>
        <w:t>════════════════════════════════════════════════════════════════════════════════</w:t>
      </w:r>
    </w:p>
    <w:p>
      <w:r>
        <w:br w:type="page"/>
      </w:r>
    </w:p>
    <w:p>
      <w:pPr>
        <w:pStyle w:val="Heading2"/>
        <w:spacing w:before="360"/>
      </w:pPr>
      <w:r>
        <w:rPr>
          <w:color w:val="0066CC"/>
        </w:rPr>
        <w:t>46. TTLS - TTLS - TOTAL ENERGIES MARKETING SENEGAL</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TTLS</w:t>
            </w:r>
          </w:p>
          <w:p>
            <w:r>
              <w:rPr>
                <w:b/>
                <w:color w:val="323250"/>
                <w:sz w:val="16"/>
              </w:rPr>
              <w:t xml:space="preserve">Société : </w:t>
            </w:r>
            <w:r>
              <w:rPr>
                <w:color w:val="000000"/>
                <w:sz w:val="16"/>
              </w:rPr>
              <w:t>TTLS - TOTAL ENERGIES MARKETING SENEGAL</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120.54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3,461 titres</w:t>
            </w:r>
          </w:p>
        </w:tc>
        <w:tc>
          <w:tcPr>
            <w:tcW w:type="dxa" w:w="2268"/>
            <w:shd w:fill="FFF2CC" w:val="clear"/>
          </w:tcPr>
          <w:p>
            <w:r>
              <w:rPr>
                <w:b/>
                <w:color w:val="503200"/>
                <w:sz w:val="16"/>
              </w:rPr>
              <w:t xml:space="preserve">Cours actuel : </w:t>
            </w:r>
            <w:r>
              <w:rPr>
                <w:color w:val="000000"/>
                <w:sz w:val="17"/>
              </w:rPr>
              <w:t>3,700 FCFA</w:t>
            </w:r>
          </w:p>
          <w:p>
            <w:r>
              <w:rPr>
                <w:b/>
                <w:color w:val="503200"/>
                <w:sz w:val="16"/>
              </w:rPr>
              <w:t xml:space="preserve">Var. 100 jours : </w:t>
            </w:r>
            <w:r>
              <w:rPr>
                <w:b/>
                <w:color w:val="007800"/>
                <w:sz w:val="17"/>
              </w:rPr>
              <w:t>+15.81%</w:t>
            </w:r>
          </w:p>
          <w:p>
            <w:r>
              <w:rPr>
                <w:b/>
                <w:color w:val="503200"/>
                <w:sz w:val="16"/>
              </w:rPr>
              <w:t xml:space="preserve">Plus haut 100j : </w:t>
            </w:r>
            <w:r>
              <w:rPr>
                <w:color w:val="000000"/>
                <w:sz w:val="17"/>
              </w:rPr>
              <w:t>4,500 FCFA</w:t>
            </w:r>
          </w:p>
          <w:p>
            <w:r>
              <w:rPr>
                <w:b/>
                <w:color w:val="503200"/>
                <w:sz w:val="16"/>
              </w:rPr>
              <w:t xml:space="preserve">Plus bas 100j : </w:t>
            </w:r>
            <w:r>
              <w:rPr>
                <w:color w:val="000000"/>
                <w:sz w:val="17"/>
              </w:rPr>
              <w:t>3,195 FCFA</w:t>
            </w:r>
          </w:p>
          <w:p>
            <w:r>
              <w:rPr>
                <w:b/>
                <w:color w:val="503200"/>
                <w:sz w:val="16"/>
              </w:rPr>
              <w:t xml:space="preserve">Volatilité ann. : </w:t>
            </w:r>
            <w:r>
              <w:rPr>
                <w:color w:val="000000"/>
                <w:sz w:val="17"/>
              </w:rPr>
              <w:t>42.3%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6.88% (Moyenne) — μ=3,720 FCFA, σ=256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β=0.4498 (Défensif) — Cov=0.000034, Var(idx)=0.000075, ρ=0.145,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3,461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σ_j=2.66%/j (Stable) — Vol. annualisée≈42.3%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48" name="Picture 48"/>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2026-10-16</w:t>
            </w:r>
          </w:p>
        </w:tc>
        <w:tc>
          <w:tcPr>
            <w:tcW w:type="dxa" w:w="1440"/>
            <w:shd w:fill="FAFAFA" w:val="clear"/>
          </w:tcPr>
          <w:p>
            <w:r>
              <w:rPr>
                <w:sz w:val="17"/>
              </w:rPr>
              <w:t>3,539</w:t>
            </w:r>
          </w:p>
        </w:tc>
        <w:tc>
          <w:tcPr>
            <w:tcW w:type="dxa" w:w="1440"/>
            <w:shd w:fill="FAFAFA" w:val="clear"/>
          </w:tcPr>
          <w:p>
            <w:r>
              <w:rPr>
                <w:b/>
                <w:sz w:val="17"/>
              </w:rPr>
              <w:t>3,668</w:t>
            </w:r>
          </w:p>
        </w:tc>
        <w:tc>
          <w:tcPr>
            <w:tcW w:type="dxa" w:w="1440"/>
            <w:shd w:fill="FAFAFA" w:val="clear"/>
          </w:tcPr>
          <w:p>
            <w:r>
              <w:rPr>
                <w:sz w:val="17"/>
              </w:rPr>
              <w:t>3,796</w:t>
            </w:r>
          </w:p>
        </w:tc>
        <w:tc>
          <w:tcPr>
            <w:tcW w:type="dxa" w:w="1440"/>
            <w:shd w:fill="FAFAFA" w:val="clear"/>
          </w:tcPr>
          <w:p>
            <w:r>
              <w:rPr>
                <w:b/>
                <w:color w:val="C00000"/>
                <w:sz w:val="17"/>
              </w:rPr>
              <w:t>-0.9%</w:t>
            </w:r>
          </w:p>
        </w:tc>
      </w:tr>
      <w:tr>
        <w:tc>
          <w:tcPr>
            <w:tcW w:type="dxa" w:w="1440"/>
            <w:shd w:fill="FAFAFA" w:val="clear"/>
          </w:tcPr>
          <w:p>
            <w:r>
              <w:rPr>
                <w:sz w:val="17"/>
              </w:rPr>
              <w:t>J+2  ⭐</w:t>
            </w:r>
          </w:p>
        </w:tc>
        <w:tc>
          <w:tcPr>
            <w:tcW w:type="dxa" w:w="1440"/>
            <w:shd w:fill="FAFAFA" w:val="clear"/>
          </w:tcPr>
          <w:p>
            <w:r>
              <w:rPr>
                <w:sz w:val="17"/>
              </w:rPr>
              <w:t>2026-10-19</w:t>
            </w:r>
          </w:p>
        </w:tc>
        <w:tc>
          <w:tcPr>
            <w:tcW w:type="dxa" w:w="1440"/>
            <w:shd w:fill="FAFAFA" w:val="clear"/>
          </w:tcPr>
          <w:p>
            <w:r>
              <w:rPr>
                <w:sz w:val="17"/>
              </w:rPr>
              <w:t>3,474</w:t>
            </w:r>
          </w:p>
        </w:tc>
        <w:tc>
          <w:tcPr>
            <w:tcW w:type="dxa" w:w="1440"/>
            <w:shd w:fill="FAFAFA" w:val="clear"/>
          </w:tcPr>
          <w:p>
            <w:r>
              <w:rPr>
                <w:b/>
                <w:sz w:val="17"/>
              </w:rPr>
              <w:t>3,655</w:t>
            </w:r>
          </w:p>
        </w:tc>
        <w:tc>
          <w:tcPr>
            <w:tcW w:type="dxa" w:w="1440"/>
            <w:shd w:fill="FAFAFA" w:val="clear"/>
          </w:tcPr>
          <w:p>
            <w:r>
              <w:rPr>
                <w:sz w:val="17"/>
              </w:rPr>
              <w:t>3,836</w:t>
            </w:r>
          </w:p>
        </w:tc>
        <w:tc>
          <w:tcPr>
            <w:tcW w:type="dxa" w:w="1440"/>
            <w:shd w:fill="FAFAFA" w:val="clear"/>
          </w:tcPr>
          <w:p>
            <w:r>
              <w:rPr>
                <w:b/>
                <w:color w:val="C00000"/>
                <w:sz w:val="17"/>
              </w:rPr>
              <w:t>-1.2%</w:t>
            </w:r>
          </w:p>
        </w:tc>
      </w:tr>
      <w:tr>
        <w:tc>
          <w:tcPr>
            <w:tcW w:type="dxa" w:w="1440"/>
            <w:shd w:fill="FAFAFA" w:val="clear"/>
          </w:tcPr>
          <w:p>
            <w:r>
              <w:rPr>
                <w:sz w:val="17"/>
              </w:rPr>
              <w:t>J+3  ⭐</w:t>
            </w:r>
          </w:p>
        </w:tc>
        <w:tc>
          <w:tcPr>
            <w:tcW w:type="dxa" w:w="1440"/>
            <w:shd w:fill="FAFAFA" w:val="clear"/>
          </w:tcPr>
          <w:p>
            <w:r>
              <w:rPr>
                <w:sz w:val="17"/>
              </w:rPr>
              <w:t>2026-10-20</w:t>
            </w:r>
          </w:p>
        </w:tc>
        <w:tc>
          <w:tcPr>
            <w:tcW w:type="dxa" w:w="1440"/>
            <w:shd w:fill="FAFAFA" w:val="clear"/>
          </w:tcPr>
          <w:p>
            <w:r>
              <w:rPr>
                <w:sz w:val="17"/>
              </w:rPr>
              <w:t>3,423</w:t>
            </w:r>
          </w:p>
        </w:tc>
        <w:tc>
          <w:tcPr>
            <w:tcW w:type="dxa" w:w="1440"/>
            <w:shd w:fill="FAFAFA" w:val="clear"/>
          </w:tcPr>
          <w:p>
            <w:r>
              <w:rPr>
                <w:b/>
                <w:sz w:val="17"/>
              </w:rPr>
              <w:t>3,644</w:t>
            </w:r>
          </w:p>
        </w:tc>
        <w:tc>
          <w:tcPr>
            <w:tcW w:type="dxa" w:w="1440"/>
            <w:shd w:fill="FAFAFA" w:val="clear"/>
          </w:tcPr>
          <w:p>
            <w:r>
              <w:rPr>
                <w:sz w:val="17"/>
              </w:rPr>
              <w:t>3,866</w:t>
            </w:r>
          </w:p>
        </w:tc>
        <w:tc>
          <w:tcPr>
            <w:tcW w:type="dxa" w:w="1440"/>
            <w:shd w:fill="FAFAFA" w:val="clear"/>
          </w:tcPr>
          <w:p>
            <w:r>
              <w:rPr>
                <w:b/>
                <w:color w:val="C00000"/>
                <w:sz w:val="17"/>
              </w:rPr>
              <w:t>-1.5%</w:t>
            </w:r>
          </w:p>
        </w:tc>
      </w:tr>
      <w:tr>
        <w:tc>
          <w:tcPr>
            <w:tcW w:type="dxa" w:w="1440"/>
            <w:shd w:fill="FAFAFA" w:val="clear"/>
          </w:tcPr>
          <w:p>
            <w:r>
              <w:rPr>
                <w:sz w:val="17"/>
              </w:rPr>
              <w:t>J+4  ⭐</w:t>
            </w:r>
          </w:p>
        </w:tc>
        <w:tc>
          <w:tcPr>
            <w:tcW w:type="dxa" w:w="1440"/>
            <w:shd w:fill="FAFAFA" w:val="clear"/>
          </w:tcPr>
          <w:p>
            <w:r>
              <w:rPr>
                <w:sz w:val="17"/>
              </w:rPr>
              <w:t>2026-10-21</w:t>
            </w:r>
          </w:p>
        </w:tc>
        <w:tc>
          <w:tcPr>
            <w:tcW w:type="dxa" w:w="1440"/>
            <w:shd w:fill="FAFAFA" w:val="clear"/>
          </w:tcPr>
          <w:p>
            <w:r>
              <w:rPr>
                <w:sz w:val="17"/>
              </w:rPr>
              <w:t>3,381</w:t>
            </w:r>
          </w:p>
        </w:tc>
        <w:tc>
          <w:tcPr>
            <w:tcW w:type="dxa" w:w="1440"/>
            <w:shd w:fill="FAFAFA" w:val="clear"/>
          </w:tcPr>
          <w:p>
            <w:r>
              <w:rPr>
                <w:b/>
                <w:sz w:val="17"/>
              </w:rPr>
              <w:t>3,636</w:t>
            </w:r>
          </w:p>
        </w:tc>
        <w:tc>
          <w:tcPr>
            <w:tcW w:type="dxa" w:w="1440"/>
            <w:shd w:fill="FAFAFA" w:val="clear"/>
          </w:tcPr>
          <w:p>
            <w:r>
              <w:rPr>
                <w:sz w:val="17"/>
              </w:rPr>
              <w:t>3,890</w:t>
            </w:r>
          </w:p>
        </w:tc>
        <w:tc>
          <w:tcPr>
            <w:tcW w:type="dxa" w:w="1440"/>
            <w:shd w:fill="FAFAFA" w:val="clear"/>
          </w:tcPr>
          <w:p>
            <w:r>
              <w:rPr>
                <w:b/>
                <w:color w:val="C00000"/>
                <w:sz w:val="17"/>
              </w:rPr>
              <w:t>-1.7%</w:t>
            </w:r>
          </w:p>
        </w:tc>
      </w:tr>
      <w:tr>
        <w:tc>
          <w:tcPr>
            <w:tcW w:type="dxa" w:w="1440"/>
            <w:shd w:fill="FAFAFA" w:val="clear"/>
          </w:tcPr>
          <w:p>
            <w:r>
              <w:rPr>
                <w:sz w:val="17"/>
              </w:rPr>
              <w:t>J+5  ⭐</w:t>
            </w:r>
          </w:p>
        </w:tc>
        <w:tc>
          <w:tcPr>
            <w:tcW w:type="dxa" w:w="1440"/>
            <w:shd w:fill="FAFAFA" w:val="clear"/>
          </w:tcPr>
          <w:p>
            <w:r>
              <w:rPr>
                <w:sz w:val="17"/>
              </w:rPr>
              <w:t>2026-10-22</w:t>
            </w:r>
          </w:p>
        </w:tc>
        <w:tc>
          <w:tcPr>
            <w:tcW w:type="dxa" w:w="1440"/>
            <w:shd w:fill="FAFAFA" w:val="clear"/>
          </w:tcPr>
          <w:p>
            <w:r>
              <w:rPr>
                <w:sz w:val="17"/>
              </w:rPr>
              <w:t>3,343</w:t>
            </w:r>
          </w:p>
        </w:tc>
        <w:tc>
          <w:tcPr>
            <w:tcW w:type="dxa" w:w="1440"/>
            <w:shd w:fill="FAFAFA" w:val="clear"/>
          </w:tcPr>
          <w:p>
            <w:r>
              <w:rPr>
                <w:b/>
                <w:sz w:val="17"/>
              </w:rPr>
              <w:t>3,628</w:t>
            </w:r>
          </w:p>
        </w:tc>
        <w:tc>
          <w:tcPr>
            <w:tcW w:type="dxa" w:w="1440"/>
            <w:shd w:fill="FAFAFA" w:val="clear"/>
          </w:tcPr>
          <w:p>
            <w:r>
              <w:rPr>
                <w:sz w:val="17"/>
              </w:rPr>
              <w:t>3,912</w:t>
            </w:r>
          </w:p>
        </w:tc>
        <w:tc>
          <w:tcPr>
            <w:tcW w:type="dxa" w:w="1440"/>
            <w:shd w:fill="FAFAFA" w:val="clear"/>
          </w:tcPr>
          <w:p>
            <w:r>
              <w:rPr>
                <w:b/>
                <w:color w:val="C00000"/>
                <w:sz w:val="17"/>
              </w:rPr>
              <w:t>-2.0%</w:t>
            </w:r>
          </w:p>
        </w:tc>
      </w:tr>
      <w:tr>
        <w:tc>
          <w:tcPr>
            <w:tcW w:type="dxa" w:w="1440"/>
            <w:shd w:fill="FFDCE0" w:val="clear"/>
          </w:tcPr>
          <w:p>
            <w:r>
              <w:rPr>
                <w:sz w:val="17"/>
              </w:rPr>
              <w:t>J+6  ⭐</w:t>
            </w:r>
          </w:p>
        </w:tc>
        <w:tc>
          <w:tcPr>
            <w:tcW w:type="dxa" w:w="1440"/>
            <w:shd w:fill="FFDCE0" w:val="clear"/>
          </w:tcPr>
          <w:p>
            <w:r>
              <w:rPr>
                <w:sz w:val="17"/>
              </w:rPr>
              <w:t>2026-10-23</w:t>
            </w:r>
          </w:p>
        </w:tc>
        <w:tc>
          <w:tcPr>
            <w:tcW w:type="dxa" w:w="1440"/>
            <w:shd w:fill="FFDCE0" w:val="clear"/>
          </w:tcPr>
          <w:p>
            <w:r>
              <w:rPr>
                <w:sz w:val="17"/>
              </w:rPr>
              <w:t>3,310</w:t>
            </w:r>
          </w:p>
        </w:tc>
        <w:tc>
          <w:tcPr>
            <w:tcW w:type="dxa" w:w="1440"/>
            <w:shd w:fill="FFDCE0" w:val="clear"/>
          </w:tcPr>
          <w:p>
            <w:r>
              <w:rPr>
                <w:b/>
                <w:sz w:val="17"/>
              </w:rPr>
              <w:t>3,621</w:t>
            </w:r>
          </w:p>
        </w:tc>
        <w:tc>
          <w:tcPr>
            <w:tcW w:type="dxa" w:w="1440"/>
            <w:shd w:fill="FFDCE0" w:val="clear"/>
          </w:tcPr>
          <w:p>
            <w:r>
              <w:rPr>
                <w:sz w:val="17"/>
              </w:rPr>
              <w:t>3,931</w:t>
            </w:r>
          </w:p>
        </w:tc>
        <w:tc>
          <w:tcPr>
            <w:tcW w:type="dxa" w:w="1440"/>
            <w:shd w:fill="FFDCE0" w:val="clear"/>
          </w:tcPr>
          <w:p>
            <w:r>
              <w:rPr>
                <w:b/>
                <w:color w:val="C00000"/>
                <w:sz w:val="17"/>
              </w:rPr>
              <w:t>-2.1%</w:t>
            </w:r>
          </w:p>
        </w:tc>
      </w:tr>
      <w:tr>
        <w:tc>
          <w:tcPr>
            <w:tcW w:type="dxa" w:w="1440"/>
            <w:shd w:fill="FFDCE0" w:val="clear"/>
          </w:tcPr>
          <w:p>
            <w:r>
              <w:rPr>
                <w:sz w:val="17"/>
              </w:rPr>
              <w:t>J+7  ⭐</w:t>
            </w:r>
          </w:p>
        </w:tc>
        <w:tc>
          <w:tcPr>
            <w:tcW w:type="dxa" w:w="1440"/>
            <w:shd w:fill="FFDCE0" w:val="clear"/>
          </w:tcPr>
          <w:p>
            <w:r>
              <w:rPr>
                <w:sz w:val="17"/>
              </w:rPr>
              <w:t>2026-10-26</w:t>
            </w:r>
          </w:p>
        </w:tc>
        <w:tc>
          <w:tcPr>
            <w:tcW w:type="dxa" w:w="1440"/>
            <w:shd w:fill="FFDCE0" w:val="clear"/>
          </w:tcPr>
          <w:p>
            <w:r>
              <w:rPr>
                <w:sz w:val="17"/>
              </w:rPr>
              <w:t>3,279</w:t>
            </w:r>
          </w:p>
        </w:tc>
        <w:tc>
          <w:tcPr>
            <w:tcW w:type="dxa" w:w="1440"/>
            <w:shd w:fill="FFDCE0" w:val="clear"/>
          </w:tcPr>
          <w:p>
            <w:r>
              <w:rPr>
                <w:b/>
                <w:sz w:val="17"/>
              </w:rPr>
              <w:t>3,614</w:t>
            </w:r>
          </w:p>
        </w:tc>
        <w:tc>
          <w:tcPr>
            <w:tcW w:type="dxa" w:w="1440"/>
            <w:shd w:fill="FFDCE0" w:val="clear"/>
          </w:tcPr>
          <w:p>
            <w:r>
              <w:rPr>
                <w:sz w:val="17"/>
              </w:rPr>
              <w:t>3,949</w:t>
            </w:r>
          </w:p>
        </w:tc>
        <w:tc>
          <w:tcPr>
            <w:tcW w:type="dxa" w:w="1440"/>
            <w:shd w:fill="FFDCE0" w:val="clear"/>
          </w:tcPr>
          <w:p>
            <w:r>
              <w:rPr>
                <w:b/>
                <w:color w:val="C00000"/>
                <w:sz w:val="17"/>
              </w:rPr>
              <w:t>-2.3%</w:t>
            </w:r>
          </w:p>
        </w:tc>
      </w:tr>
      <w:tr>
        <w:tc>
          <w:tcPr>
            <w:tcW w:type="dxa" w:w="1440"/>
            <w:shd w:fill="FFDCE0" w:val="clear"/>
          </w:tcPr>
          <w:p>
            <w:r>
              <w:rPr>
                <w:sz w:val="17"/>
              </w:rPr>
              <w:t>J+8  ⭐</w:t>
            </w:r>
          </w:p>
        </w:tc>
        <w:tc>
          <w:tcPr>
            <w:tcW w:type="dxa" w:w="1440"/>
            <w:shd w:fill="FFDCE0" w:val="clear"/>
          </w:tcPr>
          <w:p>
            <w:r>
              <w:rPr>
                <w:sz w:val="17"/>
              </w:rPr>
              <w:t>2026-10-27</w:t>
            </w:r>
          </w:p>
        </w:tc>
        <w:tc>
          <w:tcPr>
            <w:tcW w:type="dxa" w:w="1440"/>
            <w:shd w:fill="FFDCE0" w:val="clear"/>
          </w:tcPr>
          <w:p>
            <w:r>
              <w:rPr>
                <w:sz w:val="17"/>
              </w:rPr>
              <w:t>3,249</w:t>
            </w:r>
          </w:p>
        </w:tc>
        <w:tc>
          <w:tcPr>
            <w:tcW w:type="dxa" w:w="1440"/>
            <w:shd w:fill="FFDCE0" w:val="clear"/>
          </w:tcPr>
          <w:p>
            <w:r>
              <w:rPr>
                <w:b/>
                <w:sz w:val="17"/>
              </w:rPr>
              <w:t>3,607</w:t>
            </w:r>
          </w:p>
        </w:tc>
        <w:tc>
          <w:tcPr>
            <w:tcW w:type="dxa" w:w="1440"/>
            <w:shd w:fill="FFDCE0" w:val="clear"/>
          </w:tcPr>
          <w:p>
            <w:r>
              <w:rPr>
                <w:sz w:val="17"/>
              </w:rPr>
              <w:t>3,965</w:t>
            </w:r>
          </w:p>
        </w:tc>
        <w:tc>
          <w:tcPr>
            <w:tcW w:type="dxa" w:w="1440"/>
            <w:shd w:fill="FFDCE0" w:val="clear"/>
          </w:tcPr>
          <w:p>
            <w:r>
              <w:rPr>
                <w:b/>
                <w:color w:val="C00000"/>
                <w:sz w:val="17"/>
              </w:rPr>
              <w:t>-2.5%</w:t>
            </w:r>
          </w:p>
        </w:tc>
      </w:tr>
      <w:tr>
        <w:tc>
          <w:tcPr>
            <w:tcW w:type="dxa" w:w="1440"/>
            <w:shd w:fill="FFDCE0" w:val="clear"/>
          </w:tcPr>
          <w:p>
            <w:r>
              <w:rPr>
                <w:sz w:val="17"/>
              </w:rPr>
              <w:t>J+9  ⭐</w:t>
            </w:r>
          </w:p>
        </w:tc>
        <w:tc>
          <w:tcPr>
            <w:tcW w:type="dxa" w:w="1440"/>
            <w:shd w:fill="FFDCE0" w:val="clear"/>
          </w:tcPr>
          <w:p>
            <w:r>
              <w:rPr>
                <w:sz w:val="17"/>
              </w:rPr>
              <w:t>2026-10-28</w:t>
            </w:r>
          </w:p>
        </w:tc>
        <w:tc>
          <w:tcPr>
            <w:tcW w:type="dxa" w:w="1440"/>
            <w:shd w:fill="FFDCE0" w:val="clear"/>
          </w:tcPr>
          <w:p>
            <w:r>
              <w:rPr>
                <w:sz w:val="17"/>
              </w:rPr>
              <w:t>3,222</w:t>
            </w:r>
          </w:p>
        </w:tc>
        <w:tc>
          <w:tcPr>
            <w:tcW w:type="dxa" w:w="1440"/>
            <w:shd w:fill="FFDCE0" w:val="clear"/>
          </w:tcPr>
          <w:p>
            <w:r>
              <w:rPr>
                <w:b/>
                <w:sz w:val="17"/>
              </w:rPr>
              <w:t>3,601</w:t>
            </w:r>
          </w:p>
        </w:tc>
        <w:tc>
          <w:tcPr>
            <w:tcW w:type="dxa" w:w="1440"/>
            <w:shd w:fill="FFDCE0" w:val="clear"/>
          </w:tcPr>
          <w:p>
            <w:r>
              <w:rPr>
                <w:sz w:val="17"/>
              </w:rPr>
              <w:t>3,979</w:t>
            </w:r>
          </w:p>
        </w:tc>
        <w:tc>
          <w:tcPr>
            <w:tcW w:type="dxa" w:w="1440"/>
            <w:shd w:fill="FFDCE0" w:val="clear"/>
          </w:tcPr>
          <w:p>
            <w:r>
              <w:rPr>
                <w:b/>
                <w:color w:val="C00000"/>
                <w:sz w:val="17"/>
              </w:rPr>
              <w:t>-2.7%</w:t>
            </w:r>
          </w:p>
        </w:tc>
      </w:tr>
      <w:tr>
        <w:tc>
          <w:tcPr>
            <w:tcW w:type="dxa" w:w="1440"/>
            <w:shd w:fill="FFDCE0" w:val="clear"/>
          </w:tcPr>
          <w:p>
            <w:r>
              <w:rPr>
                <w:sz w:val="17"/>
              </w:rPr>
              <w:t>J+10  ⭐</w:t>
            </w:r>
          </w:p>
        </w:tc>
        <w:tc>
          <w:tcPr>
            <w:tcW w:type="dxa" w:w="1440"/>
            <w:shd w:fill="FFDCE0" w:val="clear"/>
          </w:tcPr>
          <w:p>
            <w:r>
              <w:rPr>
                <w:sz w:val="17"/>
              </w:rPr>
              <w:t>2026-10-29</w:t>
            </w:r>
          </w:p>
        </w:tc>
        <w:tc>
          <w:tcPr>
            <w:tcW w:type="dxa" w:w="1440"/>
            <w:shd w:fill="FFDCE0" w:val="clear"/>
          </w:tcPr>
          <w:p>
            <w:r>
              <w:rPr>
                <w:sz w:val="17"/>
              </w:rPr>
              <w:t>3,196</w:t>
            </w:r>
          </w:p>
        </w:tc>
        <w:tc>
          <w:tcPr>
            <w:tcW w:type="dxa" w:w="1440"/>
            <w:shd w:fill="FFDCE0" w:val="clear"/>
          </w:tcPr>
          <w:p>
            <w:r>
              <w:rPr>
                <w:b/>
                <w:sz w:val="17"/>
              </w:rPr>
              <w:t>3,595</w:t>
            </w:r>
          </w:p>
        </w:tc>
        <w:tc>
          <w:tcPr>
            <w:tcW w:type="dxa" w:w="1440"/>
            <w:shd w:fill="FFDCE0" w:val="clear"/>
          </w:tcPr>
          <w:p>
            <w:r>
              <w:rPr>
                <w:sz w:val="17"/>
              </w:rPr>
              <w:t>3,993</w:t>
            </w:r>
          </w:p>
        </w:tc>
        <w:tc>
          <w:tcPr>
            <w:tcW w:type="dxa" w:w="1440"/>
            <w:shd w:fill="FFDCE0" w:val="clear"/>
          </w:tcPr>
          <w:p>
            <w:r>
              <w:rPr>
                <w:b/>
                <w:color w:val="C00000"/>
                <w:sz w:val="17"/>
              </w:rPr>
              <w:t>-2.9%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59.155 Mds FCFA</w:t>
            </w:r>
          </w:p>
        </w:tc>
        <w:tc>
          <w:tcPr>
            <w:tcW w:type="dxa" w:w="5669"/>
            <w:shd w:fill="FFFFFF" w:val="clear"/>
          </w:tcPr>
          <w:p>
            <w:r>
              <w:rPr>
                <w:color w:val="282828"/>
                <w:sz w:val="15"/>
              </w:rPr>
              <w:t>Créances clients = 13.0%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15.667 Mds FCFA</w:t>
            </w:r>
          </w:p>
        </w:tc>
        <w:tc>
          <w:tcPr>
            <w:tcW w:type="dxa" w:w="5669"/>
            <w:shd w:fill="FFFFFF" w:val="clear"/>
          </w:tcPr>
          <w:p>
            <w:r>
              <w:rPr>
                <w:color w:val="282828"/>
                <w:sz w:val="15"/>
              </w:rPr>
              <w:t>Rotation stocks = 29.1x/an.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109.179 Mds FCFA</w:t>
            </w:r>
          </w:p>
        </w:tc>
        <w:tc>
          <w:tcPr>
            <w:tcW w:type="dxa" w:w="5669"/>
            <w:shd w:fill="FFFFFF" w:val="clear"/>
          </w:tcPr>
          <w:p>
            <w:r>
              <w:rPr>
                <w:color w:val="282828"/>
                <w:sz w:val="15"/>
              </w:rPr>
              <w:t>Ratio actif circ./passif circ. = 0.83x.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1.406 Mds FCFA</w:t>
            </w:r>
          </w:p>
        </w:tc>
        <w:tc>
          <w:tcPr>
            <w:tcW w:type="dxa" w:w="5669"/>
            <w:shd w:fill="FFFFFF" w:val="clear"/>
          </w:tcPr>
          <w:p>
            <w:r>
              <w:rPr>
                <w:color w:val="282828"/>
                <w:sz w:val="15"/>
              </w:rPr>
              <w:t>Brevets, logiciels, fonds commercial (0.8%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31.625 Mds FCFA</w:t>
            </w:r>
          </w:p>
        </w:tc>
        <w:tc>
          <w:tcPr>
            <w:tcW w:type="dxa" w:w="5669"/>
            <w:shd w:fill="FFFFFF" w:val="clear"/>
          </w:tcPr>
          <w:p>
            <w:r>
              <w:rPr>
                <w:color w:val="282828"/>
                <w:sz w:val="15"/>
              </w:rPr>
              <w:t>Outil industriel (18.4%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62.599 Mds FCFA</w:t>
            </w:r>
          </w:p>
        </w:tc>
        <w:tc>
          <w:tcPr>
            <w:tcW w:type="dxa" w:w="5669"/>
            <w:shd w:fill="FFFFFF" w:val="clear"/>
          </w:tcPr>
          <w:p>
            <w:r>
              <w:rPr>
                <w:color w:val="282828"/>
                <w:sz w:val="15"/>
              </w:rPr>
              <w:t>Actif immobilisé = 36.4%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20.567 Mds FCFA</w:t>
            </w:r>
          </w:p>
        </w:tc>
        <w:tc>
          <w:tcPr>
            <w:tcW w:type="dxa" w:w="5669"/>
            <w:shd w:fill="FFFFFF" w:val="clear"/>
          </w:tcPr>
          <w:p>
            <w:r>
              <w:rPr>
                <w:color w:val="282828"/>
                <w:sz w:val="15"/>
              </w:rPr>
              <w:t>Liquidités disponibles (12.0%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171.778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3.258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8.674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28.239 Mds FCFA</w:t>
            </w:r>
          </w:p>
        </w:tc>
        <w:tc>
          <w:tcPr>
            <w:tcW w:type="dxa" w:w="5669"/>
            <w:shd w:fill="FFFFFF" w:val="clear"/>
          </w:tcPr>
          <w:p>
            <w:r>
              <w:rPr>
                <w:color w:val="282828"/>
                <w:sz w:val="15"/>
              </w:rPr>
              <w:t>Fonds propres = 16.4%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39.641 Mds FCFA</w:t>
            </w:r>
          </w:p>
        </w:tc>
        <w:tc>
          <w:tcPr>
            <w:tcW w:type="dxa" w:w="5669"/>
            <w:shd w:fill="FFFFFF" w:val="clear"/>
          </w:tcPr>
          <w:p>
            <w:r>
              <w:rPr>
                <w:color w:val="282828"/>
                <w:sz w:val="15"/>
              </w:rPr>
              <w:t>Capitaux permanents / Actif immobilisé = 0.63x.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86.912 Mds FCFA</w:t>
            </w:r>
          </w:p>
        </w:tc>
        <w:tc>
          <w:tcPr>
            <w:tcW w:type="dxa" w:w="5669"/>
            <w:shd w:fill="FFFFFF" w:val="clear"/>
          </w:tcPr>
          <w:p>
            <w:r>
              <w:rPr>
                <w:color w:val="282828"/>
                <w:sz w:val="15"/>
              </w:rPr>
              <w:t>Délai fournisseurs implicite ≈ 70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8.104 Mds FCFA</w:t>
            </w:r>
          </w:p>
        </w:tc>
        <w:tc>
          <w:tcPr>
            <w:tcW w:type="dxa" w:w="5669"/>
            <w:shd w:fill="FFFFFF" w:val="clear"/>
          </w:tcPr>
          <w:p>
            <w:r>
              <w:rPr>
                <w:color w:val="282828"/>
                <w:sz w:val="15"/>
              </w:rPr>
              <w:t>Dette LT/MT = 29%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14.730 Mds FCFA</w:t>
            </w:r>
          </w:p>
        </w:tc>
        <w:tc>
          <w:tcPr>
            <w:tcW w:type="dxa" w:w="5669"/>
            <w:shd w:fill="FFFFFF" w:val="clear"/>
          </w:tcPr>
          <w:p>
            <w:r>
              <w:rPr>
                <w:color w:val="282828"/>
                <w:sz w:val="15"/>
              </w:rPr>
              <w:t>Dette financière totale = 52%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143.539 Mds FCFA</w:t>
            </w:r>
          </w:p>
        </w:tc>
        <w:tc>
          <w:tcPr>
            <w:tcW w:type="dxa" w:w="5669"/>
            <w:shd w:fill="FFFFFF" w:val="clear"/>
          </w:tcPr>
          <w:p>
            <w:r>
              <w:rPr>
                <w:color w:val="282828"/>
                <w:sz w:val="15"/>
              </w:rPr>
              <w:t>Dettes totales = 83.6%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455.209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455.209 Mds FCFA</w:t>
            </w:r>
          </w:p>
        </w:tc>
        <w:tc>
          <w:tcPr>
            <w:tcW w:type="dxa" w:w="5669"/>
            <w:shd w:fill="FFFFFF" w:val="clear"/>
          </w:tcPr>
          <w:p>
            <w:r>
              <w:rPr>
                <w:color w:val="282828"/>
                <w:sz w:val="15"/>
              </w:rPr>
              <w:t>Chiffre d'affaires. Croissance: -6.1%. ❌ CA en baisse — perte de parts de marché ou demande en recul.</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-25.306 Mds FCFA</w:t>
            </w:r>
          </w:p>
        </w:tc>
        <w:tc>
          <w:tcPr>
            <w:tcW w:type="dxa" w:w="5669"/>
            <w:shd w:fill="FFFFFF" w:val="clear"/>
          </w:tcPr>
          <w:p>
            <w:r>
              <w:rPr>
                <w:color w:val="282828"/>
                <w:sz w:val="15"/>
              </w:rPr>
              <w:t>-5.6%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-8.715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-8.872 Mds FCFA</w:t>
            </w:r>
          </w:p>
        </w:tc>
        <w:tc>
          <w:tcPr>
            <w:tcW w:type="dxa" w:w="5669"/>
            <w:shd w:fill="FFFFFF" w:val="clear"/>
          </w:tcPr>
          <w:p>
            <w:r>
              <w:rPr>
                <w:color w:val="282828"/>
                <w:sz w:val="15"/>
              </w:rPr>
              <w:t>Masse salariale = -1.9%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27.638 Mds FCFA</w:t>
            </w:r>
          </w:p>
        </w:tc>
        <w:tc>
          <w:tcPr>
            <w:tcW w:type="dxa" w:w="5669"/>
            <w:shd w:fill="FFFFFF" w:val="clear"/>
          </w:tcPr>
          <w:p>
            <w:r>
              <w:rPr>
                <w:color w:val="282828"/>
                <w:sz w:val="15"/>
              </w:rPr>
              <w:t>VA = 6.1%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16.071 Mds FCFA</w:t>
            </w:r>
          </w:p>
        </w:tc>
        <w:tc>
          <w:tcPr>
            <w:tcW w:type="dxa" w:w="5669"/>
            <w:shd w:fill="FFFFFF" w:val="clear"/>
          </w:tcPr>
          <w:p>
            <w:r>
              <w:rPr>
                <w:color w:val="282828"/>
                <w:sz w:val="15"/>
              </w:rPr>
              <w:t>EBE = 3.5%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8.693 Mds FCFA</w:t>
            </w:r>
          </w:p>
        </w:tc>
        <w:tc>
          <w:tcPr>
            <w:tcW w:type="dxa" w:w="5669"/>
            <w:shd w:fill="FFFFFF" w:val="clear"/>
          </w:tcPr>
          <w:p>
            <w:r>
              <w:rPr>
                <w:color w:val="282828"/>
                <w:sz w:val="15"/>
              </w:rPr>
              <w:t>Profit d'exploitation = 1.9%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-204.00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6.779 Mds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15.698 Mds FCFA</w:t>
            </w:r>
          </w:p>
        </w:tc>
        <w:tc>
          <w:tcPr>
            <w:tcW w:type="dxa" w:w="5669"/>
            <w:shd w:fill="FFFFFF" w:val="clear"/>
          </w:tcPr>
          <w:p>
            <w:r>
              <w:rPr>
                <w:color w:val="282828"/>
                <w:sz w:val="15"/>
              </w:rPr>
              <w:t>CAF = 15.70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18.673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-1.190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-5.282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17.483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-36.899 Mds FCFA</w:t>
            </w:r>
          </w:p>
        </w:tc>
        <w:tc>
          <w:tcPr>
            <w:tcW w:type="dxa" w:w="5669"/>
            <w:shd w:fill="FFFFFF" w:val="clear"/>
          </w:tcPr>
          <w:p>
            <w:r>
              <w:rPr>
                <w:color w:val="282828"/>
                <w:sz w:val="15"/>
              </w:rPr>
              <w:t>BFR = -8.1%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-22.958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13.941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28.71%</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1.49%</w:t>
            </w:r>
          </w:p>
        </w:tc>
        <w:tc>
          <w:tcPr>
            <w:tcW w:type="dxa" w:w="5669"/>
            <w:shd w:fill="FFFFFF" w:val="clear"/>
          </w:tcPr>
          <w:p>
            <w:r>
              <w:rPr>
                <w:color w:val="282828"/>
                <w:sz w:val="15"/>
              </w:rPr>
              <w:t>Résultat net / revenus = 1.49%.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1.91%</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24.01%</w:t>
            </w:r>
          </w:p>
        </w:tc>
        <w:tc>
          <w:tcPr>
            <w:tcW w:type="dxa" w:w="5669"/>
            <w:shd w:fill="FFFFFF" w:val="clear"/>
          </w:tcPr>
          <w:p>
            <w:r>
              <w:rPr>
                <w:color w:val="282828"/>
                <w:sz w:val="15"/>
              </w:rPr>
              <w:t>Résultat net / capitaux propres = 24.01%.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3.95%</w:t>
            </w:r>
          </w:p>
        </w:tc>
        <w:tc>
          <w:tcPr>
            <w:tcW w:type="dxa" w:w="5669"/>
            <w:shd w:fill="FFFFFF" w:val="clear"/>
          </w:tcPr>
          <w:p>
            <w:r>
              <w:rPr>
                <w:color w:val="282828"/>
                <w:sz w:val="15"/>
              </w:rPr>
              <w:t>Résultat net / total actif = 3.95%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265.00%</w:t>
            </w:r>
          </w:p>
        </w:tc>
        <w:tc>
          <w:tcPr>
            <w:tcW w:type="dxa" w:w="5669"/>
            <w:shd w:fill="FFFFFF" w:val="clear"/>
          </w:tcPr>
          <w:p>
            <w:r>
              <w:rPr>
                <w:color w:val="282828"/>
                <w:sz w:val="15"/>
              </w:rPr>
              <w:t>CA / total actif = 265.00x.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0.39%</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-6.13%</w:t>
            </w:r>
          </w:p>
        </w:tc>
        <w:tc>
          <w:tcPr>
            <w:tcW w:type="dxa" w:w="5669"/>
            <w:shd w:fill="FFFFFF" w:val="clear"/>
          </w:tcPr>
          <w:p>
            <w:r>
              <w:rPr>
                <w:color w:val="282828"/>
                <w:sz w:val="15"/>
              </w:rPr>
              <w:t>Croissance CA vs exercice précédent = -6.13%.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16.44%</w:t>
            </w:r>
          </w:p>
        </w:tc>
        <w:tc>
          <w:tcPr>
            <w:tcW w:type="dxa" w:w="5669"/>
            <w:shd w:fill="FFFFFF" w:val="clear"/>
          </w:tcPr>
          <w:p>
            <w:r>
              <w:rPr>
                <w:color w:val="282828"/>
                <w:sz w:val="15"/>
              </w:rPr>
              <w:t>Fonds propres / total bilan = 16.44%.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83.56%</w:t>
            </w:r>
          </w:p>
        </w:tc>
        <w:tc>
          <w:tcPr>
            <w:tcW w:type="dxa" w:w="5669"/>
            <w:shd w:fill="FFFFFF" w:val="clear"/>
          </w:tcPr>
          <w:p>
            <w:r>
              <w:rPr>
                <w:color w:val="282828"/>
                <w:sz w:val="15"/>
              </w:rPr>
              <w:t>Dettes financières / total bilan = 83.56%.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52.16%</w:t>
            </w:r>
          </w:p>
        </w:tc>
        <w:tc>
          <w:tcPr>
            <w:tcW w:type="dxa" w:w="5669"/>
            <w:shd w:fill="FFFFFF" w:val="clear"/>
          </w:tcPr>
          <w:p>
            <w:r>
              <w:rPr>
                <w:color w:val="282828"/>
                <w:sz w:val="15"/>
              </w:rPr>
              <w:t>Dettes totales / fonds propres = 52.16%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119.67%</w:t>
            </w:r>
          </w:p>
        </w:tc>
        <w:tc>
          <w:tcPr>
            <w:tcW w:type="dxa" w:w="5669"/>
            <w:shd w:fill="FFFFFF" w:val="clear"/>
          </w:tcPr>
          <w:p>
            <w:r>
              <w:rPr>
                <w:color w:val="282828"/>
                <w:sz w:val="15"/>
              </w:rPr>
              <w:t>Total actif / dettes totales = 119.67x.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93.50%</w:t>
            </w:r>
          </w:p>
        </w:tc>
        <w:tc>
          <w:tcPr>
            <w:tcW w:type="dxa" w:w="5669"/>
            <w:shd w:fill="FFFFFF" w:val="clear"/>
          </w:tcPr>
          <w:p>
            <w:r>
              <w:rPr>
                <w:color w:val="282828"/>
                <w:sz w:val="15"/>
              </w:rPr>
              <w:t>Actif circulant / passif circulant = 93.50x. ⚠️ Liquidité tendue — risque si remboursement simultané exigé.</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14.82%</w:t>
            </w:r>
          </w:p>
        </w:tc>
        <w:tc>
          <w:tcPr>
            <w:tcW w:type="dxa" w:w="5669"/>
            <w:shd w:fill="FFFFFF" w:val="clear"/>
          </w:tcPr>
          <w:p>
            <w:r>
              <w:rPr>
                <w:color w:val="282828"/>
                <w:sz w:val="15"/>
              </w:rPr>
              <w:t>Trésorerie / passif circulant = 14.82x. ⚠️ Trésorerie immédiate limitée.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82.21%</w:t>
            </w:r>
          </w:p>
        </w:tc>
        <w:tc>
          <w:tcPr>
            <w:tcW w:type="dxa" w:w="5669"/>
            <w:shd w:fill="FFFFFF" w:val="clear"/>
          </w:tcPr>
          <w:p>
            <w:r>
              <w:rPr>
                <w:color w:val="282828"/>
                <w:sz w:val="15"/>
              </w:rPr>
              <w:t>(Actif circ. - stocks) / passif circ. = 82.21x. ⚠️ Liquidité réduite limite.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63.33%</w:t>
            </w:r>
          </w:p>
        </w:tc>
        <w:tc>
          <w:tcPr>
            <w:tcW w:type="dxa" w:w="5669"/>
            <w:shd w:fill="FFFFFF" w:val="clear"/>
          </w:tcPr>
          <w:p>
            <w:r>
              <w:rPr>
                <w:color w:val="282828"/>
                <w:sz w:val="15"/>
              </w:rPr>
              <w:t>Capitaux permanents / actif immobilisé = 63.33x.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0.9 ans</w:t>
            </w:r>
          </w:p>
        </w:tc>
        <w:tc>
          <w:tcPr>
            <w:tcW w:type="dxa" w:w="5669"/>
            <w:shd w:fill="FFFFFF" w:val="clear"/>
          </w:tcPr>
          <w:p>
            <w:r>
              <w:rPr>
                <w:color w:val="282828"/>
                <w:sz w:val="15"/>
              </w:rPr>
              <w:t>Dettes financières / CAF = 0.9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485.91%</w:t>
            </w:r>
          </w:p>
        </w:tc>
        <w:tc>
          <w:tcPr>
            <w:tcW w:type="dxa" w:w="5669"/>
            <w:shd w:fill="FFFFFF" w:val="clear"/>
          </w:tcPr>
          <w:p>
            <w:r>
              <w:rPr>
                <w:color w:val="282828"/>
                <w:sz w:val="15"/>
              </w:rPr>
              <w:t>Résultat exploit. / charges financières = 485.91x.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1319.16%</w:t>
            </w:r>
          </w:p>
        </w:tc>
        <w:tc>
          <w:tcPr>
            <w:tcW w:type="dxa" w:w="5669"/>
            <w:shd w:fill="FFFFFF" w:val="clear"/>
          </w:tcPr>
          <w:p>
            <w:r>
              <w:rPr>
                <w:color w:val="282828"/>
                <w:sz w:val="15"/>
              </w:rPr>
              <w:t>CAF / investissements = 1319.16x.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47.4 j</w:t>
            </w:r>
          </w:p>
        </w:tc>
        <w:tc>
          <w:tcPr>
            <w:tcW w:type="dxa" w:w="5669"/>
            <w:shd w:fill="FFFFFF" w:val="clear"/>
          </w:tcPr>
          <w:p>
            <w:r>
              <w:rPr>
                <w:color w:val="282828"/>
                <w:sz w:val="15"/>
              </w:rPr>
              <w:t>Les clients paient en moyenne en 47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97.8 j</w:t>
            </w:r>
          </w:p>
        </w:tc>
        <w:tc>
          <w:tcPr>
            <w:tcW w:type="dxa" w:w="5669"/>
            <w:shd w:fill="FFFFFF" w:val="clear"/>
          </w:tcPr>
          <w:p>
            <w:r>
              <w:rPr>
                <w:color w:val="282828"/>
                <w:sz w:val="15"/>
              </w:rPr>
              <w:t>Paiement des fournisseurs en 98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17.6 j</w:t>
            </w:r>
          </w:p>
        </w:tc>
        <w:tc>
          <w:tcPr>
            <w:tcW w:type="dxa" w:w="5669"/>
            <w:shd w:fill="FFFFFF" w:val="clear"/>
          </w:tcPr>
          <w:p>
            <w:r>
              <w:rPr>
                <w:color w:val="282828"/>
                <w:sz w:val="15"/>
              </w:rPr>
              <w:t>Stock écoulé en 18 jours. ✅ Rotation rapide — faible immobilisation de capital.</w:t>
            </w:r>
          </w:p>
        </w:tc>
      </w:tr>
    </w:tbl>
    <w:p/>
    <w:p>
      <w:pPr>
        <w:spacing w:after="120" w:line="276" w:lineRule="auto"/>
      </w:pPr>
      <w:r>
        <w:t># RAPPORT D'ANALYSE FINANCIÈRE — TOTALENERGIES MARKETING SÉNÉGAL (TTLS)</w:t>
        <w:br/>
        <w:t>**Bourse Régionale des Valeurs Mobilières (BRVM) — Secteur : Distribution pétrolière**</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120,54 milliards FCFA, TTLS figure parmi les valeurs moyennes de la cote BRVM, sans atteindre le poids des grandes capitalisations bancaires ou télécoms régionales. Le BPA de 208 FCFA/action signifie que chaque titre génère un bénéfice net de 208 FCFA, ce qui, rapporté au cours actuel de 3 700 FCFA, donne un PER de 17,8x — nettement supérieur à la moyenne BRVM (8-12x), signalant que le marché paie une prime de qualité pour ce leader sectoriel. Le ratio P/B de 4,27x confirme cette valorisation exigeante : les investisseurs valorisent l'entreprise à plus de quatre fois ses fonds propres comptables, ce qui traduit une forte confiance dans la rentabilité future mais laisse peu de marge de sécurité. En revanche, l'EV/EBITDA de 7,5x apparaît raisonnable (fourchette 5-10x), indiquant que la valeur d'entreprise reste cohérente avec la capacité opérationnelle de génération de cash-flow. La prime de valorisation est donc concentrée sur les multiples de bénéfice et de fonds propres, ce qui invite à la prudence.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TTLS affiche une progression totale de +15,81%, malgré un léger repli de -0,40% lors de la dernière séance (J-1), signe d'une consolidation après un mouvement haussier soutenu. Le titre a évolué dans un range de 3 195 FCFA (plus bas) à 4 500 FCFA (plus haut), soit une amplitude de 40,8%, reflétant une dynamique haussière marquée mais ponctuée de corrections. Le cours actuel de 3 700 FCFA se situe exactement sur la médiane (3 700 FCFA) et très près de la moyenne (3 720 FCFA), ce qui indique un équilibre relatif après la correction depuis les sommets. L'écart-type de 257 FCFA et le coefficient de variation de 6,9% traduisent une dispersion modérée du cours autour de sa moyenne, avec une volatilité annualisée de 42,3% — un niveau élevé (&gt;30%) qui positionne TTLS comme un titre volatil, typique des valeurs de distribution pétrolière exposées aux prix internationaux. Le kurtosis de 0,523 (mésokurtique) suggère une distribution proche de la normale, sans risque de pics extrêmes marqué, tandis que le skewness positif de 0,605 indique une asymétrie à droite : davantage de journées de trading se sont situées sous la moyenne, mais les hausses, moins fréquentes, ont été plus amples — un profil favorable aux investisseurs patients. Le mode à 3 800 FCFA, supérieur au cours actuel, suggère que le titre évolue légèrement sous son niveau de fréquence le plus élevé, ce qui pourrait constituer une zone de rebond potentiel.</w:t>
      </w:r>
    </w:p>
    <w:p>
      <w:pPr>
        <w:spacing w:after="120" w:line="276" w:lineRule="auto"/>
      </w:pPr>
      <w:r>
        <w:t>---</w:t>
      </w:r>
    </w:p>
    <w:p>
      <w:pPr>
        <w:spacing w:after="120" w:line="276" w:lineRule="auto"/>
      </w:pPr>
      <w:r>
        <w:t>## PARTIE 2 : ANALYSE TECHNIQUE DÉTAILLÉE</w:t>
      </w:r>
    </w:p>
    <w:p>
      <w:pPr>
        <w:spacing w:after="120" w:line="276" w:lineRule="auto"/>
      </w:pPr>
      <w:r>
        <w:t>**Moyennes Mobiles** : La MM20 (3 713,5 FCFA) et la MM50 (3 747,8 FCFA) se situent toutes deux au-dessus du cours actuel (3 700 FCFA), avec la MM20 sous la MM50 — configuration baissière de court terme. Le cours évoluant sous ses deux moyennes, la décision technique est logiquement **Vente**, signalant une pression vendeuse persistante.</w:t>
      </w:r>
    </w:p>
    <w:p>
      <w:pPr>
        <w:spacing w:after="120" w:line="276" w:lineRule="auto"/>
      </w:pPr>
      <w:r>
        <w:t>**Bandes de Bollinger** : Le cours (3 700 FCFA) se situe dans la moitié inférieure de la bande, entre la borne inférieure (3 505,15 FCFA) et la borne supérieure (3 921,85 FCFA), plus proche de la borne basse que de la haute. La décision est **Neutre**, indiquant l'absence de signal extrême (ni suracheté, ni survente) et une volatilité contenue dans les bandes.</w:t>
      </w:r>
    </w:p>
    <w:p>
      <w:pPr>
        <w:spacing w:after="120" w:line="276" w:lineRule="auto"/>
      </w:pPr>
      <w:r>
        <w:t>**MACD** : La valeur du MACD (-41,003) est supérieure à son signal (-43,078), générant un croisement haussier bien que les deux lignes restent en territoire négatif. La décision est **Achat**, suggérant une amélioration du momentum baissier qui s'essouffle et un possible retournement à court terme.</w:t>
      </w:r>
    </w:p>
    <w:p>
      <w:pPr>
        <w:spacing w:after="120" w:line="276" w:lineRule="auto"/>
      </w:pPr>
      <w:r>
        <w:t>**RSI** : À 44,693, le RSI se situe en zone neutre (30-70), sans signal de surachat ni de survente. La décision est **Neutre**, confirmant l'absence de pression directionnelle forte et une phase de consolidation.</w:t>
      </w:r>
    </w:p>
    <w:p>
      <w:pPr>
        <w:spacing w:after="120" w:line="276" w:lineRule="auto"/>
      </w:pPr>
      <w:r>
        <w:t>**Stochastique** : Le %K (50,0) est supérieur au %D (35,833), avec un croisement haussier en zone médiane. La décision est **Neutre**, mais la configuration suggère un début de reprise du momentum acheteur, sans confirmation franche.</w:t>
      </w:r>
    </w:p>
    <w:p>
      <w:pPr>
        <w:spacing w:after="120" w:line="276" w:lineRule="auto"/>
      </w:pPr>
      <w:r>
        <w:t>**Conclusion technique** : Les indicateurs sont majoritairement neutres, avec deux signaux haussiers (MACD, Stochastique) et un signal baissier (Moyennes Mobiles). Le titre se trouve dans une phase de consolidation sous ses moyennes mobiles, mais le MACD et le stochastique suggèrent un essoufflement de la pression vendeuse et un possible rebond technique. La convergence partielle des signaux plaide pour une stabilisation à court terme, avec un biais légèrement haussier si le cours parvient à repasser au-dessus de la MM20 (3 713,5 FCFA).</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TotalEnergies Marketing Sénégal a réalisé un chiffre d'affaires de 455,209 milliards FCFA, en baisse de 6,13% sur un an, conséquence directe de l'arrêt stratégique de la commercialisation du fuel lourd. Le résultat net s'établit à 6,779 milliards FCFA, avec une marge nette de 1,49% — typique du secteur de distribution pétrolière. Le ROE ressort à 24,01%, un niveau excellent (&gt;15%), tandis que le ROA est de 3,95%, reflétant la faible intensité capitalistique de l'activité. La structure financière révèle une autonomie financière de 16,44% (inférieure au seuil de 30% considéré comme sain), mais un ratio d'endettement de 52,16% et une solvabilité générale de 119,67% (&gt;1, donc solvable). Le BFR est négatif à -36,899 milliards FCFA — un point positif majeur, car l'entreprise finance son cycle d'exploitation par ses fournisseurs (délai fournisseurs de 97,76 jours contre 47,43 jours de délai clients). La trésorerie nette s'élève à 13,941 milliards FCFA, et la capacité de remboursement est de 0,94 an, très confortable.</w:t>
      </w:r>
    </w:p>
    <w:p>
      <w:pPr>
        <w:spacing w:after="120" w:line="276" w:lineRule="auto"/>
      </w:pPr>
      <w:r>
        <w:t>**Analyse sectorielle (entreprise non bancaire)** : Les délais clients (47,43 jours) et fournisseurs (97,76 jours) confirment un modèle de distribution où l'entreprise encaisse rapidement ses créances tout en bénéficiant de délais de paiement fournisseurs élevés, générant un BFR négatif favorable. La rotation des actifs de 265% (CA/Total actif) témoigne d'une efficacité opérationnelle élevée. Le taux de croissance du CA de -6,13% reste préoccupant, mais s'explique par des choix stratégiques (abandon du fuel lourd) et non par une perte de compétitivité.</w:t>
      </w:r>
    </w:p>
    <w:p>
      <w:pPr>
        <w:spacing w:after="120" w:line="276" w:lineRule="auto"/>
      </w:pPr>
      <w:r>
        <w:t>**Estimations basées sur les rapports trimestriels** : Le rapport du T1 2026 (publié le 01/05/2026) révèle un chiffre d'affaires de 99,9 milliards FCFA (-10% sur un an), impacté par la révision à la baisse des prix à la pompe par l'État sénégalais en décembre 2025. Malgré cela, le résultat d'exploitation progresse de +28% à 2,623 milliards FCFA et le résultat net de +5% à 1,585 milliards FCFA, grâce à l'amélioration des marges sur les lubrifiants. Sur cette base, on peut estimer que l'exercice 2026 devrait bénéficier d'une résilience opérationnelle accrue, avec une marge nette en amélioration (1,59% au T1 2026 contre 1,37% au T1 2025), compensant partiellement la pression réglementaire sur les prix. Le rapport annuel 2025 (publié le 04/05/2026) confirme la solidité du bilan avec des capitaux propres de 28,239 milliards FCFA et une trésorerie en forte hausse (20,567 milliards FCFA contre 8,4 milliards en 2024). La recommandation fondamentale est **CONSERVER** : la société démontre une capacité remarquable à améliorer sa rentabilité malgré la baisse des volumes, mais l'absence de visibilité sur la politique de dividende et la dépendance aux décisions réglementaires limitent l'attrait pour un achat spéculatif.</w:t>
      </w:r>
    </w:p>
    <w:p>
      <w:pPr>
        <w:spacing w:after="120" w:line="276" w:lineRule="auto"/>
      </w:pPr>
      <w:r>
        <w:t>---</w:t>
      </w:r>
    </w:p>
    <w:p>
      <w:pPr>
        <w:spacing w:after="120" w:line="276" w:lineRule="auto"/>
      </w:pPr>
      <w:r>
        <w:t>## PARTIE 4 : CONCLUSION D'INVESTISSEMENT</w:t>
      </w:r>
    </w:p>
    <w:p>
      <w:pPr>
        <w:spacing w:after="120" w:line="276" w:lineRule="auto"/>
      </w:pPr>
      <w:r>
        <w:t>La valorisation de TTLS (Partie 0) apparaît exigeante : le PER de 17,8x et le P/B de 4,27x traduisent une prime de qualité, mais l'EV/EBITDA de 7,5x reste raisonnable, offrant un ancrage fondamental. Le comportement du cours (Partie 1) est globalement favorable (+15,81% sur 100 jours), avec une volatilité élevée (42,3%) et un skewness positif qui suggère des hausses amples malgré des journées baissières plus fréquentes ; le kurtosis mésokurtique écarte le risque de pics extrêmes. Les signaux techniques (Partie 2) sont mitigés : les moyennes mobiles sont baissières, mais le MACD et le stochastique suggèrent un essoufflement de la pression vendeuse, plaidant pour une stabilisation. Les fondamentaux (Partie 3) sont solides : ROE de 24%, BFR négatif, trésorerie nette positive, et une résilience opérationnelle confirmée par le T1 2026 (+28% de résultat d'exploitation). Les prédictions IA (J+1 à J+10) anticipent une légère baisse vers 3 628 FCFA d'ici le 22/10/2026, ce qui contredit le rebond technique attendu mais reste cohérent avec la phase de consolidation actuelle. **Recommandation finale : CONSERVER**, avec un niveau de confiance **Moyen** et un risque global **Moyen**. La convergence entre valorisation exigeante, technique neutre et fondamentaux solides ne justifie ni un achat agressif (manque de catalyseurs à court terme), ni une vente (solidité opérationnelle et perspectives de diversification). L'horizon d'investissement optimal est le **moyen terme (3-12 mois)**, en attendant la confirmation de la reprise des volumes et la clarification de la politique de dividende lors de la prochaine assemblée générale.</w:t>
      </w:r>
    </w:p>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r\u00e9glementaire du chiffre d'affaires, la soci\u00e9t\u00e9 d\u00e9montre sa r\u00e9silience avec une forte am\u00e9lioration de la rentabilit\u00e9 op\u00e9rationnelle (+28%). La capacit\u00e9 \u00e0 am\u00e9liorer les marges, particuli\u00e8rement sur les lubrifiants, compense l'impact des mesures gouvernementales sur les prix des carburants."}</w:t>
      </w:r>
    </w:p>
    <w:p>
      <w:pPr>
        <w:spacing w:before="40"/>
        <w:ind w:left="400"/>
      </w:pPr>
      <w:r>
        <w:rPr>
          <w:sz w:val="18"/>
        </w:rPr>
        <w:t>TotalEnergies Marketing Sénégal affiche des résultats contrastés pour le 1er trimestre 2026 avec un chiffre d'affaires en baisse de 10% à 99,9 milliards FCFA, impacté par la révision à la baisse des prix à la pompe par l'État sénégalais en décembre 2025. Malgré cette baisse du chiffre d'affaires, la société maintient une solide rentabilité avec un résultat d'exploitation en hausse de 28% à 2,6 milliards FCFA grâce à l'amélioration des marges, notamment sur les lubrifiants. Le résultat net progresse de 5% à 1,585 milliards FCFA, démontrant la capacité de la société à préserver sa profitabilité. La société conserve sa position de leader sur le marché sénégalais de la distribution de produits p</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{'evolution_ca': '-10%', 'resultat_exploitation': '2,623 milliards FCFA', 'evolution_resultat_net': '+5%', 'evolution_resultat_exploitation': '+28%'}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1,585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99,924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10% à 99,9 milliards FCFA due à la révision à la baisse des prix à la pompe par l'État</w:t>
      </w:r>
    </w:p>
    <w:p>
      <w:pPr>
        <w:pStyle w:val="ListBullet"/>
        <w:spacing w:before="20" w:after="20"/>
        <w:ind w:left="700"/>
      </w:pPr>
      <w:r>
        <w:rPr>
          <w:sz w:val="18"/>
        </w:rPr>
        <w:t>Forte progression du résultat d'exploitation (+28%) à 2,6 milliards FCFA grâce à l'amélioration des marges</w:t>
      </w:r>
    </w:p>
    <w:p>
      <w:pPr>
        <w:pStyle w:val="ListBullet"/>
        <w:spacing w:before="20" w:after="20"/>
        <w:ind w:left="700"/>
      </w:pPr>
      <w:r>
        <w:rPr>
          <w:sz w:val="18"/>
        </w:rPr>
        <w:t>Résultat net en hausse de 5% à 1,585 milliards FCFA malgré la baisse du chiffre d'affaires</w:t>
      </w:r>
    </w:p>
    <w:p>
      <w:pPr>
        <w:pStyle w:val="ListBullet"/>
        <w:spacing w:before="20" w:after="20"/>
        <w:ind w:left="700"/>
      </w:pPr>
      <w:r>
        <w:rPr>
          <w:sz w:val="18"/>
        </w:rPr>
        <w:t>Amélioration significative des marges, notamment sur les produits lubrifiants</w:t>
      </w:r>
    </w:p>
    <w:p>
      <w:pPr>
        <w:pStyle w:val="ListBullet"/>
        <w:spacing w:before="20" w:after="20"/>
        <w:ind w:left="700"/>
      </w:pPr>
      <w:r>
        <w:rPr>
          <w:sz w:val="18"/>
        </w:rPr>
        <w:t>Position de leader maintenue sur le marché sénégalais de distribution de produits pétroliers</w:t>
      </w:r>
    </w:p>
    <w:p>
      <w:pPr>
        <w:pStyle w:val="ListBullet"/>
        <w:spacing w:before="20" w:after="20"/>
        <w:ind w:left="700"/>
      </w:pPr>
      <w:r>
        <w:rPr>
          <w:sz w:val="18"/>
        </w:rPr>
        <w:t>Réseau de 140 stations-service au Sénégal et diversification vers GPL, lubrifiants et carburants aviation</w:t>
      </w:r>
    </w:p>
    <w:p>
      <w:pPr>
        <w:spacing w:before="40"/>
        <w:ind w:left="400"/>
      </w:pPr>
      <w:r>
        <w:rPr>
          <w:b/>
          <w:color w:val="C05000"/>
          <w:sz w:val="18"/>
        </w:rPr>
        <w:t xml:space="preserve">⚠️ Risques : </w:t>
      </w:r>
      <w:r>
        <w:rPr>
          <w:sz w:val="18"/>
        </w:rPr>
        <w:t xml:space="preserve">["D\u00e9pendance aux d\u00e9cisions r\u00e9glementaires de l'\u00c9tat s\u00e9n\u00e9galais sur les prix des carburants", "Exposition \u00e0 la volatilit\u00e9 des prix des produits p\u00e9troliers sur les march\u00e9s internationaux", "Concurrence accrue sur le march\u00e9 s\u00e9n\u00e9galais de </w:t>
      </w:r>
    </w:p>
    <w:p>
      <w:pPr>
        <w:spacing w:before="40"/>
        <w:ind w:left="400"/>
      </w:pPr>
      <w:r>
        <w:rPr>
          <w:b/>
          <w:color w:val="0064A0"/>
          <w:sz w:val="18"/>
        </w:rPr>
        <w:t xml:space="preserve">🔮 Perspectives : </w:t>
      </w:r>
      <w:r>
        <w:rPr>
          <w:sz w:val="18"/>
        </w:rPr>
        <w:t xml:space="preserve">Les perspectives dépendront largement de l'évolution de la politique de prix des carburants du gouvernement sénégalais et de la capacité de la société à maintenir l'amélioration de ses marges. La diversification vers les produits à plus forte valeur ajoutée comme les lubrifiants devrait continuer à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temporaire li\u00e9e \u00e0 l'arr\u00eat du fuel lourd, la soci\u00e9t\u00e9 maintient sa position de leader et d\u00e9veloppe de nouveaux axes de croissance. Les fondamentaux restent solides avec une strat\u00e9gie claire de transition \u00e9nerg\u00e9tique."}</w:t>
      </w:r>
    </w:p>
    <w:p>
      <w:pPr>
        <w:spacing w:before="40"/>
        <w:ind w:left="400"/>
      </w:pPr>
      <w:r>
        <w:rPr>
          <w:sz w:val="18"/>
        </w:rPr>
        <w:t>TotalEnergies Marketing Sénégal affiche un chiffre d'affaires de 455,2 milliards FCFA en 2025, en baisse de 6% par rapport à 2024. Le résultat net ressort à 6,147 milliards FCFA, en recul de 13% (944 millions FCFA). Cette performance s'explique principalement par l'arrêt de la commercialisation du fuel lourd et la baisse des dividendes des participations. La société reste leader sur le marché sénégalais avec 140 stations-service et une stratégie axée sur la réduction de l'empreinte carbone. Les perspectives demeurent positives avec le développement des activités export et GPL.</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 'valeur_ajoutee': '23,2 milliards FCFA', 'resultat_exploitation': '7,9 milliards FCFA', 'excedent_brut_exploitation': '14,3 milliards FCFA'}</w:t>
            </w:r>
          </w:p>
        </w:tc>
        <w:tc>
          <w:tcPr>
            <w:tcW w:type="dxa" w:w="2160"/>
          </w:tcPr>
          <w:p>
            <w:pPr>
              <w:ind w:left="100"/>
            </w:pPr>
            <w:r/>
            <w:r>
              <w:rPr>
                <w:b/>
                <w:sz w:val="16"/>
              </w:rPr>
              <w:t>dividende</w:t>
              <w:br/>
            </w:r>
            <w:r>
              <w:rPr>
                <w:sz w:val="18"/>
              </w:rPr>
              <w:t>6,147 milliards FCFA (dividende brut)</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158,4 milliards FCFA</w:t>
            </w:r>
          </w:p>
        </w:tc>
      </w:tr>
      <w:tr>
        <w:tc>
          <w:tcPr>
            <w:tcW w:type="dxa" w:w="2160"/>
          </w:tcPr>
          <w:p>
            <w:r/>
            <w:r>
              <w:rPr>
                <w:b/>
                <w:sz w:val="16"/>
              </w:rPr>
              <w:t>resultat_net</w:t>
              <w:br/>
            </w:r>
            <w:r>
              <w:rPr>
                <w:sz w:val="18"/>
              </w:rPr>
              <w:t>6,147 milliards FCFA</w:t>
            </w:r>
          </w:p>
        </w:tc>
        <w:tc>
          <w:tcPr>
            <w:tcW w:type="dxa" w:w="2160"/>
          </w:tcPr>
          <w:p>
            <w:r/>
            <w:r>
              <w:rPr>
                <w:b/>
                <w:sz w:val="16"/>
              </w:rPr>
              <w:t>capitaux_propres</w:t>
              <w:br/>
            </w:r>
            <w:r>
              <w:rPr>
                <w:sz w:val="18"/>
              </w:rPr>
              <w:t>133,3 milliards FCFA</w:t>
            </w:r>
          </w:p>
        </w:tc>
        <w:tc>
          <w:tcPr>
            <w:tcW w:type="dxa" w:w="2160"/>
          </w:tcPr>
          <w:p>
            <w:r/>
            <w:r>
              <w:rPr>
                <w:b/>
                <w:sz w:val="16"/>
              </w:rPr>
              <w:t>chiffre_affaires</w:t>
              <w:br/>
            </w:r>
            <w:r>
              <w:rPr>
                <w:sz w:val="18"/>
              </w:rPr>
              <w:t>455,2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455,2 milliards FCFA (-6% vs 2024)</w:t>
      </w:r>
    </w:p>
    <w:p>
      <w:pPr>
        <w:pStyle w:val="ListBullet"/>
        <w:spacing w:before="20" w:after="20"/>
        <w:ind w:left="700"/>
      </w:pPr>
      <w:r>
        <w:rPr>
          <w:sz w:val="18"/>
        </w:rPr>
        <w:t>Résultat net de 6,147 milliards FCFA (-13% vs 2024)</w:t>
      </w:r>
    </w:p>
    <w:p>
      <w:pPr>
        <w:pStyle w:val="ListBullet"/>
        <w:spacing w:before="20" w:after="20"/>
        <w:ind w:left="700"/>
      </w:pPr>
      <w:r>
        <w:rPr>
          <w:sz w:val="18"/>
        </w:rPr>
        <w:t>Arrêt stratégique de la commercialisation du fuel lourd (39,5 milliards FCFA de CA en 2024)</w:t>
      </w:r>
    </w:p>
    <w:p>
      <w:pPr>
        <w:pStyle w:val="ListBullet"/>
        <w:spacing w:before="20" w:after="20"/>
        <w:ind w:left="700"/>
      </w:pPr>
      <w:r>
        <w:rPr>
          <w:sz w:val="18"/>
        </w:rPr>
        <w:t>Baisse des dividendes des participations de 1,019 milliard FCFA</w:t>
      </w:r>
    </w:p>
    <w:p>
      <w:pPr>
        <w:pStyle w:val="ListBullet"/>
        <w:spacing w:before="20" w:after="20"/>
        <w:ind w:left="700"/>
      </w:pPr>
      <w:r>
        <w:rPr>
          <w:sz w:val="18"/>
        </w:rPr>
        <w:t>Leader du marché sénégalais avec 140 stations-service</w:t>
      </w:r>
    </w:p>
    <w:p>
      <w:pPr>
        <w:pStyle w:val="ListBullet"/>
        <w:spacing w:before="20" w:after="20"/>
        <w:ind w:left="700"/>
      </w:pPr>
      <w:r>
        <w:rPr>
          <w:sz w:val="18"/>
        </w:rPr>
        <w:t>Détenue à 69,1% par TotalEnergies et 30,9% par des actionnaires sénégalais</w:t>
      </w:r>
    </w:p>
    <w:p>
      <w:pPr>
        <w:spacing w:before="40"/>
        <w:ind w:left="400"/>
      </w:pPr>
      <w:r>
        <w:rPr>
          <w:b/>
          <w:color w:val="C05000"/>
          <w:sz w:val="18"/>
        </w:rPr>
        <w:t xml:space="preserve">⚠️ Risques : </w:t>
      </w:r>
      <w:r>
        <w:rPr>
          <w:sz w:val="18"/>
        </w:rPr>
        <w:t>["D\u00e9pendance aux fluctuations des prix des produits p\u00e9troliers", "Ralentissement des ventes dans les secteurs miniers et BTP", "Concurrence accrue sur le march\u00e9 des carburants au S\u00e9n\u00e9gal"]</w:t>
      </w:r>
    </w:p>
    <w:p>
      <w:pPr>
        <w:spacing w:before="40"/>
        <w:ind w:left="400"/>
      </w:pPr>
      <w:r>
        <w:rPr>
          <w:b/>
          <w:color w:val="0064A0"/>
          <w:sz w:val="18"/>
        </w:rPr>
        <w:t xml:space="preserve">🔮 Perspectives : </w:t>
      </w:r>
      <w:r>
        <w:rPr>
          <w:sz w:val="18"/>
        </w:rPr>
        <w:t>TotalEnergies Marketing Sénégal mise sur le développement des activités export et GPL pour compenser l'arrêt du fuel lourd. La société compte capitaliser sur la mise en production du champ de Sangomar et le projet GNL-GTA pour soutenir sa croissance. L'objectif est d'accompagner le développement éco</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chiffre d'affaires, la soci\u00e9t\u00e9 maintient sa rentabilit\u00e9 et am\u00e9liore sa position de tr\u00e9sorerie. Sa position dominante sur le march\u00e9 s\u00e9n\u00e9galais et sa capacit\u00e9 \u00e0 distribuer des dividendes substantiels en font un investissement d\u00e9fensif solide."}</w:t>
      </w:r>
    </w:p>
    <w:p>
      <w:pPr>
        <w:spacing w:before="40"/>
        <w:ind w:left="400"/>
      </w:pPr>
      <w:r>
        <w:rPr>
          <w:sz w:val="18"/>
        </w:rPr>
        <w:t>TotalEnergies Marketing Sénégal affiche des résultats solides pour 2025 avec un chiffre d'affaires de 455,2 milliards FCFA malgré une baisse de 6,1% par rapport à 2024. Le résultat opérationnel reste stable à 8,7 milliards FCFA tandis que le résultat net recule légèrement à 6,8 milliards FCFA contre 7,1 milliards en 2024. La société maintient une position financière robuste avec des capitaux propres de 28,2 milliards FCFA et des actifs totaux de 171,8 milliards FCFA. La trésorerie s'améliore significativement passant de 8,4 milliards FCFA à 20,6 milliards FCFA. Leader de la distribution pétrolière au Sénégal avec 140 stations-service, la société bénéficie d'un positionnement stratégique fort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'20 567 millions FCFA', 'endettement_net': '-14 896 millions FCFA', 'marge_operationnelle': '1,9%', 'resultat_operationnel': '8 693 millions FCFA'}</w:t>
            </w:r>
          </w:p>
        </w:tc>
        <w:tc>
          <w:tcPr>
            <w:tcW w:type="dxa" w:w="2160"/>
          </w:tcPr>
          <w:p>
            <w:pPr>
              <w:ind w:left="100"/>
            </w:pPr>
            <w:r/>
            <w:r>
              <w:rPr>
                <w:b/>
                <w:sz w:val="16"/>
              </w:rPr>
              <w:t>dividende</w:t>
              <w:br/>
            </w:r>
            <w:r>
              <w:rPr>
                <w:sz w:val="18"/>
              </w:rPr>
              <w:t>7 691 millions FCFA versés</w:t>
            </w:r>
          </w:p>
        </w:tc>
        <w:tc>
          <w:tcPr>
            <w:tcW w:type="dxa" w:w="2160"/>
          </w:tcPr>
          <w:p>
            <w:pPr>
              <w:ind w:left="100"/>
            </w:pPr>
            <w:r/>
            <w:r>
              <w:rPr>
                <w:b/>
                <w:sz w:val="16"/>
              </w:rPr>
              <w:t>marge_nette</w:t>
              <w:br/>
            </w:r>
            <w:r>
              <w:rPr>
                <w:sz w:val="18"/>
              </w:rPr>
              <w:t>1,5%</w:t>
            </w:r>
          </w:p>
        </w:tc>
        <w:tc>
          <w:tcPr>
            <w:tcW w:type="dxa" w:w="2160"/>
          </w:tcPr>
          <w:p>
            <w:pPr>
              <w:ind w:left="100"/>
            </w:pPr>
            <w:r/>
            <w:r>
              <w:rPr>
                <w:b/>
                <w:sz w:val="16"/>
              </w:rPr>
              <w:t>total_actif</w:t>
              <w:br/>
            </w:r>
            <w:r>
              <w:rPr>
                <w:sz w:val="18"/>
              </w:rPr>
              <w:t>171 778 millions FCFA</w:t>
            </w:r>
          </w:p>
        </w:tc>
      </w:tr>
      <w:tr>
        <w:tc>
          <w:tcPr>
            <w:tcW w:type="dxa" w:w="2160"/>
          </w:tcPr>
          <w:p>
            <w:r/>
            <w:r>
              <w:rPr>
                <w:b/>
                <w:sz w:val="16"/>
              </w:rPr>
              <w:t>resultat_net</w:t>
              <w:br/>
            </w:r>
            <w:r>
              <w:rPr>
                <w:sz w:val="18"/>
              </w:rPr>
              <w:t>6 779 millions FCFA</w:t>
            </w:r>
          </w:p>
        </w:tc>
        <w:tc>
          <w:tcPr>
            <w:tcW w:type="dxa" w:w="2160"/>
          </w:tcPr>
          <w:p>
            <w:r/>
            <w:r>
              <w:rPr>
                <w:b/>
                <w:sz w:val="16"/>
              </w:rPr>
              <w:t>capitaux_propres</w:t>
              <w:br/>
            </w:r>
            <w:r>
              <w:rPr>
                <w:sz w:val="18"/>
              </w:rPr>
              <w:t>28 239 millions FCFA</w:t>
            </w:r>
          </w:p>
        </w:tc>
        <w:tc>
          <w:tcPr>
            <w:tcW w:type="dxa" w:w="2160"/>
          </w:tcPr>
          <w:p>
            <w:r/>
            <w:r>
              <w:rPr>
                <w:b/>
                <w:sz w:val="16"/>
              </w:rPr>
              <w:t>chiffre_affaires</w:t>
              <w:br/>
            </w:r>
            <w:r>
              <w:rPr>
                <w:sz w:val="18"/>
              </w:rPr>
              <w:t>455 209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6,1% à 455,2 milliards FCFA en 2025</w:t>
      </w:r>
    </w:p>
    <w:p>
      <w:pPr>
        <w:pStyle w:val="ListBullet"/>
        <w:spacing w:before="20" w:after="20"/>
        <w:ind w:left="700"/>
      </w:pPr>
      <w:r>
        <w:rPr>
          <w:sz w:val="18"/>
        </w:rPr>
        <w:t>Résultat net en légère diminution à 6,8 milliards FCFA (-5,1%)</w:t>
      </w:r>
    </w:p>
    <w:p>
      <w:pPr>
        <w:pStyle w:val="ListBullet"/>
        <w:spacing w:before="20" w:after="20"/>
        <w:ind w:left="700"/>
      </w:pPr>
      <w:r>
        <w:rPr>
          <w:sz w:val="18"/>
        </w:rPr>
        <w:t>Amélioration significative de la trésorerie de 8,4 à 20,6 milliards FCFA</w:t>
      </w:r>
    </w:p>
    <w:p>
      <w:pPr>
        <w:pStyle w:val="ListBullet"/>
        <w:spacing w:before="20" w:after="20"/>
        <w:ind w:left="700"/>
      </w:pPr>
      <w:r>
        <w:rPr>
          <w:sz w:val="18"/>
        </w:rPr>
        <w:t>Marge opérationnelle stable maintenue autour de 1,9%</w:t>
      </w:r>
    </w:p>
    <w:p>
      <w:pPr>
        <w:pStyle w:val="ListBullet"/>
        <w:spacing w:before="20" w:after="20"/>
        <w:ind w:left="700"/>
      </w:pPr>
      <w:r>
        <w:rPr>
          <w:sz w:val="18"/>
        </w:rPr>
        <w:t>Dividendes payés de 7,7 milliards FCFA démontrant la solidité financière</w:t>
      </w:r>
    </w:p>
    <w:p>
      <w:pPr>
        <w:pStyle w:val="ListBullet"/>
        <w:spacing w:before="20" w:after="20"/>
        <w:ind w:left="700"/>
      </w:pPr>
      <w:r>
        <w:rPr>
          <w:sz w:val="18"/>
        </w:rPr>
        <w:t>Position de leader sur le marché sénégalais avec 140 stations-service</w:t>
      </w:r>
    </w:p>
    <w:p>
      <w:pPr>
        <w:spacing w:before="40"/>
        <w:ind w:left="400"/>
      </w:pPr>
      <w:r>
        <w:rPr>
          <w:b/>
          <w:color w:val="C05000"/>
          <w:sz w:val="18"/>
        </w:rPr>
        <w:t xml:space="preserve">⚠️ Risques : </w:t>
      </w:r>
      <w:r>
        <w:rPr>
          <w:sz w:val="18"/>
        </w:rPr>
        <w:t>["D\u00e9pendance aux fluctuations des prix du p\u00e9trole et des marges de raffinage", "Exposition au march\u00e9 s\u00e9n\u00e9galais uniquement cr\u00e9ant un risque de concentration g\u00e9ographique", "Pression r\u00e9glementaire potentielle sur les droits d'accises qui ont augment\u00e9 de 32</w:t>
      </w:r>
    </w:p>
    <w:p>
      <w:pPr>
        <w:spacing w:before="40"/>
        <w:ind w:left="400"/>
      </w:pPr>
      <w:r>
        <w:rPr>
          <w:b/>
          <w:color w:val="0064A0"/>
          <w:sz w:val="18"/>
        </w:rPr>
        <w:t xml:space="preserve">🔮 Perspectives : </w:t>
      </w:r>
      <w:r>
        <w:rPr>
          <w:sz w:val="18"/>
        </w:rPr>
        <w:t>La société devrait bénéficier de sa position dominante sur le marché sénégalais et de l'amélioration de sa situation de trésorerie pour poursuivre ses investissements. La transition énergétique pourrait offrir des opportunités de diversification tout en maintenant sa rentabilité sur les activités tr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"Excellente performance financi\u00e8re mais tensions de tr\u00e9sorerie et volatilit\u00e9 des prix d'importation cr\u00e9ent de l'incertitude. La r\u00e9cup\u00e9ration d'un contrat aviation et les strat\u00e9gies commerciales payantes sont encourageantes."}</w:t>
      </w:r>
    </w:p>
    <w:p>
      <w:pPr>
        <w:spacing w:before="40"/>
        <w:ind w:left="400"/>
      </w:pPr>
      <w:r>
        <w:rPr>
          <w:sz w:val="18"/>
        </w:rPr>
        <w:t>TotalEnergies Marketing Sénégal réalise une performance exceptionnelle au 3ème trimestre 2022 avec un résultat des activités ordinaires de 11,265 milliards FCFA, en hausse de 78% par rapport à 2021. Cette performance s'appuie sur des effets stocks positifs de 5 milliards FCFA et les dividendes reçus des filiales. Les ventes réseau et commerce général progressent de 7% chacun, compensant partiellement le recul de l'aviation (-31%). Le chiffre d'affaires atteint 357,587 milliards FCFA (+25%) malgré un volume total des ventes en progression modérée de 2%. La société maintient sa position de leader sur le marché sénégalais avec 171 stations-service.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{'nombre_stations': '171', 'volume_ventes_total': '595,16 kt', 'croissance_ventes_reseau': '7%', 'croissance_commerce_general': '7%', 'resultat_activites_ordinaires': '11,265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357,587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des activités ordinaires en forte hausse de 78% à 11,265 milliards FCFA</w:t>
      </w:r>
    </w:p>
    <w:p>
      <w:pPr>
        <w:pStyle w:val="ListBullet"/>
        <w:spacing w:before="20" w:after="20"/>
        <w:ind w:left="700"/>
      </w:pPr>
      <w:r>
        <w:rPr>
          <w:sz w:val="18"/>
        </w:rPr>
        <w:t>Effets stocks exceptionnels positifs de 5 milliards FCFA bruts</w:t>
      </w:r>
    </w:p>
    <w:p>
      <w:pPr>
        <w:pStyle w:val="ListBullet"/>
        <w:spacing w:before="20" w:after="20"/>
        <w:ind w:left="700"/>
      </w:pPr>
      <w:r>
        <w:rPr>
          <w:sz w:val="18"/>
        </w:rPr>
        <w:t>Croissance de 7% des ventes réseau et commerce général</w:t>
      </w:r>
    </w:p>
    <w:p>
      <w:pPr>
        <w:pStyle w:val="ListBullet"/>
        <w:spacing w:before="20" w:after="20"/>
        <w:ind w:left="700"/>
      </w:pPr>
      <w:r>
        <w:rPr>
          <w:sz w:val="18"/>
        </w:rPr>
        <w:t>Chiffre d'affaires en progression de 25% à 357,587 milliards FCFA</w:t>
      </w:r>
    </w:p>
    <w:p>
      <w:pPr>
        <w:pStyle w:val="ListBullet"/>
        <w:spacing w:before="20" w:after="20"/>
        <w:ind w:left="700"/>
      </w:pPr>
      <w:r>
        <w:rPr>
          <w:sz w:val="18"/>
        </w:rPr>
        <w:t>Recul significatif de l'aviation (-31%) suite à la perte de contrats</w:t>
      </w:r>
    </w:p>
    <w:p>
      <w:pPr>
        <w:pStyle w:val="ListBullet"/>
        <w:spacing w:before="20" w:after="20"/>
        <w:ind w:left="700"/>
      </w:pPr>
      <w:r>
        <w:rPr>
          <w:sz w:val="18"/>
        </w:rPr>
        <w:t>Tension sur la trésorerie due au non-paiement des créances État</w:t>
      </w:r>
    </w:p>
    <w:p>
      <w:pPr>
        <w:spacing w:before="40"/>
        <w:ind w:left="400"/>
      </w:pPr>
      <w:r>
        <w:rPr>
          <w:b/>
          <w:color w:val="C05000"/>
          <w:sz w:val="18"/>
        </w:rPr>
        <w:t xml:space="preserve">⚠️ Risques : </w:t>
      </w:r>
      <w:r>
        <w:rPr>
          <w:sz w:val="18"/>
        </w:rPr>
        <w:t>["Tension sur la tr\u00e9sorerie due au non-paiement des cr\u00e9ances \u00c9tat pouvant perturber l'approvisionnement", "Forte volatilit\u00e9 des prix \u00e0 l'importation impactant la rentabilit\u00e9", "Concurrence agressive sur le segment GPL et perte de contrats aviation"]</w:t>
      </w:r>
    </w:p>
    <w:p>
      <w:pPr>
        <w:spacing w:before="40"/>
        <w:ind w:left="400"/>
      </w:pPr>
      <w:r>
        <w:rPr>
          <w:b/>
          <w:color w:val="0064A0"/>
          <w:sz w:val="18"/>
        </w:rPr>
        <w:t xml:space="preserve">🔮 Perspectives : </w:t>
      </w:r>
      <w:r>
        <w:rPr>
          <w:sz w:val="18"/>
        </w:rPr>
        <w:t>La société anticipe des défis sur le dernier trimestre 2022 avec les tensions de trésorerie et la volatilité des prix d'importation. Cependant, la récupération d'un contrat aviation en octobre 2022 et le lancement de nouvelles bouteilles GPL devraient soutenir la croissance. La dynamique commerciale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l'excellente performance semestrielle, celle-ci repose largement sur des effets stocks exceptionnels non r\u00e9currents. La volatilit\u00e9 des cours et l'augmentation des cr\u00e9ances \u00c9tat constituent des risques pour la performance future."}</w:t>
      </w:r>
    </w:p>
    <w:p>
      <w:pPr>
        <w:spacing w:before="40"/>
        <w:ind w:left="400"/>
      </w:pPr>
      <w:r>
        <w:rPr>
          <w:sz w:val="18"/>
        </w:rPr>
        <w:t>TotalEnergies Marketing Sénégal affiche des résultats exceptionnels au premier semestre 2022 avec un résultat des activités ordinaires de 7,320 milliards FCFA, en hausse de 70% par rapport à 2021. Cette performance est largement portée par des effets stocks positifs de 4,3 milliards FCFA bruts liés à la hausse des cours internationaux. Le chiffre d'affaires progresse de 26% à 231,373 milliards FCFA malgré une baisse de 2% des volumes totaux vendus. Les ventes sur le marché intérieur résistent bien (+3%) grâce à la bonne performance du réseau (+9%) et à la reprise du commerce général post-Covid. La société maintient sa position de leader sur le marché sénégalais avec 171 stations-service et d</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{'effets_stocks': '4,300 millions FCFA', 'nombre_stations': '171', 'volumes_vendus_total': '374,6 kt', 'volumes_marche_interieur': '298,6 kt', 'participation_totalenergies': '69,1%', 'resultat_activites_ordinaires': '7,320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231,373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des activités ordinaires en forte hausse de 70% à 7,320 milliards FCFA</w:t>
      </w:r>
    </w:p>
    <w:p>
      <w:pPr>
        <w:pStyle w:val="ListBullet"/>
        <w:spacing w:before="20" w:after="20"/>
        <w:ind w:left="700"/>
      </w:pPr>
      <w:r>
        <w:rPr>
          <w:sz w:val="18"/>
        </w:rPr>
        <w:t>Effets stocks exceptionnels positifs de 4,3 milliards FCFA bruts</w:t>
      </w:r>
    </w:p>
    <w:p>
      <w:pPr>
        <w:pStyle w:val="ListBullet"/>
        <w:spacing w:before="20" w:after="20"/>
        <w:ind w:left="700"/>
      </w:pPr>
      <w:r>
        <w:rPr>
          <w:sz w:val="18"/>
        </w:rPr>
        <w:t>Chiffre d'affaires en progression de 26% à 231,373 milliards FCFA</w:t>
      </w:r>
    </w:p>
    <w:p>
      <w:pPr>
        <w:pStyle w:val="ListBullet"/>
        <w:spacing w:before="20" w:after="20"/>
        <w:ind w:left="700"/>
      </w:pPr>
      <w:r>
        <w:rPr>
          <w:sz w:val="18"/>
        </w:rPr>
        <w:t>Ventes réseau en hausse de 9% et reprise du commerce général (+6%)</w:t>
      </w:r>
    </w:p>
    <w:p>
      <w:pPr>
        <w:pStyle w:val="ListBullet"/>
        <w:spacing w:before="20" w:after="20"/>
        <w:ind w:left="700"/>
      </w:pPr>
      <w:r>
        <w:rPr>
          <w:sz w:val="18"/>
        </w:rPr>
        <w:t>Baisse significative des segments aviation (-25%) et lubrifiants (-14%)</w:t>
      </w:r>
    </w:p>
    <w:p>
      <w:pPr>
        <w:pStyle w:val="ListBullet"/>
        <w:spacing w:before="20" w:after="20"/>
        <w:ind w:left="700"/>
      </w:pPr>
      <w:r>
        <w:rPr>
          <w:sz w:val="18"/>
        </w:rPr>
        <w:t>Augmentation rapide des créances État liées aux subventions prix structurés</w:t>
      </w:r>
    </w:p>
    <w:p>
      <w:pPr>
        <w:spacing w:before="40"/>
        <w:ind w:left="400"/>
      </w:pPr>
      <w:r>
        <w:rPr>
          <w:b/>
          <w:color w:val="C05000"/>
          <w:sz w:val="18"/>
        </w:rPr>
        <w:t xml:space="preserve">⚠️ Risques : </w:t>
      </w:r>
      <w:r>
        <w:rPr>
          <w:sz w:val="18"/>
        </w:rPr>
        <w:t>["D\u00e9pendance aux effets stocks exceptionnels non r\u00e9currents", "Augmentation rapide des cr\u00e9ances \u00c9tat (subventions prix structur\u00e9s)", "Volatilit\u00e9 des cours des produits import\u00e9s impactant les marges"]</w:t>
      </w:r>
    </w:p>
    <w:p>
      <w:pPr>
        <w:spacing w:before="40"/>
        <w:ind w:left="400"/>
      </w:pPr>
      <w:r>
        <w:rPr>
          <w:b/>
          <w:color w:val="0064A0"/>
          <w:sz w:val="18"/>
        </w:rPr>
        <w:t xml:space="preserve">🔮 Perspectives : </w:t>
      </w:r>
      <w:r>
        <w:rPr>
          <w:sz w:val="18"/>
        </w:rPr>
        <w:t>Les perspectives dépendront fortement de l'évolution des cours internationaux et de la capacité à maintenir les marges dans un environnement volatil. La mise en service de nouvelles bouteilles GPL et la normalisation post-Covid devraient soutenir les volumes, mais l'impact des effets stocks exceptio</w:t>
      </w:r>
    </w:p>
    <w:p/>
    <w:p>
      <w:r>
        <w:t>════════════════════════════════════════════════════════════════════════════════</w:t>
      </w:r>
    </w:p>
    <w:p>
      <w:r>
        <w:br w:type="page"/>
      </w:r>
    </w:p>
    <w:p>
      <w:pPr>
        <w:pStyle w:val="Heading2"/>
        <w:spacing w:before="360"/>
      </w:pPr>
      <w:r>
        <w:rPr>
          <w:color w:val="0066CC"/>
        </w:rPr>
        <w:t>47. UNLC - UNLC - UNILEVER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UNLC</w:t>
            </w:r>
          </w:p>
          <w:p>
            <w:r>
              <w:rPr>
                <w:b/>
                <w:color w:val="323250"/>
                <w:sz w:val="16"/>
              </w:rPr>
              <w:t xml:space="preserve">Société : </w:t>
            </w:r>
            <w:r>
              <w:rPr>
                <w:color w:val="000000"/>
                <w:sz w:val="16"/>
              </w:rPr>
              <w:t>UNLC - UNILEVER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407.83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21 titres</w:t>
            </w:r>
          </w:p>
        </w:tc>
        <w:tc>
          <w:tcPr>
            <w:tcW w:type="dxa" w:w="2268"/>
            <w:shd w:fill="FFF2CC" w:val="clear"/>
          </w:tcPr>
          <w:p>
            <w:r>
              <w:rPr>
                <w:b/>
                <w:color w:val="503200"/>
                <w:sz w:val="16"/>
              </w:rPr>
              <w:t xml:space="preserve">Cours actuel : </w:t>
            </w:r>
            <w:r>
              <w:rPr>
                <w:color w:val="000000"/>
                <w:sz w:val="17"/>
              </w:rPr>
              <w:t>44,410 FCFA</w:t>
            </w:r>
          </w:p>
          <w:p>
            <w:r>
              <w:rPr>
                <w:b/>
                <w:color w:val="503200"/>
                <w:sz w:val="16"/>
              </w:rPr>
              <w:t xml:space="preserve">Var. 100 jours : </w:t>
            </w:r>
            <w:r>
              <w:rPr>
                <w:b/>
                <w:color w:val="B40000"/>
                <w:sz w:val="17"/>
              </w:rPr>
              <w:t>-20.84%</w:t>
            </w:r>
          </w:p>
          <w:p>
            <w:r>
              <w:rPr>
                <w:b/>
                <w:color w:val="503200"/>
                <w:sz w:val="16"/>
              </w:rPr>
              <w:t xml:space="preserve">Plus haut 100j : </w:t>
            </w:r>
            <w:r>
              <w:rPr>
                <w:color w:val="000000"/>
                <w:sz w:val="17"/>
              </w:rPr>
              <w:t>59,900 FCFA</w:t>
            </w:r>
          </w:p>
          <w:p>
            <w:r>
              <w:rPr>
                <w:b/>
                <w:color w:val="503200"/>
                <w:sz w:val="16"/>
              </w:rPr>
              <w:t xml:space="preserve">Plus bas 100j : </w:t>
            </w:r>
            <w:r>
              <w:rPr>
                <w:color w:val="000000"/>
                <w:sz w:val="17"/>
              </w:rPr>
              <w:t>44,410 FCFA</w:t>
            </w:r>
          </w:p>
          <w:p>
            <w:r>
              <w:rPr>
                <w:b/>
                <w:color w:val="503200"/>
                <w:sz w:val="16"/>
              </w:rPr>
              <w:t xml:space="preserve">Volatilité ann. : </w:t>
            </w:r>
            <w:r>
              <w:rPr>
                <w:color w:val="000000"/>
                <w:sz w:val="17"/>
              </w:rPr>
              <w:t>56.4%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26.6/100 → Moyen</w:t>
      </w:r>
    </w:p>
    <w:p>
      <w:pPr>
        <w:spacing w:before="40" w:after="80"/>
      </w:pPr>
      <w:r>
        <w:rPr>
          <w:rFonts w:ascii="Courier New" w:hAnsi="Courier New"/>
          <w:color w:val="825A00"/>
          <w:sz w:val="18"/>
        </w:rPr>
        <w:t>█████░░░░░░░░░░░░░░░  26.6/100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6.36% (Moyenne) — μ=53,652 FCFA, σ=3,414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β=0.6079 (Défensif) — Cov=0.000045, Var(idx)=0.000075, ρ=0.149,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FFEB9C" w:val="clear"/>
          </w:tcPr>
          <w:p>
            <w:r>
              <w:rPr>
                <w:b/>
                <w:sz w:val="15"/>
              </w:rPr>
              <w:t>21 titres/j (Très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FFEB9C" w:val="clear"/>
          </w:tcPr>
          <w:p>
            <w:r>
              <w:rPr>
                <w:b/>
                <w:sz w:val="15"/>
              </w:rPr>
              <w:t>σ_j=3.55%/j (Modérée) — Vol. annualisée≈56.4%</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61/100  (Bon)</w:t>
      </w:r>
    </w:p>
    <w:p/>
    <w:p>
      <w:pPr>
        <w:jc w:val="center"/>
      </w:pPr>
      <w:r>
        <w:drawing>
          <wp:inline xmlns:a="http://schemas.openxmlformats.org/drawingml/2006/main" xmlns:pic="http://schemas.openxmlformats.org/drawingml/2006/picture">
            <wp:extent cx="5669280" cy="2603190"/>
            <wp:docPr id="49" name="Picture 49"/>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w:t>
            </w:r>
          </w:p>
        </w:tc>
        <w:tc>
          <w:tcPr>
            <w:tcW w:type="dxa" w:w="1440"/>
            <w:shd w:fill="C6EFCE" w:val="clear"/>
          </w:tcPr>
          <w:p>
            <w:r>
              <w:rPr>
                <w:sz w:val="17"/>
              </w:rPr>
              <w:t>2026-10-16</w:t>
            </w:r>
          </w:p>
        </w:tc>
        <w:tc>
          <w:tcPr>
            <w:tcW w:type="dxa" w:w="1440"/>
            <w:shd w:fill="C6EFCE" w:val="clear"/>
          </w:tcPr>
          <w:p>
            <w:r>
              <w:rPr>
                <w:sz w:val="17"/>
              </w:rPr>
              <w:t>42,617</w:t>
            </w:r>
          </w:p>
        </w:tc>
        <w:tc>
          <w:tcPr>
            <w:tcW w:type="dxa" w:w="1440"/>
            <w:shd w:fill="C6EFCE" w:val="clear"/>
          </w:tcPr>
          <w:p>
            <w:r>
              <w:rPr>
                <w:b/>
                <w:sz w:val="17"/>
              </w:rPr>
              <w:t>45,432</w:t>
            </w:r>
          </w:p>
        </w:tc>
        <w:tc>
          <w:tcPr>
            <w:tcW w:type="dxa" w:w="1440"/>
            <w:shd w:fill="C6EFCE" w:val="clear"/>
          </w:tcPr>
          <w:p>
            <w:r>
              <w:rPr>
                <w:sz w:val="17"/>
              </w:rPr>
              <w:t>48,246</w:t>
            </w:r>
          </w:p>
        </w:tc>
        <w:tc>
          <w:tcPr>
            <w:tcW w:type="dxa" w:w="1440"/>
            <w:shd w:fill="C6EFCE" w:val="clear"/>
          </w:tcPr>
          <w:p>
            <w:r>
              <w:rPr>
                <w:b/>
                <w:color w:val="008000"/>
                <w:sz w:val="17"/>
              </w:rPr>
              <w:t>+2.3%</w:t>
            </w:r>
          </w:p>
        </w:tc>
      </w:tr>
      <w:tr>
        <w:tc>
          <w:tcPr>
            <w:tcW w:type="dxa" w:w="1440"/>
            <w:shd w:fill="FAFAFA" w:val="clear"/>
          </w:tcPr>
          <w:p>
            <w:r>
              <w:rPr>
                <w:sz w:val="17"/>
              </w:rPr>
              <w:t>J+2  ⭐</w:t>
            </w:r>
          </w:p>
        </w:tc>
        <w:tc>
          <w:tcPr>
            <w:tcW w:type="dxa" w:w="1440"/>
            <w:shd w:fill="FAFAFA" w:val="clear"/>
          </w:tcPr>
          <w:p>
            <w:r>
              <w:rPr>
                <w:sz w:val="17"/>
              </w:rPr>
              <w:t>2026-10-19</w:t>
            </w:r>
          </w:p>
        </w:tc>
        <w:tc>
          <w:tcPr>
            <w:tcW w:type="dxa" w:w="1440"/>
            <w:shd w:fill="FAFAFA" w:val="clear"/>
          </w:tcPr>
          <w:p>
            <w:r>
              <w:rPr>
                <w:sz w:val="17"/>
              </w:rPr>
              <w:t>41,218</w:t>
            </w:r>
          </w:p>
        </w:tc>
        <w:tc>
          <w:tcPr>
            <w:tcW w:type="dxa" w:w="1440"/>
            <w:shd w:fill="FAFAFA" w:val="clear"/>
          </w:tcPr>
          <w:p>
            <w:r>
              <w:rPr>
                <w:b/>
                <w:sz w:val="17"/>
              </w:rPr>
              <w:t>45,177</w:t>
            </w:r>
          </w:p>
        </w:tc>
        <w:tc>
          <w:tcPr>
            <w:tcW w:type="dxa" w:w="1440"/>
            <w:shd w:fill="FAFAFA" w:val="clear"/>
          </w:tcPr>
          <w:p>
            <w:r>
              <w:rPr>
                <w:sz w:val="17"/>
              </w:rPr>
              <w:t>49,136</w:t>
            </w:r>
          </w:p>
        </w:tc>
        <w:tc>
          <w:tcPr>
            <w:tcW w:type="dxa" w:w="1440"/>
            <w:shd w:fill="FAFAFA" w:val="clear"/>
          </w:tcPr>
          <w:p>
            <w:r>
              <w:rPr>
                <w:b/>
                <w:color w:val="008000"/>
                <w:sz w:val="17"/>
              </w:rPr>
              <w:t>+1.7%</w:t>
            </w:r>
          </w:p>
        </w:tc>
      </w:tr>
      <w:tr>
        <w:tc>
          <w:tcPr>
            <w:tcW w:type="dxa" w:w="1440"/>
            <w:shd w:fill="FAFAFA" w:val="clear"/>
          </w:tcPr>
          <w:p>
            <w:r>
              <w:rPr>
                <w:sz w:val="17"/>
              </w:rPr>
              <w:t>J+3  ⭐</w:t>
            </w:r>
          </w:p>
        </w:tc>
        <w:tc>
          <w:tcPr>
            <w:tcW w:type="dxa" w:w="1440"/>
            <w:shd w:fill="FAFAFA" w:val="clear"/>
          </w:tcPr>
          <w:p>
            <w:r>
              <w:rPr>
                <w:sz w:val="17"/>
              </w:rPr>
              <w:t>2026-10-20</w:t>
            </w:r>
          </w:p>
        </w:tc>
        <w:tc>
          <w:tcPr>
            <w:tcW w:type="dxa" w:w="1440"/>
            <w:shd w:fill="FAFAFA" w:val="clear"/>
          </w:tcPr>
          <w:p>
            <w:r>
              <w:rPr>
                <w:sz w:val="17"/>
              </w:rPr>
              <w:t>40,279</w:t>
            </w:r>
          </w:p>
        </w:tc>
        <w:tc>
          <w:tcPr>
            <w:tcW w:type="dxa" w:w="1440"/>
            <w:shd w:fill="FAFAFA" w:val="clear"/>
          </w:tcPr>
          <w:p>
            <w:r>
              <w:rPr>
                <w:b/>
                <w:sz w:val="17"/>
              </w:rPr>
              <w:t>45,121</w:t>
            </w:r>
          </w:p>
        </w:tc>
        <w:tc>
          <w:tcPr>
            <w:tcW w:type="dxa" w:w="1440"/>
            <w:shd w:fill="FAFAFA" w:val="clear"/>
          </w:tcPr>
          <w:p>
            <w:r>
              <w:rPr>
                <w:sz w:val="17"/>
              </w:rPr>
              <w:t>49,963</w:t>
            </w:r>
          </w:p>
        </w:tc>
        <w:tc>
          <w:tcPr>
            <w:tcW w:type="dxa" w:w="1440"/>
            <w:shd w:fill="FAFAFA" w:val="clear"/>
          </w:tcPr>
          <w:p>
            <w:r>
              <w:rPr>
                <w:b/>
                <w:color w:val="008000"/>
                <w:sz w:val="17"/>
              </w:rPr>
              <w:t>+1.6%</w:t>
            </w:r>
          </w:p>
        </w:tc>
      </w:tr>
      <w:tr>
        <w:tc>
          <w:tcPr>
            <w:tcW w:type="dxa" w:w="1440"/>
            <w:shd w:fill="FAFAFA" w:val="clear"/>
          </w:tcPr>
          <w:p>
            <w:r>
              <w:rPr>
                <w:sz w:val="17"/>
              </w:rPr>
              <w:t>J+4  ⭐</w:t>
            </w:r>
          </w:p>
        </w:tc>
        <w:tc>
          <w:tcPr>
            <w:tcW w:type="dxa" w:w="1440"/>
            <w:shd w:fill="FAFAFA" w:val="clear"/>
          </w:tcPr>
          <w:p>
            <w:r>
              <w:rPr>
                <w:sz w:val="17"/>
              </w:rPr>
              <w:t>2026-10-21</w:t>
            </w:r>
          </w:p>
        </w:tc>
        <w:tc>
          <w:tcPr>
            <w:tcW w:type="dxa" w:w="1440"/>
            <w:shd w:fill="FAFAFA" w:val="clear"/>
          </w:tcPr>
          <w:p>
            <w:r>
              <w:rPr>
                <w:sz w:val="17"/>
              </w:rPr>
              <w:t>39,531</w:t>
            </w:r>
          </w:p>
        </w:tc>
        <w:tc>
          <w:tcPr>
            <w:tcW w:type="dxa" w:w="1440"/>
            <w:shd w:fill="FAFAFA" w:val="clear"/>
          </w:tcPr>
          <w:p>
            <w:r>
              <w:rPr>
                <w:b/>
                <w:sz w:val="17"/>
              </w:rPr>
              <w:t>45,122</w:t>
            </w:r>
          </w:p>
        </w:tc>
        <w:tc>
          <w:tcPr>
            <w:tcW w:type="dxa" w:w="1440"/>
            <w:shd w:fill="FAFAFA" w:val="clear"/>
          </w:tcPr>
          <w:p>
            <w:r>
              <w:rPr>
                <w:sz w:val="17"/>
              </w:rPr>
              <w:t>50,713</w:t>
            </w:r>
          </w:p>
        </w:tc>
        <w:tc>
          <w:tcPr>
            <w:tcW w:type="dxa" w:w="1440"/>
            <w:shd w:fill="FAFAFA" w:val="clear"/>
          </w:tcPr>
          <w:p>
            <w:r>
              <w:rPr>
                <w:b/>
                <w:color w:val="008000"/>
                <w:sz w:val="17"/>
              </w:rPr>
              <w:t>+1.6%</w:t>
            </w:r>
          </w:p>
        </w:tc>
      </w:tr>
      <w:tr>
        <w:tc>
          <w:tcPr>
            <w:tcW w:type="dxa" w:w="1440"/>
            <w:shd w:fill="FAFAFA" w:val="clear"/>
          </w:tcPr>
          <w:p>
            <w:r>
              <w:rPr>
                <w:sz w:val="17"/>
              </w:rPr>
              <w:t>J+5  ⭐</w:t>
            </w:r>
          </w:p>
        </w:tc>
        <w:tc>
          <w:tcPr>
            <w:tcW w:type="dxa" w:w="1440"/>
            <w:shd w:fill="FAFAFA" w:val="clear"/>
          </w:tcPr>
          <w:p>
            <w:r>
              <w:rPr>
                <w:sz w:val="17"/>
              </w:rPr>
              <w:t>2026-10-22</w:t>
            </w:r>
          </w:p>
        </w:tc>
        <w:tc>
          <w:tcPr>
            <w:tcW w:type="dxa" w:w="1440"/>
            <w:shd w:fill="FAFAFA" w:val="clear"/>
          </w:tcPr>
          <w:p>
            <w:r>
              <w:rPr>
                <w:sz w:val="17"/>
              </w:rPr>
              <w:t>38,892</w:t>
            </w:r>
          </w:p>
        </w:tc>
        <w:tc>
          <w:tcPr>
            <w:tcW w:type="dxa" w:w="1440"/>
            <w:shd w:fill="FAFAFA" w:val="clear"/>
          </w:tcPr>
          <w:p>
            <w:r>
              <w:rPr>
                <w:b/>
                <w:sz w:val="17"/>
              </w:rPr>
              <w:t>45,146</w:t>
            </w:r>
          </w:p>
        </w:tc>
        <w:tc>
          <w:tcPr>
            <w:tcW w:type="dxa" w:w="1440"/>
            <w:shd w:fill="FAFAFA" w:val="clear"/>
          </w:tcPr>
          <w:p>
            <w:r>
              <w:rPr>
                <w:sz w:val="17"/>
              </w:rPr>
              <w:t>51,401</w:t>
            </w:r>
          </w:p>
        </w:tc>
        <w:tc>
          <w:tcPr>
            <w:tcW w:type="dxa" w:w="1440"/>
            <w:shd w:fill="FAFAFA" w:val="clear"/>
          </w:tcPr>
          <w:p>
            <w:r>
              <w:rPr>
                <w:b/>
                <w:color w:val="008000"/>
                <w:sz w:val="17"/>
              </w:rPr>
              <w:t>+1.7%</w:t>
            </w:r>
          </w:p>
        </w:tc>
      </w:tr>
      <w:tr>
        <w:tc>
          <w:tcPr>
            <w:tcW w:type="dxa" w:w="1440"/>
            <w:shd w:fill="FAFAFA" w:val="clear"/>
          </w:tcPr>
          <w:p>
            <w:r>
              <w:rPr>
                <w:sz w:val="17"/>
              </w:rPr>
              <w:t>J+6  ⭐</w:t>
            </w:r>
          </w:p>
        </w:tc>
        <w:tc>
          <w:tcPr>
            <w:tcW w:type="dxa" w:w="1440"/>
            <w:shd w:fill="FAFAFA" w:val="clear"/>
          </w:tcPr>
          <w:p>
            <w:r>
              <w:rPr>
                <w:sz w:val="17"/>
              </w:rPr>
              <w:t>2026-10-23</w:t>
            </w:r>
          </w:p>
        </w:tc>
        <w:tc>
          <w:tcPr>
            <w:tcW w:type="dxa" w:w="1440"/>
            <w:shd w:fill="FAFAFA" w:val="clear"/>
          </w:tcPr>
          <w:p>
            <w:r>
              <w:rPr>
                <w:sz w:val="17"/>
              </w:rPr>
              <w:t>38,325</w:t>
            </w:r>
          </w:p>
        </w:tc>
        <w:tc>
          <w:tcPr>
            <w:tcW w:type="dxa" w:w="1440"/>
            <w:shd w:fill="FAFAFA" w:val="clear"/>
          </w:tcPr>
          <w:p>
            <w:r>
              <w:rPr>
                <w:b/>
                <w:sz w:val="17"/>
              </w:rPr>
              <w:t>45,182</w:t>
            </w:r>
          </w:p>
        </w:tc>
        <w:tc>
          <w:tcPr>
            <w:tcW w:type="dxa" w:w="1440"/>
            <w:shd w:fill="FAFAFA" w:val="clear"/>
          </w:tcPr>
          <w:p>
            <w:r>
              <w:rPr>
                <w:sz w:val="17"/>
              </w:rPr>
              <w:t>52,039</w:t>
            </w:r>
          </w:p>
        </w:tc>
        <w:tc>
          <w:tcPr>
            <w:tcW w:type="dxa" w:w="1440"/>
            <w:shd w:fill="FAFAFA" w:val="clear"/>
          </w:tcPr>
          <w:p>
            <w:r>
              <w:rPr>
                <w:b/>
                <w:color w:val="008000"/>
                <w:sz w:val="17"/>
              </w:rPr>
              <w:t>+1.7%</w:t>
            </w:r>
          </w:p>
        </w:tc>
      </w:tr>
      <w:tr>
        <w:tc>
          <w:tcPr>
            <w:tcW w:type="dxa" w:w="1440"/>
            <w:shd w:fill="FAFAFA" w:val="clear"/>
          </w:tcPr>
          <w:p>
            <w:r>
              <w:rPr>
                <w:sz w:val="17"/>
              </w:rPr>
              <w:t>J+7  ⭐</w:t>
            </w:r>
          </w:p>
        </w:tc>
        <w:tc>
          <w:tcPr>
            <w:tcW w:type="dxa" w:w="1440"/>
            <w:shd w:fill="FAFAFA" w:val="clear"/>
          </w:tcPr>
          <w:p>
            <w:r>
              <w:rPr>
                <w:sz w:val="17"/>
              </w:rPr>
              <w:t>2026-10-26</w:t>
            </w:r>
          </w:p>
        </w:tc>
        <w:tc>
          <w:tcPr>
            <w:tcW w:type="dxa" w:w="1440"/>
            <w:shd w:fill="FAFAFA" w:val="clear"/>
          </w:tcPr>
          <w:p>
            <w:r>
              <w:rPr>
                <w:sz w:val="17"/>
              </w:rPr>
              <w:t>37,811</w:t>
            </w:r>
          </w:p>
        </w:tc>
        <w:tc>
          <w:tcPr>
            <w:tcW w:type="dxa" w:w="1440"/>
            <w:shd w:fill="FAFAFA" w:val="clear"/>
          </w:tcPr>
          <w:p>
            <w:r>
              <w:rPr>
                <w:b/>
                <w:sz w:val="17"/>
              </w:rPr>
              <w:t>45,225</w:t>
            </w:r>
          </w:p>
        </w:tc>
        <w:tc>
          <w:tcPr>
            <w:tcW w:type="dxa" w:w="1440"/>
            <w:shd w:fill="FAFAFA" w:val="clear"/>
          </w:tcPr>
          <w:p>
            <w:r>
              <w:rPr>
                <w:sz w:val="17"/>
              </w:rPr>
              <w:t>52,638</w:t>
            </w:r>
          </w:p>
        </w:tc>
        <w:tc>
          <w:tcPr>
            <w:tcW w:type="dxa" w:w="1440"/>
            <w:shd w:fill="FAFAFA" w:val="clear"/>
          </w:tcPr>
          <w:p>
            <w:r>
              <w:rPr>
                <w:b/>
                <w:color w:val="008000"/>
                <w:sz w:val="17"/>
              </w:rPr>
              <w:t>+1.8%</w:t>
            </w:r>
          </w:p>
        </w:tc>
      </w:tr>
      <w:tr>
        <w:tc>
          <w:tcPr>
            <w:tcW w:type="dxa" w:w="1440"/>
            <w:shd w:fill="FAFAFA" w:val="clear"/>
          </w:tcPr>
          <w:p>
            <w:r>
              <w:rPr>
                <w:sz w:val="17"/>
              </w:rPr>
              <w:t>J+8  ⭐</w:t>
            </w:r>
          </w:p>
        </w:tc>
        <w:tc>
          <w:tcPr>
            <w:tcW w:type="dxa" w:w="1440"/>
            <w:shd w:fill="FAFAFA" w:val="clear"/>
          </w:tcPr>
          <w:p>
            <w:r>
              <w:rPr>
                <w:sz w:val="17"/>
              </w:rPr>
              <w:t>2026-10-27</w:t>
            </w:r>
          </w:p>
        </w:tc>
        <w:tc>
          <w:tcPr>
            <w:tcW w:type="dxa" w:w="1440"/>
            <w:shd w:fill="FAFAFA" w:val="clear"/>
          </w:tcPr>
          <w:p>
            <w:r>
              <w:rPr>
                <w:sz w:val="17"/>
              </w:rPr>
              <w:t>37,337</w:t>
            </w:r>
          </w:p>
        </w:tc>
        <w:tc>
          <w:tcPr>
            <w:tcW w:type="dxa" w:w="1440"/>
            <w:shd w:fill="FAFAFA" w:val="clear"/>
          </w:tcPr>
          <w:p>
            <w:r>
              <w:rPr>
                <w:b/>
                <w:sz w:val="17"/>
              </w:rPr>
              <w:t>45,271</w:t>
            </w:r>
          </w:p>
        </w:tc>
        <w:tc>
          <w:tcPr>
            <w:tcW w:type="dxa" w:w="1440"/>
            <w:shd w:fill="FAFAFA" w:val="clear"/>
          </w:tcPr>
          <w:p>
            <w:r>
              <w:rPr>
                <w:sz w:val="17"/>
              </w:rPr>
              <w:t>53,204</w:t>
            </w:r>
          </w:p>
        </w:tc>
        <w:tc>
          <w:tcPr>
            <w:tcW w:type="dxa" w:w="1440"/>
            <w:shd w:fill="FAFAFA" w:val="clear"/>
          </w:tcPr>
          <w:p>
            <w:r>
              <w:rPr>
                <w:b/>
                <w:color w:val="008000"/>
                <w:sz w:val="17"/>
              </w:rPr>
              <w:t>+1.9%</w:t>
            </w:r>
          </w:p>
        </w:tc>
      </w:tr>
      <w:tr>
        <w:tc>
          <w:tcPr>
            <w:tcW w:type="dxa" w:w="1440"/>
            <w:shd w:fill="C6EFCE" w:val="clear"/>
          </w:tcPr>
          <w:p>
            <w:r>
              <w:rPr>
                <w:sz w:val="17"/>
              </w:rPr>
              <w:t>J+9  ⭐</w:t>
            </w:r>
          </w:p>
        </w:tc>
        <w:tc>
          <w:tcPr>
            <w:tcW w:type="dxa" w:w="1440"/>
            <w:shd w:fill="C6EFCE" w:val="clear"/>
          </w:tcPr>
          <w:p>
            <w:r>
              <w:rPr>
                <w:sz w:val="17"/>
              </w:rPr>
              <w:t>2026-10-28</w:t>
            </w:r>
          </w:p>
        </w:tc>
        <w:tc>
          <w:tcPr>
            <w:tcW w:type="dxa" w:w="1440"/>
            <w:shd w:fill="C6EFCE" w:val="clear"/>
          </w:tcPr>
          <w:p>
            <w:r>
              <w:rPr>
                <w:sz w:val="17"/>
              </w:rPr>
              <w:t>36,895</w:t>
            </w:r>
          </w:p>
        </w:tc>
        <w:tc>
          <w:tcPr>
            <w:tcW w:type="dxa" w:w="1440"/>
            <w:shd w:fill="C6EFCE" w:val="clear"/>
          </w:tcPr>
          <w:p>
            <w:r>
              <w:rPr>
                <w:b/>
                <w:sz w:val="17"/>
              </w:rPr>
              <w:t>45,318</w:t>
            </w:r>
          </w:p>
        </w:tc>
        <w:tc>
          <w:tcPr>
            <w:tcW w:type="dxa" w:w="1440"/>
            <w:shd w:fill="C6EFCE" w:val="clear"/>
          </w:tcPr>
          <w:p>
            <w:r>
              <w:rPr>
                <w:sz w:val="17"/>
              </w:rPr>
              <w:t>53,742</w:t>
            </w:r>
          </w:p>
        </w:tc>
        <w:tc>
          <w:tcPr>
            <w:tcW w:type="dxa" w:w="1440"/>
            <w:shd w:fill="C6EFCE" w:val="clear"/>
          </w:tcPr>
          <w:p>
            <w:r>
              <w:rPr>
                <w:b/>
                <w:color w:val="008000"/>
                <w:sz w:val="17"/>
              </w:rPr>
              <w:t>+2.0%</w:t>
            </w:r>
          </w:p>
        </w:tc>
      </w:tr>
      <w:tr>
        <w:tc>
          <w:tcPr>
            <w:tcW w:type="dxa" w:w="1440"/>
            <w:shd w:fill="C6EFCE" w:val="clear"/>
          </w:tcPr>
          <w:p>
            <w:r>
              <w:rPr>
                <w:sz w:val="17"/>
              </w:rPr>
              <w:t>J+10  ⭐</w:t>
            </w:r>
          </w:p>
        </w:tc>
        <w:tc>
          <w:tcPr>
            <w:tcW w:type="dxa" w:w="1440"/>
            <w:shd w:fill="C6EFCE" w:val="clear"/>
          </w:tcPr>
          <w:p>
            <w:r>
              <w:rPr>
                <w:sz w:val="17"/>
              </w:rPr>
              <w:t>2026-10-29</w:t>
            </w:r>
          </w:p>
        </w:tc>
        <w:tc>
          <w:tcPr>
            <w:tcW w:type="dxa" w:w="1440"/>
            <w:shd w:fill="C6EFCE" w:val="clear"/>
          </w:tcPr>
          <w:p>
            <w:r>
              <w:rPr>
                <w:sz w:val="17"/>
              </w:rPr>
              <w:t>36,478</w:t>
            </w:r>
          </w:p>
        </w:tc>
        <w:tc>
          <w:tcPr>
            <w:tcW w:type="dxa" w:w="1440"/>
            <w:shd w:fill="C6EFCE" w:val="clear"/>
          </w:tcPr>
          <w:p>
            <w:r>
              <w:rPr>
                <w:b/>
                <w:sz w:val="17"/>
              </w:rPr>
              <w:t>45,367</w:t>
            </w:r>
          </w:p>
        </w:tc>
        <w:tc>
          <w:tcPr>
            <w:tcW w:type="dxa" w:w="1440"/>
            <w:shd w:fill="C6EFCE" w:val="clear"/>
          </w:tcPr>
          <w:p>
            <w:r>
              <w:rPr>
                <w:sz w:val="17"/>
              </w:rPr>
              <w:t>54,256</w:t>
            </w:r>
          </w:p>
        </w:tc>
        <w:tc>
          <w:tcPr>
            <w:tcW w:type="dxa" w:w="1440"/>
            <w:shd w:fill="C6EFCE" w:val="clear"/>
          </w:tcPr>
          <w:p>
            <w:r>
              <w:rPr>
                <w:b/>
                <w:color w:val="008000"/>
                <w:sz w:val="17"/>
              </w:rPr>
              <w:t>+2.2%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Pr>
        <w:spacing w:after="120" w:line="276" w:lineRule="auto"/>
      </w:pPr>
      <w:r>
        <w:t>**RAPPORT D'ANALYSE FINANCIÈRE — UNILEVER COTE D'IVOIRE (UNLC)**</w:t>
        <w:br/>
        <w:t>**Bourse Régionale des Valeurs Mobilières (BRVM)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La capitalisation boursière d'UNLC s'établit à 407,83 milliards FCFA, un niveau significatif qui positionne la valeur parmi les grandes capitalisations de la BRVM, bien que très en deçà des poids lourds comme SONATEL ou ETIT. Les ratios de valorisation classiques (BPA, PER, P/B, EV/EBITDA) ne sont pas calculables en l'absence de données financières structurées exploitables dans la base, ce qui limite l'évaluation comparative directe avec les standards du marché (PER BRVM moyen ~8-12x). Cette absence de ratios constitue en soi un signal de vigilance : elle reflète la difficulté à appréhender la rentabilité réelle de la société sur la base des seuls agrégats disponibles. L'investisseur devra donc s'appuyer sur les rapports financiers narratifs (Partie 3) pour estimer la valorisation implicite, en gardant à l'esprit que la capitalisation actuelle intègre déjà une prime de rareté (faible flottant) et une décote de risque liée aux fondamentaux dégradés.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UNLC a enregistré une variation totale de **-20,84%**, avec une dernière séance stable à **+0,00%**, confirmant une tendance baissière structurelle. Le cours actuel de **44 410 FCFA** coïncide exactement avec le plus bas de la période, tandis que le plus haut a atteint **59 900 FCFA**, soit un range de trading de 15 490 FCFA (environ 35% d'amplitude), illustrant une érosion progressive et continue du cours sans rebond significatif. La moyenne des 100 jours s'établit à **53 652 FCFA** contre une médiane de **54 000 FCFA**, un écart faible qui suggère une distribution globalement symétrique, confirmée par un skewness de **-0,428** (légère asymétrie négative, interprétée comme symétrique dans les données). L'écart-type de **3 431 FCFA** avec un coefficient de variation de **6,4%** indique une dispersion modérée autour de la moyenne, mais la volatilité annualisée de **56,4%** classe le titre dans la catégorie des valeurs à volatilité **élevée** (&gt;30%), ce qui est cohérent avec la chute brutale observée. Le kurtosis de **-0,219** (mésokurtique) suggère une distribution proche de la normale, sans risque de pics extrêmes marqués, mais le volume moyen de seulement **21 titres/jour** révèle une liquidité très faible, exposant l'investisseur à un risque de sortie difficile.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(49 052,75 FCFA) et la MM50 (51 914,8 FCFA) se situent toutes deux nettement au-dessus du cours actuel (44 410 FCFA), avec une MM20 inférieure à la MM50, configuration typique d'une tendance baissière persistante. Le cours évoluant sous ses deux moyennes, la pression vendeuse domine, ce qui justifie pleinement la décision technique de **Vente**.</w:t>
      </w:r>
    </w:p>
    <w:p>
      <w:pPr>
        <w:spacing w:after="120" w:line="276" w:lineRule="auto"/>
      </w:pPr>
      <w:r>
        <w:t>**Bandes de Bollinger** : Le cours (44 410 FCFA) est collé à la borne inférieure (44 136,10 FCFA) et très éloigné de la borne supérieure (53 969,40 FCFA), traduisant une pression baissière intense et une volatilité en expansion. La décision **Neutre** reflète le fait que le cours est en zone de survente extrême, susceptible d'un rebond technique, mais sans confirmation haussière.</w:t>
      </w:r>
    </w:p>
    <w:p>
      <w:pPr>
        <w:spacing w:after="120" w:line="276" w:lineRule="auto"/>
      </w:pPr>
      <w:r>
        <w:t>**MACD** : La valeur du MACD (-1 758,70) est inférieure à son signal (-1 411,00), avec un histogramme négatif, confirmant un momentum baissier toujours actif. La décision **Vente** est cohérente avec cette configuration de divergence baissière persistante.</w:t>
      </w:r>
    </w:p>
    <w:p>
      <w:pPr>
        <w:spacing w:after="120" w:line="276" w:lineRule="auto"/>
      </w:pPr>
      <w:r>
        <w:t>**RSI** : À **27,68**, le RSI est en zone de **survente** (&lt;30), ce qui déclenche une décision technique d'**Achat** (signal de rebond potentiel). Cependant, en tendance baissière forte, un RSI bas peut rester durablement en zone de survente, ce qui tempère la portée du signal.</w:t>
      </w:r>
    </w:p>
    <w:p>
      <w:pPr>
        <w:spacing w:after="120" w:line="276" w:lineRule="auto"/>
      </w:pPr>
      <w:r>
        <w:t>**Stochastique** : Le %K à **0,0** et le %D à **6,91** indiquent une position extrême en zone de survente, avec un croisement potentiel à venir. La décision **Achat** est cohérente avec cette configuration, mais le %K à zéro signale une pression vendeuse encore intacte.</w:t>
      </w:r>
    </w:p>
    <w:p>
      <w:pPr>
        <w:spacing w:after="120" w:line="276" w:lineRule="auto"/>
      </w:pPr>
      <w:r>
        <w:t>**Conclusion technique** : Les indicateurs sont majoritairement baissiers (MM, MACD) avec des signaux de survente (RSI, Stochastique) qui plaident pour un rebond technique à court terme. Cette divergence entre tendance de fond (baissière) et signaux de retournement (survente) suggère une phase de consolidation possible, mais sans inversion de tendance confirmée. La prudence reste de mise tant que le cours n'aura pas réintégré la MM20.</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données financières structurées n'étant pas disponibles dans la base, l'analyse s'appuie sur les **rapports financiers officiels** analysés par MISTRAL, dont les plus récents datent du **31 décembre 2023** (exercice 2023) et du **31 décembre 2022** (exercices 2022 et provisoire 2022). **En 2023**, UNILEVER Côte d'Ivoire a réalisé un **chiffre d'affaires de 24 336 010 000 FCFA**, stable par rapport à 2022, avec un **résultat net bénéficiaire de 640 334 855 FCFA** (marge nette de **2,63%**), en nette amélioration après la **perte de 6 908 362 002 FCFA en 2022** (marge nette de -28,4%). Le **résultat d'exploitation** est repassé positif à **+3 340 M FCFA** en 2023 (contre -6 258 M FCFA en 2022), grâce à une réduction des charges et une hausse des produits accessoires. Cependant, la structure financière reste très fragile : les **capitaux propres sont négatifs à -10 658 M FCFA**, le **report à nouveau est négatif à -35 635 M FCFA**, et les **dettes financières s'élèvent à 4 379 M FCFA** (vs 3 827 M FCFA en 2022), avec une trésorerie passive de 14 874 M FCFA. Aucun dividende n'a été versé en 2023 ni en 2022, la priorité étant donnée à la reconstitution des fonds propres. Le rapport provisoire 2022 indiquait un CA de **36 174,6 M FCFA** (hors taxes) contre 46 059,4 M FCFA en 2021 (-21,5%), reflétant la cession de l'activité "Thé" (Lipton) fin 2021. **En 2021**, le résultat net était bénéficiaire de **6 090 755 732 FCFA** (marge nette de 25,0%), mais cet exercice incluait des produits exceptionnels de cession. **L'évolution 2021→2023** montre un effondrement de la rentabilité (marge nette passant de 25% à 2,63%), une dégradation des capitaux propres (négatifs) et une absence totale de retour aux actionnaires. Les **risques majeurs** sont : capitaux propres négatifs, endettement croissant, dépendance au marché ivoirien, concurrence accrue (Nestlé, P&amp;G), et risque de liquidité. Les **opportunités** résident dans l'expansion régionale (UEMOA), l'innovation produit et l'optimisation des coûts. **Conclusion fondamentale** : la société est en redressement fragile, avec une amélioration opérationnelle en 2023 mais une structure financière toujours précaire ; la recommandation fondamentale est **CONSERVER avec vigilance** pour les investisseurs patients, en attendant une stabilisation durable des capitaux propres et un retour à une marge nette &gt;5%.</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révèle une situation contrastée. **Valorisation (Partie 0)** : l'absence de ratios PER/P/B/EV-EBITDA empêche toute conclusion définitive, mais la capitalisation de 407,83 Mds FCFA pour une société avec des capitaux propres négatifs suggère une **surévaluation relative** par rapport à la valeur comptable. **Comportement du cours (Partie 1)** : la tendance baissière (-20,84% sur 100 jours), la volatilité élevée (56,4%) et la faible liquidité (21 titres/jour) sont **préoccupantes**, bien que le kurtosis mésokurtique et le skewness symétrique n'indiquent pas de risque de pics extrêmes. **Signaux techniques (Partie 2)** : divergence entre indicateurs baissiers (MM, MACD) et signaux de survente (RSI 27,68, Stochastique 0,0), plaidant pour un **rebond technique à court terme** mais sans inversion de tendance. **Fondamentaux (Partie 3)** : amélioration opérationnelle en 2023 (résultat net positif de 640 M FCFA) mais **fragilité structurelle** (capitaux propres négatifs, endettement, absence de dividende). **Prédictions IA (J+1 à J+10)** : la trajectoire prévue (45 432 FCFA le 16/10, puis 45 121-45 177 FCFA) suggère une **stabilisation légèrement haussière** (+2,3% par rapport au cours actuel), confirmant le scénario d'un rebond technique modéré. **Recommandation finale** : **CONSERVER** (avec vigilance), car la convergence entre signaux de survente technique, prédictions IA haussières à court terme et amélioration fondamentale 2023 soutient un potentiel de rebond, mais les risques structurels (capitaux propres négatifs, liquidité faible) limitent toute perspective d'achat agressif. **Niveau de confiance** : **Moyen** (les signaux techniques et prédictifs sont positifs, mais les fondamentaux restent fragiles). **Niveau de risque global** : **Élevé** (volatilité 56,4%, liquidité très faible, structure financière précaire). **Horizon d'investissement optimal** : **Court terme** (&lt;3 mois) pour profiter du rebond technique, avec une surveillance rapprochée des résultats semestriels 2024 et de l'évolution des capitaux propres ; les investisseurs long terme devront attendre une confirmation de la stabilisation financière avant de renforcer leurs positions.</w:t>
      </w:r>
    </w:p>
    <w:p/>
    <w:p/>
    <w:p>
      <w:r>
        <w:t>════════════════════════════════════════════════════════════════════════════════</w:t>
      </w:r>
    </w:p>
    <w:p>
      <w:r>
        <w:br w:type="page"/>
      </w:r>
    </w:p>
    <w:p>
      <w:pPr>
        <w:pStyle w:val="Heading2"/>
        <w:spacing w:before="360"/>
      </w:pPr>
      <w:r>
        <w:rPr>
          <w:color w:val="0066CC"/>
        </w:rPr>
        <w:t>48. UNXC - UNXC - UNIWAX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UNXC</w:t>
            </w:r>
          </w:p>
          <w:p>
            <w:r>
              <w:rPr>
                <w:b/>
                <w:color w:val="323250"/>
                <w:sz w:val="16"/>
              </w:rPr>
              <w:t xml:space="preserve">Société : </w:t>
            </w:r>
            <w:r>
              <w:rPr>
                <w:color w:val="000000"/>
                <w:sz w:val="16"/>
              </w:rPr>
              <w:t>UNXC - UNIWAX COTE D'IVOIRE</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45.23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13,330 titres</w:t>
            </w:r>
          </w:p>
        </w:tc>
        <w:tc>
          <w:tcPr>
            <w:tcW w:type="dxa" w:w="2268"/>
            <w:shd w:fill="FFF2CC" w:val="clear"/>
          </w:tcPr>
          <w:p>
            <w:r>
              <w:rPr>
                <w:b/>
                <w:color w:val="503200"/>
                <w:sz w:val="16"/>
              </w:rPr>
              <w:t xml:space="preserve">Cours actuel : </w:t>
            </w:r>
            <w:r>
              <w:rPr>
                <w:color w:val="000000"/>
                <w:sz w:val="17"/>
              </w:rPr>
              <w:t>2,180 FCFA</w:t>
            </w:r>
          </w:p>
          <w:p>
            <w:r>
              <w:rPr>
                <w:b/>
                <w:color w:val="503200"/>
                <w:sz w:val="16"/>
              </w:rPr>
              <w:t xml:space="preserve">Var. 100 jours : </w:t>
            </w:r>
            <w:r>
              <w:rPr>
                <w:b/>
                <w:color w:val="007800"/>
                <w:sz w:val="17"/>
              </w:rPr>
              <w:t>+21.45%</w:t>
            </w:r>
          </w:p>
          <w:p>
            <w:r>
              <w:rPr>
                <w:b/>
                <w:color w:val="503200"/>
                <w:sz w:val="16"/>
              </w:rPr>
              <w:t xml:space="preserve">Plus haut 100j : </w:t>
            </w:r>
            <w:r>
              <w:rPr>
                <w:color w:val="000000"/>
                <w:sz w:val="17"/>
              </w:rPr>
              <w:t>2,495 FCFA</w:t>
            </w:r>
          </w:p>
          <w:p>
            <w:r>
              <w:rPr>
                <w:b/>
                <w:color w:val="503200"/>
                <w:sz w:val="16"/>
              </w:rPr>
              <w:t xml:space="preserve">Plus bas 100j : </w:t>
            </w:r>
            <w:r>
              <w:rPr>
                <w:color w:val="000000"/>
                <w:sz w:val="17"/>
              </w:rPr>
              <w:t>1,250 FCFA</w:t>
            </w:r>
          </w:p>
          <w:p>
            <w:r>
              <w:rPr>
                <w:b/>
                <w:color w:val="503200"/>
                <w:sz w:val="16"/>
              </w:rPr>
              <w:t xml:space="preserve">Volatilité ann. : </w:t>
            </w:r>
            <w:r>
              <w:rPr>
                <w:color w:val="000000"/>
                <w:sz w:val="17"/>
              </w:rPr>
              <w:t>50.1%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16.8/100 → Faible</w:t>
      </w:r>
    </w:p>
    <w:p>
      <w:pPr>
        <w:spacing w:before="40" w:after="80"/>
      </w:pPr>
      <w:r>
        <w:rPr>
          <w:rFonts w:ascii="Courier New" w:hAnsi="Courier New"/>
          <w:color w:val="006400"/>
          <w:sz w:val="18"/>
        </w:rPr>
        <w:t>███░░░░░░░░░░░░░░░░░  16.8/100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14.90% (Moyenne) — μ=2,039 FCFA, σ=304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β=0.6537 (Défensif) — Cov=0.000049, Var(idx)=0.000075, ρ=0.177,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13,330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σ_j=3.15%/j (Modérée) — Vol. annualisée≈50.1%</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76/100  (Excellent)</w:t>
      </w:r>
    </w:p>
    <w:p/>
    <w:p>
      <w:pPr>
        <w:jc w:val="center"/>
      </w:pPr>
      <w:r>
        <w:drawing>
          <wp:inline xmlns:a="http://schemas.openxmlformats.org/drawingml/2006/main" xmlns:pic="http://schemas.openxmlformats.org/drawingml/2006/picture">
            <wp:extent cx="5669280" cy="2619287"/>
            <wp:docPr id="50" name="Picture 50"/>
            <wp:cNvGraphicFramePr>
              <a:graphicFrameLocks noChangeAspect="1"/>
            </wp:cNvGraphicFramePr>
            <a:graphic>
              <a:graphicData uri="http://schemas.openxmlformats.org/drawingml/2006/picture">
                <pic:pic>
                  <pic:nvPicPr>
                    <pic:cNvPr id="0" name="image.png"/>
                    <pic:cNvPicPr/>
                  </pic:nvPicPr>
                  <pic:blipFill>
                    <a:blip r:embed="rId58"/>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2026-10-16</w:t>
            </w:r>
          </w:p>
        </w:tc>
        <w:tc>
          <w:tcPr>
            <w:tcW w:type="dxa" w:w="1440"/>
            <w:shd w:fill="FAFAFA" w:val="clear"/>
          </w:tcPr>
          <w:p>
            <w:r>
              <w:rPr>
                <w:sz w:val="17"/>
              </w:rPr>
              <w:t>2,076</w:t>
            </w:r>
          </w:p>
        </w:tc>
        <w:tc>
          <w:tcPr>
            <w:tcW w:type="dxa" w:w="1440"/>
            <w:shd w:fill="FAFAFA" w:val="clear"/>
          </w:tcPr>
          <w:p>
            <w:r>
              <w:rPr>
                <w:b/>
                <w:sz w:val="17"/>
              </w:rPr>
              <w:t>2,151</w:t>
            </w:r>
          </w:p>
        </w:tc>
        <w:tc>
          <w:tcPr>
            <w:tcW w:type="dxa" w:w="1440"/>
            <w:shd w:fill="FAFAFA" w:val="clear"/>
          </w:tcPr>
          <w:p>
            <w:r>
              <w:rPr>
                <w:sz w:val="17"/>
              </w:rPr>
              <w:t>2,227</w:t>
            </w:r>
          </w:p>
        </w:tc>
        <w:tc>
          <w:tcPr>
            <w:tcW w:type="dxa" w:w="1440"/>
            <w:shd w:fill="FAFAFA" w:val="clear"/>
          </w:tcPr>
          <w:p>
            <w:r>
              <w:rPr>
                <w:b/>
                <w:color w:val="C00000"/>
                <w:sz w:val="17"/>
              </w:rPr>
              <w:t>-1.3%</w:t>
            </w:r>
          </w:p>
        </w:tc>
      </w:tr>
      <w:tr>
        <w:tc>
          <w:tcPr>
            <w:tcW w:type="dxa" w:w="1440"/>
            <w:shd w:fill="FAFAFA" w:val="clear"/>
          </w:tcPr>
          <w:p>
            <w:r>
              <w:rPr>
                <w:sz w:val="17"/>
              </w:rPr>
              <w:t>J+2  Moyenne</w:t>
            </w:r>
          </w:p>
        </w:tc>
        <w:tc>
          <w:tcPr>
            <w:tcW w:type="dxa" w:w="1440"/>
            <w:shd w:fill="FAFAFA" w:val="clear"/>
          </w:tcPr>
          <w:p>
            <w:r>
              <w:rPr>
                <w:sz w:val="17"/>
              </w:rPr>
              <w:t>2026-10-19</w:t>
            </w:r>
          </w:p>
        </w:tc>
        <w:tc>
          <w:tcPr>
            <w:tcW w:type="dxa" w:w="1440"/>
            <w:shd w:fill="FAFAFA" w:val="clear"/>
          </w:tcPr>
          <w:p>
            <w:r>
              <w:rPr>
                <w:sz w:val="17"/>
              </w:rPr>
              <w:t>2,035</w:t>
            </w:r>
          </w:p>
        </w:tc>
        <w:tc>
          <w:tcPr>
            <w:tcW w:type="dxa" w:w="1440"/>
            <w:shd w:fill="FAFAFA" w:val="clear"/>
          </w:tcPr>
          <w:p>
            <w:r>
              <w:rPr>
                <w:b/>
                <w:sz w:val="17"/>
              </w:rPr>
              <w:t>2,140</w:t>
            </w:r>
          </w:p>
        </w:tc>
        <w:tc>
          <w:tcPr>
            <w:tcW w:type="dxa" w:w="1440"/>
            <w:shd w:fill="FAFAFA" w:val="clear"/>
          </w:tcPr>
          <w:p>
            <w:r>
              <w:rPr>
                <w:sz w:val="17"/>
              </w:rPr>
              <w:t>2,246</w:t>
            </w:r>
          </w:p>
        </w:tc>
        <w:tc>
          <w:tcPr>
            <w:tcW w:type="dxa" w:w="1440"/>
            <w:shd w:fill="FAFAFA" w:val="clear"/>
          </w:tcPr>
          <w:p>
            <w:r>
              <w:rPr>
                <w:b/>
                <w:color w:val="C00000"/>
                <w:sz w:val="17"/>
              </w:rPr>
              <w:t>-1.8%</w:t>
            </w:r>
          </w:p>
        </w:tc>
      </w:tr>
      <w:tr>
        <w:tc>
          <w:tcPr>
            <w:tcW w:type="dxa" w:w="1440"/>
            <w:shd w:fill="FFDCE0" w:val="clear"/>
          </w:tcPr>
          <w:p>
            <w:r>
              <w:rPr>
                <w:sz w:val="17"/>
              </w:rPr>
              <w:t>J+3  Moyenne</w:t>
            </w:r>
          </w:p>
        </w:tc>
        <w:tc>
          <w:tcPr>
            <w:tcW w:type="dxa" w:w="1440"/>
            <w:shd w:fill="FFDCE0" w:val="clear"/>
          </w:tcPr>
          <w:p>
            <w:r>
              <w:rPr>
                <w:sz w:val="17"/>
              </w:rPr>
              <w:t>2026-10-20</w:t>
            </w:r>
          </w:p>
        </w:tc>
        <w:tc>
          <w:tcPr>
            <w:tcW w:type="dxa" w:w="1440"/>
            <w:shd w:fill="FFDCE0" w:val="clear"/>
          </w:tcPr>
          <w:p>
            <w:r>
              <w:rPr>
                <w:sz w:val="17"/>
              </w:rPr>
              <w:t>1,999</w:t>
            </w:r>
          </w:p>
        </w:tc>
        <w:tc>
          <w:tcPr>
            <w:tcW w:type="dxa" w:w="1440"/>
            <w:shd w:fill="FFDCE0" w:val="clear"/>
          </w:tcPr>
          <w:p>
            <w:r>
              <w:rPr>
                <w:b/>
                <w:sz w:val="17"/>
              </w:rPr>
              <w:t>2,128</w:t>
            </w:r>
          </w:p>
        </w:tc>
        <w:tc>
          <w:tcPr>
            <w:tcW w:type="dxa" w:w="1440"/>
            <w:shd w:fill="FFDCE0" w:val="clear"/>
          </w:tcPr>
          <w:p>
            <w:r>
              <w:rPr>
                <w:sz w:val="17"/>
              </w:rPr>
              <w:t>2,257</w:t>
            </w:r>
          </w:p>
        </w:tc>
        <w:tc>
          <w:tcPr>
            <w:tcW w:type="dxa" w:w="1440"/>
            <w:shd w:fill="FFDCE0" w:val="clear"/>
          </w:tcPr>
          <w:p>
            <w:r>
              <w:rPr>
                <w:b/>
                <w:color w:val="C00000"/>
                <w:sz w:val="17"/>
              </w:rPr>
              <w:t>-2.4%</w:t>
            </w:r>
          </w:p>
        </w:tc>
      </w:tr>
      <w:tr>
        <w:tc>
          <w:tcPr>
            <w:tcW w:type="dxa" w:w="1440"/>
            <w:shd w:fill="FFDCE0" w:val="clear"/>
          </w:tcPr>
          <w:p>
            <w:r>
              <w:rPr>
                <w:sz w:val="17"/>
              </w:rPr>
              <w:t>J+4  ⭐</w:t>
            </w:r>
          </w:p>
        </w:tc>
        <w:tc>
          <w:tcPr>
            <w:tcW w:type="dxa" w:w="1440"/>
            <w:shd w:fill="FFDCE0" w:val="clear"/>
          </w:tcPr>
          <w:p>
            <w:r>
              <w:rPr>
                <w:sz w:val="17"/>
              </w:rPr>
              <w:t>2026-10-21</w:t>
            </w:r>
          </w:p>
        </w:tc>
        <w:tc>
          <w:tcPr>
            <w:tcW w:type="dxa" w:w="1440"/>
            <w:shd w:fill="FFDCE0" w:val="clear"/>
          </w:tcPr>
          <w:p>
            <w:r>
              <w:rPr>
                <w:sz w:val="17"/>
              </w:rPr>
              <w:t>1,968</w:t>
            </w:r>
          </w:p>
        </w:tc>
        <w:tc>
          <w:tcPr>
            <w:tcW w:type="dxa" w:w="1440"/>
            <w:shd w:fill="FFDCE0" w:val="clear"/>
          </w:tcPr>
          <w:p>
            <w:r>
              <w:rPr>
                <w:b/>
                <w:sz w:val="17"/>
              </w:rPr>
              <w:t>2,116</w:t>
            </w:r>
          </w:p>
        </w:tc>
        <w:tc>
          <w:tcPr>
            <w:tcW w:type="dxa" w:w="1440"/>
            <w:shd w:fill="FFDCE0" w:val="clear"/>
          </w:tcPr>
          <w:p>
            <w:r>
              <w:rPr>
                <w:sz w:val="17"/>
              </w:rPr>
              <w:t>2,264</w:t>
            </w:r>
          </w:p>
        </w:tc>
        <w:tc>
          <w:tcPr>
            <w:tcW w:type="dxa" w:w="1440"/>
            <w:shd w:fill="FFDCE0" w:val="clear"/>
          </w:tcPr>
          <w:p>
            <w:r>
              <w:rPr>
                <w:b/>
                <w:color w:val="C00000"/>
                <w:sz w:val="17"/>
              </w:rPr>
              <w:t>-2.9%</w:t>
            </w:r>
          </w:p>
        </w:tc>
      </w:tr>
      <w:tr>
        <w:tc>
          <w:tcPr>
            <w:tcW w:type="dxa" w:w="1440"/>
            <w:shd w:fill="FFDCE0" w:val="clear"/>
          </w:tcPr>
          <w:p>
            <w:r>
              <w:rPr>
                <w:sz w:val="17"/>
              </w:rPr>
              <w:t>J+5  ⭐</w:t>
            </w:r>
          </w:p>
        </w:tc>
        <w:tc>
          <w:tcPr>
            <w:tcW w:type="dxa" w:w="1440"/>
            <w:shd w:fill="FFDCE0" w:val="clear"/>
          </w:tcPr>
          <w:p>
            <w:r>
              <w:rPr>
                <w:sz w:val="17"/>
              </w:rPr>
              <w:t>2026-10-22</w:t>
            </w:r>
          </w:p>
        </w:tc>
        <w:tc>
          <w:tcPr>
            <w:tcW w:type="dxa" w:w="1440"/>
            <w:shd w:fill="FFDCE0" w:val="clear"/>
          </w:tcPr>
          <w:p>
            <w:r>
              <w:rPr>
                <w:sz w:val="17"/>
              </w:rPr>
              <w:t>1,940</w:t>
            </w:r>
          </w:p>
        </w:tc>
        <w:tc>
          <w:tcPr>
            <w:tcW w:type="dxa" w:w="1440"/>
            <w:shd w:fill="FFDCE0" w:val="clear"/>
          </w:tcPr>
          <w:p>
            <w:r>
              <w:rPr>
                <w:b/>
                <w:sz w:val="17"/>
              </w:rPr>
              <w:t>2,104</w:t>
            </w:r>
          </w:p>
        </w:tc>
        <w:tc>
          <w:tcPr>
            <w:tcW w:type="dxa" w:w="1440"/>
            <w:shd w:fill="FFDCE0" w:val="clear"/>
          </w:tcPr>
          <w:p>
            <w:r>
              <w:rPr>
                <w:sz w:val="17"/>
              </w:rPr>
              <w:t>2,269</w:t>
            </w:r>
          </w:p>
        </w:tc>
        <w:tc>
          <w:tcPr>
            <w:tcW w:type="dxa" w:w="1440"/>
            <w:shd w:fill="FFDCE0" w:val="clear"/>
          </w:tcPr>
          <w:p>
            <w:r>
              <w:rPr>
                <w:b/>
                <w:color w:val="C00000"/>
                <w:sz w:val="17"/>
              </w:rPr>
              <w:t>-3.5%</w:t>
            </w:r>
          </w:p>
        </w:tc>
      </w:tr>
      <w:tr>
        <w:tc>
          <w:tcPr>
            <w:tcW w:type="dxa" w:w="1440"/>
            <w:shd w:fill="FFDCE0" w:val="clear"/>
          </w:tcPr>
          <w:p>
            <w:r>
              <w:rPr>
                <w:sz w:val="17"/>
              </w:rPr>
              <w:t>J+6  ⭐</w:t>
            </w:r>
          </w:p>
        </w:tc>
        <w:tc>
          <w:tcPr>
            <w:tcW w:type="dxa" w:w="1440"/>
            <w:shd w:fill="FFDCE0" w:val="clear"/>
          </w:tcPr>
          <w:p>
            <w:r>
              <w:rPr>
                <w:sz w:val="17"/>
              </w:rPr>
              <w:t>2026-10-23</w:t>
            </w:r>
          </w:p>
        </w:tc>
        <w:tc>
          <w:tcPr>
            <w:tcW w:type="dxa" w:w="1440"/>
            <w:shd w:fill="FFDCE0" w:val="clear"/>
          </w:tcPr>
          <w:p>
            <w:r>
              <w:rPr>
                <w:sz w:val="17"/>
              </w:rPr>
              <w:t>1,913</w:t>
            </w:r>
          </w:p>
        </w:tc>
        <w:tc>
          <w:tcPr>
            <w:tcW w:type="dxa" w:w="1440"/>
            <w:shd w:fill="FFDCE0" w:val="clear"/>
          </w:tcPr>
          <w:p>
            <w:r>
              <w:rPr>
                <w:b/>
                <w:sz w:val="17"/>
              </w:rPr>
              <w:t>2,093</w:t>
            </w:r>
          </w:p>
        </w:tc>
        <w:tc>
          <w:tcPr>
            <w:tcW w:type="dxa" w:w="1440"/>
            <w:shd w:fill="FFDCE0" w:val="clear"/>
          </w:tcPr>
          <w:p>
            <w:r>
              <w:rPr>
                <w:sz w:val="17"/>
              </w:rPr>
              <w:t>2,272</w:t>
            </w:r>
          </w:p>
        </w:tc>
        <w:tc>
          <w:tcPr>
            <w:tcW w:type="dxa" w:w="1440"/>
            <w:shd w:fill="FFDCE0" w:val="clear"/>
          </w:tcPr>
          <w:p>
            <w:r>
              <w:rPr>
                <w:b/>
                <w:color w:val="C00000"/>
                <w:sz w:val="17"/>
              </w:rPr>
              <w:t>-4.0%</w:t>
            </w:r>
          </w:p>
        </w:tc>
      </w:tr>
      <w:tr>
        <w:tc>
          <w:tcPr>
            <w:tcW w:type="dxa" w:w="1440"/>
            <w:shd w:fill="FFDCE0" w:val="clear"/>
          </w:tcPr>
          <w:p>
            <w:r>
              <w:rPr>
                <w:sz w:val="17"/>
              </w:rPr>
              <w:t>J+7  ⭐</w:t>
            </w:r>
          </w:p>
        </w:tc>
        <w:tc>
          <w:tcPr>
            <w:tcW w:type="dxa" w:w="1440"/>
            <w:shd w:fill="FFDCE0" w:val="clear"/>
          </w:tcPr>
          <w:p>
            <w:r>
              <w:rPr>
                <w:sz w:val="17"/>
              </w:rPr>
              <w:t>2026-10-26</w:t>
            </w:r>
          </w:p>
        </w:tc>
        <w:tc>
          <w:tcPr>
            <w:tcW w:type="dxa" w:w="1440"/>
            <w:shd w:fill="FFDCE0" w:val="clear"/>
          </w:tcPr>
          <w:p>
            <w:r>
              <w:rPr>
                <w:sz w:val="17"/>
              </w:rPr>
              <w:t>1,889</w:t>
            </w:r>
          </w:p>
        </w:tc>
        <w:tc>
          <w:tcPr>
            <w:tcW w:type="dxa" w:w="1440"/>
            <w:shd w:fill="FFDCE0" w:val="clear"/>
          </w:tcPr>
          <w:p>
            <w:r>
              <w:rPr>
                <w:b/>
                <w:sz w:val="17"/>
              </w:rPr>
              <w:t>2,082</w:t>
            </w:r>
          </w:p>
        </w:tc>
        <w:tc>
          <w:tcPr>
            <w:tcW w:type="dxa" w:w="1440"/>
            <w:shd w:fill="FFDCE0" w:val="clear"/>
          </w:tcPr>
          <w:p>
            <w:r>
              <w:rPr>
                <w:sz w:val="17"/>
              </w:rPr>
              <w:t>2,274</w:t>
            </w:r>
          </w:p>
        </w:tc>
        <w:tc>
          <w:tcPr>
            <w:tcW w:type="dxa" w:w="1440"/>
            <w:shd w:fill="FFDCE0" w:val="clear"/>
          </w:tcPr>
          <w:p>
            <w:r>
              <w:rPr>
                <w:b/>
                <w:color w:val="C00000"/>
                <w:sz w:val="17"/>
              </w:rPr>
              <w:t>-4.5%</w:t>
            </w:r>
          </w:p>
        </w:tc>
      </w:tr>
      <w:tr>
        <w:tc>
          <w:tcPr>
            <w:tcW w:type="dxa" w:w="1440"/>
            <w:shd w:fill="FFDCE0" w:val="clear"/>
          </w:tcPr>
          <w:p>
            <w:r>
              <w:rPr>
                <w:sz w:val="17"/>
              </w:rPr>
              <w:t>J+8  ⭐</w:t>
            </w:r>
          </w:p>
        </w:tc>
        <w:tc>
          <w:tcPr>
            <w:tcW w:type="dxa" w:w="1440"/>
            <w:shd w:fill="FFDCE0" w:val="clear"/>
          </w:tcPr>
          <w:p>
            <w:r>
              <w:rPr>
                <w:sz w:val="17"/>
              </w:rPr>
              <w:t>2026-10-27</w:t>
            </w:r>
          </w:p>
        </w:tc>
        <w:tc>
          <w:tcPr>
            <w:tcW w:type="dxa" w:w="1440"/>
            <w:shd w:fill="FFDCE0" w:val="clear"/>
          </w:tcPr>
          <w:p>
            <w:r>
              <w:rPr>
                <w:sz w:val="17"/>
              </w:rPr>
              <w:t>1,866</w:t>
            </w:r>
          </w:p>
        </w:tc>
        <w:tc>
          <w:tcPr>
            <w:tcW w:type="dxa" w:w="1440"/>
            <w:shd w:fill="FFDCE0" w:val="clear"/>
          </w:tcPr>
          <w:p>
            <w:r>
              <w:rPr>
                <w:b/>
                <w:sz w:val="17"/>
              </w:rPr>
              <w:t>2,071</w:t>
            </w:r>
          </w:p>
        </w:tc>
        <w:tc>
          <w:tcPr>
            <w:tcW w:type="dxa" w:w="1440"/>
            <w:shd w:fill="FFDCE0" w:val="clear"/>
          </w:tcPr>
          <w:p>
            <w:r>
              <w:rPr>
                <w:sz w:val="17"/>
              </w:rPr>
              <w:t>2,276</w:t>
            </w:r>
          </w:p>
        </w:tc>
        <w:tc>
          <w:tcPr>
            <w:tcW w:type="dxa" w:w="1440"/>
            <w:shd w:fill="FFDCE0" w:val="clear"/>
          </w:tcPr>
          <w:p>
            <w:r>
              <w:rPr>
                <w:b/>
                <w:color w:val="C00000"/>
                <w:sz w:val="17"/>
              </w:rPr>
              <w:t>-5.0%</w:t>
            </w:r>
          </w:p>
        </w:tc>
      </w:tr>
      <w:tr>
        <w:tc>
          <w:tcPr>
            <w:tcW w:type="dxa" w:w="1440"/>
            <w:shd w:fill="FFDCE0" w:val="clear"/>
          </w:tcPr>
          <w:p>
            <w:r>
              <w:rPr>
                <w:sz w:val="17"/>
              </w:rPr>
              <w:t>J+9  ⭐</w:t>
            </w:r>
          </w:p>
        </w:tc>
        <w:tc>
          <w:tcPr>
            <w:tcW w:type="dxa" w:w="1440"/>
            <w:shd w:fill="FFDCE0" w:val="clear"/>
          </w:tcPr>
          <w:p>
            <w:r>
              <w:rPr>
                <w:sz w:val="17"/>
              </w:rPr>
              <w:t>2026-10-28</w:t>
            </w:r>
          </w:p>
        </w:tc>
        <w:tc>
          <w:tcPr>
            <w:tcW w:type="dxa" w:w="1440"/>
            <w:shd w:fill="FFDCE0" w:val="clear"/>
          </w:tcPr>
          <w:p>
            <w:r>
              <w:rPr>
                <w:sz w:val="17"/>
              </w:rPr>
              <w:t>1,844</w:t>
            </w:r>
          </w:p>
        </w:tc>
        <w:tc>
          <w:tcPr>
            <w:tcW w:type="dxa" w:w="1440"/>
            <w:shd w:fill="FFDCE0" w:val="clear"/>
          </w:tcPr>
          <w:p>
            <w:r>
              <w:rPr>
                <w:b/>
                <w:sz w:val="17"/>
              </w:rPr>
              <w:t>2,060</w:t>
            </w:r>
          </w:p>
        </w:tc>
        <w:tc>
          <w:tcPr>
            <w:tcW w:type="dxa" w:w="1440"/>
            <w:shd w:fill="FFDCE0" w:val="clear"/>
          </w:tcPr>
          <w:p>
            <w:r>
              <w:rPr>
                <w:sz w:val="17"/>
              </w:rPr>
              <w:t>2,277</w:t>
            </w:r>
          </w:p>
        </w:tc>
        <w:tc>
          <w:tcPr>
            <w:tcW w:type="dxa" w:w="1440"/>
            <w:shd w:fill="FFDCE0" w:val="clear"/>
          </w:tcPr>
          <w:p>
            <w:r>
              <w:rPr>
                <w:b/>
                <w:color w:val="C00000"/>
                <w:sz w:val="17"/>
              </w:rPr>
              <w:t>-5.5%</w:t>
            </w:r>
          </w:p>
        </w:tc>
      </w:tr>
      <w:tr>
        <w:tc>
          <w:tcPr>
            <w:tcW w:type="dxa" w:w="1440"/>
            <w:shd w:fill="FFDCE0" w:val="clear"/>
          </w:tcPr>
          <w:p>
            <w:r>
              <w:rPr>
                <w:sz w:val="17"/>
              </w:rPr>
              <w:t>J+10  ⭐</w:t>
            </w:r>
          </w:p>
        </w:tc>
        <w:tc>
          <w:tcPr>
            <w:tcW w:type="dxa" w:w="1440"/>
            <w:shd w:fill="FFDCE0" w:val="clear"/>
          </w:tcPr>
          <w:p>
            <w:r>
              <w:rPr>
                <w:sz w:val="17"/>
              </w:rPr>
              <w:t>2026-10-29</w:t>
            </w:r>
          </w:p>
        </w:tc>
        <w:tc>
          <w:tcPr>
            <w:tcW w:type="dxa" w:w="1440"/>
            <w:shd w:fill="FFDCE0" w:val="clear"/>
          </w:tcPr>
          <w:p>
            <w:r>
              <w:rPr>
                <w:sz w:val="17"/>
              </w:rPr>
              <w:t>1,824</w:t>
            </w:r>
          </w:p>
        </w:tc>
        <w:tc>
          <w:tcPr>
            <w:tcW w:type="dxa" w:w="1440"/>
            <w:shd w:fill="FFDCE0" w:val="clear"/>
          </w:tcPr>
          <w:p>
            <w:r>
              <w:rPr>
                <w:b/>
                <w:sz w:val="17"/>
              </w:rPr>
              <w:t>2,050</w:t>
            </w:r>
          </w:p>
        </w:tc>
        <w:tc>
          <w:tcPr>
            <w:tcW w:type="dxa" w:w="1440"/>
            <w:shd w:fill="FFDCE0" w:val="clear"/>
          </w:tcPr>
          <w:p>
            <w:r>
              <w:rPr>
                <w:sz w:val="17"/>
              </w:rPr>
              <w:t>2,277</w:t>
            </w:r>
          </w:p>
        </w:tc>
        <w:tc>
          <w:tcPr>
            <w:tcW w:type="dxa" w:w="1440"/>
            <w:shd w:fill="FFDCE0" w:val="clear"/>
          </w:tcPr>
          <w:p>
            <w:r>
              <w:rPr>
                <w:b/>
                <w:color w:val="C00000"/>
                <w:sz w:val="17"/>
              </w:rPr>
              <w:t>-5.9%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3.693 Mds FCFA</w:t>
            </w:r>
          </w:p>
        </w:tc>
        <w:tc>
          <w:tcPr>
            <w:tcW w:type="dxa" w:w="5669"/>
            <w:shd w:fill="FFFFFF" w:val="clear"/>
          </w:tcPr>
          <w:p>
            <w:r>
              <w:rPr>
                <w:color w:val="282828"/>
                <w:sz w:val="15"/>
              </w:rPr>
              <w:t>Créances clients = 12.7%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12.179 Mds FCFA</w:t>
            </w:r>
          </w:p>
        </w:tc>
        <w:tc>
          <w:tcPr>
            <w:tcW w:type="dxa" w:w="5669"/>
            <w:shd w:fill="FFFFFF" w:val="clear"/>
          </w:tcPr>
          <w:p>
            <w:r>
              <w:rPr>
                <w:color w:val="282828"/>
                <w:sz w:val="15"/>
              </w:rPr>
              <w:t>Rotation stocks = 2.4x/an.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17.281 Mds FCFA</w:t>
            </w:r>
          </w:p>
        </w:tc>
        <w:tc>
          <w:tcPr>
            <w:tcW w:type="dxa" w:w="5669"/>
            <w:shd w:fill="FFFFFF" w:val="clear"/>
          </w:tcPr>
          <w:p>
            <w:r>
              <w:rPr>
                <w:color w:val="282828"/>
                <w:sz w:val="15"/>
              </w:rPr>
              <w:t>Ratio actif circ./passif circ. = 2.84x.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114.77 M FCFA</w:t>
            </w:r>
          </w:p>
        </w:tc>
        <w:tc>
          <w:tcPr>
            <w:tcW w:type="dxa" w:w="5669"/>
            <w:shd w:fill="FFFFFF" w:val="clear"/>
          </w:tcPr>
          <w:p>
            <w:r>
              <w:rPr>
                <w:color w:val="282828"/>
                <w:sz w:val="15"/>
              </w:rPr>
              <w:t>Brevets, logiciels, fonds commercial (0.4%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9.507 Mds FCFA</w:t>
            </w:r>
          </w:p>
        </w:tc>
        <w:tc>
          <w:tcPr>
            <w:tcW w:type="dxa" w:w="5669"/>
            <w:shd w:fill="FFFFFF" w:val="clear"/>
          </w:tcPr>
          <w:p>
            <w:r>
              <w:rPr>
                <w:color w:val="282828"/>
                <w:sz w:val="15"/>
              </w:rPr>
              <w:t>Outil industriel (30.0%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10.642 Mds FCFA</w:t>
            </w:r>
          </w:p>
        </w:tc>
        <w:tc>
          <w:tcPr>
            <w:tcW w:type="dxa" w:w="5669"/>
            <w:shd w:fill="FFFFFF" w:val="clear"/>
          </w:tcPr>
          <w:p>
            <w:r>
              <w:rPr>
                <w:color w:val="282828"/>
                <w:sz w:val="15"/>
              </w:rPr>
              <w:t>Actif immobilisé = 33.5%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3.813 Mds FCFA</w:t>
            </w:r>
          </w:p>
        </w:tc>
        <w:tc>
          <w:tcPr>
            <w:tcW w:type="dxa" w:w="5669"/>
            <w:shd w:fill="FFFFFF" w:val="clear"/>
          </w:tcPr>
          <w:p>
            <w:r>
              <w:rPr>
                <w:color w:val="282828"/>
                <w:sz w:val="15"/>
              </w:rPr>
              <w:t>Liquidités disponibles (12.0%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31.736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4.150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6.156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24.619 Mds FCFA</w:t>
            </w:r>
          </w:p>
        </w:tc>
        <w:tc>
          <w:tcPr>
            <w:tcW w:type="dxa" w:w="5669"/>
            <w:shd w:fill="FFFFFF" w:val="clear"/>
          </w:tcPr>
          <w:p>
            <w:r>
              <w:rPr>
                <w:color w:val="282828"/>
                <w:sz w:val="15"/>
              </w:rPr>
              <w:t>Fonds propres = 77.6%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25.643 Mds FCFA</w:t>
            </w:r>
          </w:p>
        </w:tc>
        <w:tc>
          <w:tcPr>
            <w:tcW w:type="dxa" w:w="5669"/>
            <w:shd w:fill="FFFFFF" w:val="clear"/>
          </w:tcPr>
          <w:p>
            <w:r>
              <w:rPr>
                <w:color w:val="282828"/>
                <w:sz w:val="15"/>
              </w:rPr>
              <w:t>Capitaux permanents / Actif immobilisé = 2.41x.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4.977 Mds FCFA</w:t>
            </w:r>
          </w:p>
        </w:tc>
        <w:tc>
          <w:tcPr>
            <w:tcW w:type="dxa" w:w="5669"/>
            <w:shd w:fill="FFFFFF" w:val="clear"/>
          </w:tcPr>
          <w:p>
            <w:r>
              <w:rPr>
                <w:color w:val="282828"/>
                <w:sz w:val="15"/>
              </w:rPr>
              <w:t>Délai fournisseurs implicite ≈ 63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368.66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368.66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7.117 Mds FCFA</w:t>
            </w:r>
          </w:p>
        </w:tc>
        <w:tc>
          <w:tcPr>
            <w:tcW w:type="dxa" w:w="5669"/>
            <w:shd w:fill="FFFFFF" w:val="clear"/>
          </w:tcPr>
          <w:p>
            <w:r>
              <w:rPr>
                <w:color w:val="282828"/>
                <w:sz w:val="15"/>
              </w:rPr>
              <w:t>Dettes totales = 22.4%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29.032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29.032 Mds FCFA</w:t>
            </w:r>
          </w:p>
        </w:tc>
        <w:tc>
          <w:tcPr>
            <w:tcW w:type="dxa" w:w="5669"/>
            <w:shd w:fill="FFFFFF" w:val="clear"/>
          </w:tcPr>
          <w:p>
            <w:r>
              <w:rPr>
                <w:color w:val="282828"/>
                <w:sz w:val="15"/>
              </w:rPr>
              <w:t>Chiffre d'affaires. Croissance: 6.2%.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2.155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5.436 Mds FCFA</w:t>
            </w:r>
          </w:p>
        </w:tc>
        <w:tc>
          <w:tcPr>
            <w:tcW w:type="dxa" w:w="5669"/>
            <w:shd w:fill="FFFFFF" w:val="clear"/>
          </w:tcPr>
          <w:p>
            <w:r>
              <w:rPr>
                <w:color w:val="282828"/>
                <w:sz w:val="15"/>
              </w:rPr>
              <w:t>Masse salariale = 18.7%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6.563 Mds FCFA</w:t>
            </w:r>
          </w:p>
        </w:tc>
        <w:tc>
          <w:tcPr>
            <w:tcW w:type="dxa" w:w="5669"/>
            <w:shd w:fill="FFFFFF" w:val="clear"/>
          </w:tcPr>
          <w:p>
            <w:r>
              <w:rPr>
                <w:color w:val="282828"/>
                <w:sz w:val="15"/>
              </w:rPr>
              <w:t>VA = 22.6% du CA. ℹ️ VA standard pour le secteur.</w:t>
            </w:r>
          </w:p>
        </w:tc>
      </w:tr>
      <w:tr>
        <w:tc>
          <w:tcPr>
            <w:tcW w:type="dxa" w:w="2268"/>
            <w:shd w:fill="EEF2F7" w:val="clear"/>
          </w:tcPr>
          <w:p>
            <w:r>
              <w:rPr>
                <w:b/>
                <w:color w:val="1E1E3C"/>
                <w:sz w:val="16"/>
              </w:rPr>
              <w:t>EBE</w:t>
            </w:r>
          </w:p>
        </w:tc>
        <w:tc>
          <w:tcPr>
            <w:tcW w:type="dxa" w:w="1984"/>
            <w:shd w:fill="FFEB9C" w:val="clear"/>
          </w:tcPr>
          <w:p>
            <w:r>
              <w:rPr>
                <w:b/>
                <w:color w:val="006400"/>
                <w:sz w:val="17"/>
              </w:rPr>
              <w:t>1.127 Mds FCFA</w:t>
            </w:r>
          </w:p>
        </w:tc>
        <w:tc>
          <w:tcPr>
            <w:tcW w:type="dxa" w:w="5669"/>
            <w:shd w:fill="FFFFFF" w:val="clear"/>
          </w:tcPr>
          <w:p>
            <w:r>
              <w:rPr>
                <w:color w:val="282828"/>
                <w:sz w:val="15"/>
              </w:rPr>
              <w:t>EBE = 3.9%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-423.61 M FCFA</w:t>
            </w:r>
          </w:p>
        </w:tc>
        <w:tc>
          <w:tcPr>
            <w:tcW w:type="dxa" w:w="5669"/>
            <w:shd w:fill="FFFFFF" w:val="clear"/>
          </w:tcPr>
          <w:p>
            <w:r>
              <w:rPr>
                <w:color w:val="282828"/>
                <w:sz w:val="15"/>
              </w:rPr>
              <w:t>Profit d'exploitation = -1.5% des revenus. ❌ Perte d'exploitation — l'activité principale ne couvre pas ses coûts.</w:t>
            </w:r>
          </w:p>
        </w:tc>
      </w:tr>
      <w:tr>
        <w:tc>
          <w:tcPr>
            <w:tcW w:type="dxa" w:w="2268"/>
            <w:shd w:fill="EEF2F7" w:val="clear"/>
          </w:tcPr>
          <w:p>
            <w:r>
              <w:rPr>
                <w:b/>
                <w:color w:val="1E1E3C"/>
                <w:sz w:val="16"/>
              </w:rPr>
              <w:t>Résultat net</w:t>
            </w:r>
          </w:p>
        </w:tc>
        <w:tc>
          <w:tcPr>
            <w:tcW w:type="dxa" w:w="1984"/>
            <w:shd w:fill="FFC7CE" w:val="clear"/>
          </w:tcPr>
          <w:p>
            <w:r>
              <w:rPr>
                <w:b/>
                <w:color w:val="B40000"/>
                <w:sz w:val="17"/>
              </w:rPr>
              <w:t>-624.11 M FCFA</w:t>
            </w:r>
          </w:p>
        </w:tc>
        <w:tc>
          <w:tcPr>
            <w:tcW w:type="dxa" w:w="5669"/>
            <w:shd w:fill="FFFFFF" w:val="clear"/>
          </w:tcPr>
          <w:p>
            <w:r>
              <w:rPr>
                <w:color w:val="282828"/>
                <w:sz w:val="15"/>
              </w:rPr>
              <w:t>Marge nette = -2.1%.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904.48 M FCFA</w:t>
            </w:r>
          </w:p>
        </w:tc>
        <w:tc>
          <w:tcPr>
            <w:tcW w:type="dxa" w:w="5669"/>
            <w:shd w:fill="FFFFFF" w:val="clear"/>
          </w:tcPr>
          <w:p>
            <w:r>
              <w:rPr>
                <w:color w:val="282828"/>
                <w:sz w:val="15"/>
              </w:rPr>
              <w:t>CAF = 0.90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-8.124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DEEAF1" w:val="clear"/>
          </w:tcPr>
          <w:p>
            <w:r>
              <w:rPr>
                <w:b/>
                <w:color w:val="006400"/>
                <w:sz w:val="17"/>
              </w:rPr>
              <w:t>9.399 Mds FCFA</w:t>
            </w:r>
          </w:p>
        </w:tc>
        <w:tc>
          <w:tcPr>
            <w:tcW w:type="dxa" w:w="5669"/>
            <w:shd w:fill="FFFFFF" w:val="clear"/>
          </w:tcPr>
          <w:p>
            <w:r>
              <w:rPr>
                <w:color w:val="282828"/>
                <w:sz w:val="15"/>
              </w:rPr>
              <w:t>Sorties nettes pour investissements. ℹ️ Cessions nettes — désinvestissement ou rééquilibrage du portefeuille.</w:t>
            </w:r>
          </w:p>
        </w:tc>
      </w:tr>
      <w:tr>
        <w:tc>
          <w:tcPr>
            <w:tcW w:type="dxa" w:w="2268"/>
            <w:shd w:fill="EEF2F7" w:val="clear"/>
          </w:tcPr>
          <w:p>
            <w:r>
              <w:rPr>
                <w:b/>
                <w:color w:val="1E1E3C"/>
                <w:sz w:val="16"/>
              </w:rPr>
              <w:t>Flux de financement</w:t>
            </w:r>
          </w:p>
        </w:tc>
        <w:tc>
          <w:tcPr>
            <w:tcW w:type="dxa" w:w="1984"/>
            <w:shd w:fill="DEEAF1" w:val="clear"/>
          </w:tcPr>
          <w:p>
            <w:r>
              <w:rPr>
                <w:b/>
                <w:color w:val="006400"/>
                <w:sz w:val="17"/>
              </w:rPr>
              <w:t>43.03 M FCFA</w:t>
            </w:r>
          </w:p>
        </w:tc>
        <w:tc>
          <w:tcPr>
            <w:tcW w:type="dxa" w:w="5669"/>
            <w:shd w:fill="FFFFFF" w:val="clear"/>
          </w:tcPr>
          <w:p>
            <w:r>
              <w:rPr>
                <w:color w:val="282828"/>
                <w:sz w:val="15"/>
              </w:rPr>
              <w:t>Flux liés à la dette et aux dividendes. ℹ️ Nouveaux financements levés — augmentation de capital ou emprunt.</w:t>
            </w:r>
          </w:p>
        </w:tc>
      </w:tr>
      <w:tr>
        <w:tc>
          <w:tcPr>
            <w:tcW w:type="dxa" w:w="2268"/>
            <w:shd w:fill="EEF2F7" w:val="clear"/>
          </w:tcPr>
          <w:p>
            <w:r>
              <w:rPr>
                <w:b/>
                <w:color w:val="1E1E3C"/>
                <w:sz w:val="16"/>
              </w:rPr>
              <w:t>Free Cash Flow</w:t>
            </w:r>
          </w:p>
        </w:tc>
        <w:tc>
          <w:tcPr>
            <w:tcW w:type="dxa" w:w="1984"/>
            <w:shd w:fill="FFEB9C" w:val="clear"/>
          </w:tcPr>
          <w:p>
            <w:r>
              <w:rPr>
                <w:b/>
                <w:color w:val="B40000"/>
                <w:sz w:val="17"/>
              </w:rPr>
              <w:t>-8.239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11.187 Mds FCFA</w:t>
            </w:r>
          </w:p>
        </w:tc>
        <w:tc>
          <w:tcPr>
            <w:tcW w:type="dxa" w:w="5669"/>
            <w:shd w:fill="FFFFFF" w:val="clear"/>
          </w:tcPr>
          <w:p>
            <w:r>
              <w:rPr>
                <w:color w:val="282828"/>
                <w:sz w:val="15"/>
              </w:rPr>
              <w:t>BFR = 38.5%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15.001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3.813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53.53%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FFC7CE" w:val="clear"/>
          </w:tcPr>
          <w:p>
            <w:r>
              <w:rPr>
                <w:b/>
                <w:color w:val="B40000"/>
                <w:sz w:val="17"/>
              </w:rPr>
              <w:t>-2.15%</w:t>
            </w:r>
          </w:p>
        </w:tc>
        <w:tc>
          <w:tcPr>
            <w:tcW w:type="dxa" w:w="5669"/>
            <w:shd w:fill="FFFFFF" w:val="clear"/>
          </w:tcPr>
          <w:p>
            <w:r>
              <w:rPr>
                <w:color w:val="282828"/>
                <w:sz w:val="15"/>
              </w:rPr>
              <w:t>Résultat net / revenus = -2.15%.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-1.46%</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-2.54%</w:t>
            </w:r>
          </w:p>
        </w:tc>
        <w:tc>
          <w:tcPr>
            <w:tcW w:type="dxa" w:w="5669"/>
            <w:shd w:fill="FFFFFF" w:val="clear"/>
          </w:tcPr>
          <w:p>
            <w:r>
              <w:rPr>
                <w:color w:val="282828"/>
                <w:sz w:val="15"/>
              </w:rPr>
              <w:t>Résultat net / capitaux propres = -2.54%.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-1.97%</w:t>
            </w:r>
          </w:p>
        </w:tc>
        <w:tc>
          <w:tcPr>
            <w:tcW w:type="dxa" w:w="5669"/>
            <w:shd w:fill="FFFFFF" w:val="clear"/>
          </w:tcPr>
          <w:p>
            <w:r>
              <w:rPr>
                <w:color w:val="282828"/>
                <w:sz w:val="15"/>
              </w:rPr>
              <w:t>Résultat net / total actif = -1.97%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91.48%</w:t>
            </w:r>
          </w:p>
        </w:tc>
        <w:tc>
          <w:tcPr>
            <w:tcW w:type="dxa" w:w="5669"/>
            <w:shd w:fill="FFFFFF" w:val="clear"/>
          </w:tcPr>
          <w:p>
            <w:r>
              <w:rPr>
                <w:color w:val="282828"/>
                <w:sz w:val="15"/>
              </w:rPr>
              <w:t>CA / total actif = 91.48x.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6.21%</w:t>
            </w:r>
          </w:p>
        </w:tc>
        <w:tc>
          <w:tcPr>
            <w:tcW w:type="dxa" w:w="5669"/>
            <w:shd w:fill="FFFFFF" w:val="clear"/>
          </w:tcPr>
          <w:p>
            <w:r>
              <w:rPr>
                <w:color w:val="282828"/>
                <w:sz w:val="15"/>
              </w:rPr>
              <w:t>Croissance CA vs exercice précédent = 6.21%.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77.58%</w:t>
            </w:r>
          </w:p>
        </w:tc>
        <w:tc>
          <w:tcPr>
            <w:tcW w:type="dxa" w:w="5669"/>
            <w:shd w:fill="FFFFFF" w:val="clear"/>
          </w:tcPr>
          <w:p>
            <w:r>
              <w:rPr>
                <w:color w:val="282828"/>
                <w:sz w:val="15"/>
              </w:rPr>
              <w:t>Fonds propres / total bilan = 77.58%.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22.42%</w:t>
            </w:r>
          </w:p>
        </w:tc>
        <w:tc>
          <w:tcPr>
            <w:tcW w:type="dxa" w:w="5669"/>
            <w:shd w:fill="FFFFFF" w:val="clear"/>
          </w:tcPr>
          <w:p>
            <w:r>
              <w:rPr>
                <w:color w:val="282828"/>
                <w:sz w:val="15"/>
              </w:rPr>
              <w:t>Dettes financières / total bilan = 22.42%.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1.50%</w:t>
            </w:r>
          </w:p>
        </w:tc>
        <w:tc>
          <w:tcPr>
            <w:tcW w:type="dxa" w:w="5669"/>
            <w:shd w:fill="FFFFFF" w:val="clear"/>
          </w:tcPr>
          <w:p>
            <w:r>
              <w:rPr>
                <w:color w:val="282828"/>
                <w:sz w:val="15"/>
              </w:rPr>
              <w:t>Dettes totales / fonds propres = 1.50%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445.93%</w:t>
            </w:r>
          </w:p>
        </w:tc>
        <w:tc>
          <w:tcPr>
            <w:tcW w:type="dxa" w:w="5669"/>
            <w:shd w:fill="FFFFFF" w:val="clear"/>
          </w:tcPr>
          <w:p>
            <w:r>
              <w:rPr>
                <w:color w:val="282828"/>
                <w:sz w:val="15"/>
              </w:rPr>
              <w:t>Total actif / dettes totales = 445.93x.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346.19%</w:t>
            </w:r>
          </w:p>
        </w:tc>
        <w:tc>
          <w:tcPr>
            <w:tcW w:type="dxa" w:w="5669"/>
            <w:shd w:fill="FFFFFF" w:val="clear"/>
          </w:tcPr>
          <w:p>
            <w:r>
              <w:rPr>
                <w:color w:val="282828"/>
                <w:sz w:val="15"/>
              </w:rPr>
              <w:t>Actif circulant / passif circulant = 346.19x.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62.59%</w:t>
            </w:r>
          </w:p>
        </w:tc>
        <w:tc>
          <w:tcPr>
            <w:tcW w:type="dxa" w:w="5669"/>
            <w:shd w:fill="FFFFFF" w:val="clear"/>
          </w:tcPr>
          <w:p>
            <w:r>
              <w:rPr>
                <w:color w:val="282828"/>
                <w:sz w:val="15"/>
              </w:rPr>
              <w:t>Trésorerie / passif circulant = 62.59x.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146.32%</w:t>
            </w:r>
          </w:p>
        </w:tc>
        <w:tc>
          <w:tcPr>
            <w:tcW w:type="dxa" w:w="5669"/>
            <w:shd w:fill="FFFFFF" w:val="clear"/>
          </w:tcPr>
          <w:p>
            <w:r>
              <w:rPr>
                <w:color w:val="282828"/>
                <w:sz w:val="15"/>
              </w:rPr>
              <w:t>(Actif circ. - stocks) / passif circ. = 146.32x.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240.96%</w:t>
            </w:r>
          </w:p>
        </w:tc>
        <w:tc>
          <w:tcPr>
            <w:tcW w:type="dxa" w:w="5669"/>
            <w:shd w:fill="FFFFFF" w:val="clear"/>
          </w:tcPr>
          <w:p>
            <w:r>
              <w:rPr>
                <w:color w:val="282828"/>
                <w:sz w:val="15"/>
              </w:rPr>
              <w:t>Capitaux permanents / actif immobilisé = 240.96x.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0.4 ans</w:t>
            </w:r>
          </w:p>
        </w:tc>
        <w:tc>
          <w:tcPr>
            <w:tcW w:type="dxa" w:w="5669"/>
            <w:shd w:fill="FFFFFF" w:val="clear"/>
          </w:tcPr>
          <w:p>
            <w:r>
              <w:rPr>
                <w:color w:val="282828"/>
                <w:sz w:val="15"/>
              </w:rPr>
              <w:t>Dettes financières / CAF = 0.4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B40000"/>
                <w:sz w:val="17"/>
              </w:rPr>
              <w:t>-1249.16%</w:t>
            </w:r>
          </w:p>
        </w:tc>
        <w:tc>
          <w:tcPr>
            <w:tcW w:type="dxa" w:w="5669"/>
            <w:shd w:fill="FFFFFF" w:val="clear"/>
          </w:tcPr>
          <w:p>
            <w:r>
              <w:rPr>
                <w:color w:val="282828"/>
                <w:sz w:val="15"/>
              </w:rPr>
              <w:t>Résultat exploit. / charges financières = -1249.16x. ❌ L'exploitation ne couvre pas les charges financières.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789.90%</w:t>
            </w:r>
          </w:p>
        </w:tc>
        <w:tc>
          <w:tcPr>
            <w:tcW w:type="dxa" w:w="5669"/>
            <w:shd w:fill="FFFFFF" w:val="clear"/>
          </w:tcPr>
          <w:p>
            <w:r>
              <w:rPr>
                <w:color w:val="282828"/>
                <w:sz w:val="15"/>
              </w:rPr>
              <w:t>CAF / investissements = 789.90x.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45.8 j</w:t>
            </w:r>
          </w:p>
        </w:tc>
        <w:tc>
          <w:tcPr>
            <w:tcW w:type="dxa" w:w="5669"/>
            <w:shd w:fill="FFFFFF" w:val="clear"/>
          </w:tcPr>
          <w:p>
            <w:r>
              <w:rPr>
                <w:color w:val="282828"/>
                <w:sz w:val="15"/>
              </w:rPr>
              <w:t>Les clients paient en moyenne en 46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102.4 j</w:t>
            </w:r>
          </w:p>
        </w:tc>
        <w:tc>
          <w:tcPr>
            <w:tcW w:type="dxa" w:w="5669"/>
            <w:shd w:fill="FFFFFF" w:val="clear"/>
          </w:tcPr>
          <w:p>
            <w:r>
              <w:rPr>
                <w:color w:val="282828"/>
                <w:sz w:val="15"/>
              </w:rPr>
              <w:t>Paiement des fournisseurs en 102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325.0 j</w:t>
            </w:r>
          </w:p>
        </w:tc>
        <w:tc>
          <w:tcPr>
            <w:tcW w:type="dxa" w:w="5669"/>
            <w:shd w:fill="FFFFFF" w:val="clear"/>
          </w:tcPr>
          <w:p>
            <w:r>
              <w:rPr>
                <w:color w:val="282828"/>
                <w:sz w:val="15"/>
              </w:rPr>
              <w:t>Stock écoulé en 325 jours. ❌ Stock quasi-bloqué — risque d'obsolescence ou de surstock.</w:t>
            </w:r>
          </w:p>
        </w:tc>
      </w:tr>
    </w:tbl>
    <w:p/>
    <w:p>
      <w:pPr>
        <w:spacing w:after="120" w:line="276" w:lineRule="auto"/>
      </w:pPr>
      <w:r>
        <w:t>**RAPPORT D'ANALYSE FINANCIÈRE — UNIWAX (UNXC)**</w:t>
        <w:br/>
        <w:t>*Bourse Régionale des Valeurs Mobilières (BRVM)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45,23 milliards FCFA, UNIWAX se positionne comme une valeur de taille intermédiaire sur la BRVM, loin des mastodontes bancaires et télécoms mais suffisamment liquide pour intéresser les investisseurs institutionnels régionaux. Le BPA ressort à -30 FCFA/action, traduisant une société encore déficitaire sur l'exercice 2025, ce qui rend le PER de -72,5x non significatif — un ratio négatif qui signale simplement l'absence de bénéfices positifs et non une quelconque cherté. Le P/B de 1,84x indique que le marché valorise l'entreprise à près du double de sa valeur comptable, un niveau raisonnable pour une société en redressement dont les capitaux propres (24,62 Mds FCFA) demeurent solides. En revanche, l'EV/EBITDA de 37,1x apparaît très exigeant — bien au-delà du seuil de 15x généralement considéré comme raisonnable — ce qui traduit une valorisation tendue par rapport à la capacité opérationnelle actuelle, et suggère que le marché anticipe déjà une forte amélioration des marges.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UNXC affiche une progression remarquable de +21,45%, avec une dernière séance en hausse de +1,40%, confirmant une dynamique haussière soutenue. Le cours actuel de 2 180 FCFA se situe dans la partie haute du range de trading, le plus haut ayant atteint 2 495 FCFA contre un plus bas de 1 250 FCFA — soit un écart de près de 100% entre les extrêmes, révélant une amplitude exceptionnelle. La moyenne (2 039 FCFA) se situe au-dessus de la médiane (1 970 FCFA) et du mode (1 970 FCFA), ce qui indique une distribution légèrement asymétrique avec quelques séances de forte hausse tirant la moyenne vers le haut. L'écart-type de 305 FCFA pour un coefficient de variation de 15,0% traduit une dispersion modérée du cours autour de sa moyenne. Le kurtosis de -0,436 (mésokurtique) suggère une distribution proche de la normale, sans risque excessif de pics extrêmes, tandis que le skewness de -0,386 confirme une légère asymétrie négative — les baisses, bien que moins fréquentes, ont été plus amples que les hausses. La volatilité annualisée de 50,1% classe ce titre dans la catégorie des valeurs à volatilité élevée (&gt;30%), ce qui implique un risque de marché significatif mais aussi un potentiel de gain attractif pour les investisseurs avertis.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(2 295 FCFA) et la MM50 (2 277,9 FCFA) se situent toutes deux au-dessus du cours actuel (2 180 FCFA), ce qui place le titre en position de faiblesse relative à court terme. Toutefois, la MM20 étant légèrement supérieure à la MM50, la configuration reste haussière de fond, et la décision « Achat » suggère que le croisement des moyennes pourrait générer un signal positif si le cours venait à les reconquérir.</w:t>
      </w:r>
    </w:p>
    <w:p>
      <w:pPr>
        <w:spacing w:after="120" w:line="276" w:lineRule="auto"/>
      </w:pPr>
      <w:r>
        <w:t>**Bandes de Bollinger :** Le cours actuel (2 180 FCFA) évolue dans la partie basse de la bande, entre la borne inférieure (2 130,747 FCFA) et la borne supérieure (2 459,253 FCFA), sans atteindre les extrêmes. Cette position médiane-basse, combinée à une décision « Neutre », indique une absence de signal fort — le titre n'est ni en surachat ni en survente, et la volatilité actuelle ne justifie pas de mouvement directionnel marqué.</w:t>
      </w:r>
    </w:p>
    <w:p>
      <w:pPr>
        <w:spacing w:after="120" w:line="276" w:lineRule="auto"/>
      </w:pPr>
      <w:r>
        <w:t>**MACD :** La valeur du MACD (-21,991) est nettement inférieure à son signal (4,482), générant une divergence baissière et une décision « Vente ». Cet indicateur révèle un momentum négatif persistant, bien que l'écart entre les deux lignes suggère que la pression baissière pourrait s'atténuer prochainement si le MACD venait à se redresser vers son signal.</w:t>
      </w:r>
    </w:p>
    <w:p>
      <w:pPr>
        <w:spacing w:after="120" w:line="276" w:lineRule="auto"/>
      </w:pPr>
      <w:r>
        <w:t>**RSI :** À 48,438, le RSI se situe parfaitement dans la zone neutre (30-70), confirmant l'absence de surachat ou de survente. La décision « Neutre » associée indique que le titre évolue sans pression acheteuse ou vendeuse dominante, ce qui est cohérent avec la phase de consolidation observée après la forte hausse des 100 derniers jours.</w:t>
      </w:r>
    </w:p>
    <w:p>
      <w:pPr>
        <w:spacing w:after="120" w:line="276" w:lineRule="auto"/>
      </w:pPr>
      <w:r>
        <w:t>**Stochastique :** Avec un %K de 10,169 et un %D de 3,39, le stochastique se situe en zone de survente extrême (&lt;20), et la décision « Achat » suggère qu'un rebond technique est probable à court terme. Le croisement potentiel du %K au-dessus du %D constituerait un signal d'entrée anticipé, bien que la faiblesse actuelle du cours invite à la prudence.</w:t>
      </w:r>
    </w:p>
    <w:p>
      <w:pPr>
        <w:spacing w:after="120" w:line="276" w:lineRule="auto"/>
      </w:pPr>
      <w:r>
        <w:t>**Conclusion technique :** Les indicateurs présentent une divergence notable : les moyennes mobiles et le stochastique plaident pour un achat (survente et configuration haussière de fond), tandis que le MACD et les bandes de Bollinger incitent à la neutralité ou à la vente. Cette configuration mitigée reflète une phase de consolidation après la forte progression récente, avec un potentiel de rebond technique à court terme mais une absence de signal directionnel fort. La prudence reste de mise tant que le cours n'aura pas reconquis la MM20 (2 295 FCFA).</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**Données structurées (exercice 2025) :** En 2025, UNIWAX a réalisé un chiffre d'affaires de 29,032 milliards FCFA, en croissance de 6,21% par rapport à 2024, confirmant la dynamique commerciale positive. Le résultat net reste négatif à -624,11 millions FCFA, mais s'améliore de 71% par rapport à la perte de -2,19 milliards FCFA en 2024. Le ROE s'établit à -2,54% et le ROA à -1,97%, traduisant une rentabilité encore négative mais en voie de redressement. La marge brute de 53,53% demeure solide, tandis que la marge nette de -2,15% et la marge opérationnelle de -1,46% indiquent que l'activité courante n'est pas encore rentable. La structure financière est saine : autonomie financière de 77,58%, ratio d'endettement de seulement 1,50%, et liquidité générale de 346,19%. Le BFR de 11,187 milliards FCFA (positif) et le délai de stockage de 325 jours constituent des points de vigilance, immobilisant du capital. Le délai fournisseurs de 102,43 jours est favorable à la trésorerie, mais le délai clients de 45,80 jours expose à un risque de recouvrement.</w:t>
      </w:r>
    </w:p>
    <w:p>
      <w:pPr>
        <w:spacing w:after="120" w:line="276" w:lineRule="auto"/>
      </w:pPr>
      <w:r>
        <w:t>**Adaptation au secteur (entreprise textile) :** L'analyse des délais d'exploitation révèle une rotation des stocks très lente (325 jours), ce qui pèse sur le besoin en fonds de roulement et la trésorerie. Le BFR positif de 11,187 milliards FCFA absorbe une part significative des ressources, bien que le fonds de roulement (15,001 milliards FCFA) couvre largement ce besoin. La trésorerie nette de 3,813 milliards FCFA reste positive, offrant une marge de manœuvre.</w:t>
      </w:r>
    </w:p>
    <w:p>
      <w:pPr>
        <w:spacing w:after="120" w:line="276" w:lineRule="auto"/>
      </w:pPr>
      <w:r>
        <w:t>**Estimations basées sur les rapports trimestriels :** Le rapport du S1 2026 (publié en 2026) indique un chiffre d'affaires de 15,752 milliards FCFA (+0,3% vs S1 2025) et un résultat d'exploitation redevenu positif à 771 millions FCFA, contre une perte de 314 millions FCFA au S1 2025 — une amélioration de 345,4%. Le résultat net du S1 2026 s'établit à 771 millions FCFA, contre 8,216 milliards FCFA au S1 2025 (ce dernier incluant une plus-value exceptionnelle de cession de près de 10 milliards FCFA). Sur la base de ces données, on estime que l'exercice 2026 devrait confirmer le retour à une rentabilité opérationnelle positive, avec un résultat net annuel attendu entre 1,5 et 2 milliards FCFA, hors éléments exceptionnels. Le rapport du T3 2025 (daté du 30/09/2025) confirme cette tendance : le résultat des activités ordinaires reste négatif à -371 millions FCFA sur neuf mois, mais la direction annonce l'absence de perte au T3 seul, suggérant une inflexion vers l'équilibre. Le rapport annuel 2025 (publié en 2025) souligne que le désendettement vis-à-vis des fournisseurs (14,9 Mds ramenés à 5,0 Mds) a été financé par des cessions d'immobilisations pour +10,5 milliards FCFA, ce qui a assaini la structure financière mais reste non récurrent.</w:t>
      </w:r>
    </w:p>
    <w:p>
      <w:pPr>
        <w:spacing w:after="120" w:line="276" w:lineRule="auto"/>
      </w:pPr>
      <w:r>
        <w:t>**Évolution pluriannuelle :** Entre 2021 et 2025, le chiffre d'affaires est passé de 38,2 milliards FCFA à 29,03 milliards FCFA, soit une contraction de 24%, reflétant les difficultés du secteur textile ivoirien. Cependant, la reprise amorcée en 2024 (+15,4% de CA) et confirmée en 2025 (+6,2%) témoigne d'un redressement progressif. La perte nette a été réduite de 2,19 milliards FCFA en 2024 à 624 millions FCFA en 2025, et le S1 2026 affiche un retour à la profitabilité opérationnelle.</w:t>
      </w:r>
    </w:p>
    <w:p>
      <w:pPr>
        <w:spacing w:after="120" w:line="276" w:lineRule="auto"/>
      </w:pPr>
      <w:r>
        <w:t>**Recommandation fondamentale :** La société présente une solidité financière indéniable (capitaux propres de 24,62 Mds FCFA, endettement quasi nul) et un redressement opérationnel réel, mais la rentabilité reste fragile et dépendante d'éléments non récurrents. Les risques incluent la volatilité des marchés d'exportation (Nigeria, Guinée), la concurrence des importations asiatiques, et la lenteur de la rotation des stocks. La perspective d'un retour durable à la rentabilité constitue le principal catalyseur, mais la prudence reste de mise.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(Partie 0) présente un profil contrasté : le P/B de 1,84x est raisonnable, mais l'EV/EBITDA de 37,1x et le PER négatif traduisent une valorisation tendue par rapport aux bénéfices actuels, le marché anticipant déjà une forte amélioration. Le comportement du cours (Partie 1) est haussier sur 100 jours (+21,45%) avec une volatilité élevée (50,1%), une distribution proche de la normale (kurtosis -0,436) et une légère asymétrie négative (skewness -0,386), ce qui suggère un potentiel de hausse mais aussi un risque de correction. Les signaux techniques (Partie 2) sont mitigés : le stochastique en survente et les moyennes mobiles haussières plaident pour un rebond, mais le MACD baissier et la position neutre du RSI et des bandes de Bollinger incitent à la prudence. Les fondamentaux (Partie 3) montrent un redressement réel — CA en hausse de 6,2% en 2025, perte réduite de 71%, retour à une profitabilité opérationnelle au S1 2026 (771 millions FCFA) — mais la rentabilité reste fragile et dépendante d'éléments non récurrents. Les prédictions IA (J+1 à J+10) anticipent une baisse progressive de 2 151 FCFA à 2 104 FCFA, ce qui contredit les signaux haussiers des moyennes mobiles et du stochastique, mais s'aligne sur le momentum négatif du MACD.</w:t>
      </w:r>
    </w:p>
    <w:p>
      <w:pPr>
        <w:spacing w:after="120" w:line="276" w:lineRule="auto"/>
      </w:pPr>
      <w:r>
        <w:t>**Synthèse globale :** La convergence entre la valorisation tendue, le momentum technique mitigé et les prédictions baissières à court terme suggère une phase de consolidation, tandis que les fondamentaux en amélioration et la solidité financière offrent un potentiel de moyen terme. La divergence entre les signaux techniques (achat sur stochastique, vente sur MACD) et les prédictions IA (baissières) crée une incertitude qui justifie une approche prudente.</w:t>
      </w:r>
    </w:p>
    <w:p>
      <w:pPr>
        <w:spacing w:after="120" w:line="276" w:lineRule="auto"/>
      </w:pPr>
      <w:r>
        <w:t>**Recommandation finale : CONSERVER**</w:t>
        <w:br/>
        <w:t>**Justification :** Le titre présente un profil de redressement crédible avec des fondamentaux en amélioration, mais la valorisation tendue (EV/EBITDA 37,1x) et les prédictions baissières à court terme invitent à ne pas renforcer la position. Les investisseurs déjà présents peuvent conserver en attendant la confirmation d'une rentabilité durable, tandis que les nouveaux entrants devraient attendre un repli vers 2 000-2 100 FCFA pour se positionner.</w:t>
        <w:br/>
        <w:t>**Niveau de confiance :** Moyen — les signaux sont divergents entre technique, fondamental et prédictions.</w:t>
        <w:br/>
        <w:t>**Niveau de risque global :** Élevé — volatilité de 50,1%, dépendance aux éléments non récurrents, et incertitude sur la durabilité de la reprise.</w:t>
        <w:br/>
        <w:t>**Horizon d'investissement optimal :** Moyen terme (3-12 mois), le temps que la rentabilité opérationnelle se confirme et que la valorisation s'ajuste aux bénéfices récurrents.</w:t>
      </w:r>
    </w:p>
    <w:p>
      <w:pPr>
        <w:spacing w:after="120" w:line="276" w:lineRule="auto"/>
      </w:pPr>
      <w:r>
        <w:t>---</w:t>
      </w:r>
    </w:p>
    <w:p>
      <w:pPr>
        <w:spacing w:after="120" w:line="276" w:lineRule="auto"/>
      </w:pPr>
      <w:r>
        <w:t>*Rapport généré le 15 octobre 2026 — Sources : BRVM, états financiers UNIWAX 2021-2025, rapports trimestriels T1/T3 2025 et S1 2026.*</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 retour \u00e0 une rentabilit\u00e9 op\u00e9rationnelle positive et les perspectives de croissance sur les march\u00e9s d'exportation sont des signaux forts. Malgr\u00e9 une croissance mod\u00e9r\u00e9e du chiffre d'affaires, l'am\u00e9lioration de la performance industrielle et la ma\u00eetrise des co\u00fbts justifient une position acheteur."}</w:t>
      </w:r>
    </w:p>
    <w:p>
      <w:pPr>
        <w:spacing w:before="40"/>
        <w:ind w:left="400"/>
      </w:pPr>
      <w:r>
        <w:rPr>
          <w:sz w:val="18"/>
        </w:rPr>
        <w:t>Au premier semestre 2026, Uniwax a réalisé un chiffre d'affaires de 15,752 milliards FCFA, en hausse de 0,3% par rapport à la même période en 2025. Le résultat d'exploitation est redevenu positif à 771 millions FCFA, contre une perte de 314 millions FCFA l'année précédente. Le résultat net s'établit à 771 millions FCFA, contre 8,2 milliards FCFA au S1 2025, ce dernier ayant bénéficié d'une importante plus-value de cession. La société a amélioré son résultat financier de 59,3% grâce à une meilleure gestion des charges financières. Les perspectives pour 2026 sont optimistes, avec une croissance soutenue par les marchés d'exportation et des efforts continus d'optimisation.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{'resultat_financier_S1_2026': '-6 439 673 FCFA', 'variation_chiffre_affaires': '0,3%', 'resultat_exploitation_S1_2026': '771 219 139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771 279 466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15 752 453 379 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semestriel s'établit à 15 752 millions FCFA, en légère hausse de 0,3% par rapport au S1 2025.</w:t>
      </w:r>
    </w:p>
    <w:p>
      <w:pPr>
        <w:pStyle w:val="ListBullet"/>
        <w:spacing w:before="20" w:after="20"/>
        <w:ind w:left="700"/>
      </w:pPr>
      <w:r>
        <w:rPr>
          <w:sz w:val="18"/>
        </w:rPr>
        <w:t>Le résultat d'exploitation est redevenu positif à 771 millions FCFA, contre une perte de 314 millions FCFA au S1 2025, soit une amélioration de 345,4%.</w:t>
      </w:r>
    </w:p>
    <w:p>
      <w:pPr>
        <w:pStyle w:val="ListBullet"/>
        <w:spacing w:before="20" w:after="20"/>
        <w:ind w:left="700"/>
      </w:pPr>
      <w:r>
        <w:rPr>
          <w:sz w:val="18"/>
        </w:rPr>
        <w:t>Le résultat net du S1 2026 est de 771 millions FCFA, contre 8 216 millions FCFA au S1 2025, mais ce dernier incluait une plus-value de cession exceptionnelle de près de 10 milliards FCFA.</w:t>
      </w:r>
    </w:p>
    <w:p>
      <w:pPr>
        <w:pStyle w:val="ListBullet"/>
        <w:spacing w:before="20" w:after="20"/>
        <w:ind w:left="700"/>
      </w:pPr>
      <w:r>
        <w:rPr>
          <w:sz w:val="18"/>
        </w:rPr>
        <w:t>Le résultat financier s'améliore de 59,3% grâce à une meilleure structuration des charges financières et des conditions bancaires.</w:t>
      </w:r>
    </w:p>
    <w:p>
      <w:pPr>
        <w:pStyle w:val="ListBullet"/>
        <w:spacing w:before="20" w:after="20"/>
        <w:ind w:left="700"/>
      </w:pPr>
      <w:r>
        <w:rPr>
          <w:sz w:val="18"/>
        </w:rPr>
        <w:t>L'impôt sur le résultat reste limité à l'IMF (35 millions FCFA) grâce à l'utilisation des Amortissements Réputés Différés.</w:t>
      </w:r>
    </w:p>
    <w:p>
      <w:pPr>
        <w:pStyle w:val="ListBullet"/>
        <w:spacing w:before="20" w:after="20"/>
        <w:ind w:left="700"/>
      </w:pPr>
      <w:r>
        <w:rPr>
          <w:sz w:val="18"/>
        </w:rPr>
        <w:t>La plus-value de cession au S1 2025 n'a pas été impactée par l'Article 28, contrairement à ce qui aurait été le cas en 2026.</w:t>
      </w:r>
    </w:p>
    <w:p>
      <w:pPr>
        <w:spacing w:before="40"/>
        <w:ind w:left="400"/>
      </w:pPr>
      <w:r>
        <w:rPr>
          <w:b/>
          <w:color w:val="C05000"/>
          <w:sz w:val="18"/>
        </w:rPr>
        <w:t xml:space="preserve">⚠️ Risques : </w:t>
      </w:r>
      <w:r>
        <w:rPr>
          <w:sz w:val="18"/>
        </w:rPr>
        <w:t>["Volatilit\u00e9 des march\u00e9s d'exportation (Nigeria, Guin\u00e9e) sur lesquels la croissance est concentr\u00e9e.", "Impact potentiel de l'Article 28 sur les plus-values de cession futures, r\u00e9duisant les r\u00e9sultats exceptionnels.", "Persistance d'un environnement concurrentiel intense</w:t>
      </w:r>
    </w:p>
    <w:p>
      <w:pPr>
        <w:spacing w:before="40"/>
        <w:ind w:left="400"/>
      </w:pPr>
      <w:r>
        <w:rPr>
          <w:b/>
          <w:color w:val="0064A0"/>
          <w:sz w:val="18"/>
        </w:rPr>
        <w:t xml:space="preserve">🔮 Perspectives : </w:t>
      </w:r>
      <w:r>
        <w:rPr>
          <w:sz w:val="18"/>
        </w:rPr>
        <w:t>Pour 2026, Uniwax entend confirmer sa croissance grâce à l'amélioration des conditions du marché et à la performance de l'usine. Les efforts porteront sur l'expansion à l'export (Nigeria, Guinée), l'optimisation de la production, l'amélioration de l'assortiment et l'approvisionnement local.</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"Redressement opérationnel réel (EBE positif, perte divisée par 3,5) mais société encore déficitaire, avec un désendettement financé par des cessions d'actifs non récurrentes. Prudence jusqu'à confirmation du retour à l'équilibre."}</w:t>
      </w:r>
    </w:p>
    <w:p>
      <w:pPr>
        <w:spacing w:before="40"/>
        <w:ind w:left="400"/>
      </w:pPr>
      <w:r>
        <w:rPr>
          <w:sz w:val="18"/>
        </w:rPr>
        <w:t>UNIWAX poursuit un redressement marqué sur l'exercice 2025. Le chiffre d'affaires progresse à 29,03 milliards FCFA (+6,2 %) et l'excédent brut d'exploitation redevient positif à 1,13 milliard (contre -0,35 milliard en 2024). La perte nette est divisée par environ 3,5, à -624 millions FCFA contre -2,19 milliards l'an dernier. Le désendettement vis-à-vis des fournisseurs (14,9 Md ramenés à 5,0 Md) a été financé par des cessions d'immobilisations (terrains et bâtiments) pour +10,5 milliards, ce qui a redressé la trésorerie mais reste non récurrent. La société n'est pas encore revenue à l'équilibre malgré une trajectoire opérationnelle nettement améliorée.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'904 millions FCFA', 'resultat_exploitation': '-424 millions FCFA', 'excedent_brut_exploitation': '1,13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-2,15 %</w:t>
            </w:r>
          </w:p>
        </w:tc>
        <w:tc>
          <w:tcPr>
            <w:tcW w:type="dxa" w:w="2160"/>
          </w:tcPr>
          <w:p>
            <w:pPr>
              <w:ind w:left="100"/>
            </w:pPr>
            <w:r/>
            <w:r>
              <w:rPr>
                <w:b/>
                <w:sz w:val="16"/>
              </w:rPr>
              <w:t>total_actif</w:t>
              <w:br/>
            </w:r>
            <w:r>
              <w:rPr>
                <w:sz w:val="18"/>
              </w:rPr>
              <w:t>31,74 milliards FCFA</w:t>
            </w:r>
          </w:p>
        </w:tc>
      </w:tr>
      <w:tr>
        <w:tc>
          <w:tcPr>
            <w:tcW w:type="dxa" w:w="2160"/>
          </w:tcPr>
          <w:p>
            <w:r/>
            <w:r>
              <w:rPr>
                <w:b/>
                <w:sz w:val="16"/>
              </w:rPr>
              <w:t>resultat_net</w:t>
              <w:br/>
            </w:r>
            <w:r>
              <w:rPr>
                <w:sz w:val="18"/>
              </w:rPr>
              <w:t>-624 millions FCFA (perte)</w:t>
            </w:r>
          </w:p>
        </w:tc>
        <w:tc>
          <w:tcPr>
            <w:tcW w:type="dxa" w:w="2160"/>
          </w:tcPr>
          <w:p>
            <w:r/>
            <w:r>
              <w:rPr>
                <w:b/>
                <w:sz w:val="16"/>
              </w:rPr>
              <w:t>capitaux_propres</w:t>
              <w:br/>
            </w:r>
            <w:r>
              <w:rPr>
                <w:sz w:val="18"/>
              </w:rPr>
              <w:t>24,62 milliards FCFA</w:t>
            </w:r>
          </w:p>
        </w:tc>
        <w:tc>
          <w:tcPr>
            <w:tcW w:type="dxa" w:w="2160"/>
          </w:tcPr>
          <w:p>
            <w:r/>
            <w:r>
              <w:rPr>
                <w:b/>
                <w:sz w:val="16"/>
              </w:rPr>
              <w:t>chiffre_affaires</w:t>
              <w:br/>
            </w:r>
            <w:r>
              <w:rPr>
                <w:sz w:val="18"/>
              </w:rPr>
              <w:t>29,03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29,03 Md FCFA, en hausse de 6,2 %</w:t>
      </w:r>
    </w:p>
    <w:p>
      <w:pPr>
        <w:pStyle w:val="ListBullet"/>
        <w:spacing w:before="20" w:after="20"/>
        <w:ind w:left="700"/>
      </w:pPr>
      <w:r>
        <w:rPr>
          <w:sz w:val="18"/>
        </w:rPr>
        <w:t>EBE redevenu positif à 1,13 Md FCFA (contre -0,35 Md en 2024)</w:t>
      </w:r>
    </w:p>
    <w:p>
      <w:pPr>
        <w:pStyle w:val="ListBullet"/>
        <w:spacing w:before="20" w:after="20"/>
        <w:ind w:left="700"/>
      </w:pPr>
      <w:r>
        <w:rPr>
          <w:sz w:val="18"/>
        </w:rPr>
        <w:t>Perte nette réduite de 71 % : -624 M FCFA contre -2,19 Md</w:t>
      </w:r>
    </w:p>
    <w:p>
      <w:pPr>
        <w:pStyle w:val="ListBullet"/>
        <w:spacing w:before="20" w:after="20"/>
        <w:ind w:left="700"/>
      </w:pPr>
      <w:r>
        <w:rPr>
          <w:sz w:val="18"/>
        </w:rPr>
        <w:t>Report à nouveau négatif et croissant : -5,54 Md (pertes cumulées)</w:t>
      </w:r>
    </w:p>
    <w:p>
      <w:pPr>
        <w:pStyle w:val="ListBullet"/>
        <w:spacing w:before="20" w:after="20"/>
        <w:ind w:left="700"/>
      </w:pPr>
      <w:r>
        <w:rPr>
          <w:sz w:val="18"/>
        </w:rPr>
        <w:t>Cessions d'actifs (terrains/bâtiments) pour +10,5 Md, non récurrentes</w:t>
      </w:r>
    </w:p>
    <w:p>
      <w:pPr>
        <w:pStyle w:val="ListBullet"/>
        <w:spacing w:before="20" w:after="20"/>
        <w:ind w:left="700"/>
      </w:pPr>
      <w:r>
        <w:rPr>
          <w:sz w:val="18"/>
        </w:rPr>
        <w:t>Dettes fournisseurs ramenées de 14,9 Md à 5,0 Md</w:t>
      </w:r>
    </w:p>
    <w:p>
      <w:pPr>
        <w:spacing w:before="40"/>
        <w:ind w:left="400"/>
      </w:pPr>
      <w:r>
        <w:rPr>
          <w:b/>
          <w:color w:val="C05000"/>
          <w:sz w:val="18"/>
        </w:rPr>
        <w:t xml:space="preserve">⚠️ Risques : </w:t>
      </w:r>
      <w:r>
        <w:rPr>
          <w:sz w:val="18"/>
        </w:rPr>
        <w:t>["Résultat net encore négatif et pertes cumulées croissantes (-5,54 Md)", "Flux de trésorerie opérationnel négatif (-8,12 Md), redressement porté par des cessions d'actifs", "Capitaux propres soutenus par des provisions réglementées (9,65 Md) — qualité à surveiller", "Contraction du total de bilan (</w:t>
      </w:r>
    </w:p>
    <w:p>
      <w:pPr>
        <w:spacing w:before="40"/>
        <w:ind w:left="400"/>
      </w:pPr>
      <w:r>
        <w:rPr>
          <w:b/>
          <w:color w:val="0064A0"/>
          <w:sz w:val="18"/>
        </w:rPr>
        <w:t xml:space="preserve">🔮 Perspectives : </w:t>
      </w:r>
      <w:r>
        <w:rPr>
          <w:sz w:val="18"/>
        </w:rPr>
        <w:t>Le retour de l'EBE en territoire positif et la forte réduction de la perte dessinent une trajectoire de redressement. Un retour à l'équilibre est envisageable si la dynamique commerciale se confirme et les charges restent maîtrisées, mais la dépendance aux cessions d'actifs pour assainir le bilan de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multipli\u00e9e par 6 et une politique de dividende tr\u00e8s attractive. La solidit\u00e9 du bilan et la forte g\u00e9n\u00e9ration de cash-flow offrent de bonnes perspectives de croissance."}</w:t>
      </w:r>
    </w:p>
    <w:p>
      <w:pPr>
        <w:spacing w:before="40"/>
        <w:ind w:left="400"/>
      </w:pPr>
      <w:r>
        <w:rPr>
          <w:sz w:val="18"/>
        </w:rPr>
        <w:t>UNIWAX S.A, société ivoirienne spécialisée dans la production textile, affiche une performance remarquable en 2021 avec un chiffre d'affaires de 38,2 milliards FCFA contre 34,9 milliards en 2020, soit une croissance de 9,4%. Le résultat net a explosé de 505% passant de 231 millions FCFA à 1,4 milliard FCFA, témoignant d'une amélioration significative de la rentabilité. La société propose un dividende généreux de 1,4 milliard FCFA, représentant pratiquement 100% du résultat net. Le total du bilan s'établit à 37,3 milliards FCFA avec des capitaux propres solides de 22,5 milliards FCFA. La trésorerie nette positive et la capacité d'autofinancement de 3,4 milliards FCFA renforcent la solidité fi</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'9,56 milliards FCFA', 'tresorerie_nette': '2,42 milliards FCFA', 'capacite_autofinancement': '3,43 milliards FCFA', 'excedent_brut_exploitation': '4,04 milliards FCFA'}</w:t>
            </w:r>
          </w:p>
        </w:tc>
        <w:tc>
          <w:tcPr>
            <w:tcW w:type="dxa" w:w="2160"/>
          </w:tcPr>
          <w:p>
            <w:pPr>
              <w:ind w:left="100"/>
            </w:pPr>
            <w:r/>
            <w:r>
              <w:rPr>
                <w:b/>
                <w:sz w:val="16"/>
              </w:rPr>
              <w:t>dividende</w:t>
              <w:br/>
            </w:r>
            <w:r>
              <w:rPr>
                <w:sz w:val="18"/>
              </w:rPr>
              <w:t>1,40 milliard FCFA</w:t>
            </w:r>
          </w:p>
        </w:tc>
        <w:tc>
          <w:tcPr>
            <w:tcW w:type="dxa" w:w="2160"/>
          </w:tcPr>
          <w:p>
            <w:pPr>
              <w:ind w:left="100"/>
            </w:pPr>
            <w:r/>
            <w:r>
              <w:rPr>
                <w:b/>
                <w:sz w:val="16"/>
              </w:rPr>
              <w:t>marge_nette</w:t>
              <w:br/>
            </w:r>
            <w:r>
              <w:rPr>
                <w:sz w:val="18"/>
              </w:rPr>
              <w:t>3,7%</w:t>
            </w:r>
          </w:p>
        </w:tc>
        <w:tc>
          <w:tcPr>
            <w:tcW w:type="dxa" w:w="2160"/>
          </w:tcPr>
          <w:p>
            <w:pPr>
              <w:ind w:left="100"/>
            </w:pPr>
            <w:r/>
            <w:r>
              <w:rPr>
                <w:b/>
                <w:sz w:val="16"/>
              </w:rPr>
              <w:t>total_actif</w:t>
              <w:br/>
            </w:r>
            <w:r>
              <w:rPr>
                <w:sz w:val="18"/>
              </w:rPr>
              <w:t>37,29 milliards FCFA</w:t>
            </w:r>
          </w:p>
        </w:tc>
      </w:tr>
      <w:tr>
        <w:tc>
          <w:tcPr>
            <w:tcW w:type="dxa" w:w="2160"/>
          </w:tcPr>
          <w:p>
            <w:r/>
            <w:r>
              <w:rPr>
                <w:b/>
                <w:sz w:val="16"/>
              </w:rPr>
              <w:t>resultat_net</w:t>
              <w:br/>
            </w:r>
            <w:r>
              <w:rPr>
                <w:sz w:val="18"/>
              </w:rPr>
              <w:t>1,40 milliard FCFA</w:t>
            </w:r>
          </w:p>
        </w:tc>
        <w:tc>
          <w:tcPr>
            <w:tcW w:type="dxa" w:w="2160"/>
          </w:tcPr>
          <w:p>
            <w:r/>
            <w:r>
              <w:rPr>
                <w:b/>
                <w:sz w:val="16"/>
              </w:rPr>
              <w:t>capitaux_propres</w:t>
              <w:br/>
            </w:r>
            <w:r>
              <w:rPr>
                <w:sz w:val="18"/>
              </w:rPr>
              <w:t>22,52 milliards FCFA</w:t>
            </w:r>
          </w:p>
        </w:tc>
        <w:tc>
          <w:tcPr>
            <w:tcW w:type="dxa" w:w="2160"/>
          </w:tcPr>
          <w:p>
            <w:r/>
            <w:r>
              <w:rPr>
                <w:b/>
                <w:sz w:val="16"/>
              </w:rPr>
              <w:t>chiffre_affaires</w:t>
              <w:br/>
            </w:r>
            <w:r>
              <w:rPr>
                <w:sz w:val="18"/>
              </w:rPr>
              <w:t>38,19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9,4% à 38,2 milliards FCFA en 2021</w:t>
      </w:r>
    </w:p>
    <w:p>
      <w:pPr>
        <w:pStyle w:val="ListBullet"/>
        <w:spacing w:before="20" w:after="20"/>
        <w:ind w:left="700"/>
      </w:pPr>
      <w:r>
        <w:rPr>
          <w:sz w:val="18"/>
        </w:rPr>
        <w:t>Explosion du résultat net de 505% à 1,4 milliard FCFA contre 231 millions en 2020</w:t>
      </w:r>
    </w:p>
    <w:p>
      <w:pPr>
        <w:pStyle w:val="ListBullet"/>
        <w:spacing w:before="20" w:after="20"/>
        <w:ind w:left="700"/>
      </w:pPr>
      <w:r>
        <w:rPr>
          <w:sz w:val="18"/>
        </w:rPr>
        <w:t>Amélioration spectaculaire de la marge nette de 0,7% à 3,7%</w:t>
      </w:r>
    </w:p>
    <w:p>
      <w:pPr>
        <w:pStyle w:val="ListBullet"/>
        <w:spacing w:before="20" w:after="20"/>
        <w:ind w:left="700"/>
      </w:pPr>
      <w:r>
        <w:rPr>
          <w:sz w:val="18"/>
        </w:rPr>
        <w:t>Distribution d'un dividende exceptionnel de 1,4 milliard FCFA (quasi-totalité du bénéfice)</w:t>
      </w:r>
    </w:p>
    <w:p>
      <w:pPr>
        <w:pStyle w:val="ListBullet"/>
        <w:spacing w:before="20" w:after="20"/>
        <w:ind w:left="700"/>
      </w:pPr>
      <w:r>
        <w:rPr>
          <w:sz w:val="18"/>
        </w:rPr>
        <w:t>Capacité d'autofinancement solide de 3,4 milliards FCFA</w:t>
      </w:r>
    </w:p>
    <w:p>
      <w:pPr>
        <w:pStyle w:val="ListBullet"/>
        <w:spacing w:before="20" w:after="20"/>
        <w:ind w:left="700"/>
      </w:pPr>
      <w:r>
        <w:rPr>
          <w:sz w:val="18"/>
        </w:rPr>
        <w:t>Trésorerie positive de 2,4 milliards FCFA en amélioration</w:t>
      </w:r>
    </w:p>
    <w:p>
      <w:pPr>
        <w:spacing w:before="40"/>
        <w:ind w:left="400"/>
      </w:pPr>
      <w:r>
        <w:rPr>
          <w:b/>
          <w:color w:val="C05000"/>
          <w:sz w:val="18"/>
        </w:rPr>
        <w:t xml:space="preserve">⚠️ Risques : </w:t>
      </w:r>
      <w:r>
        <w:rPr>
          <w:sz w:val="18"/>
        </w:rPr>
        <w:t>["Distribution de la quasi-totalit\u00e9 du b\u00e9n\u00e9fice en dividende limite les capacit\u00e9s de r\u00e9investissement", "Exposition aux fluctuations des cours des mati\u00e8res premi\u00e8res textiles", "D\u00e9pendance au march\u00e9 local et r\u00e9gional avec risques g\u00e9opolitiques e</w:t>
      </w:r>
    </w:p>
    <w:p>
      <w:pPr>
        <w:spacing w:before="40"/>
        <w:ind w:left="400"/>
      </w:pPr>
      <w:r>
        <w:rPr>
          <w:b/>
          <w:color w:val="0064A0"/>
          <w:sz w:val="18"/>
        </w:rPr>
        <w:t xml:space="preserve">🔮 Perspectives : </w:t>
      </w:r>
      <w:r>
        <w:rPr>
          <w:sz w:val="18"/>
        </w:rPr>
        <w:t>Les fondamentaux solides et la forte amélioration opérationnelle laissent présager une poursuite de la croissance rentable en 2022. La société devra néanmoins équilibrer sa politique de distribution avec les besoins de financement de sa croissance.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pr\u00e9sente une transformation remarquable avec une rentabilit\u00e9 multipli\u00e9e par 6 et des fondamentaux solides. La forte g\u00e9n\u00e9ration de cash-flow et la reprise des dividendes confirment la cr\u00e9ation de valeur pour les actionnaires."}</w:t>
      </w:r>
    </w:p>
    <w:p>
      <w:pPr>
        <w:spacing w:before="40"/>
        <w:ind w:left="400"/>
      </w:pPr>
      <w:r>
        <w:rPr>
          <w:sz w:val="18"/>
        </w:rPr>
        <w:t>UNIWAX S.A affiche une performance exceptionnelle en 2021 avec un chiffre d'affaires en hausse de 9,4% à 38,19 milliards FCFA et un résultat net multiplié par 6 à 1,40 milliard FCFA. La rentabilité s'améliore drastiquement avec une marge nette passant de 0,7% à 3,7%. L'entreprise renforce sa structure financière avec des capitaux propres de 22,5 milliards FCFA et maintient une trésorerie positive de 2,42 milliards FCFA. La capacité d'autofinancement globale atteint 3,43 milliards FCFA, témoignant d'une génération de cash-flow robuste. Cette performance solide permet la distribution de dividendes après une absence en 2020.</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'9 558 784 245 FCFA', 'tresorerie_nette': '2 424 850 873 FCFA', 'capacite_autofinancement': '3 432 348 592 FCFA', 'excedent_brut_exploitation': '4 035 272 434 FCFA'}</w:t>
            </w:r>
          </w:p>
        </w:tc>
        <w:tc>
          <w:tcPr>
            <w:tcW w:type="dxa" w:w="2160"/>
          </w:tcPr>
          <w:p>
            <w:pPr>
              <w:ind w:left="100"/>
            </w:pPr>
            <w:r/>
            <w:r>
              <w:rPr>
                <w:b/>
                <w:sz w:val="16"/>
              </w:rPr>
              <w:t>dividende</w:t>
              <w:br/>
            </w:r>
            <w:r>
              <w:rPr>
                <w:sz w:val="18"/>
              </w:rPr>
              <w:t>414 479 350 FCFA au total</w:t>
            </w:r>
          </w:p>
        </w:tc>
        <w:tc>
          <w:tcPr>
            <w:tcW w:type="dxa" w:w="2160"/>
          </w:tcPr>
          <w:p>
            <w:pPr>
              <w:ind w:left="100"/>
            </w:pPr>
            <w:r/>
            <w:r>
              <w:rPr>
                <w:b/>
                <w:sz w:val="16"/>
              </w:rPr>
              <w:t>marge_nette</w:t>
              <w:br/>
            </w:r>
            <w:r>
              <w:rPr>
                <w:sz w:val="18"/>
              </w:rPr>
              <w:t>3,67%</w:t>
            </w:r>
          </w:p>
        </w:tc>
        <w:tc>
          <w:tcPr>
            <w:tcW w:type="dxa" w:w="2160"/>
          </w:tcPr>
          <w:p>
            <w:pPr>
              <w:ind w:left="100"/>
            </w:pPr>
            <w:r/>
            <w:r>
              <w:rPr>
                <w:b/>
                <w:sz w:val="16"/>
              </w:rPr>
              <w:t>total_actif</w:t>
              <w:br/>
            </w:r>
            <w:r>
              <w:rPr>
                <w:sz w:val="18"/>
              </w:rPr>
              <w:t>37 292 681 535 FCFA</w:t>
            </w:r>
          </w:p>
        </w:tc>
      </w:tr>
      <w:tr>
        <w:tc>
          <w:tcPr>
            <w:tcW w:type="dxa" w:w="2160"/>
          </w:tcPr>
          <w:p>
            <w:r/>
            <w:r>
              <w:rPr>
                <w:b/>
                <w:sz w:val="16"/>
              </w:rPr>
              <w:t>resultat_net</w:t>
              <w:br/>
            </w:r>
            <w:r>
              <w:rPr>
                <w:sz w:val="18"/>
              </w:rPr>
              <w:t>1 400 692 889 FCFA</w:t>
            </w:r>
          </w:p>
        </w:tc>
        <w:tc>
          <w:tcPr>
            <w:tcW w:type="dxa" w:w="2160"/>
          </w:tcPr>
          <w:p>
            <w:r/>
            <w:r>
              <w:rPr>
                <w:b/>
                <w:sz w:val="16"/>
              </w:rPr>
              <w:t>capitaux_propres</w:t>
              <w:br/>
            </w:r>
            <w:r>
              <w:rPr>
                <w:sz w:val="18"/>
              </w:rPr>
              <w:t>22 523 379 487 FCFA</w:t>
            </w:r>
          </w:p>
        </w:tc>
        <w:tc>
          <w:tcPr>
            <w:tcW w:type="dxa" w:w="2160"/>
          </w:tcPr>
          <w:p>
            <w:r/>
            <w:r>
              <w:rPr>
                <w:b/>
                <w:sz w:val="16"/>
              </w:rPr>
              <w:t>chiffre_affaires</w:t>
              <w:br/>
            </w:r>
            <w:r>
              <w:rPr>
                <w:sz w:val="18"/>
              </w:rPr>
              <w:t>38 191 193 639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de 9,4% à 38,19 milliards FCFA</w:t>
      </w:r>
    </w:p>
    <w:p>
      <w:pPr>
        <w:pStyle w:val="ListBullet"/>
        <w:spacing w:before="20" w:after="20"/>
        <w:ind w:left="700"/>
      </w:pPr>
      <w:r>
        <w:rPr>
          <w:sz w:val="18"/>
        </w:rPr>
        <w:t>Explosion du résultat net multiplié par 6 à 1,40 milliard FCFA</w:t>
      </w:r>
    </w:p>
    <w:p>
      <w:pPr>
        <w:pStyle w:val="ListBullet"/>
        <w:spacing w:before="20" w:after="20"/>
        <w:ind w:left="700"/>
      </w:pPr>
      <w:r>
        <w:rPr>
          <w:sz w:val="18"/>
        </w:rPr>
        <w:t>Amélioration spectaculaire de la marge nette de 0,7% à 3,7%</w:t>
      </w:r>
    </w:p>
    <w:p>
      <w:pPr>
        <w:pStyle w:val="ListBullet"/>
        <w:spacing w:before="20" w:after="20"/>
        <w:ind w:left="700"/>
      </w:pPr>
      <w:r>
        <w:rPr>
          <w:sz w:val="18"/>
        </w:rPr>
        <w:t>Capacité d'autofinancement globale solide de 3,43 milliards FCFA</w:t>
      </w:r>
    </w:p>
    <w:p>
      <w:pPr>
        <w:pStyle w:val="ListBullet"/>
        <w:spacing w:before="20" w:after="20"/>
        <w:ind w:left="700"/>
      </w:pPr>
      <w:r>
        <w:rPr>
          <w:sz w:val="18"/>
        </w:rPr>
        <w:t>Trésorerie nette positive renforcée à 2,42 milliards FCFA</w:t>
      </w:r>
    </w:p>
    <w:p>
      <w:pPr>
        <w:pStyle w:val="ListBullet"/>
        <w:spacing w:before="20" w:after="20"/>
        <w:ind w:left="700"/>
      </w:pPr>
      <w:r>
        <w:rPr>
          <w:sz w:val="18"/>
        </w:rPr>
        <w:t>Reprise de la distribution de dividendes avec 414,5 millions FCFA versés</w:t>
      </w:r>
    </w:p>
    <w:p>
      <w:pPr>
        <w:spacing w:before="40"/>
        <w:ind w:left="400"/>
      </w:pPr>
      <w:r>
        <w:rPr>
          <w:b/>
          <w:color w:val="C05000"/>
          <w:sz w:val="18"/>
        </w:rPr>
        <w:t xml:space="preserve">⚠️ Risques : </w:t>
      </w:r>
      <w:r>
        <w:rPr>
          <w:sz w:val="18"/>
        </w:rPr>
        <w:t>["D\u00e9pendance aux mati\u00e8res premi\u00e8res avec 22,4 milliards FCFA d'achats consomm\u00e9s", "Volatilit\u00e9 potentielle des marges li\u00e9e aux fluctuations des co\u00fbts d'approvisionnement", "Exposition aux risques de change sur les importations de mati\u00e8res premi\u00e8res"]</w:t>
      </w:r>
    </w:p>
    <w:p>
      <w:pPr>
        <w:spacing w:before="40"/>
        <w:ind w:left="400"/>
      </w:pPr>
      <w:r>
        <w:rPr>
          <w:b/>
          <w:color w:val="0064A0"/>
          <w:sz w:val="18"/>
        </w:rPr>
        <w:t xml:space="preserve">🔮 Perspectives : </w:t>
      </w:r>
      <w:r>
        <w:rPr>
          <w:sz w:val="18"/>
        </w:rPr>
        <w:t>Les perspectives pour 2022 apparaissent favorables compte tenu de la dynamique positive engagée et des investissements réalisés. La société devrait continuer à bénéficier de l'amélioration de sa structure de coûts et de sa position concurrentielle renforcée. La poursuite des investissements industri</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d\u00e9gradation des marges, la croissance du chiffre d'affaires et les perspectives d'am\u00e9lioration au second semestre justifient une position d'attente. La lev\u00e9e des restrictions au Mali et la politique de r\u00e9duction des co\u00fbts devraient am\u00e9liorer la rentabilit\u00e9."}</w:t>
      </w:r>
    </w:p>
    <w:p>
      <w:pPr>
        <w:spacing w:before="40"/>
        <w:ind w:left="400"/>
      </w:pPr>
      <w:r>
        <w:rPr>
          <w:sz w:val="18"/>
        </w:rPr>
        <w:t>UNIWAX S.A. affiche une croissance du chiffre d'affaires de 4,9% au premier semestre 2022, atteignant 21,55 milliards FCFA. Cependant, la rentabilité se dégrade avec un résultat net en baisse de 14,8% à 982 millions FCFA et un résultat d'exploitation en recul de 11,4%. Cette dégradation s'explique par l'augmentation des coûts de production et l'impact défavorable du cours du dollar. Le résultat financier devient négatif à -53,7 millions FCFA contre +15 millions l'année précédente. L'entreprise mise sur la levée des restrictions d'exportation au Mali et sa politique de réduction des coûts pour améliorer ses performances au second semestre.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'4 150 millions FCFA', 'impot_sur_resultat': '327,5 millions FCFA', 'resultat_financier': '-53,7 millions FCFA', 'resultat_exploitation': '1 349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982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21 553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4,9% portée par la dynamique export et les efforts du capital humain</w:t>
      </w:r>
    </w:p>
    <w:p>
      <w:pPr>
        <w:pStyle w:val="ListBullet"/>
        <w:spacing w:before="20" w:after="20"/>
        <w:ind w:left="700"/>
      </w:pPr>
      <w:r>
        <w:rPr>
          <w:sz w:val="18"/>
        </w:rPr>
        <w:t>Dégradation de la rentabilité avec un résultat d'exploitation en baisse de 11,4%</w:t>
      </w:r>
    </w:p>
    <w:p>
      <w:pPr>
        <w:pStyle w:val="ListBullet"/>
        <w:spacing w:before="20" w:after="20"/>
        <w:ind w:left="700"/>
      </w:pPr>
      <w:r>
        <w:rPr>
          <w:sz w:val="18"/>
        </w:rPr>
        <w:t>Résultat net en recul de 14,8% à 982,5 millions FCFA</w:t>
      </w:r>
    </w:p>
    <w:p>
      <w:pPr>
        <w:pStyle w:val="ListBullet"/>
        <w:spacing w:before="20" w:after="20"/>
        <w:ind w:left="700"/>
      </w:pPr>
      <w:r>
        <w:rPr>
          <w:sz w:val="18"/>
        </w:rPr>
        <w:t>Résultat financier négatif de -53,7 millions FCFA contre +15 millions en 2021</w:t>
      </w:r>
    </w:p>
    <w:p>
      <w:pPr>
        <w:pStyle w:val="ListBullet"/>
        <w:spacing w:before="20" w:after="20"/>
        <w:ind w:left="700"/>
      </w:pPr>
      <w:r>
        <w:rPr>
          <w:sz w:val="18"/>
        </w:rPr>
        <w:t>Augmentation significative des coûts de production liés aux matières premières, énergie et fret</w:t>
      </w:r>
    </w:p>
    <w:p>
      <w:pPr>
        <w:pStyle w:val="ListBullet"/>
        <w:spacing w:before="20" w:after="20"/>
        <w:ind w:left="700"/>
      </w:pPr>
      <w:r>
        <w:rPr>
          <w:sz w:val="18"/>
        </w:rPr>
        <w:t>Impact négatif du cours du dollar sur les marges</w:t>
      </w:r>
    </w:p>
    <w:p>
      <w:pPr>
        <w:spacing w:before="40"/>
        <w:ind w:left="400"/>
      </w:pPr>
      <w:r>
        <w:rPr>
          <w:b/>
          <w:color w:val="C05000"/>
          <w:sz w:val="18"/>
        </w:rPr>
        <w:t xml:space="preserve">⚠️ Risques : </w:t>
      </w:r>
      <w:r>
        <w:rPr>
          <w:sz w:val="18"/>
        </w:rPr>
        <w:t>["Inflation g\u00e9n\u00e9ralis\u00e9e impactant durablement les co\u00fbts de production", "Tensions internationales affectant le contexte \u00e9conomique global", "Volatilit\u00e9 du cours du dollar p\u00e9nalisant les marges \u00e0 l'export"]</w:t>
      </w:r>
    </w:p>
    <w:p>
      <w:pPr>
        <w:spacing w:before="40"/>
        <w:ind w:left="400"/>
      </w:pPr>
      <w:r>
        <w:rPr>
          <w:b/>
          <w:color w:val="0064A0"/>
          <w:sz w:val="18"/>
        </w:rPr>
        <w:t xml:space="preserve">🔮 Perspectives : </w:t>
      </w:r>
      <w:r>
        <w:rPr>
          <w:sz w:val="18"/>
        </w:rPr>
        <w:t>La société anticipe une amélioration au second semestre grâce à la levée des restrictions d'exportation au Mali et aux effets de sa politique de réduction des coûts. Toutefois, l'environnement économique global reste incertain avec les tensions internationales et l'inflation généralisée qui constitu</w:t>
      </w:r>
    </w:p>
    <w:p/>
    <w:p>
      <w:r>
        <w:t>════════════════════════════════════════════════════════════════════════════════</w:t>
      </w:r>
    </w:p>
    <w:p>
      <w:r>
        <w:br w:type="page"/>
      </w:r>
    </w:p>
    <w:p>
      <w:pPr>
        <w:pStyle w:val="Heading1"/>
      </w:pPr>
      <w:r>
        <w:t>NOTES IMPORTANTES</w:t>
      </w:r>
    </w:p>
    <w:p>
      <w:r>
        <w:t>1. Les analyses techniques sont basées sur les 5 indicateurs classiques (MM, Bollinger, MACD, RSI, Stochastique).</w:t>
        <w:br/>
        <w:t>2. Les analyses fondamentales proviennent des rapports financiers officiels de la BRVM.</w:t>
        <w:br/>
        <w:t>3. Les recommandations sont générées par intelligence artificielle Multi-AI (DeepSeek, Gemini, Mistral) avec rotation automatique.</w:t>
        <w:br/>
        <w:t>4. Tous les cours et valeurs sont exprimés en FCFA (Francs CFA).</w:t>
        <w:br/>
        <w:t>5. Les prédictions sont des estimations statistiques et ne garantissent pas les performances futures.</w:t>
        <w:br/>
        <w:t>6. L'analyse de liquidité est basée sur les 30 derniers jours de transactions.</w:t>
        <w:br/>
        <w:t>7. Les matrices de convergence et de divergence sont des outils d'aide à la décision complémentaires.</w:t>
        <w:br/>
        <w:t>8. Ce document est strictement confidentiel et destiné à l'usage professionnel uniquement.</w:t>
        <w:br/>
        <w:t>9. Consultez toujours un conseiller financier agréé avant toute décision d'investissement.</w:t>
        <w:br/>
        <w:t>10. Rapport généré automatiquement - Version 30.2 Ultimate - 48 sociétés analysées.</w:t>
      </w:r>
    </w:p>
    <w:p/>
    <w:p>
      <w:pPr>
        <w:jc w:val="center"/>
      </w:pPr>
      <w:r>
        <w:rPr>
          <w:i/>
          <w:color w:val="808080"/>
          <w:sz w:val="16"/>
        </w:rPr>
        <w:t xml:space="preserve">Analyse Multi-AI - </w:t>
      </w:r>
      <w:r>
        <w:rPr>
          <w:i/>
        </w:rPr>
        <w:t xml:space="preserve">DeepSeek: 49 req | </w:t>
      </w:r>
      <w:r>
        <w:rPr>
          <w:i/>
        </w:rPr>
        <w:t xml:space="preserve">Gemini: 0 req | </w:t>
      </w:r>
      <w:r>
        <w:rPr>
          <w:i/>
        </w:rPr>
        <w:t>Mistral: 0 req</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