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11/10/2026 à 10:53</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47 ACHAT  |  1 NEUTRE  |  0 VENTE  (sur 48 sociétés)</w:t>
      </w:r>
    </w:p>
    <w:p>
      <w:pPr>
        <w:spacing w:before="20" w:after="20"/>
        <w:ind w:left="360" w:right="360"/>
        <w:shd w:val="clear" w:color="auto" w:fill="EBF5FB"/>
      </w:pPr>
      <w:r>
        <w:rPr>
          <w:b/>
          <w:sz w:val="19"/>
        </w:rPr>
        <w:t xml:space="preserve">Top opportunité :  </w:t>
      </w:r>
      <w:r>
        <w:rPr>
          <w:color w:val="008000"/>
          <w:sz w:val="19"/>
        </w:rPr>
        <w:t>ABJC  (score 79/100)</w:t>
      </w:r>
    </w:p>
    <w:p>
      <w:pPr>
        <w:spacing w:before="20" w:after="20"/>
        <w:ind w:left="360" w:right="360"/>
        <w:shd w:val="clear" w:color="auto" w:fill="EBF5FB"/>
      </w:pPr>
      <w:r>
        <w:rPr>
          <w:b/>
          <w:sz w:val="19"/>
        </w:rPr>
        <w:t xml:space="preserve">Secteur surperformant :  </w:t>
      </w:r>
      <w:r>
        <w:rPr>
          <w:color w:val="008000"/>
          <w:sz w:val="19"/>
        </w:rPr>
        <w:t>SERVICES PUBLICS  (+55.6%)</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18 sociétés — vérifier avant d'investir</w:t>
      </w:r>
    </w:p>
    <w:p>
      <w:pPr>
        <w:spacing w:before="20" w:after="20"/>
        <w:ind w:left="360" w:right="360"/>
        <w:shd w:val="clear" w:color="auto" w:fill="EBF5FB"/>
      </w:pPr>
      <w:r>
        <w:rPr>
          <w:b/>
          <w:sz w:val="19"/>
        </w:rPr>
        <w:t xml:space="preserve">⚠️ Liquidité réduite :  </w:t>
      </w:r>
      <w:r>
        <w:rPr>
          <w:color w:val="C00000"/>
          <w:sz w:val="19"/>
        </w:rPr>
        <w:t>13 titres à faible liquidité — risque de sortie</w:t>
      </w:r>
    </w:p>
    <w:p/>
    <w:p>
      <w:r>
        <w:br w:type="page"/>
      </w:r>
    </w:p>
    <w:p>
      <w:pPr>
        <w:pStyle w:val="Heading1"/>
      </w:pPr>
      <w:r>
        <w:t>SYNTHÈSE GÉNÉRALE</w:t>
      </w:r>
    </w:p>
    <w:p>
      <w:pPr>
        <w:spacing w:after="240"/>
      </w:pPr>
      <w:r>
        <w:t xml:space="preserve">Ce rapport présente une analyse détaillée de 48 sociétés cotées à la Bourse Régionale des Valeurs Mobilières (BRVM). </w:t>
      </w:r>
      <w:r>
        <w:t xml:space="preserve">L'indice BRVM Composite s'établit à 546.86 points </w:t>
      </w:r>
      <w:r>
        <w:rPr>
          <w:color w:val="C00000"/>
        </w:rPr>
        <w:t>(-0.28%)</w:t>
      </w:r>
      <w:r>
        <w:t xml:space="preserve"> sur la séance. </w:t>
      </w:r>
      <w:r>
        <w:t>La capitalisation globale du marché atteint 21 444,973 milliards FCFA.</w:t>
      </w:r>
    </w:p>
    <w:p/>
    <w:p>
      <w:pPr>
        <w:pStyle w:val="Heading3"/>
      </w:pPr>
      <w:r>
        <w:t>📊 Évolution de l'indice BRVM Composite (100 derniers jours)</w:t>
      </w:r>
    </w:p>
    <w:p>
      <w:r>
        <w:rPr>
          <w:b/>
        </w:rPr>
        <w:t xml:space="preserve">BRVM Composite — </w:t>
      </w:r>
      <w:r>
        <w:t xml:space="preserve">Sur les 100 derniers jours de cotation (2026-05-18 au 2026-10-09), l'indice BRVM Composite a évolué de </w:t>
      </w:r>
      <w:r>
        <w:rPr>
          <w:b/>
          <w:color w:val="008000"/>
        </w:rPr>
        <w:t>+31.96%</w:t>
      </w:r>
      <w:r>
        <w:t>, passant de 414.40 pts à 546.86 pts. Le plus haut atteint est 555.90 pts et le plus bas 414.40 pts. Sur l'ensemble de la période, la moyenne de l'indice s'établit à 488.50 pts, la médiane à 482.46 pts et le mode à 414.40 pts</w:t>
      </w:r>
      <w:r>
        <w:t xml:space="preserve"> (distribution symétrique). </w:t>
      </w:r>
      <w:r>
        <w:t xml:space="preserve">L'écart-type de 45.34 pts (CV=9.3%) traduit une modérée dispersion des cotations. Le kurtosis de -1.37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+34.25%</w:t>
      </w:r>
      <w:r>
        <w:t xml:space="preserve"> sur la période, passant de 15 974,437 Mds FCFA à 21 444,973 Mds FCFA. Le pic de capitalisation observé est de 21 529,927 Mds FCFA et le plancher de 15 974,437 Mds FCFA. La moyenne de la capitalisation sur la période s'établit à 18 867,843 Mds FCFA, la médiane à 18 586,196 Mds FCFA et le mode à 15 974,437 Mds FCFA</w:t>
      </w:r>
      <w:r>
        <w:t xml:space="preserve"> (distribution symétrique). </w:t>
      </w:r>
      <w:r>
        <w:t>L'écart-type de 1 805,074 Mds FCFA (CV=9.6%) reflète une modérée variabilité de la valorisation du marché. Le kurtosis de -1.37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BBGC - BRIDGE BANK GROUP COTE D'IVOIRE</w:t>
      </w:r>
      <w:r>
        <w:t xml:space="preserve"> | Prix: 10400 FCFA | </w:t>
      </w:r>
      <w:r>
        <w:rPr>
          <w:b/>
          <w:color w:val="008000"/>
        </w:rPr>
        <w:t>ACHAT FORT</w:t>
      </w:r>
      <w:r>
        <w:t xml:space="preserve"> | Confiance: Élevée | Risque: Faible</w:t>
      </w:r>
    </w:p>
    <w:p>
      <w:pPr>
        <w:pStyle w:val="ListNumber"/>
      </w:pPr>
      <w:r>
        <w:rPr>
          <w:b/>
        </w:rPr>
        <w:t>PRSC - PRSC - TRACTAFRIC MOTORS CI</w:t>
      </w:r>
      <w:r>
        <w:t xml:space="preserve"> | Prix: 4150 FCFA | </w:t>
      </w:r>
      <w:r>
        <w:rPr>
          <w:b/>
          <w:color w:val="008000"/>
        </w:rPr>
        <w:t>ACHAT FORT</w:t>
      </w:r>
      <w:r>
        <w:t xml:space="preserve"> | Confiance: Élevée | Risque: Moyen</w:t>
      </w:r>
    </w:p>
    <w:p>
      <w:pPr>
        <w:pStyle w:val="ListNumber"/>
      </w:pPr>
      <w:r>
        <w:rPr>
          <w:b/>
        </w:rPr>
        <w:t>ABJC - ABJC - SERVAIR ABIDJAN CI</w:t>
      </w:r>
      <w:r>
        <w:t xml:space="preserve"> | Prix: 3190 FCFA | </w:t>
      </w:r>
      <w:r>
        <w:rPr>
          <w:b/>
          <w:color w:val="008000"/>
        </w:rPr>
        <w:t>ACHAT</w:t>
      </w:r>
      <w:r>
        <w:t xml:space="preserve"> | Confiance: Élevée | Risque: Faible</w:t>
      </w:r>
    </w:p>
    <w:p>
      <w:pPr>
        <w:pStyle w:val="ListNumber"/>
      </w:pPr>
      <w:r>
        <w:rPr>
          <w:b/>
        </w:rPr>
        <w:t>BICB - BIIC BN - Banque internationale pour le commerce du benin</w:t>
      </w:r>
      <w:r>
        <w:t xml:space="preserve"> | Prix: 8440 FCFA | </w:t>
      </w:r>
      <w:r>
        <w:rPr>
          <w:b/>
          <w:color w:val="008000"/>
        </w:rPr>
        <w:t>ACHAT</w:t>
      </w:r>
      <w:r>
        <w:t xml:space="preserve"> | Confiance: Élevée | Risque: Moyen</w:t>
      </w:r>
    </w:p>
    <w:p>
      <w:pPr>
        <w:pStyle w:val="ListNumber"/>
      </w:pPr>
      <w:r>
        <w:rPr>
          <w:b/>
        </w:rPr>
        <w:t>BICC - BICI CI - Banque internationale pour le commerce et l'industrie de la Côte d'Ivoire</w:t>
      </w:r>
      <w:r>
        <w:t xml:space="preserve"> | Prix: 32945 FCFA | </w:t>
      </w:r>
      <w:r>
        <w:rPr>
          <w:b/>
          <w:color w:val="008000"/>
        </w:rPr>
        <w:t>ACHAT</w:t>
      </w:r>
      <w:r>
        <w:t xml:space="preserve"> | Confiance: Moyen | Risque: Moyen</w:t>
      </w:r>
    </w:p>
    <w:p>
      <w:pPr>
        <w:pStyle w:val="ListNumber"/>
      </w:pPr>
      <w:r>
        <w:rPr>
          <w:b/>
        </w:rPr>
        <w:t>BNBC - BNBC - BERNABE CI</w:t>
      </w:r>
      <w:r>
        <w:t xml:space="preserve"> | Prix: 1800 FCFA | </w:t>
      </w:r>
      <w:r>
        <w:rPr>
          <w:b/>
          <w:color w:val="008000"/>
        </w:rPr>
        <w:t>ACHAT</w:t>
      </w:r>
      <w:r>
        <w:t xml:space="preserve"> | Confiance: Faible | Risque: Faible</w:t>
      </w:r>
    </w:p>
    <w:p>
      <w:pPr>
        <w:pStyle w:val="ListNumber"/>
      </w:pPr>
      <w:r>
        <w:rPr>
          <w:b/>
        </w:rPr>
        <w:t>BOAB - BANK OF AFRICA BENIN</w:t>
      </w:r>
      <w:r>
        <w:t xml:space="preserve"> | Prix: 9400 FCFA | </w:t>
      </w:r>
      <w:r>
        <w:rPr>
          <w:b/>
          <w:color w:val="008000"/>
        </w:rPr>
        <w:t>ACHAT</w:t>
      </w:r>
      <w:r>
        <w:t xml:space="preserve"> | Confiance: Moyen | Risque: Faible</w:t>
      </w:r>
    </w:p>
    <w:p>
      <w:pPr>
        <w:pStyle w:val="ListNumber"/>
      </w:pPr>
      <w:r>
        <w:rPr>
          <w:b/>
        </w:rPr>
        <w:t>BOABF - BANK OF AFRICA BURKINA FASO</w:t>
      </w:r>
      <w:r>
        <w:t xml:space="preserve"> | Prix: 8005 FCFA | </w:t>
      </w:r>
      <w:r>
        <w:rPr>
          <w:b/>
          <w:color w:val="008000"/>
        </w:rPr>
        <w:t>ACHAT</w:t>
      </w:r>
      <w:r>
        <w:t xml:space="preserve"> | Confiance: Moyen | Risque: Moyen</w:t>
      </w:r>
    </w:p>
    <w:p>
      <w:pPr>
        <w:pStyle w:val="ListNumber"/>
      </w:pPr>
      <w:r>
        <w:rPr>
          <w:b/>
        </w:rPr>
        <w:t>BOAC - BANK OF AFRICA COTE D'IVOIRE</w:t>
      </w:r>
      <w:r>
        <w:t xml:space="preserve"> | Prix: 11295 FCFA | </w:t>
      </w:r>
      <w:r>
        <w:rPr>
          <w:b/>
          <w:color w:val="008000"/>
        </w:rPr>
        <w:t>ACHAT</w:t>
      </w:r>
      <w:r>
        <w:t xml:space="preserve"> | Confiance: Faible | Risque: Faible</w:t>
      </w:r>
    </w:p>
    <w:p>
      <w:pPr>
        <w:pStyle w:val="ListNumber"/>
      </w:pPr>
      <w:r>
        <w:rPr>
          <w:b/>
        </w:rPr>
        <w:t>BOAM - BANK OF AFRICA MALI</w:t>
      </w:r>
      <w:r>
        <w:t xml:space="preserve"> | Prix: 6100 FCFA | </w:t>
      </w:r>
      <w:r>
        <w:rPr>
          <w:b/>
          <w:color w:val="008000"/>
        </w:rPr>
        <w:t>ACHAT</w:t>
      </w:r>
      <w:r>
        <w:t xml:space="preserve"> | Confiance: Moyen | Risque: Moyen</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SIBC - SIBC - SOCIETE IVOIRIENNE DE BANQUE</w:t>
      </w:r>
      <w:r>
        <w:t xml:space="preserve"> | Prix: 8800 FCFA | </w:t>
      </w:r>
      <w:r>
        <w:rPr>
          <w:b/>
          <w:color w:val="C00000"/>
        </w:rPr>
        <w:t>CONSERVER</w:t>
      </w:r>
      <w:r>
        <w:t xml:space="preserve"> | Confiance: Moyen | Risque: Faible</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55.64%</w:t>
      </w:r>
      <w:r>
        <w:t xml:space="preserve">  |  </w:t>
      </w:r>
      <w:r>
        <w:rPr>
          <w:b/>
        </w:rPr>
        <w:t xml:space="preserve">vs BRVM Composite: </w:t>
      </w:r>
      <w:r>
        <w:rPr>
          <w:b/>
          <w:color w:val="008000"/>
        </w:rPr>
        <w:t>+23.67%  🟢 Surperformance</w:t>
      </w:r>
      <w:r>
        <w:br/>
      </w:r>
      <w:r>
        <w:rPr>
          <w:b/>
        </w:rPr>
        <w:t xml:space="preserve">Sentiment général: </w:t>
      </w:r>
      <w:r>
        <w:t xml:space="preserve">ACHAT  |  </w:t>
      </w:r>
      <w:r>
        <w:rPr>
          <w:b/>
        </w:rPr>
        <w:t xml:space="preserve">Risque moyen: </w:t>
      </w:r>
      <w:r>
        <w:t xml:space="preserve">Moyen  |  </w:t>
      </w:r>
      <w:r>
        <w:rPr>
          <w:b/>
        </w:rPr>
        <w:t xml:space="preserve">Prix moyen: </w:t>
      </w:r>
      <w:r>
        <w:t>9645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  |  </w:t>
      </w:r>
      <w:r>
        <w:rPr>
          <w:b/>
        </w:rPr>
        <w:t xml:space="preserve">Performance moyenne (100j): </w:t>
      </w:r>
      <w:r>
        <w:rPr>
          <w:color w:val="008000"/>
        </w:rPr>
        <w:t>43.35%</w:t>
      </w:r>
      <w:r>
        <w:t xml:space="preserve">  |  </w:t>
      </w:r>
      <w:r>
        <w:rPr>
          <w:b/>
        </w:rPr>
        <w:t xml:space="preserve">vs BRVM Composite: </w:t>
      </w:r>
      <w:r>
        <w:rPr>
          <w:b/>
          <w:color w:val="008000"/>
        </w:rPr>
        <w:t>+11.39%  🟢 Surperformance</w:t>
      </w:r>
      <w:r>
        <w:br/>
      </w:r>
      <w:r>
        <w:rPr>
          <w:b/>
        </w:rPr>
        <w:t xml:space="preserve">Sentiment général: </w:t>
      </w:r>
      <w:r>
        <w:t xml:space="preserve">ACHAT FORT  |  </w:t>
      </w:r>
      <w:r>
        <w:rPr>
          <w:b/>
        </w:rPr>
        <w:t xml:space="preserve">Risque moyen: </w:t>
      </w:r>
      <w:r>
        <w:t xml:space="preserve">Faible  |  </w:t>
      </w:r>
      <w:r>
        <w:rPr>
          <w:b/>
        </w:rPr>
        <w:t xml:space="preserve">Prix moyen: </w:t>
      </w:r>
      <w:r>
        <w:t>10400 FCFA</w:t>
        <w:br/>
      </w:r>
      <w:r>
        <w:rPr>
          <w:b/>
        </w:rPr>
        <w:br/>
        <w:t xml:space="preserve">Sociétés: </w:t>
      </w:r>
      <w:r>
        <w:t>BBGC (BRIDGE BANK GROUP COTE D'IVOIRE)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34.83%</w:t>
      </w:r>
      <w:r>
        <w:t xml:space="preserve">  |  </w:t>
      </w:r>
      <w:r>
        <w:rPr>
          <w:b/>
        </w:rPr>
        <w:t xml:space="preserve">vs BRVM Composite: </w:t>
      </w:r>
      <w:r>
        <w:rPr>
          <w:b/>
          <w:color w:val="008000"/>
        </w:rPr>
        <w:t>+2.87%  🟢 Surperformance</w:t>
      </w:r>
      <w:r>
        <w:br/>
      </w:r>
      <w:r>
        <w:rPr>
          <w:b/>
        </w:rPr>
        <w:t xml:space="preserve">Sentiment général: </w:t>
      </w:r>
      <w:r>
        <w:t xml:space="preserve">ACHAT  |  </w:t>
      </w:r>
      <w:r>
        <w:rPr>
          <w:b/>
        </w:rPr>
        <w:t xml:space="preserve">Risque moyen: </w:t>
      </w:r>
      <w:r>
        <w:t xml:space="preserve">Moyen  |  </w:t>
      </w:r>
      <w:r>
        <w:rPr>
          <w:b/>
        </w:rPr>
        <w:t xml:space="preserve">Prix moyen: </w:t>
      </w:r>
      <w:r>
        <w:t>23327 FCFA</w:t>
        <w:br/>
      </w:r>
      <w:r>
        <w:rPr>
          <w:b/>
        </w:rPr>
        <w:br/>
        <w:t xml:space="preserve">Sociétés: </w:t>
      </w:r>
      <w:r>
        <w:t>ONTBF (ONTBF - ONATEL BURKINA FASO), ORAC (ORAC - ORANGE COTE D'IVOIRE), SNTS (SNTS - SONATEL SN)</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33.22%</w:t>
      </w:r>
      <w:r>
        <w:t xml:space="preserve">  |  </w:t>
      </w:r>
      <w:r>
        <w:rPr>
          <w:b/>
        </w:rPr>
        <w:t xml:space="preserve">vs BRVM Composite: </w:t>
      </w:r>
      <w:r>
        <w:rPr>
          <w:b/>
          <w:color w:val="008000"/>
        </w:rPr>
        <w:t>+1.26%  🟢 Surperformance</w:t>
      </w:r>
      <w:r>
        <w:br/>
      </w:r>
      <w:r>
        <w:rPr>
          <w:b/>
        </w:rPr>
        <w:t xml:space="preserve">Sentiment général: </w:t>
      </w:r>
      <w:r>
        <w:t xml:space="preserve">ACHAT  |  </w:t>
      </w:r>
      <w:r>
        <w:rPr>
          <w:b/>
        </w:rPr>
        <w:t xml:space="preserve">Risque moyen: </w:t>
      </w:r>
      <w:r>
        <w:t xml:space="preserve">Moyen  |  </w:t>
      </w:r>
      <w:r>
        <w:rPr>
          <w:b/>
        </w:rPr>
        <w:t xml:space="preserve">Prix moyen: </w:t>
      </w:r>
      <w:r>
        <w:t>13249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15.76%</w:t>
      </w:r>
      <w:r>
        <w:t xml:space="preserve">  |  </w:t>
      </w:r>
      <w:r>
        <w:rPr>
          <w:b/>
        </w:rPr>
        <w:t xml:space="preserve">vs BRVM Composite: </w:t>
      </w:r>
      <w:r>
        <w:rPr>
          <w:b/>
          <w:color w:val="C00000"/>
        </w:rPr>
        <w:t>-16.20%  🔴 Sous-performance</w:t>
      </w:r>
      <w:r>
        <w:br/>
      </w:r>
      <w:r>
        <w:rPr>
          <w:b/>
        </w:rPr>
        <w:t xml:space="preserve">Sentiment général: </w:t>
      </w:r>
      <w:r>
        <w:t xml:space="preserve">ACHAT  |  </w:t>
      </w:r>
      <w:r>
        <w:rPr>
          <w:b/>
        </w:rPr>
        <w:t xml:space="preserve">Risque moyen: </w:t>
      </w:r>
      <w:r>
        <w:t xml:space="preserve">Faible  |  </w:t>
      </w:r>
      <w:r>
        <w:rPr>
          <w:b/>
        </w:rPr>
        <w:t xml:space="preserve">Prix moyen: </w:t>
      </w:r>
      <w:r>
        <w:t>17432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ENERGIE</w:t>
      </w:r>
    </w:p>
    <w:p>
      <w:r>
        <w:rPr>
          <w:b/>
        </w:rPr>
        <w:t xml:space="preserve">Nombre de sociétés: </w:t>
      </w:r>
      <w:r>
        <w:t xml:space="preserve">4  |  </w:t>
      </w:r>
      <w:r>
        <w:rPr>
          <w:b/>
        </w:rPr>
        <w:t xml:space="preserve">Performance moyenne (100j): </w:t>
      </w:r>
      <w:r>
        <w:rPr>
          <w:color w:val="008000"/>
        </w:rPr>
        <w:t>14.56%</w:t>
      </w:r>
      <w:r>
        <w:t xml:space="preserve">  |  </w:t>
      </w:r>
      <w:r>
        <w:rPr>
          <w:b/>
        </w:rPr>
        <w:t xml:space="preserve">vs BRVM Composite: </w:t>
      </w:r>
      <w:r>
        <w:rPr>
          <w:b/>
          <w:color w:val="C00000"/>
        </w:rPr>
        <w:t>-17.41%  🔴 Sous-performance</w:t>
      </w:r>
      <w:r>
        <w:br/>
      </w:r>
      <w:r>
        <w:rPr>
          <w:b/>
        </w:rPr>
        <w:t xml:space="preserve">Sentiment général: </w:t>
      </w:r>
      <w:r>
        <w:t xml:space="preserve">ACHAT  |  </w:t>
      </w:r>
      <w:r>
        <w:rPr>
          <w:b/>
        </w:rPr>
        <w:t xml:space="preserve">Risque moyen: </w:t>
      </w:r>
      <w:r>
        <w:t xml:space="preserve">Faible  |  </w:t>
      </w:r>
      <w:r>
        <w:rPr>
          <w:b/>
        </w:rPr>
        <w:t xml:space="preserve">Prix moyen: </w:t>
      </w:r>
      <w:r>
        <w:t>6142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11.16%</w:t>
      </w:r>
      <w:r>
        <w:t xml:space="preserve">  |  </w:t>
      </w:r>
      <w:r>
        <w:rPr>
          <w:b/>
        </w:rPr>
        <w:t xml:space="preserve">vs BRVM Composite: </w:t>
      </w:r>
      <w:r>
        <w:rPr>
          <w:b/>
          <w:color w:val="C00000"/>
        </w:rPr>
        <w:t>-20.80%  🔴 Sous-performance</w:t>
      </w:r>
      <w:r>
        <w:br/>
      </w:r>
      <w:r>
        <w:rPr>
          <w:b/>
        </w:rPr>
        <w:t xml:space="preserve">Sentiment général: </w:t>
      </w:r>
      <w:r>
        <w:t xml:space="preserve">ACHAT  |  </w:t>
      </w:r>
      <w:r>
        <w:rPr>
          <w:b/>
        </w:rPr>
        <w:t xml:space="preserve">Risque moyen: </w:t>
      </w:r>
      <w:r>
        <w:t xml:space="preserve">Faible  |  </w:t>
      </w:r>
      <w:r>
        <w:rPr>
          <w:b/>
        </w:rPr>
        <w:t xml:space="preserve">Prix moyen: </w:t>
      </w:r>
      <w:r>
        <w:t>2711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-4.95%</w:t>
      </w:r>
      <w:r>
        <w:t xml:space="preserve">  |  </w:t>
      </w:r>
      <w:r>
        <w:rPr>
          <w:b/>
        </w:rPr>
        <w:t xml:space="preserve">vs BRVM Composite: </w:t>
      </w:r>
      <w:r>
        <w:rPr>
          <w:b/>
          <w:color w:val="C00000"/>
        </w:rPr>
        <w:t>-36.92%  🔴 Sous-performance</w:t>
      </w:r>
      <w:r>
        <w:br/>
      </w:r>
      <w:r>
        <w:rPr>
          <w:b/>
        </w:rPr>
        <w:t xml:space="preserve">Sentiment général: </w:t>
      </w:r>
      <w:r>
        <w:t xml:space="preserve">ACHAT  |  </w:t>
      </w:r>
      <w:r>
        <w:rPr>
          <w:b/>
        </w:rPr>
        <w:t xml:space="preserve">Risque moyen: </w:t>
      </w:r>
      <w:r>
        <w:t xml:space="preserve">Faible  |  </w:t>
      </w:r>
      <w:r>
        <w:rPr>
          <w:b/>
        </w:rPr>
        <w:t xml:space="preserve">Prix moyen: </w:t>
      </w:r>
      <w:r>
        <w:t>2246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ABJC, BICB, BOAS, ONTBF, PALC, SDCC, SGBC, SHEC, STAC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BBGC, BICC, BOAB, BOABF, BOAM, CBIBF, CIEC, ECOC, ETIT, LNBB, NEIC, NSBC, NTLC, PRSC, SCRC, SDSC, SEMC, SNTS, STBC, TTLS,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BNBC, BOAC, BOAN, CABC, CFAC, FTSC, ORAC, ORGT, SAFC, SICC, SIVC, SLBC, SMBC, SOGC, SPHC, TTLC, UNLC</w:t>
            </w:r>
          </w:p>
        </w:tc>
        <w:tc>
          <w:tcPr>
            <w:tcW w:type="dxa" w:w="2160"/>
            <w:shd w:fill="FFC7CE" w:val="clear"/>
          </w:tcPr>
          <w:p>
            <w:pPr>
              <w:spacing w:before="40" w:after="40"/>
            </w:pPr>
            <w:r/>
            <w:r>
              <w:rPr>
                <w:b w:val="0"/>
                <w:sz w:val="16"/>
              </w:rPr>
              <w:t>SIBC</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1970653</w:t>
            </w:r>
          </w:p>
        </w:tc>
        <w:tc>
          <w:tcPr>
            <w:tcW w:type="dxa" w:w="1728"/>
          </w:tcPr>
          <w:p>
            <w:r>
              <w:t>132570823 FCFA</w:t>
            </w:r>
          </w:p>
        </w:tc>
        <w:tc>
          <w:tcPr>
            <w:tcW w:type="dxa" w:w="1728"/>
          </w:tcPr>
          <w:p>
            <w:r>
              <w:t>123.33%</w:t>
            </w:r>
          </w:p>
        </w:tc>
        <w:tc>
          <w:tcPr>
            <w:tcW w:type="dxa" w:w="1728"/>
          </w:tcPr>
          <w:p>
            <w:r>
              <w:t>ACHAT</w:t>
            </w:r>
          </w:p>
        </w:tc>
      </w:tr>
      <w:tr>
        <w:tc>
          <w:tcPr>
            <w:tcW w:type="dxa" w:w="1728"/>
          </w:tcPr>
          <w:p>
            <w:r>
              <w:t>BBGC (BRIDGE BANK GROUP COTE D'IVOIRE)</w:t>
            </w:r>
          </w:p>
        </w:tc>
        <w:tc>
          <w:tcPr>
            <w:tcW w:type="dxa" w:w="1728"/>
          </w:tcPr>
          <w:p>
            <w:r>
              <w:t>35556</w:t>
            </w:r>
          </w:p>
        </w:tc>
        <w:tc>
          <w:tcPr>
            <w:tcW w:type="dxa" w:w="1728"/>
          </w:tcPr>
          <w:p>
            <w:r>
              <w:t>328971385 FCFA</w:t>
            </w:r>
          </w:p>
        </w:tc>
        <w:tc>
          <w:tcPr>
            <w:tcW w:type="dxa" w:w="1728"/>
          </w:tcPr>
          <w:p>
            <w:r>
              <w:t>43.35%</w:t>
            </w:r>
          </w:p>
        </w:tc>
        <w:tc>
          <w:tcPr>
            <w:tcW w:type="dxa" w:w="1728"/>
          </w:tcPr>
          <w:p>
            <w:r>
              <w:t>ACHAT FORT</w:t>
            </w:r>
          </w:p>
        </w:tc>
      </w:tr>
      <w:tr>
        <w:tc>
          <w:tcPr>
            <w:tcW w:type="dxa" w:w="1728"/>
          </w:tcPr>
          <w:p>
            <w:r>
              <w:t>SNTS (SNTS - SONATEL SN)</w:t>
            </w:r>
          </w:p>
        </w:tc>
        <w:tc>
          <w:tcPr>
            <w:tcW w:type="dxa" w:w="1728"/>
          </w:tcPr>
          <w:p>
            <w:r>
              <w:t>27598</w:t>
            </w:r>
          </w:p>
        </w:tc>
        <w:tc>
          <w:tcPr>
            <w:tcW w:type="dxa" w:w="1728"/>
          </w:tcPr>
          <w:p>
            <w:r>
              <w:t>1173891710 FCFA</w:t>
            </w:r>
          </w:p>
        </w:tc>
        <w:tc>
          <w:tcPr>
            <w:tcW w:type="dxa" w:w="1728"/>
          </w:tcPr>
          <w:p>
            <w:r>
              <w:t>56.18%</w:t>
            </w:r>
          </w:p>
        </w:tc>
        <w:tc>
          <w:tcPr>
            <w:tcW w:type="dxa" w:w="1728"/>
          </w:tcPr>
          <w:p>
            <w:r>
              <w:t>ACHAT</w:t>
            </w:r>
          </w:p>
        </w:tc>
      </w:tr>
      <w:tr>
        <w:tc>
          <w:tcPr>
            <w:tcW w:type="dxa" w:w="1728"/>
          </w:tcPr>
          <w:p>
            <w:r>
              <w:t>SCRC (SCRC - SUCRIVOIRE)</w:t>
            </w:r>
          </w:p>
        </w:tc>
        <w:tc>
          <w:tcPr>
            <w:tcW w:type="dxa" w:w="1728"/>
          </w:tcPr>
          <w:p>
            <w:r>
              <w:t>13264</w:t>
            </w:r>
          </w:p>
        </w:tc>
        <w:tc>
          <w:tcPr>
            <w:tcW w:type="dxa" w:w="1728"/>
          </w:tcPr>
          <w:p>
            <w:r>
              <w:t>38341738 FCFA</w:t>
            </w:r>
          </w:p>
        </w:tc>
        <w:tc>
          <w:tcPr>
            <w:tcW w:type="dxa" w:w="1728"/>
          </w:tcPr>
          <w:p>
            <w:r>
              <w:t>8.41%</w:t>
            </w:r>
          </w:p>
        </w:tc>
        <w:tc>
          <w:tcPr>
            <w:tcW w:type="dxa" w:w="1728"/>
          </w:tcPr>
          <w:p>
            <w:r>
              <w:t>ACHAT</w:t>
            </w:r>
          </w:p>
        </w:tc>
      </w:tr>
      <w:tr>
        <w:tc>
          <w:tcPr>
            <w:tcW w:type="dxa" w:w="1728"/>
          </w:tcPr>
          <w:p>
            <w:r>
              <w:t>BOAS (BANK OF AFRICA SENEGAL)</w:t>
            </w:r>
          </w:p>
        </w:tc>
        <w:tc>
          <w:tcPr>
            <w:tcW w:type="dxa" w:w="1728"/>
          </w:tcPr>
          <w:p>
            <w:r>
              <w:t>13164</w:t>
            </w:r>
          </w:p>
        </w:tc>
        <w:tc>
          <w:tcPr>
            <w:tcW w:type="dxa" w:w="1728"/>
          </w:tcPr>
          <w:p>
            <w:r>
              <w:t>106579568 FCFA</w:t>
            </w:r>
          </w:p>
        </w:tc>
        <w:tc>
          <w:tcPr>
            <w:tcW w:type="dxa" w:w="1728"/>
          </w:tcPr>
          <w:p>
            <w:r>
              <w:t>7.14%</w:t>
            </w:r>
          </w:p>
        </w:tc>
        <w:tc>
          <w:tcPr>
            <w:tcW w:type="dxa" w:w="1728"/>
          </w:tcPr>
          <w:p>
            <w:r>
              <w:t>ACHAT</w:t>
            </w:r>
          </w:p>
        </w:tc>
      </w:tr>
      <w:tr>
        <w:tc>
          <w:tcPr>
            <w:tcW w:type="dxa" w:w="1728"/>
          </w:tcPr>
          <w:p>
            <w:r>
              <w:t>SIBC (SIBC - SOCIETE IVOIRIENNE DE BANQUE)</w:t>
            </w:r>
          </w:p>
        </w:tc>
        <w:tc>
          <w:tcPr>
            <w:tcW w:type="dxa" w:w="1728"/>
          </w:tcPr>
          <w:p>
            <w:r>
              <w:t>11437</w:t>
            </w:r>
          </w:p>
        </w:tc>
        <w:tc>
          <w:tcPr>
            <w:tcW w:type="dxa" w:w="1728"/>
          </w:tcPr>
          <w:p>
            <w:r>
              <w:t>103060845 FCFA</w:t>
            </w:r>
          </w:p>
        </w:tc>
        <w:tc>
          <w:tcPr>
            <w:tcW w:type="dxa" w:w="1728"/>
          </w:tcPr>
          <w:p>
            <w:r>
              <w:t>17.33%</w:t>
            </w:r>
          </w:p>
        </w:tc>
        <w:tc>
          <w:tcPr>
            <w:tcW w:type="dxa" w:w="1728"/>
          </w:tcPr>
          <w:p>
            <w:r>
              <w:t>CONSERVER</w:t>
            </w:r>
          </w:p>
        </w:tc>
      </w:tr>
      <w:tr>
        <w:tc>
          <w:tcPr>
            <w:tcW w:type="dxa" w:w="1728"/>
          </w:tcPr>
          <w:p>
            <w:r>
              <w:t>SDSC (SDSC - AFRICA GLOBAL LOGISTICS CI)</w:t>
            </w:r>
          </w:p>
        </w:tc>
        <w:tc>
          <w:tcPr>
            <w:tcW w:type="dxa" w:w="1728"/>
          </w:tcPr>
          <w:p>
            <w:r>
              <w:t>11220</w:t>
            </w:r>
          </w:p>
        </w:tc>
        <w:tc>
          <w:tcPr>
            <w:tcW w:type="dxa" w:w="1728"/>
          </w:tcPr>
          <w:p>
            <w:r>
              <w:t>32654886 FCFA</w:t>
            </w:r>
          </w:p>
        </w:tc>
        <w:tc>
          <w:tcPr>
            <w:tcW w:type="dxa" w:w="1728"/>
          </w:tcPr>
          <w:p>
            <w:r>
              <w:t>68.73%</w:t>
            </w:r>
          </w:p>
        </w:tc>
        <w:tc>
          <w:tcPr>
            <w:tcW w:type="dxa" w:w="1728"/>
          </w:tcPr>
          <w:p>
            <w:r>
              <w:t>ACHAT</w:t>
            </w:r>
          </w:p>
        </w:tc>
      </w:tr>
      <w:tr>
        <w:tc>
          <w:tcPr>
            <w:tcW w:type="dxa" w:w="1728"/>
          </w:tcPr>
          <w:p>
            <w:r>
              <w:t>UNXC (UNXC - UNIWAX COTE D'IVOIRE)</w:t>
            </w:r>
          </w:p>
        </w:tc>
        <w:tc>
          <w:tcPr>
            <w:tcW w:type="dxa" w:w="1728"/>
          </w:tcPr>
          <w:p>
            <w:r>
              <w:t>10592</w:t>
            </w:r>
          </w:p>
        </w:tc>
        <w:tc>
          <w:tcPr>
            <w:tcW w:type="dxa" w:w="1728"/>
          </w:tcPr>
          <w:p>
            <w:r>
              <w:t>24582034 FCFA</w:t>
            </w:r>
          </w:p>
        </w:tc>
        <w:tc>
          <w:tcPr>
            <w:tcW w:type="dxa" w:w="1728"/>
          </w:tcPr>
          <w:p>
            <w:r>
              <w:t>24.86%</w:t>
            </w:r>
          </w:p>
        </w:tc>
        <w:tc>
          <w:tcPr>
            <w:tcW w:type="dxa" w:w="1728"/>
          </w:tcPr>
          <w:p>
            <w:r>
              <w:t>ACHAT</w:t>
            </w:r>
          </w:p>
        </w:tc>
      </w:tr>
      <w:tr>
        <w:tc>
          <w:tcPr>
            <w:tcW w:type="dxa" w:w="1728"/>
          </w:tcPr>
          <w:p>
            <w:r>
              <w:t>BOAC (BANK OF AFRICA COTE D'IVOIRE)</w:t>
            </w:r>
          </w:p>
        </w:tc>
        <w:tc>
          <w:tcPr>
            <w:tcW w:type="dxa" w:w="1728"/>
          </w:tcPr>
          <w:p>
            <w:r>
              <w:t>10466</w:t>
            </w:r>
          </w:p>
        </w:tc>
        <w:tc>
          <w:tcPr>
            <w:tcW w:type="dxa" w:w="1728"/>
          </w:tcPr>
          <w:p>
            <w:r>
              <w:t>119486683 FCFA</w:t>
            </w:r>
          </w:p>
        </w:tc>
        <w:tc>
          <w:tcPr>
            <w:tcW w:type="dxa" w:w="1728"/>
          </w:tcPr>
          <w:p>
            <w:r>
              <w:t>30.50%</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SIVC (SIVC - ERIUM CI (Ex AIR LIQUIDECI))</w:t>
            </w:r>
          </w:p>
        </w:tc>
        <w:tc>
          <w:tcPr>
            <w:tcW w:type="dxa" w:w="1728"/>
          </w:tcPr>
          <w:p>
            <w:r>
              <w:t>3664</w:t>
            </w:r>
          </w:p>
        </w:tc>
        <w:tc>
          <w:tcPr>
            <w:tcW w:type="dxa" w:w="1728"/>
          </w:tcPr>
          <w:p>
            <w:r>
              <w:t>7606893 FCFA</w:t>
            </w:r>
          </w:p>
        </w:tc>
        <w:tc>
          <w:tcPr>
            <w:tcW w:type="dxa" w:w="1728"/>
          </w:tcPr>
          <w:p>
            <w:r>
              <w:t>-31.11%</w:t>
            </w:r>
          </w:p>
        </w:tc>
        <w:tc>
          <w:tcPr>
            <w:tcW w:type="dxa" w:w="1728"/>
          </w:tcPr>
          <w:p>
            <w:r>
              <w:t>ACHAT</w:t>
            </w:r>
          </w:p>
        </w:tc>
      </w:tr>
      <w:tr>
        <w:tc>
          <w:tcPr>
            <w:tcW w:type="dxa" w:w="1728"/>
          </w:tcPr>
          <w:p>
            <w:r>
              <w:t>ORGT (ORGT - ORAGROUP TOGO)</w:t>
            </w:r>
          </w:p>
        </w:tc>
        <w:tc>
          <w:tcPr>
            <w:tcW w:type="dxa" w:w="1728"/>
          </w:tcPr>
          <w:p>
            <w:r>
              <w:t>3118</w:t>
            </w:r>
          </w:p>
        </w:tc>
        <w:tc>
          <w:tcPr>
            <w:tcW w:type="dxa" w:w="1728"/>
          </w:tcPr>
          <w:p>
            <w:r>
              <w:t>9482651 FCFA</w:t>
            </w:r>
          </w:p>
        </w:tc>
        <w:tc>
          <w:tcPr>
            <w:tcW w:type="dxa" w:w="1728"/>
          </w:tcPr>
          <w:p>
            <w:r>
              <w:t>20.24%</w:t>
            </w:r>
          </w:p>
        </w:tc>
        <w:tc>
          <w:tcPr>
            <w:tcW w:type="dxa" w:w="1728"/>
          </w:tcPr>
          <w:p>
            <w:r>
              <w:t>ACHAT</w:t>
            </w:r>
          </w:p>
        </w:tc>
      </w:tr>
      <w:tr>
        <w:tc>
          <w:tcPr>
            <w:tcW w:type="dxa" w:w="1728"/>
          </w:tcPr>
          <w:p>
            <w:r>
              <w:t>FTSC (FTSC - FILTISAC COTE D'IVOIRE)</w:t>
            </w:r>
          </w:p>
        </w:tc>
        <w:tc>
          <w:tcPr>
            <w:tcW w:type="dxa" w:w="1728"/>
          </w:tcPr>
          <w:p>
            <w:r>
              <w:t>2982</w:t>
            </w:r>
          </w:p>
        </w:tc>
        <w:tc>
          <w:tcPr>
            <w:tcW w:type="dxa" w:w="1728"/>
          </w:tcPr>
          <w:p>
            <w:r>
              <w:t>5952438 FCFA</w:t>
            </w:r>
          </w:p>
        </w:tc>
        <w:tc>
          <w:tcPr>
            <w:tcW w:type="dxa" w:w="1728"/>
          </w:tcPr>
          <w:p>
            <w:r>
              <w:t>-20.76%</w:t>
            </w:r>
          </w:p>
        </w:tc>
        <w:tc>
          <w:tcPr>
            <w:tcW w:type="dxa" w:w="1728"/>
          </w:tcPr>
          <w:p>
            <w:r>
              <w:t>ACHAT</w:t>
            </w:r>
          </w:p>
        </w:tc>
      </w:tr>
      <w:tr>
        <w:tc>
          <w:tcPr>
            <w:tcW w:type="dxa" w:w="1728"/>
          </w:tcPr>
          <w:p>
            <w:r>
              <w:t>SOGC (SOGC - Société des caoutchoucs de Grand-Béréby)</w:t>
            </w:r>
          </w:p>
        </w:tc>
        <w:tc>
          <w:tcPr>
            <w:tcW w:type="dxa" w:w="1728"/>
          </w:tcPr>
          <w:p>
            <w:r>
              <w:t>2888</w:t>
            </w:r>
          </w:p>
        </w:tc>
        <w:tc>
          <w:tcPr>
            <w:tcW w:type="dxa" w:w="1728"/>
          </w:tcPr>
          <w:p>
            <w:r>
              <w:t>22756878 FCFA</w:t>
            </w:r>
          </w:p>
        </w:tc>
        <w:tc>
          <w:tcPr>
            <w:tcW w:type="dxa" w:w="1728"/>
          </w:tcPr>
          <w:p>
            <w:r>
              <w:t>8.05%</w:t>
            </w:r>
          </w:p>
        </w:tc>
        <w:tc>
          <w:tcPr>
            <w:tcW w:type="dxa" w:w="1728"/>
          </w:tcPr>
          <w:p>
            <w:r>
              <w:t>ACHAT</w:t>
            </w:r>
          </w:p>
        </w:tc>
      </w:tr>
      <w:tr>
        <w:tc>
          <w:tcPr>
            <w:tcW w:type="dxa" w:w="1728"/>
          </w:tcPr>
          <w:p>
            <w:r>
              <w:t>CFAC (CFAC - CFAO MOTORS CI)</w:t>
            </w:r>
          </w:p>
        </w:tc>
        <w:tc>
          <w:tcPr>
            <w:tcW w:type="dxa" w:w="1728"/>
          </w:tcPr>
          <w:p>
            <w:r>
              <w:t>2837</w:t>
            </w:r>
          </w:p>
        </w:tc>
        <w:tc>
          <w:tcPr>
            <w:tcW w:type="dxa" w:w="1728"/>
          </w:tcPr>
          <w:p>
            <w:r>
              <w:t>4494614 FCFA</w:t>
            </w:r>
          </w:p>
        </w:tc>
        <w:tc>
          <w:tcPr>
            <w:tcW w:type="dxa" w:w="1728"/>
          </w:tcPr>
          <w:p>
            <w:r>
              <w:t>-2.00%</w:t>
            </w:r>
          </w:p>
        </w:tc>
        <w:tc>
          <w:tcPr>
            <w:tcW w:type="dxa" w:w="1728"/>
          </w:tcPr>
          <w:p>
            <w:r>
              <w:t>ACHAT</w:t>
            </w:r>
          </w:p>
        </w:tc>
      </w:tr>
      <w:tr>
        <w:tc>
          <w:tcPr>
            <w:tcW w:type="dxa" w:w="1728"/>
          </w:tcPr>
          <w:p>
            <w:r>
              <w:t>ABJC (ABJC - SERVAIR ABIDJAN CI)</w:t>
            </w:r>
          </w:p>
        </w:tc>
        <w:tc>
          <w:tcPr>
            <w:tcW w:type="dxa" w:w="1728"/>
          </w:tcPr>
          <w:p>
            <w:r>
              <w:t>2680</w:t>
            </w:r>
          </w:p>
        </w:tc>
        <w:tc>
          <w:tcPr>
            <w:tcW w:type="dxa" w:w="1728"/>
          </w:tcPr>
          <w:p>
            <w:r>
              <w:t>10151677 FCFA</w:t>
            </w:r>
          </w:p>
        </w:tc>
        <w:tc>
          <w:tcPr>
            <w:tcW w:type="dxa" w:w="1728"/>
          </w:tcPr>
          <w:p>
            <w:r>
              <w:t>12.13%</w:t>
            </w:r>
          </w:p>
        </w:tc>
        <w:tc>
          <w:tcPr>
            <w:tcW w:type="dxa" w:w="1728"/>
          </w:tcPr>
          <w:p>
            <w:r>
              <w:t>ACHAT</w:t>
            </w:r>
          </w:p>
        </w:tc>
      </w:tr>
      <w:tr>
        <w:tc>
          <w:tcPr>
            <w:tcW w:type="dxa" w:w="1728"/>
          </w:tcPr>
          <w:p>
            <w:r>
              <w:t>STBC (STBC - SITAB COTE D'IVOIRE)</w:t>
            </w:r>
          </w:p>
        </w:tc>
        <w:tc>
          <w:tcPr>
            <w:tcW w:type="dxa" w:w="1728"/>
          </w:tcPr>
          <w:p>
            <w:r>
              <w:t>2648</w:t>
            </w:r>
          </w:p>
        </w:tc>
        <w:tc>
          <w:tcPr>
            <w:tcW w:type="dxa" w:w="1728"/>
          </w:tcPr>
          <w:p>
            <w:r>
              <w:t>57397440 FCFA</w:t>
            </w:r>
          </w:p>
        </w:tc>
        <w:tc>
          <w:tcPr>
            <w:tcW w:type="dxa" w:w="1728"/>
          </w:tcPr>
          <w:p>
            <w:r>
              <w:t>1.43%</w:t>
            </w:r>
          </w:p>
        </w:tc>
        <w:tc>
          <w:tcPr>
            <w:tcW w:type="dxa" w:w="1728"/>
          </w:tcPr>
          <w:p>
            <w:r>
              <w:t>ACHAT</w:t>
            </w:r>
          </w:p>
        </w:tc>
      </w:tr>
      <w:tr>
        <w:tc>
          <w:tcPr>
            <w:tcW w:type="dxa" w:w="1728"/>
          </w:tcPr>
          <w:p>
            <w:r>
              <w:t>ECOC (ECOC - ECOBANK COTE D'IVOIRE)</w:t>
            </w:r>
          </w:p>
        </w:tc>
        <w:tc>
          <w:tcPr>
            <w:tcW w:type="dxa" w:w="1728"/>
          </w:tcPr>
          <w:p>
            <w:r>
              <w:t>2638</w:t>
            </w:r>
          </w:p>
        </w:tc>
        <w:tc>
          <w:tcPr>
            <w:tcW w:type="dxa" w:w="1728"/>
          </w:tcPr>
          <w:p>
            <w:r>
              <w:t>44672745 FCFA</w:t>
            </w:r>
          </w:p>
        </w:tc>
        <w:tc>
          <w:tcPr>
            <w:tcW w:type="dxa" w:w="1728"/>
          </w:tcPr>
          <w:p>
            <w:r>
              <w:t>3.07%</w:t>
            </w:r>
          </w:p>
        </w:tc>
        <w:tc>
          <w:tcPr>
            <w:tcW w:type="dxa" w:w="1728"/>
          </w:tcPr>
          <w:p>
            <w:r>
              <w:t>ACHAT</w:t>
            </w:r>
          </w:p>
        </w:tc>
      </w:tr>
      <w:tr>
        <w:tc>
          <w:tcPr>
            <w:tcW w:type="dxa" w:w="1728"/>
          </w:tcPr>
          <w:p>
            <w:r>
              <w:t>NEIC (NEIC - NEI-CEDA CI)</w:t>
            </w:r>
          </w:p>
        </w:tc>
        <w:tc>
          <w:tcPr>
            <w:tcW w:type="dxa" w:w="1728"/>
          </w:tcPr>
          <w:p>
            <w:r>
              <w:t>2506</w:t>
            </w:r>
          </w:p>
        </w:tc>
        <w:tc>
          <w:tcPr>
            <w:tcW w:type="dxa" w:w="1728"/>
          </w:tcPr>
          <w:p>
            <w:r>
              <w:t>5883082 FCFA</w:t>
            </w:r>
          </w:p>
        </w:tc>
        <w:tc>
          <w:tcPr>
            <w:tcW w:type="dxa" w:w="1728"/>
          </w:tcPr>
          <w:p>
            <w:r>
              <w:t>10.82%</w:t>
            </w:r>
          </w:p>
        </w:tc>
        <w:tc>
          <w:tcPr>
            <w:tcW w:type="dxa" w:w="1728"/>
          </w:tcPr>
          <w:p>
            <w:r>
              <w:t>ACHAT</w:t>
            </w:r>
          </w:p>
        </w:tc>
      </w:tr>
      <w:tr>
        <w:tc>
          <w:tcPr>
            <w:tcW w:type="dxa" w:w="1728"/>
          </w:tcPr>
          <w:p>
            <w:r>
              <w:t>BNBC (BNBC - BERNABE CI)</w:t>
            </w:r>
          </w:p>
        </w:tc>
        <w:tc>
          <w:tcPr>
            <w:tcW w:type="dxa" w:w="1728"/>
          </w:tcPr>
          <w:p>
            <w:r>
              <w:t>2486</w:t>
            </w:r>
          </w:p>
        </w:tc>
        <w:tc>
          <w:tcPr>
            <w:tcW w:type="dxa" w:w="1728"/>
          </w:tcPr>
          <w:p>
            <w:r>
              <w:t>4891247 FCFA</w:t>
            </w:r>
          </w:p>
        </w:tc>
        <w:tc>
          <w:tcPr>
            <w:tcW w:type="dxa" w:w="1728"/>
          </w:tcPr>
          <w:p>
            <w:r>
              <w:t>16.50%</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BOAC - BANK OF AFRICA COTE D'IVOIRE</w:t>
      </w:r>
    </w:p>
    <w:p>
      <w:r>
        <w:rPr>
          <w:b/>
        </w:rPr>
        <w:t xml:space="preserve">Score de divergence: </w:t>
      </w:r>
      <w:r>
        <w:t>5/8</w:t>
        <w:br/>
      </w:r>
      <w:r>
        <w:rPr>
          <w:b/>
        </w:rPr>
        <w:t xml:space="preserve">Description: </w:t>
      </w:r>
      <w:r>
        <w:t>Signaux de vente: MM, MACD | Recommandation finale: ACHAT</w:t>
        <w:br/>
      </w:r>
    </w:p>
    <w:p/>
    <w:p>
      <w:pPr>
        <w:pStyle w:val="Heading3"/>
      </w:pPr>
      <w:r>
        <w:t>2. BOAN - BANK OF AFRICA NIGER</w:t>
      </w:r>
    </w:p>
    <w:p>
      <w:r>
        <w:rPr>
          <w:b/>
        </w:rPr>
        <w:t xml:space="preserve">Score de divergence: </w:t>
      </w:r>
      <w:r>
        <w:t>5/8</w:t>
        <w:br/>
      </w:r>
      <w:r>
        <w:rPr>
          <w:b/>
        </w:rPr>
        <w:t xml:space="preserve">Description: </w:t>
      </w:r>
      <w:r>
        <w:t>Signaux de vente: MM, MACD | Recommandation finale: ACHAT</w:t>
        <w:br/>
      </w:r>
    </w:p>
    <w:p/>
    <w:p>
      <w:pPr>
        <w:pStyle w:val="Heading3"/>
      </w:pPr>
      <w:r>
        <w:t>3. ORGT - ORGT - ORAGROUP TOGO</w:t>
      </w:r>
    </w:p>
    <w:p>
      <w:r>
        <w:rPr>
          <w:b/>
        </w:rPr>
        <w:t xml:space="preserve">Score de divergence: </w:t>
      </w:r>
      <w:r>
        <w:t>5/8</w:t>
        <w:br/>
      </w:r>
      <w:r>
        <w:rPr>
          <w:b/>
        </w:rPr>
        <w:t xml:space="preserve">Description: </w:t>
      </w:r>
      <w:r>
        <w:t>Signaux de vente: MM, MACD | Recommandation finale: ACHAT</w:t>
        <w:br/>
      </w:r>
    </w:p>
    <w:p/>
    <w:p>
      <w:pPr>
        <w:pStyle w:val="Heading3"/>
      </w:pPr>
      <w:r>
        <w:t>4. SMBC - SMBC - Société Multinationale de Bitumes COTE D'IVOIRE</w:t>
      </w:r>
    </w:p>
    <w:p>
      <w:r>
        <w:rPr>
          <w:b/>
        </w:rPr>
        <w:t xml:space="preserve">Score de divergence: </w:t>
      </w:r>
      <w:r>
        <w:t>5/8</w:t>
        <w:br/>
      </w:r>
      <w:r>
        <w:rPr>
          <w:b/>
        </w:rPr>
        <w:t xml:space="preserve">Description: </w:t>
      </w:r>
      <w:r>
        <w:t>Signaux de vente: MM, MACD | Recommandation finale: ACHAT</w:t>
        <w:br/>
      </w:r>
    </w:p>
    <w:p/>
    <w:p>
      <w:pPr>
        <w:pStyle w:val="Heading3"/>
      </w:pPr>
      <w:r>
        <w:t>5. BNBC - BNBC - BERNABE CI</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6. CABC - CABC - SICABLE COTE D'IVOIRE</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7. CFAC - CFAC - CFAO MOTORS CI</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8. FTSC - FTSC - FILTISAC COTE D'IVOIRE</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9. ORAC - ORAC - ORANGE COTE D'IVOIRE</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10. SAFC - SAFCA CI</w:t>
      </w:r>
    </w:p>
    <w:p>
      <w:r>
        <w:rPr>
          <w:b/>
        </w:rPr>
        <w:t xml:space="preserve">Score de divergence: </w:t>
      </w:r>
      <w:r>
        <w:t>4/8</w:t>
        <w:br/>
      </w:r>
      <w:r>
        <w:rPr>
          <w:b/>
        </w:rPr>
        <w:t xml:space="preserve">Description: </w:t>
      </w:r>
      <w:r>
        <w:t>Signaux d'achat: Stochastique | Signaux de vente: MM, MACD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28</w:t>
            </w:r>
          </w:p>
        </w:tc>
        <w:tc>
          <w:tcPr>
            <w:tcW w:type="dxa" w:w="2160"/>
          </w:tcPr>
          <w:p>
            <w:r>
              <w:t>0</w:t>
            </w:r>
          </w:p>
        </w:tc>
      </w:tr>
      <w:tr>
        <w:tc>
          <w:tcPr>
            <w:tcW w:type="dxa" w:w="2160"/>
          </w:tcPr>
          <w:p>
            <w:r>
              <w:t>Risque Moyen</w:t>
            </w:r>
          </w:p>
        </w:tc>
        <w:tc>
          <w:tcPr>
            <w:tcW w:type="dxa" w:w="2160"/>
          </w:tcPr>
          <w:p>
            <w:r>
              <w:t>0</w:t>
            </w:r>
          </w:p>
        </w:tc>
        <w:tc>
          <w:tcPr>
            <w:tcW w:type="dxa" w:w="2160"/>
          </w:tcPr>
          <w:p>
            <w:r>
              <w:t>20</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BBGC (BRIDGE BANK GROUP COTE D'IVOIRE)</w:t>
      </w:r>
    </w:p>
    <w:p>
      <w:pPr>
        <w:pStyle w:val="ListBullet"/>
      </w:pPr>
      <w:r>
        <w:t>• BNBC (BNBC - BERNABE CI)</w:t>
      </w:r>
    </w:p>
    <w:p>
      <w:pPr>
        <w:pStyle w:val="ListBullet"/>
      </w:pPr>
      <w:r>
        <w:t>• BOAB (BANK OF AFRICA BENIN)</w:t>
      </w:r>
    </w:p>
    <w:p>
      <w:pPr>
        <w:pStyle w:val="ListBullet"/>
      </w:pPr>
      <w:r>
        <w:t>• BOAC (BANK OF AFRICA COTE D'IVOIRE)</w:t>
      </w:r>
    </w:p>
    <w:p>
      <w:pPr>
        <w:pStyle w:val="ListBullet"/>
      </w:pPr>
      <w:r>
        <w:t>• BOAS (BANK OF AFRICA SENEGAL)</w:t>
      </w:r>
    </w:p>
    <w:p>
      <w:pPr>
        <w:pStyle w:val="ListBullet"/>
      </w:pPr>
      <w:r>
        <w:t>• CABC (CABC - SICABLE COTE D'IVOIRE)</w:t>
      </w:r>
    </w:p>
    <w:p>
      <w:pPr>
        <w:pStyle w:val="ListBullet"/>
      </w:pPr>
      <w:r>
        <w:t>• CFAC (CFAC - CFAO MOTORS CI)</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PALC (PALC - PALM COTE D'IVOIRE)</w:t>
      </w:r>
    </w:p>
    <w:p>
      <w:pPr>
        <w:pStyle w:val="ListBullet"/>
      </w:pPr>
      <w:r>
        <w:t>• SDCC (SDCC - Société de Distribution d'Eau de Côte d'Ivoire)</w:t>
      </w:r>
    </w:p>
    <w:p>
      <w:pPr>
        <w:pStyle w:val="ListBullet"/>
      </w:pPr>
      <w:r>
        <w:t>• SEMC (SEMC - EVIOSYS PACKAGING SIEM CI)</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SMBC (SMBC - Société Multinationale de Bitumes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TTLC (TTLC - TOTAL ENERGIES MARKETING COTE D'IVOIRE)</w:t>
      </w:r>
    </w:p>
    <w:p>
      <w:pPr>
        <w:pStyle w:val="ListBullet"/>
      </w:pPr>
      <w:r>
        <w:t>• TTLS (TTLS - TOTAL ENERGIES MARKETING SENEGAL)</w:t>
      </w:r>
    </w:p>
    <w:p/>
    <w:p>
      <w:pPr>
        <w:pStyle w:val="Heading3"/>
      </w:pPr>
      <w:r>
        <w:t>🟡 Risque Moyen - Moyen Terme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BOABF (BANK OF AFRICA BURKINA FASO)</w:t>
      </w:r>
    </w:p>
    <w:p>
      <w:pPr>
        <w:pStyle w:val="ListBullet"/>
      </w:pPr>
      <w:r>
        <w:t>• BOAM (BANK OF AFRICA MALI)</w:t>
      </w:r>
    </w:p>
    <w:p>
      <w:pPr>
        <w:pStyle w:val="ListBullet"/>
      </w:pPr>
      <w:r>
        <w:t>• BOAN (BANK OF AFRICA NIGER)</w:t>
      </w:r>
    </w:p>
    <w:p>
      <w:pPr>
        <w:pStyle w:val="ListBullet"/>
      </w:pPr>
      <w:r>
        <w:t>• CBIBF (CBIBF - CORIS BANK INTERNATIONAL BURKINA FASO)</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ORAC (ORAC - ORANGE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SDSC (SDSC - AFRICA GLOBAL LOGISTICS CI)</w:t>
      </w:r>
    </w:p>
    <w:p>
      <w:pPr>
        <w:pStyle w:val="ListBullet"/>
      </w:pPr>
      <w:r>
        <w:t>• SICC (SICC - SICOR COTE D'IVOIRE)</w:t>
      </w:r>
    </w:p>
    <w:p>
      <w:pPr>
        <w:pStyle w:val="ListBullet"/>
      </w:pPr>
      <w:r>
        <w:t>• SNTS (SNTS - SONATEL SN)</w:t>
      </w:r>
    </w:p>
    <w:p>
      <w:pPr>
        <w:pStyle w:val="ListBullet"/>
      </w:pPr>
      <w:r>
        <w:t>• STAC (STAC - SETAO COTE D'IVOIRE)</w:t>
      </w:r>
    </w:p>
    <w:p>
      <w:pPr>
        <w:pStyle w:val="ListBullet"/>
      </w:pPr>
      <w:r>
        <w:t>• UNLC (UNLC - UNILEVER COTE D'IVOIRE)</w:t>
      </w:r>
    </w:p>
    <w:p>
      <w:pPr>
        <w:pStyle w:val="ListBullet"/>
      </w:pPr>
      <w:r>
        <w:t>• UNXC (UNXC - UNIWAX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pStyle w:val="ListBullet"/>
        <w:spacing w:before="20" w:after="20"/>
        <w:ind w:left="360"/>
      </w:pPr>
      <w:r>
        <w:rPr>
          <w:color w:val="C00000"/>
          <w:sz w:val="18"/>
        </w:rPr>
        <w:t>**BCE / dette française (10/10)** : risque de crise de dette en France, la BCE disposerait de trois types d'interventions. Signal négatif pour la zone euro.</w:t>
      </w:r>
    </w:p>
    <w:p>
      <w:pPr>
        <w:pStyle w:val="ListBullet"/>
        <w:spacing w:before="20" w:after="20"/>
        <w:ind w:left="360"/>
      </w:pPr>
      <w:r>
        <w:rPr>
          <w:sz w:val="18"/>
        </w:rPr>
        <w:t>**Marchés obligataires zone euro (08/10)** : signaux alarmants de récession face au ralentissement économique.</w:t>
      </w:r>
    </w:p>
    <w:p>
      <w:pPr>
        <w:pStyle w:val="ListBullet"/>
        <w:spacing w:before="20" w:after="20"/>
        <w:ind w:left="360"/>
      </w:pPr>
      <w:r>
        <w:rPr>
          <w:color w:val="008000"/>
          <w:sz w:val="18"/>
        </w:rPr>
        <w:t>**Matières premières tokenisées (05/10)** : volumes dépassant l'or, émergence de nouveaux instruments (prêt, pétrole). Sentiment positif pour la liquidité alternative.</w:t>
      </w:r>
    </w:p>
    <w:p>
      <w:pPr>
        <w:pStyle w:val="ListBullet"/>
        <w:spacing w:before="20" w:after="20"/>
        <w:ind w:left="360"/>
      </w:pPr>
      <w:r>
        <w:rPr>
          <w:sz w:val="18"/>
        </w:rPr>
        <w:t>**FMI/Banque mondiale Bangkok (11/10)** : focus dette et inflation, notamment pour l'Afrique.</w:t>
      </w:r>
    </w:p>
    <w:p>
      <w:pPr>
        <w:pStyle w:val="Heading3"/>
      </w:pPr>
      <w:r>
        <w:rPr>
          <w:color w:val="500050"/>
        </w:rPr>
        <w:t>⚡ Impact estimé sur la BRVM</w:t>
      </w:r>
    </w:p>
    <w:p>
      <w:pPr>
        <w:spacing w:before="20" w:after="40"/>
        <w:ind w:left="280"/>
      </w:pPr>
      <w:r>
        <w:rPr>
          <w:i/>
          <w:sz w:val="18"/>
        </w:rPr>
        <w:t>Zone euro sous tension = risque de contagion via le FCFA (parité fixe EUR/XOF). Pression baissière possible sur les valorisations bancaires (**SGBC, BICB, BOAS, NSBC, ECOC**) en cas de resserrement du crédit. Les matières premières tokenisées n'ont pas d'impact direct mais signalent une innovation de marché à surveiller.</w:t>
      </w:r>
    </w:p>
    <w:p>
      <w:pPr>
        <w:pStyle w:val="Heading2"/>
      </w:pPr>
      <w:r>
        <w:rPr>
          <w:color w:val="006E32"/>
        </w:rPr>
        <w:t>🌍 Plan Africain</w:t>
      </w:r>
    </w:p>
    <w:p>
      <w:pPr>
        <w:pStyle w:val="ListBullet"/>
        <w:spacing w:before="20" w:after="20"/>
        <w:ind w:left="360"/>
      </w:pPr>
      <w:r>
        <w:rPr>
          <w:sz w:val="18"/>
        </w:rPr>
        <w:t>**Croissance solide mais défi d'investissement (01/10)** : l'Afrique affiche une croissance robuste, freinée par le sous-investissement.</w:t>
      </w:r>
    </w:p>
    <w:p>
      <w:pPr>
        <w:pStyle w:val="ListBullet"/>
        <w:spacing w:before="20" w:after="20"/>
        <w:ind w:left="360"/>
      </w:pPr>
      <w:r>
        <w:rPr>
          <w:sz w:val="18"/>
        </w:rPr>
        <w:t>**FMI/BM Bangkok (11/10)** : dette et inflation au cœur des préoccupations africaines.</w:t>
      </w:r>
    </w:p>
    <w:p>
      <w:pPr>
        <w:pStyle w:val="ListBullet"/>
        <w:spacing w:before="20" w:after="20"/>
        <w:ind w:left="360"/>
      </w:pPr>
      <w:r>
        <w:rPr>
          <w:color w:val="008000"/>
          <w:sz w:val="18"/>
        </w:rPr>
        <w:t>**CEDEAO-FMI/BM (06/10)** : renforcement du partenariat institutionnel, signal positif.</w:t>
      </w:r>
    </w:p>
    <w:p>
      <w:pPr>
        <w:pStyle w:val="Heading3"/>
      </w:pPr>
      <w:r>
        <w:rPr>
          <w:color w:val="500050"/>
        </w:rPr>
        <w:t>⚡ Impact estimé sur la BRVM</w:t>
      </w:r>
    </w:p>
    <w:p>
      <w:pPr>
        <w:spacing w:before="20" w:after="40"/>
        <w:ind w:left="280"/>
      </w:pPr>
      <w:r>
        <w:rPr>
          <w:i/>
          <w:sz w:val="18"/>
        </w:rPr>
        <w:t>Perspective de croissance régionale favorable aux sociétés panafricaines cotées (**ONTBF, SNTS** télécoms ; **BOAS, ECOC** banques). Le défi d'investissement limite toutefois les expansions capex des industriels (**STAC, SITC**).</w:t>
      </w:r>
    </w:p>
    <w:p>
      <w:pPr>
        <w:pStyle w:val="Heading2"/>
      </w:pPr>
      <w:r>
        <w:rPr>
          <w:color w:val="145A28"/>
        </w:rPr>
        <w:t>🌍 Plan Afrique de l'Ouest</w:t>
      </w:r>
    </w:p>
    <w:p>
      <w:pPr>
        <w:pStyle w:val="ListBullet"/>
        <w:spacing w:before="20" w:after="20"/>
        <w:ind w:left="360"/>
      </w:pPr>
      <w:r>
        <w:rPr>
          <w:sz w:val="18"/>
        </w:rPr>
        <w:t>**FEWACCI (09/10)** : élection de Mamadou Baldé (3ᵉ VP) et entrée de la Chambre de commerce de Guinée — dynamisme institutionnel régional.</w:t>
      </w:r>
    </w:p>
    <w:p>
      <w:pPr>
        <w:pStyle w:val="ListBullet"/>
        <w:spacing w:before="20" w:after="20"/>
        <w:ind w:left="360"/>
      </w:pPr>
      <w:r>
        <w:rPr>
          <w:color w:val="C00000"/>
          <w:sz w:val="18"/>
        </w:rPr>
        <w:t>**Guinée-Bissau (09/10)** : tensions politiques, appel CEDEAO au dialogue — risque pays.</w:t>
      </w:r>
    </w:p>
    <w:p>
      <w:pPr>
        <w:pStyle w:val="Heading3"/>
      </w:pPr>
      <w:r>
        <w:rPr>
          <w:color w:val="500050"/>
        </w:rPr>
        <w:t>⚡ Impact estimé sur la BRVM</w:t>
      </w:r>
    </w:p>
    <w:p>
      <w:pPr>
        <w:spacing w:before="20" w:after="40"/>
        <w:ind w:left="280"/>
      </w:pPr>
      <w:r>
        <w:rPr>
          <w:i/>
          <w:sz w:val="18"/>
        </w:rPr>
        <w:t>Renforcement des chambres de commerce = facilitation des échanges pour les sociétés de distribution (**ABJC, PRSC, NEIC**). Le risque bissau-guinéen reste marginal pour la cote (peu d'exposition directe).</w:t>
      </w:r>
    </w:p>
    <w:p>
      <w:pPr>
        <w:pStyle w:val="Heading2"/>
      </w:pPr>
      <w:r>
        <w:rPr>
          <w:color w:val="8C4600"/>
        </w:rPr>
        <w:t>🏦 Plan UEMOA / Zone Franc</w:t>
      </w:r>
    </w:p>
    <w:p>
      <w:pPr>
        <w:spacing w:before="20" w:after="40"/>
        <w:ind w:left="0"/>
      </w:pPr>
      <w:r>
        <w:rPr>
          <w:sz w:val="18"/>
        </w:rPr>
        <w:t>Données insuffisantes sur décisions BCEAO, inflation zone, liquidité bancaire ou matières premières (cacao, caoutchouc) dans le corpus fourni.</w:t>
      </w:r>
    </w:p>
    <w:p>
      <w:pPr>
        <w:pStyle w:val="Heading3"/>
      </w:pPr>
      <w:r>
        <w:rPr>
          <w:color w:val="500050"/>
        </w:rPr>
        <w:t>⚡ Impact estimé sur la BRVM</w:t>
      </w:r>
    </w:p>
    <w:p>
      <w:pPr>
        <w:spacing w:before="20" w:after="40"/>
        <w:ind w:left="280"/>
      </w:pPr>
      <w:r>
        <w:rPr>
          <w:i/>
          <w:sz w:val="18"/>
        </w:rPr>
        <w:t>Sans données BCEAO, difficile d'anticiper l'impact taux. À surveiller : toute hausse du taux directeur pénaliserait **SGBC, BICB, BOAS** (coût du risque) mais soutiendrait leurs marges d'intérêt.</w:t>
      </w:r>
    </w:p>
    <w:p>
      <w:pPr>
        <w:pStyle w:val="Heading2"/>
      </w:pPr>
      <w:r>
        <w:rPr>
          <w:color w:val="003366"/>
        </w:rPr>
        <w:t>📈 Plan BRVM</w:t>
      </w:r>
    </w:p>
    <w:p>
      <w:pPr>
        <w:pStyle w:val="ListBullet"/>
        <w:spacing w:before="20" w:after="20"/>
        <w:ind w:left="360"/>
      </w:pPr>
      <w:r>
        <w:rPr>
          <w:color w:val="008000"/>
          <w:sz w:val="18"/>
        </w:rPr>
        <w:t>**Résultats encourageants des sociétés ivoiriennes (09/06)** : signal positif sur les fondamentaux des émetteurs.</w:t>
      </w:r>
    </w:p>
    <w:p>
      <w:pPr>
        <w:pStyle w:val="ListBullet"/>
        <w:spacing w:before="20" w:after="20"/>
        <w:ind w:left="360"/>
      </w:pPr>
      <w:r>
        <w:rPr>
          <w:sz w:val="18"/>
        </w:rPr>
        <w:t>Indice BRVM Composite : **546.86**.</w:t>
      </w:r>
    </w:p>
    <w:p>
      <w:pPr>
        <w:pStyle w:val="Heading3"/>
      </w:pPr>
      <w:r>
        <w:rPr>
          <w:color w:val="500050"/>
        </w:rPr>
        <w:t>⚡ Impact estimé sur la BRVM</w:t>
      </w:r>
    </w:p>
    <w:p>
      <w:pPr>
        <w:spacing w:before="20" w:after="40"/>
        <w:ind w:left="280"/>
      </w:pPr>
      <w:r>
        <w:rPr>
          <w:i/>
          <w:sz w:val="18"/>
        </w:rPr>
        <w:t>Bonne dynamique fondamentale à confirmer. Recommandations : **SGBC/BICB** (secteur financier, résultats solides) — conserver ; **PALC/SCRC** (consommation de base, défensif) — accumuler sur repli ; **ONTBF/SNTS** (télécoms, cash-flows stables) — conserver ; **STAC** (industriel) — surveiller les capex.</w:t>
      </w:r>
    </w:p>
    <w:p>
      <w:pPr>
        <w:spacing w:before="20" w:after="40"/>
        <w:ind w:left="280"/>
      </w:pPr>
      <w:r>
        <w:rPr>
          <w:i/>
          <w:sz w:val="18"/>
        </w:rPr>
        <w:t>---</w:t>
      </w:r>
    </w:p>
    <w:p>
      <w:pPr>
        <w:pStyle w:val="Heading1"/>
      </w:pPr>
      <w:r>
        <w:rPr>
          <w:color w:val="8C0000"/>
        </w:rPr>
        <w:t>🏛️ 2. ACTUALITÉS POLITIQUES &amp; GÉOPOLITIQUES</w:t>
      </w:r>
    </w:p>
    <w:p>
      <w:pPr>
        <w:pStyle w:val="Heading2"/>
      </w:pPr>
      <w:r>
        <w:rPr>
          <w:color w:val="00467F"/>
        </w:rPr>
        <w:t>🌐 Plan Mondial</w:t>
      </w:r>
    </w:p>
    <w:p>
      <w:pPr>
        <w:pStyle w:val="ListBullet"/>
        <w:spacing w:before="20" w:after="20"/>
        <w:ind w:left="360"/>
      </w:pPr>
      <w:r>
        <w:rPr>
          <w:sz w:val="18"/>
        </w:rPr>
        <w:t>**Crise dette France / BCE (10/10)** : incertitude politique et budgétaire majeure en zone euro.</w:t>
      </w:r>
    </w:p>
    <w:p>
      <w:pPr>
        <w:pStyle w:val="ListBullet"/>
        <w:spacing w:before="20" w:after="20"/>
        <w:ind w:left="360"/>
      </w:pPr>
      <w:r>
        <w:rPr>
          <w:sz w:val="18"/>
        </w:rPr>
        <w:t>**Récession zone euro (08/10)** : signaux obligataires préoccupants.</w:t>
      </w:r>
    </w:p>
    <w:p>
      <w:pPr>
        <w:pStyle w:val="Heading3"/>
      </w:pPr>
      <w:r>
        <w:rPr>
          <w:color w:val="500050"/>
        </w:rPr>
        <w:t>⚡ Impact estimé sur la BRVM</w:t>
      </w:r>
    </w:p>
    <w:p>
      <w:pPr>
        <w:spacing w:before="20" w:after="40"/>
        <w:ind w:left="280"/>
      </w:pPr>
      <w:r>
        <w:rPr>
          <w:i/>
          <w:sz w:val="18"/>
        </w:rPr>
        <w:t>Aversion au risque globale = possibles sorties de capitaux des marchés frontières. Les investisseurs institutionnels pourraient réduire leur exposition BRVM au profit d'actifs refuges.</w:t>
      </w:r>
    </w:p>
    <w:p>
      <w:pPr>
        <w:pStyle w:val="Heading2"/>
      </w:pPr>
      <w:r>
        <w:rPr>
          <w:color w:val="006E32"/>
        </w:rPr>
        <w:t>🌍 Plan Africain</w:t>
      </w:r>
    </w:p>
    <w:p>
      <w:pPr>
        <w:pStyle w:val="ListBullet"/>
        <w:spacing w:before="20" w:after="20"/>
        <w:ind w:left="360"/>
      </w:pPr>
      <w:r>
        <w:rPr>
          <w:sz w:val="18"/>
        </w:rPr>
        <w:t>**Mali (11/10)** : réconciliation nationale, hommes de l'ombre du général Wagué — transition politique en cours.</w:t>
      </w:r>
    </w:p>
    <w:p>
      <w:pPr>
        <w:pStyle w:val="ListBullet"/>
        <w:spacing w:before="20" w:after="20"/>
        <w:ind w:left="360"/>
      </w:pPr>
      <w:r>
        <w:rPr>
          <w:sz w:val="18"/>
        </w:rPr>
        <w:t>**Guinée-Bissau (09/10)** : blocage parlementaire, tensions institutionnelles.</w:t>
      </w:r>
    </w:p>
    <w:p>
      <w:pPr>
        <w:pStyle w:val="Heading3"/>
      </w:pPr>
      <w:r>
        <w:rPr>
          <w:color w:val="500050"/>
        </w:rPr>
        <w:t>⚡ Impact estimé sur la BRVM</w:t>
      </w:r>
    </w:p>
    <w:p>
      <w:pPr>
        <w:spacing w:before="20" w:after="40"/>
        <w:ind w:left="280"/>
      </w:pPr>
      <w:r>
        <w:rPr>
          <w:i/>
          <w:sz w:val="18"/>
        </w:rPr>
        <w:t>Instabilité au Mali et en Guinée-Bissau = risque de fuite des capitaux régionaux vers Abidjan (place refuge). Effet potentiellement positif sur la liquidité BRVM.</w:t>
      </w:r>
    </w:p>
    <w:p>
      <w:pPr>
        <w:pStyle w:val="Heading2"/>
      </w:pPr>
      <w:r>
        <w:rPr>
          <w:color w:val="145A28"/>
        </w:rPr>
        <w:t>🌍 Plan Afrique de l'Ouest</w:t>
      </w:r>
    </w:p>
    <w:p>
      <w:pPr>
        <w:pStyle w:val="ListBullet"/>
        <w:spacing w:before="20" w:after="20"/>
        <w:ind w:left="360"/>
      </w:pPr>
      <w:r>
        <w:rPr>
          <w:sz w:val="18"/>
        </w:rPr>
        <w:t>**Guinée-Bissau (09/10)** : appel CEDEAO au dialogue, vote bloqué.</w:t>
      </w:r>
    </w:p>
    <w:p>
      <w:pPr>
        <w:pStyle w:val="ListBullet"/>
        <w:spacing w:before="20" w:after="20"/>
        <w:ind w:left="360"/>
      </w:pPr>
      <w:r>
        <w:rPr>
          <w:sz w:val="18"/>
        </w:rPr>
        <w:t>**Sénégal (09/10)** : appel à l'apaisement politique bissau-guinéen — diplomatie active.</w:t>
      </w:r>
    </w:p>
    <w:p>
      <w:pPr>
        <w:pStyle w:val="Heading3"/>
      </w:pPr>
      <w:r>
        <w:rPr>
          <w:color w:val="500050"/>
        </w:rPr>
        <w:t>⚡ Impact estimé sur la BRVM</w:t>
      </w:r>
    </w:p>
    <w:p>
      <w:pPr>
        <w:spacing w:before="20" w:after="40"/>
        <w:ind w:left="280"/>
      </w:pPr>
      <w:r>
        <w:rPr>
          <w:i/>
          <w:sz w:val="18"/>
        </w:rPr>
        <w:t>Risque contenu pour les sociétés cotées (exposition limitée à la Guinée-Bissau). **SNTS, ONTBF** (télécoms régionaux) peu affectés.</w:t>
      </w:r>
    </w:p>
    <w:p>
      <w:pPr>
        <w:pStyle w:val="Heading2"/>
      </w:pPr>
      <w:r>
        <w:rPr>
          <w:color w:val="8C4600"/>
        </w:rPr>
        <w:t>🏦 Plan UEMOA / Zone Franc</w:t>
      </w:r>
    </w:p>
    <w:p>
      <w:pPr>
        <w:pStyle w:val="ListBullet"/>
        <w:spacing w:before="20" w:after="20"/>
        <w:ind w:left="360"/>
      </w:pPr>
      <w:r>
        <w:rPr>
          <w:sz w:val="18"/>
        </w:rPr>
        <w:t>**Maroc-Sénégal TAS (09/10)** : litige sportif, sans impact économique direct.</w:t>
      </w:r>
    </w:p>
    <w:p>
      <w:pPr>
        <w:pStyle w:val="ListBullet"/>
        <w:spacing w:before="20" w:after="20"/>
        <w:ind w:left="360"/>
      </w:pPr>
      <w:r>
        <w:rPr>
          <w:sz w:val="18"/>
        </w:rPr>
        <w:t>**Mali (11/10)** : réconciliation nationale, situation politique à surveiller.</w:t>
      </w:r>
    </w:p>
    <w:p>
      <w:pPr>
        <w:pStyle w:val="Heading3"/>
      </w:pPr>
      <w:r>
        <w:rPr>
          <w:color w:val="500050"/>
        </w:rPr>
        <w:t>⚡ Impact estimé sur la BRVM</w:t>
      </w:r>
    </w:p>
    <w:p>
      <w:pPr>
        <w:spacing w:before="20" w:after="40"/>
        <w:ind w:left="280"/>
      </w:pPr>
      <w:r>
        <w:rPr>
          <w:i/>
          <w:sz w:val="18"/>
        </w:rPr>
        <w:t>Pas de risque réglementaire direct identifié. Stabilité ivoirienne et sénégalaise = socle favorable pour la cote.</w:t>
      </w:r>
    </w:p>
    <w:p>
      <w:pPr>
        <w:pStyle w:val="Heading2"/>
      </w:pPr>
      <w:r>
        <w:rPr>
          <w:color w:val="003366"/>
        </w:rPr>
        <w:t>📈 Plan BRVM</w:t>
      </w:r>
    </w:p>
    <w:p>
      <w:pPr>
        <w:spacing w:before="20" w:after="40"/>
        <w:ind w:left="0"/>
      </w:pPr>
      <w:r>
        <w:rPr>
          <w:sz w:val="18"/>
        </w:rPr>
        <w:t>Données insuffisantes sur réglementation CREPMF, nouvelles cotations ou gouvernance.</w:t>
      </w:r>
    </w:p>
    <w:p>
      <w:pPr>
        <w:pStyle w:val="Heading3"/>
      </w:pPr>
      <w:r>
        <w:rPr>
          <w:color w:val="500050"/>
        </w:rPr>
        <w:t>⚡ Impact estimé sur la BRVM</w:t>
      </w:r>
    </w:p>
    <w:p>
      <w:pPr>
        <w:spacing w:before="20" w:after="40"/>
        <w:ind w:left="280"/>
      </w:pPr>
      <w:r>
        <w:rPr>
          <w:i/>
          <w:sz w:val="18"/>
        </w:rPr>
        <w:t>Aucune décision réglementaire signalée. Maintenir la vigilance sur d'éventuelles annonces CREPMF.</w:t>
      </w:r>
    </w:p>
    <w:p>
      <w:pPr>
        <w:spacing w:before="20" w:after="40"/>
        <w:ind w:left="280"/>
      </w:pPr>
      <w:r>
        <w:rPr>
          <w:i/>
          <w:sz w:val="18"/>
        </w:rPr>
        <w:t>---</w:t>
      </w:r>
    </w:p>
    <w:p>
      <w:pPr>
        <w:pStyle w:val="Heading1"/>
      </w:pPr>
      <w:r>
        <w:rPr>
          <w:color w:val="006428"/>
        </w:rPr>
        <w:t>💹 3. ACTUALITÉS FINANCIÈRES &amp; MARCHÉS</w:t>
      </w:r>
    </w:p>
    <w:p>
      <w:pPr>
        <w:pStyle w:val="Heading2"/>
      </w:pPr>
      <w:r>
        <w:rPr>
          <w:color w:val="00467F"/>
        </w:rPr>
        <w:t>🌐 Plan Mondial</w:t>
      </w:r>
    </w:p>
    <w:p>
      <w:pPr>
        <w:pStyle w:val="ListBullet"/>
        <w:spacing w:before="20" w:after="20"/>
        <w:ind w:left="360"/>
      </w:pPr>
      <w:r>
        <w:rPr>
          <w:sz w:val="18"/>
        </w:rPr>
        <w:t>**Matières premières tokenisées (05/10)** : surpassent l'or en volumes, innovation marché.</w:t>
      </w:r>
    </w:p>
    <w:p>
      <w:pPr>
        <w:pStyle w:val="ListBullet"/>
        <w:spacing w:before="20" w:after="20"/>
        <w:ind w:left="360"/>
      </w:pPr>
      <w:r>
        <w:rPr>
          <w:sz w:val="18"/>
        </w:rPr>
        <w:t>**Obligations zone euro (08/10)** : signaux de récession.</w:t>
      </w:r>
    </w:p>
    <w:p>
      <w:pPr>
        <w:pStyle w:val="ListBullet"/>
        <w:spacing w:before="20" w:after="20"/>
        <w:ind w:left="360"/>
      </w:pPr>
      <w:r>
        <w:rPr>
          <w:color w:val="C00000"/>
          <w:sz w:val="18"/>
        </w:rPr>
        <w:t>**BCE / dette France (10/10)** : risque systémique européen.</w:t>
      </w:r>
    </w:p>
    <w:p>
      <w:pPr>
        <w:pStyle w:val="Heading3"/>
      </w:pPr>
      <w:r>
        <w:rPr>
          <w:color w:val="500050"/>
        </w:rPr>
        <w:t>⚡ Impact estimé sur la BRVM</w:t>
      </w:r>
    </w:p>
    <w:p>
      <w:pPr>
        <w:spacing w:before="20" w:after="40"/>
        <w:ind w:left="280"/>
      </w:pPr>
      <w:r>
        <w:rPr>
          <w:i/>
          <w:sz w:val="18"/>
        </w:rPr>
        <w:t>Corrélation limitée mais non nulle : un choc zone euro affecterait le FCFA et les flux vers les marchés frontières. Les investisseurs BRVM pourraient se repositionner sur des valeurs défensives (**PALC, SCRC, SDCC**).</w:t>
      </w:r>
    </w:p>
    <w:p>
      <w:pPr>
        <w:pStyle w:val="Heading2"/>
      </w:pPr>
      <w:r>
        <w:rPr>
          <w:color w:val="006E32"/>
        </w:rPr>
        <w:t>🌍 Plan Africain</w:t>
      </w:r>
    </w:p>
    <w:p>
      <w:pPr>
        <w:pStyle w:val="ListBullet"/>
        <w:spacing w:before="20" w:after="20"/>
        <w:ind w:left="360"/>
      </w:pPr>
      <w:r>
        <w:rPr>
          <w:sz w:val="18"/>
        </w:rPr>
        <w:t>**FMI/BM Bangkok (11/10)** : dette et inflation au menu.</w:t>
      </w:r>
    </w:p>
    <w:p>
      <w:pPr>
        <w:pStyle w:val="ListBullet"/>
        <w:spacing w:before="20" w:after="20"/>
        <w:ind w:left="360"/>
      </w:pPr>
      <w:r>
        <w:rPr>
          <w:sz w:val="18"/>
        </w:rPr>
        <w:t>**Croissance africaine (01/10)** : solide mais sous-investie.</w:t>
      </w:r>
    </w:p>
    <w:p>
      <w:pPr>
        <w:pStyle w:val="Heading3"/>
      </w:pPr>
      <w:r>
        <w:rPr>
          <w:color w:val="500050"/>
        </w:rPr>
        <w:t>⚡ Impact estimé sur la BRVM</w:t>
      </w:r>
    </w:p>
    <w:p>
      <w:pPr>
        <w:spacing w:before="20" w:after="40"/>
        <w:ind w:left="280"/>
      </w:pPr>
      <w:r>
        <w:rPr>
          <w:i/>
          <w:sz w:val="18"/>
        </w:rPr>
        <w:t>Concurrence des eurobonds souverains africains pour les capitaux. Si les rendements souverains montent, arbitrage défavorable aux actions BRVM.</w:t>
      </w:r>
    </w:p>
    <w:p>
      <w:pPr>
        <w:pStyle w:val="Heading2"/>
      </w:pPr>
      <w:r>
        <w:rPr>
          <w:color w:val="145A28"/>
        </w:rPr>
        <w:t>🌍 Plan Afrique de l'Ouest</w:t>
      </w:r>
    </w:p>
    <w:p>
      <w:pPr>
        <w:spacing w:before="20" w:after="40"/>
        <w:ind w:left="0"/>
      </w:pPr>
      <w:r>
        <w:rPr>
          <w:sz w:val="18"/>
        </w:rPr>
        <w:t>Données insuffisantes sur bourses concurrentes (Ghana, Nigeria) et flux sous-régionaux.</w:t>
      </w:r>
    </w:p>
    <w:p>
      <w:pPr>
        <w:pStyle w:val="Heading3"/>
      </w:pPr>
      <w:r>
        <w:rPr>
          <w:color w:val="500050"/>
        </w:rPr>
        <w:t>⚡ Impact estimé sur la BRVM</w:t>
      </w:r>
    </w:p>
    <w:p>
      <w:pPr>
        <w:spacing w:before="20" w:after="40"/>
        <w:ind w:left="280"/>
      </w:pPr>
      <w:r>
        <w:rPr>
          <w:i/>
          <w:sz w:val="18"/>
        </w:rPr>
        <w:t>Positionnement de la BRVM comme place de référence UEMOA à conforter. Aucun signal concurrentiel direct dans le corpus.</w:t>
      </w:r>
    </w:p>
    <w:p>
      <w:pPr>
        <w:pStyle w:val="Heading2"/>
      </w:pPr>
      <w:r>
        <w:rPr>
          <w:color w:val="8C4600"/>
        </w:rPr>
        <w:t>🏦 Plan UEMOA / Zone Franc</w:t>
      </w:r>
    </w:p>
    <w:p>
      <w:pPr>
        <w:spacing w:before="20" w:after="40"/>
        <w:ind w:left="0"/>
      </w:pPr>
      <w:r>
        <w:rPr>
          <w:sz w:val="18"/>
        </w:rPr>
        <w:t>Données insuffisantes sur marché des titres publics, taux interbancaire ou liquidité.</w:t>
      </w:r>
    </w:p>
    <w:p>
      <w:pPr>
        <w:pStyle w:val="Heading3"/>
      </w:pPr>
      <w:r>
        <w:rPr>
          <w:color w:val="500050"/>
        </w:rPr>
        <w:t>⚡ Impact estimé sur la BRVM</w:t>
      </w:r>
    </w:p>
    <w:p>
      <w:pPr>
        <w:spacing w:before="20" w:after="40"/>
        <w:ind w:left="280"/>
      </w:pPr>
      <w:r>
        <w:rPr>
          <w:i/>
          <w:sz w:val="18"/>
        </w:rPr>
        <w:t>Arbitrage titres publics/actions non documenté. À surveiller : toute tension sur les taux souverains détournerait la liquidité des actions.</w:t>
      </w:r>
    </w:p>
    <w:p>
      <w:pPr>
        <w:pStyle w:val="Heading2"/>
      </w:pPr>
      <w:r>
        <w:rPr>
          <w:color w:val="003366"/>
        </w:rPr>
        <w:t>📈 Plan BRVM</w:t>
      </w:r>
    </w:p>
    <w:p>
      <w:pPr>
        <w:pStyle w:val="ListBullet"/>
        <w:spacing w:before="20" w:after="20"/>
        <w:ind w:left="360"/>
      </w:pPr>
      <w:r>
        <w:rPr>
          <w:sz w:val="18"/>
        </w:rPr>
        <w:t>**Indice BRVM Composite : 546.86**.</w:t>
      </w:r>
    </w:p>
    <w:p>
      <w:pPr>
        <w:pStyle w:val="ListBullet"/>
        <w:spacing w:before="20" w:after="20"/>
        <w:ind w:left="360"/>
      </w:pPr>
      <w:r>
        <w:rPr>
          <w:sz w:val="18"/>
        </w:rPr>
        <w:t>**Résultats ivoiriens encourageants (09/06)**.</w:t>
      </w:r>
    </w:p>
    <w:p>
      <w:pPr>
        <w:pStyle w:val="Heading3"/>
      </w:pPr>
      <w:r>
        <w:rPr>
          <w:color w:val="500050"/>
        </w:rPr>
        <w:t>⚡ Impact estimé sur la BRVM</w:t>
      </w:r>
    </w:p>
    <w:p>
      <w:pPr>
        <w:pStyle w:val="ListBullet"/>
        <w:spacing w:before="20" w:after="20"/>
        <w:ind w:left="560"/>
      </w:pPr>
      <w:r>
        <w:rPr>
          <w:color w:val="008000"/>
          <w:sz w:val="18"/>
        </w:rPr>
        <w:t>**SGBC, BICB, BOAS, NSBC, ECOC** (financiers) : résultats positifs, conserver.</w:t>
      </w:r>
    </w:p>
    <w:p>
      <w:pPr>
        <w:pStyle w:val="ListBullet"/>
        <w:spacing w:before="20" w:after="20"/>
        <w:ind w:left="560"/>
      </w:pPr>
      <w:r>
        <w:rPr>
          <w:color w:val="500050"/>
          <w:sz w:val="18"/>
        </w:rPr>
        <w:t>**PALC, SCRC** (conso de base) : défensifs, accumuler.</w:t>
      </w:r>
    </w:p>
    <w:p>
      <w:pPr>
        <w:pStyle w:val="ListBullet"/>
        <w:spacing w:before="20" w:after="20"/>
        <w:ind w:left="560"/>
      </w:pPr>
      <w:r>
        <w:rPr>
          <w:color w:val="500050"/>
          <w:sz w:val="18"/>
        </w:rPr>
        <w:t>**ONTBF, SNTS** (télécoms) : rendement stable, conserver.</w:t>
      </w:r>
    </w:p>
    <w:p>
      <w:pPr>
        <w:pStyle w:val="ListBullet"/>
        <w:spacing w:before="20" w:after="20"/>
        <w:ind w:left="560"/>
      </w:pPr>
      <w:r>
        <w:rPr>
          <w:color w:val="500050"/>
          <w:sz w:val="18"/>
        </w:rPr>
        <w:t>**ABJC, PRSC, NEIC** (conso discrétionnaire) : sensibles au pouvoir d'achat, surveiller.</w:t>
      </w:r>
    </w:p>
    <w:p>
      <w:pPr>
        <w:pStyle w:val="ListBullet"/>
        <w:spacing w:before="20" w:after="20"/>
        <w:ind w:left="560"/>
      </w:pPr>
      <w:r>
        <w:rPr>
          <w:color w:val="500050"/>
          <w:sz w:val="18"/>
        </w:rPr>
        <w:t>**SHEC** (énergie) : dépend du pétrole, neutre.</w:t>
      </w:r>
    </w:p>
    <w:p>
      <w:pPr>
        <w:pStyle w:val="ListBullet"/>
        <w:spacing w:before="20" w:after="20"/>
        <w:ind w:left="560"/>
      </w:pPr>
      <w:r>
        <w:rPr>
          <w:color w:val="500050"/>
          <w:sz w:val="18"/>
        </w:rPr>
        <w:t>**STAC** (industriel) : attendre confirmation capex.</w:t>
      </w:r>
    </w:p>
    <w:p>
      <w:pPr>
        <w:pStyle w:val="ListBullet"/>
        <w:spacing w:before="20" w:after="20"/>
        <w:ind w:left="560"/>
      </w:pPr>
      <w:r>
        <w:rPr>
          <w:color w:val="500050"/>
          <w:sz w:val="18"/>
        </w:rPr>
        <w:t>**SDCC** (services publics) : profil défensif, conserver.</w:t>
      </w:r>
    </w:p>
    <w:p>
      <w:pPr>
        <w:spacing w:before="20" w:after="40"/>
        <w:ind w:left="280"/>
      </w:pPr>
      <w:r>
        <w:rPr>
          <w:i/>
          <w:sz w:val="18"/>
        </w:rPr>
        <w:t>---</w:t>
      </w:r>
    </w:p>
    <w:p>
      <w:pPr>
        <w:pStyle w:val="Heading1"/>
      </w:pPr>
      <w:r>
        <w:rPr>
          <w:color w:val="003366"/>
        </w:rPr>
        <w:t>🎯 SYNTHÈSE &amp; RECOMMANDATION FINALE</w:t>
      </w:r>
    </w:p>
    <w:p>
      <w:pPr>
        <w:spacing w:before="120"/>
      </w:pPr>
      <w:r>
        <w:rPr>
          <w:b/>
          <w:color w:val="C85000"/>
          <w:sz w:val="22"/>
        </w:rPr>
        <w:t>**Niveau d'alerte global pour un investisseur BRVM : ORANGE**</w:t>
      </w:r>
    </w:p>
    <w:p>
      <w:pPr>
        <w:spacing w:before="20" w:after="40"/>
        <w:ind w:left="0"/>
      </w:pPr>
      <w:r>
        <w:rPr>
          <w:sz w:val="18"/>
        </w:rPr>
        <w:t>L'environnement macro reste porteur en Afrique de l'Ouest (croissance solide, résultats ivoiriens encourageants, indice à 546.86), mais les risques externes — crise de dette française, signaux de récession zone euro, tensions politiques en Guinée-Bissau et au Mali — imposent la prudence. Privilégier les valeurs défensives et à rendement (**PALC, SCRC, ONTBF, SGBC**) et limiter l'exposition aux cycliques (**ABJC, PRSC, STAC**) tant que la visibilité zone euro ne s'améliore pas. Conserver une poche de liquidité pour saisir d'éventuels replis sur les financiers de qualité.</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2026-10-05</w:t>
            </w:r>
          </w:p>
        </w:tc>
        <w:tc>
          <w:tcPr>
            <w:tcW w:type="dxa" w:w="1728"/>
          </w:tcPr>
          <w:p>
            <w:r>
              <w:rPr>
                <w:sz w:val="14"/>
              </w:rPr>
              <w:t xml:space="preserve">Les matières premières tokenisées dépassent l’or alors que le prêt et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2026-10-10</w:t>
            </w:r>
          </w:p>
        </w:tc>
        <w:tc>
          <w:tcPr>
            <w:tcW w:type="dxa" w:w="1728"/>
          </w:tcPr>
          <w:p>
            <w:r>
              <w:rPr>
                <w:sz w:val="14"/>
              </w:rPr>
              <w:t>"Aucun suspense, elle interviendra": si la France s'enfonce dans la cr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2026-10-08</w:t>
            </w:r>
          </w:p>
        </w:tc>
        <w:tc>
          <w:tcPr>
            <w:tcW w:type="dxa" w:w="1728"/>
          </w:tcPr>
          <w:p>
            <w:r>
              <w:rPr>
                <w:sz w:val="14"/>
              </w:rPr>
              <w:t>Les marchés obligataires de la zone euro annoncent-ils une récession f</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2026-10-09</w:t>
            </w:r>
          </w:p>
        </w:tc>
        <w:tc>
          <w:tcPr>
            <w:tcW w:type="dxa" w:w="1728"/>
          </w:tcPr>
          <w:p>
            <w:r>
              <w:rPr>
                <w:sz w:val="14"/>
              </w:rPr>
              <w:t>Le prix du pétrole brut a bondi de 4 % pour atteindre 104,28 dollars 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2026-10-09</w:t>
            </w:r>
          </w:p>
        </w:tc>
        <w:tc>
          <w:tcPr>
            <w:tcW w:type="dxa" w:w="1728"/>
          </w:tcPr>
          <w:p>
            <w:r>
              <w:rPr>
                <w:sz w:val="14"/>
              </w:rPr>
              <w:t>Le prix du pétrole brut et des métaux précieux a baissé. - Vietnam.vn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2026-10-09</w:t>
            </w:r>
          </w:p>
        </w:tc>
        <w:tc>
          <w:tcPr>
            <w:tcW w:type="dxa" w:w="1728"/>
          </w:tcPr>
          <w:p>
            <w:r>
              <w:rPr>
                <w:sz w:val="14"/>
              </w:rPr>
              <w:t>Le prix du pétrole brut Brent se maintient autour de 100 dollars malgr</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2026-10-11</w:t>
            </w:r>
          </w:p>
        </w:tc>
        <w:tc>
          <w:tcPr>
            <w:tcW w:type="dxa" w:w="1728"/>
          </w:tcPr>
          <w:p>
            <w:r>
              <w:rPr>
                <w:sz w:val="14"/>
              </w:rPr>
              <w:t>FMI-Banque mondiale : à Bangkok, l’Afrique face à la dette et à l’infl</w:t>
            </w:r>
          </w:p>
        </w:tc>
        <w:tc>
          <w:tcPr>
            <w:tcW w:type="dxa" w:w="1728"/>
          </w:tcPr>
          <w:p>
            <w:r>
              <w:rPr>
                <w:sz w:val="14"/>
              </w:rPr>
              <w:t>Neutre</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2026-10-06</w:t>
            </w:r>
          </w:p>
        </w:tc>
        <w:tc>
          <w:tcPr>
            <w:tcW w:type="dxa" w:w="1728"/>
          </w:tcPr>
          <w:p>
            <w:r>
              <w:rPr>
                <w:sz w:val="14"/>
              </w:rPr>
              <w:t>CEDEAO : le Général Birame Diop renforce le partenariat avec le FMI et</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r>
        <w:tc>
          <w:tcPr>
            <w:tcW w:type="dxa" w:w="1728"/>
          </w:tcPr>
          <w:p>
            <w:r>
              <w:rPr>
                <w:sz w:val="14"/>
              </w:rPr>
              <w:t>2026-10-01</w:t>
            </w:r>
          </w:p>
        </w:tc>
        <w:tc>
          <w:tcPr>
            <w:tcW w:type="dxa" w:w="1728"/>
          </w:tcPr>
          <w:p>
            <w:r>
              <w:rPr>
                <w:sz w:val="14"/>
              </w:rPr>
              <w:t>Afrique : une croissance solide face au défi de l’investissement [Busi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2026-09-23</w:t>
            </w:r>
          </w:p>
        </w:tc>
        <w:tc>
          <w:tcPr>
            <w:tcW w:type="dxa" w:w="1728"/>
          </w:tcPr>
          <w:p>
            <w:r>
              <w:rPr>
                <w:sz w:val="14"/>
              </w:rPr>
              <w:t>Dette : l'Afrique reste accro au dollar malgré l'offensive de la Chine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2026-09-26</w:t>
            </w:r>
          </w:p>
        </w:tc>
        <w:tc>
          <w:tcPr>
            <w:tcW w:type="dxa" w:w="1728"/>
          </w:tcPr>
          <w:p>
            <w:r>
              <w:rPr>
                <w:sz w:val="14"/>
              </w:rPr>
              <w:t>Investissement et emploi : le plaidoyer d'Amara pour la transformation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2026-09-26</w:t>
            </w:r>
          </w:p>
        </w:tc>
        <w:tc>
          <w:tcPr>
            <w:tcW w:type="dxa" w:w="1728"/>
          </w:tcPr>
          <w:p>
            <w:r>
              <w:rPr>
                <w:sz w:val="14"/>
              </w:rPr>
              <w:t>UCESA : Amara plaide à Victoria Falls pour une croissance inclusive, l</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2026-10-09</w:t>
            </w:r>
          </w:p>
        </w:tc>
        <w:tc>
          <w:tcPr>
            <w:tcW w:type="dxa" w:w="1728"/>
          </w:tcPr>
          <w:p>
            <w:r>
              <w:rPr>
                <w:sz w:val="14"/>
              </w:rPr>
              <w:t>Guinée-Bissau: la Cedeao appelle au dialogue face au vote bloqué - tv5</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FEWACCI : Mamadou Baldé explique les enjeux de son élection au poste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Diplomatie économique : la Chambre de commerce de Guinée fait son entr</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Niger : le FMI valide un programme de 203 millions de dollars - Africt</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La CEDEAO examine à Banjul les défis de la gestion des frontières en A</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Kako Nubukpo doute de la faisabilité d’une monnaie unique CEDEAO - Afr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2026-10-09</w:t>
            </w:r>
          </w:p>
        </w:tc>
        <w:tc>
          <w:tcPr>
            <w:tcW w:type="dxa" w:w="1728"/>
          </w:tcPr>
          <w:p>
            <w:r>
              <w:rPr>
                <w:sz w:val="14"/>
              </w:rPr>
              <w:t>Maroc - Sénégal : le TAS entretient le suspense Sports - Just-InfoDZ</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2026-10-11</w:t>
            </w:r>
          </w:p>
        </w:tc>
        <w:tc>
          <w:tcPr>
            <w:tcW w:type="dxa" w:w="1728"/>
          </w:tcPr>
          <w:p>
            <w:r>
              <w:rPr>
                <w:sz w:val="14"/>
              </w:rPr>
              <w:t>Mali : qui sont les hommes de l’ombre d’Ismaël Wagué, le général charg</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2026-10-09</w:t>
            </w:r>
          </w:p>
        </w:tc>
        <w:tc>
          <w:tcPr>
            <w:tcW w:type="dxa" w:w="1728"/>
          </w:tcPr>
          <w:p>
            <w:r>
              <w:rPr>
                <w:sz w:val="14"/>
              </w:rPr>
              <w:t>Guinée-Bissau : le Sénégal appelle à l’apaisement politique et au dial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2026-10-09</w:t>
            </w:r>
          </w:p>
        </w:tc>
        <w:tc>
          <w:tcPr>
            <w:tcW w:type="dxa" w:w="1728"/>
          </w:tcPr>
          <w:p>
            <w:r>
              <w:rPr>
                <w:sz w:val="14"/>
              </w:rPr>
              <w:t>Sahara marocain : Le Sénégal, le Guatemala et le Panama réaffirment le</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2026-10-09</w:t>
            </w:r>
          </w:p>
        </w:tc>
        <w:tc>
          <w:tcPr>
            <w:tcW w:type="dxa" w:w="1728"/>
          </w:tcPr>
          <w:p>
            <w:r>
              <w:rPr>
                <w:sz w:val="14"/>
              </w:rPr>
              <w:t>Sahara marocain : Le Sénégal, le Guatemala et le Panama réaffirment le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2026-10-09</w:t>
            </w:r>
          </w:p>
        </w:tc>
        <w:tc>
          <w:tcPr>
            <w:tcW w:type="dxa" w:w="1728"/>
          </w:tcPr>
          <w:p>
            <w:r>
              <w:rPr>
                <w:sz w:val="14"/>
              </w:rPr>
              <w:t>Burkina Faso : le capitaine Traoré reçoit le patron de l'ONU à Ouagado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2026-10-05</w:t>
            </w:r>
          </w:p>
        </w:tc>
        <w:tc>
          <w:tcPr>
            <w:tcW w:type="dxa" w:w="1728"/>
          </w:tcPr>
          <w:p>
            <w:r>
              <w:rPr>
                <w:sz w:val="14"/>
              </w:rPr>
              <w:t xml:space="preserve">Les matières premières tokenisées dépassent l’or alors que le prêt et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2026-10-10</w:t>
            </w:r>
          </w:p>
        </w:tc>
        <w:tc>
          <w:tcPr>
            <w:tcW w:type="dxa" w:w="1728"/>
          </w:tcPr>
          <w:p>
            <w:r>
              <w:rPr>
                <w:sz w:val="14"/>
              </w:rPr>
              <w:t>"Aucun suspense, elle interviendra": si la France s'enfonce dans la cr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2026-10-11</w:t>
            </w:r>
          </w:p>
        </w:tc>
        <w:tc>
          <w:tcPr>
            <w:tcW w:type="dxa" w:w="1728"/>
          </w:tcPr>
          <w:p>
            <w:r>
              <w:rPr>
                <w:sz w:val="14"/>
              </w:rPr>
              <w:t>FMI-Banque mondiale : à Bangkok, l’Afrique face à la dette et à l’infl</w:t>
            </w:r>
          </w:p>
        </w:tc>
        <w:tc>
          <w:tcPr>
            <w:tcW w:type="dxa" w:w="1728"/>
          </w:tcPr>
          <w:p>
            <w:r>
              <w:rPr>
                <w:sz w:val="14"/>
              </w:rPr>
              <w:t>Neutre</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2026-10-09</w:t>
            </w:r>
          </w:p>
        </w:tc>
        <w:tc>
          <w:tcPr>
            <w:tcW w:type="dxa" w:w="1728"/>
          </w:tcPr>
          <w:p>
            <w:r>
              <w:rPr>
                <w:sz w:val="14"/>
              </w:rPr>
              <w:t>Guinée-Bissau: la Cedeao appelle au dialogue face au vote bloqué - tv5</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r>
        <w:tc>
          <w:tcPr>
            <w:tcW w:type="dxa" w:w="1728"/>
          </w:tcPr>
          <w:p>
            <w:r>
              <w:rPr>
                <w:sz w:val="14"/>
              </w:rPr>
              <w:t>2026-10-11</w:t>
            </w:r>
          </w:p>
        </w:tc>
        <w:tc>
          <w:tcPr>
            <w:tcW w:type="dxa" w:w="1728"/>
          </w:tcPr>
          <w:p>
            <w:r>
              <w:rPr>
                <w:sz w:val="14"/>
              </w:rPr>
              <w:t>Mali : qui sont les hommes de l’ombre d’Ismaël Wagué, le général charg</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2026-10-11</w:t>
            </w:r>
          </w:p>
        </w:tc>
        <w:tc>
          <w:tcPr>
            <w:tcW w:type="dxa" w:w="1728"/>
          </w:tcPr>
          <w:p>
            <w:r>
              <w:rPr>
                <w:sz w:val="14"/>
              </w:rPr>
              <w:t>FMI-Banque mondiale : à Bangkok, l’Afrique face à la dette et à l’infl</w:t>
            </w:r>
          </w:p>
        </w:tc>
        <w:tc>
          <w:tcPr>
            <w:tcW w:type="dxa" w:w="1728"/>
          </w:tcPr>
          <w:p>
            <w:r>
              <w:rPr>
                <w:sz w:val="14"/>
              </w:rPr>
              <w:t>Neutre</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2026-10-09</w:t>
            </w:r>
          </w:p>
        </w:tc>
        <w:tc>
          <w:tcPr>
            <w:tcW w:type="dxa" w:w="1728"/>
          </w:tcPr>
          <w:p>
            <w:r>
              <w:rPr>
                <w:sz w:val="14"/>
              </w:rPr>
              <w:t>Guinée-Bissau: la Cedeao appelle au dialogue face au vote bloqué - tv5</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r>
        <w:tc>
          <w:tcPr>
            <w:tcW w:type="dxa" w:w="1728"/>
          </w:tcPr>
          <w:p>
            <w:r>
              <w:rPr>
                <w:sz w:val="14"/>
              </w:rPr>
              <w:t>2026-10-11</w:t>
            </w:r>
          </w:p>
        </w:tc>
        <w:tc>
          <w:tcPr>
            <w:tcW w:type="dxa" w:w="1728"/>
          </w:tcPr>
          <w:p>
            <w:r>
              <w:rPr>
                <w:sz w:val="14"/>
              </w:rPr>
              <w:t>Mali : qui sont les hommes de l’ombre d’Ismaël Wagué, le général charg</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2026-10-09</w:t>
            </w:r>
          </w:p>
        </w:tc>
        <w:tc>
          <w:tcPr>
            <w:tcW w:type="dxa" w:w="1728"/>
          </w:tcPr>
          <w:p>
            <w:r>
              <w:rPr>
                <w:sz w:val="14"/>
              </w:rPr>
              <w:t>FEWACCI : Mamadou Baldé explique les enjeux de son élection au poste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Diplomatie économique : la Chambre de commerce de Guinée fait son entr</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2026-10-09</w:t>
            </w:r>
          </w:p>
        </w:tc>
        <w:tc>
          <w:tcPr>
            <w:tcW w:type="dxa" w:w="1728"/>
          </w:tcPr>
          <w:p>
            <w:r>
              <w:rPr>
                <w:sz w:val="14"/>
              </w:rPr>
              <w:t>Guinée-Bissau: la Cedeao appelle au dialogue face au vote bloqué - tv5</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r>
        <w:tc>
          <w:tcPr>
            <w:tcW w:type="dxa" w:w="1728"/>
          </w:tcPr>
          <w:p>
            <w:r>
              <w:rPr>
                <w:sz w:val="14"/>
              </w:rPr>
              <w:t>2026-10-11</w:t>
            </w:r>
          </w:p>
        </w:tc>
        <w:tc>
          <w:tcPr>
            <w:tcW w:type="dxa" w:w="1728"/>
          </w:tcPr>
          <w:p>
            <w:r>
              <w:rPr>
                <w:sz w:val="14"/>
              </w:rPr>
              <w:t>Mali : qui sont les hommes de l’ombre d’Ismaël Wagué, le général charg</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2026-10-09</w:t>
            </w:r>
          </w:p>
        </w:tc>
        <w:tc>
          <w:tcPr>
            <w:tcW w:type="dxa" w:w="1728"/>
          </w:tcPr>
          <w:p>
            <w:r>
              <w:rPr>
                <w:sz w:val="14"/>
              </w:rPr>
              <w:t>FEWACCI : Mamadou Baldé explique les enjeux de son élection au poste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Diplomatie économique : la Chambre de commerce de Guinée fait son entr</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Guinée-Bissau : le Sénégal appelle à l’apaisement politique et au dial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2026-10-11</w:t>
            </w:r>
          </w:p>
        </w:tc>
        <w:tc>
          <w:tcPr>
            <w:tcW w:type="dxa" w:w="1728"/>
          </w:tcPr>
          <w:p>
            <w:r>
              <w:rPr>
                <w:sz w:val="14"/>
              </w:rPr>
              <w:t>FMI-Banque mondiale : à Bangkok, l’Afrique face à la dette et à l’infl</w:t>
            </w:r>
          </w:p>
        </w:tc>
        <w:tc>
          <w:tcPr>
            <w:tcW w:type="dxa" w:w="1728"/>
          </w:tcPr>
          <w:p>
            <w:r>
              <w:rPr>
                <w:sz w:val="14"/>
              </w:rPr>
              <w:t>Neutre</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2026-10-09</w:t>
            </w:r>
          </w:p>
        </w:tc>
        <w:tc>
          <w:tcPr>
            <w:tcW w:type="dxa" w:w="1728"/>
          </w:tcPr>
          <w:p>
            <w:r>
              <w:rPr>
                <w:sz w:val="14"/>
              </w:rPr>
              <w:t>Guinée-Bissau: la Cedeao appelle au dialogue face au vote bloqué - tv5</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Maroc - Sénégal : le TAS entretient le suspense Sports - Just-InfoDZ</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2026-10-11</w:t>
            </w:r>
          </w:p>
        </w:tc>
        <w:tc>
          <w:tcPr>
            <w:tcW w:type="dxa" w:w="1728"/>
          </w:tcPr>
          <w:p>
            <w:r>
              <w:rPr>
                <w:sz w:val="14"/>
              </w:rPr>
              <w:t>Mali : qui sont les hommes de l’ombre d’Ismaël Wagué, le général charg</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2026-10-09</w:t>
            </w:r>
          </w:p>
        </w:tc>
        <w:tc>
          <w:tcPr>
            <w:tcW w:type="dxa" w:w="1728"/>
          </w:tcPr>
          <w:p>
            <w:r>
              <w:rPr>
                <w:sz w:val="14"/>
              </w:rPr>
              <w:t>FEWACCI : Mamadou Baldé explique les enjeux de son élection au poste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2026-10-09</w:t>
            </w:r>
          </w:p>
        </w:tc>
        <w:tc>
          <w:tcPr>
            <w:tcW w:type="dxa" w:w="1728"/>
          </w:tcPr>
          <w:p>
            <w:r>
              <w:rPr>
                <w:sz w:val="14"/>
              </w:rPr>
              <w:t>Guinée-Bissau: la Cedeao appelle au dialogue face au vote bloqué - tv5</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r>
        <w:tc>
          <w:tcPr>
            <w:tcW w:type="dxa" w:w="1728"/>
          </w:tcPr>
          <w:p>
            <w:r>
              <w:rPr>
                <w:sz w:val="14"/>
              </w:rPr>
              <w:t>2026-10-11</w:t>
            </w:r>
          </w:p>
        </w:tc>
        <w:tc>
          <w:tcPr>
            <w:tcW w:type="dxa" w:w="1728"/>
          </w:tcPr>
          <w:p>
            <w:r>
              <w:rPr>
                <w:sz w:val="14"/>
              </w:rPr>
              <w:t>Mali : qui sont les hommes de l’ombre d’Ismaël Wagué, le général charg</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2026-10-09</w:t>
            </w:r>
          </w:p>
        </w:tc>
        <w:tc>
          <w:tcPr>
            <w:tcW w:type="dxa" w:w="1728"/>
          </w:tcPr>
          <w:p>
            <w:r>
              <w:rPr>
                <w:sz w:val="14"/>
              </w:rPr>
              <w:t>FEWACCI : Mamadou Baldé explique les enjeux de son élection au poste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Guinée-Bissau : le Sénégal appelle à l’apaisement politique et au dial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2026-10-09</w:t>
            </w:r>
          </w:p>
        </w:tc>
        <w:tc>
          <w:tcPr>
            <w:tcW w:type="dxa" w:w="1728"/>
          </w:tcPr>
          <w:p>
            <w:r>
              <w:rPr>
                <w:sz w:val="14"/>
              </w:rPr>
              <w:t>Burkina Faso : le capitaine Traoré reçoit le patron de l'ONU à Ouagado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2026-10-05</w:t>
            </w:r>
          </w:p>
        </w:tc>
        <w:tc>
          <w:tcPr>
            <w:tcW w:type="dxa" w:w="1728"/>
          </w:tcPr>
          <w:p>
            <w:r>
              <w:rPr>
                <w:sz w:val="14"/>
              </w:rPr>
              <w:t xml:space="preserve">Les matières premières tokenisées dépassent l’or alors que le prêt et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2026-10-10</w:t>
            </w:r>
          </w:p>
        </w:tc>
        <w:tc>
          <w:tcPr>
            <w:tcW w:type="dxa" w:w="1728"/>
          </w:tcPr>
          <w:p>
            <w:r>
              <w:rPr>
                <w:sz w:val="14"/>
              </w:rPr>
              <w:t>"Aucun suspense, elle interviendra": si la France s'enfonce dans la cr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2026-10-11</w:t>
            </w:r>
          </w:p>
        </w:tc>
        <w:tc>
          <w:tcPr>
            <w:tcW w:type="dxa" w:w="1728"/>
          </w:tcPr>
          <w:p>
            <w:r>
              <w:rPr>
                <w:sz w:val="14"/>
              </w:rPr>
              <w:t>FMI-Banque mondiale : à Bangkok, l’Afrique face à la dette et à l’infl</w:t>
            </w:r>
          </w:p>
        </w:tc>
        <w:tc>
          <w:tcPr>
            <w:tcW w:type="dxa" w:w="1728"/>
          </w:tcPr>
          <w:p>
            <w:r>
              <w:rPr>
                <w:sz w:val="14"/>
              </w:rPr>
              <w:t>Neutre</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2026-10-09</w:t>
            </w:r>
          </w:p>
        </w:tc>
        <w:tc>
          <w:tcPr>
            <w:tcW w:type="dxa" w:w="1728"/>
          </w:tcPr>
          <w:p>
            <w:r>
              <w:rPr>
                <w:sz w:val="14"/>
              </w:rPr>
              <w:t>Guinée-Bissau: la Cedeao appelle au dialogue face au vote bloqué - tv5</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r>
        <w:tc>
          <w:tcPr>
            <w:tcW w:type="dxa" w:w="1728"/>
          </w:tcPr>
          <w:p>
            <w:r>
              <w:rPr>
                <w:sz w:val="14"/>
              </w:rPr>
              <w:t>2026-10-08</w:t>
            </w:r>
          </w:p>
        </w:tc>
        <w:tc>
          <w:tcPr>
            <w:tcW w:type="dxa" w:w="1728"/>
          </w:tcPr>
          <w:p>
            <w:r>
              <w:rPr>
                <w:sz w:val="14"/>
              </w:rPr>
              <w:t>Les marchés obligataires de la zone euro annoncent-ils une récession f</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2026-10-05</w:t>
            </w:r>
          </w:p>
        </w:tc>
        <w:tc>
          <w:tcPr>
            <w:tcW w:type="dxa" w:w="1728"/>
          </w:tcPr>
          <w:p>
            <w:r>
              <w:rPr>
                <w:sz w:val="14"/>
              </w:rPr>
              <w:t xml:space="preserve">Les matières premières tokenisées dépassent l’or alors que le prêt et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2026-10-10</w:t>
            </w:r>
          </w:p>
        </w:tc>
        <w:tc>
          <w:tcPr>
            <w:tcW w:type="dxa" w:w="1728"/>
          </w:tcPr>
          <w:p>
            <w:r>
              <w:rPr>
                <w:sz w:val="14"/>
              </w:rPr>
              <w:t>"Aucun suspense, elle interviendra": si la France s'enfonce dans la cr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2026-10-11</w:t>
            </w:r>
          </w:p>
        </w:tc>
        <w:tc>
          <w:tcPr>
            <w:tcW w:type="dxa" w:w="1728"/>
          </w:tcPr>
          <w:p>
            <w:r>
              <w:rPr>
                <w:sz w:val="14"/>
              </w:rPr>
              <w:t>FMI-Banque mondiale : à Bangkok, l’Afrique face à la dette et à l’infl</w:t>
            </w:r>
          </w:p>
        </w:tc>
        <w:tc>
          <w:tcPr>
            <w:tcW w:type="dxa" w:w="1728"/>
          </w:tcPr>
          <w:p>
            <w:r>
              <w:rPr>
                <w:sz w:val="14"/>
              </w:rPr>
              <w:t>Neutre</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2026-10-09</w:t>
            </w:r>
          </w:p>
        </w:tc>
        <w:tc>
          <w:tcPr>
            <w:tcW w:type="dxa" w:w="1728"/>
          </w:tcPr>
          <w:p>
            <w:r>
              <w:rPr>
                <w:sz w:val="14"/>
              </w:rPr>
              <w:t>Guinée-Bissau: la Cedeao appelle au dialogue face au vote bloqué - tv5</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r>
        <w:tc>
          <w:tcPr>
            <w:tcW w:type="dxa" w:w="1728"/>
          </w:tcPr>
          <w:p>
            <w:r>
              <w:rPr>
                <w:sz w:val="14"/>
              </w:rPr>
              <w:t>2026-10-11</w:t>
            </w:r>
          </w:p>
        </w:tc>
        <w:tc>
          <w:tcPr>
            <w:tcW w:type="dxa" w:w="1728"/>
          </w:tcPr>
          <w:p>
            <w:r>
              <w:rPr>
                <w:sz w:val="14"/>
              </w:rPr>
              <w:t>Mali : qui sont les hommes de l’ombre d’Ismaël Wagué, le général charg</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2026-10-05</w:t>
            </w:r>
          </w:p>
        </w:tc>
        <w:tc>
          <w:tcPr>
            <w:tcW w:type="dxa" w:w="1728"/>
          </w:tcPr>
          <w:p>
            <w:r>
              <w:rPr>
                <w:sz w:val="14"/>
              </w:rPr>
              <w:t xml:space="preserve">Les matières premières tokenisées dépassent l’or alors que le prêt et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2026-10-10</w:t>
            </w:r>
          </w:p>
        </w:tc>
        <w:tc>
          <w:tcPr>
            <w:tcW w:type="dxa" w:w="1728"/>
          </w:tcPr>
          <w:p>
            <w:r>
              <w:rPr>
                <w:sz w:val="14"/>
              </w:rPr>
              <w:t>"Aucun suspense, elle interviendra": si la France s'enfonce dans la cr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2026-10-09</w:t>
            </w:r>
          </w:p>
        </w:tc>
        <w:tc>
          <w:tcPr>
            <w:tcW w:type="dxa" w:w="1728"/>
          </w:tcPr>
          <w:p>
            <w:r>
              <w:rPr>
                <w:sz w:val="14"/>
              </w:rPr>
              <w:t>Guinée-Bissau: la Cedeao appelle au dialogue face au vote bloqué - tv5</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r>
        <w:tc>
          <w:tcPr>
            <w:tcW w:type="dxa" w:w="1728"/>
          </w:tcPr>
          <w:p>
            <w:r>
              <w:rPr>
                <w:sz w:val="14"/>
              </w:rPr>
              <w:t>2026-10-08</w:t>
            </w:r>
          </w:p>
        </w:tc>
        <w:tc>
          <w:tcPr>
            <w:tcW w:type="dxa" w:w="1728"/>
          </w:tcPr>
          <w:p>
            <w:r>
              <w:rPr>
                <w:sz w:val="14"/>
              </w:rPr>
              <w:t>Les marchés obligataires de la zone euro annoncent-ils une récession f</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2026-10-09</w:t>
            </w:r>
          </w:p>
        </w:tc>
        <w:tc>
          <w:tcPr>
            <w:tcW w:type="dxa" w:w="1728"/>
          </w:tcPr>
          <w:p>
            <w:r>
              <w:rPr>
                <w:sz w:val="14"/>
              </w:rPr>
              <w:t>FEWACCI : Mamadou Baldé explique les enjeux de son élection au poste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2026-10-05</w:t>
            </w:r>
          </w:p>
        </w:tc>
        <w:tc>
          <w:tcPr>
            <w:tcW w:type="dxa" w:w="1728"/>
          </w:tcPr>
          <w:p>
            <w:r>
              <w:rPr>
                <w:sz w:val="14"/>
              </w:rPr>
              <w:t xml:space="preserve">Les matières premières tokenisées dépassent l’or alors que le prêt et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2026-10-10</w:t>
            </w:r>
          </w:p>
        </w:tc>
        <w:tc>
          <w:tcPr>
            <w:tcW w:type="dxa" w:w="1728"/>
          </w:tcPr>
          <w:p>
            <w:r>
              <w:rPr>
                <w:sz w:val="14"/>
              </w:rPr>
              <w:t>"Aucun suspense, elle interviendra": si la France s'enfonce dans la cr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2026-10-11</w:t>
            </w:r>
          </w:p>
        </w:tc>
        <w:tc>
          <w:tcPr>
            <w:tcW w:type="dxa" w:w="1728"/>
          </w:tcPr>
          <w:p>
            <w:r>
              <w:rPr>
                <w:sz w:val="14"/>
              </w:rPr>
              <w:t>FMI-Banque mondiale : à Bangkok, l’Afrique face à la dette et à l’infl</w:t>
            </w:r>
          </w:p>
        </w:tc>
        <w:tc>
          <w:tcPr>
            <w:tcW w:type="dxa" w:w="1728"/>
          </w:tcPr>
          <w:p>
            <w:r>
              <w:rPr>
                <w:sz w:val="14"/>
              </w:rPr>
              <w:t>Neutre</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2026-10-09</w:t>
            </w:r>
          </w:p>
        </w:tc>
        <w:tc>
          <w:tcPr>
            <w:tcW w:type="dxa" w:w="1728"/>
          </w:tcPr>
          <w:p>
            <w:r>
              <w:rPr>
                <w:sz w:val="14"/>
              </w:rPr>
              <w:t>Guinée-Bissau: la Cedeao appelle au dialogue face au vote bloqué - tv5</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Maroc - Sénégal : le TAS entretient le suspense Sports - Just-InfoDZ</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2026-10-05</w:t>
            </w:r>
          </w:p>
        </w:tc>
        <w:tc>
          <w:tcPr>
            <w:tcW w:type="dxa" w:w="1728"/>
          </w:tcPr>
          <w:p>
            <w:r>
              <w:rPr>
                <w:sz w:val="14"/>
              </w:rPr>
              <w:t xml:space="preserve">Les matières premières tokenisées dépassent l’or alors que le prêt et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2026-10-10</w:t>
            </w:r>
          </w:p>
        </w:tc>
        <w:tc>
          <w:tcPr>
            <w:tcW w:type="dxa" w:w="1728"/>
          </w:tcPr>
          <w:p>
            <w:r>
              <w:rPr>
                <w:sz w:val="14"/>
              </w:rPr>
              <w:t>"Aucun suspense, elle interviendra": si la France s'enfonce dans la cr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2026-10-09</w:t>
            </w:r>
          </w:p>
        </w:tc>
        <w:tc>
          <w:tcPr>
            <w:tcW w:type="dxa" w:w="1728"/>
          </w:tcPr>
          <w:p>
            <w:r>
              <w:rPr>
                <w:sz w:val="14"/>
              </w:rPr>
              <w:t>Guinée-Bissau: la Cedeao appelle au dialogue face au vote bloqué - tv5</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r>
        <w:tc>
          <w:tcPr>
            <w:tcW w:type="dxa" w:w="1728"/>
          </w:tcPr>
          <w:p>
            <w:r>
              <w:rPr>
                <w:sz w:val="14"/>
              </w:rPr>
              <w:t>2026-10-08</w:t>
            </w:r>
          </w:p>
        </w:tc>
        <w:tc>
          <w:tcPr>
            <w:tcW w:type="dxa" w:w="1728"/>
          </w:tcPr>
          <w:p>
            <w:r>
              <w:rPr>
                <w:sz w:val="14"/>
              </w:rPr>
              <w:t>Les marchés obligataires de la zone euro annoncent-ils une récession f</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2026-10-09</w:t>
            </w:r>
          </w:p>
        </w:tc>
        <w:tc>
          <w:tcPr>
            <w:tcW w:type="dxa" w:w="1728"/>
          </w:tcPr>
          <w:p>
            <w:r>
              <w:rPr>
                <w:sz w:val="14"/>
              </w:rPr>
              <w:t>Diplomatie économique : la Chambre de commerce de Guinée fait son entr</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(11 alerte(s))</w:t>
      </w:r>
    </w:p>
    <w:p>
      <w:pPr>
        <w:spacing w:before="40" w:after="40"/>
        <w:ind w:left="360"/>
      </w:pPr>
      <w:r>
        <w:rPr>
          <w:color w:val="646464"/>
          <w:sz w:val="17"/>
        </w:rPr>
        <w:t xml:space="preserve">[11/10/2026] ⚪  </w:t>
      </w:r>
      <w:r>
        <w:rPr>
          <w:b/>
          <w:color w:val="505050"/>
          <w:sz w:val="18"/>
        </w:rPr>
        <w:t>Mali : qui sont les hommes de l’ombre d’Ismaël Wagué, le général chargé de la réconciliation ? - Jeune Afrique</w:t>
      </w:r>
      <w:r>
        <w:rPr>
          <w:color w:val="787878"/>
          <w:sz w:val="15"/>
        </w:rPr>
        <w:t xml:space="preserve">  [politique]</w:t>
      </w:r>
      <w:r>
        <w:rPr>
          <w:color w:val="B47800"/>
          <w:sz w:val="16"/>
        </w:rPr>
        <w:t xml:space="preserve">  ★ 50/10</w:t>
      </w:r>
    </w:p>
    <w:p>
      <w:pPr>
        <w:spacing w:before="0" w:after="20"/>
        <w:ind w:left="600"/>
      </w:pPr>
      <w:r>
        <w:rPr>
          <w:color w:val="323232"/>
          <w:sz w:val="17"/>
        </w:rPr>
        <w:t>L'article de Jeune Afrique s'intéresse aux hommes de l'ombre entourant le général Ismaël Wagué, chargé de la réconciliation nationale au Mali. Il met en lumière les réseaux et influences qui soutiennent cette mission délicate dans un contexte politique encore fragile. L'analyse vise à comprendre les rapports de force internes et les perspectives de</w:t>
      </w:r>
    </w:p>
    <w:p>
      <w:pPr>
        <w:spacing w:before="0" w:after="40"/>
        <w:ind w:left="600"/>
      </w:pPr>
      <w:r>
        <w:rPr>
          <w:color w:val="00643C"/>
          <w:sz w:val="16"/>
        </w:rPr>
        <w:t>Points clés : Ismaël Wagué est chargé de la réconciliation nationale au Mali  •  L'article identifie les conseillers et proches qui l'assistent en coulisses  •  Le contexte politique malien reste marqué par des tensions et une transition incertaine</w:t>
      </w:r>
    </w:p>
    <w:p>
      <w:pPr>
        <w:spacing w:before="0" w:after="60"/>
        <w:ind w:left="600"/>
      </w:pPr>
      <w:r>
        <w:rPr>
          <w:color w:val="0064B4"/>
          <w:sz w:val="15"/>
        </w:rPr>
        <w:t>Source : https://news.google.com/rss/articles/CBMi0AFBVV95cUxOSmMzOHJtcWJYU2VjTl9ZRXNKSDl</w:t>
      </w:r>
    </w:p>
    <w:p>
      <w:pPr>
        <w:spacing w:before="40" w:after="40"/>
        <w:ind w:left="360"/>
      </w:pPr>
      <w:r>
        <w:rPr>
          <w:color w:val="646464"/>
          <w:sz w:val="17"/>
        </w:rPr>
        <w:t xml:space="preserve">[09/10/2026] 🔴  </w:t>
      </w:r>
      <w:r>
        <w:rPr>
          <w:b/>
          <w:color w:val="C00000"/>
          <w:sz w:val="18"/>
        </w:rPr>
        <w:t>Sénégal : Ousmane Sonko peut-il (vraiment) utiliser sa majorité à l’Assemblée contre Bassirou Diomaye Faye ? - Jeune Afr</w:t>
      </w:r>
      <w:r>
        <w:rPr>
          <w:color w:val="787878"/>
          <w:sz w:val="15"/>
        </w:rPr>
        <w:t xml:space="preserve">  [politique]</w:t>
      </w:r>
      <w:r>
        <w:rPr>
          <w:color w:val="B47800"/>
          <w:sz w:val="16"/>
        </w:rPr>
        <w:t xml:space="preserve">  ★ 50/10</w:t>
      </w:r>
    </w:p>
    <w:p>
      <w:pPr>
        <w:spacing w:before="0" w:after="20"/>
        <w:ind w:left="600"/>
      </w:pPr>
      <w:r>
        <w:rPr>
          <w:color w:val="323232"/>
          <w:sz w:val="17"/>
        </w:rPr>
        <w:t>L'article de Jeune Afrique examine la dynamique politique au Sénégal entre le Premier ministre Ousmane Sonko et le président Bassirou Diomaye Faye, en se demandant si Sonko peut utiliser sa majorité parlementaire contre le président. Il analyse les tensions potentielles au sein du pouvoir et les conséquences institutionnelles. Cette situation pourr</w:t>
      </w:r>
    </w:p>
    <w:p>
      <w:pPr>
        <w:spacing w:before="0" w:after="40"/>
        <w:ind w:left="600"/>
      </w:pPr>
      <w:r>
        <w:rPr>
          <w:color w:val="00643C"/>
          <w:sz w:val="16"/>
        </w:rPr>
        <w:t>Points clés : Relation entre Ousmane Sonko et Bassirou Diomaye Faye au sommet de l'État  •  Rôle de la majorité parlementaire acquise par Sonko  •  Risques de blocage institutionnel ou de conflit politique  •  Enjeux pour la stabilité politique du Sénégal</w:t>
      </w:r>
    </w:p>
    <w:p>
      <w:pPr>
        <w:spacing w:before="0" w:after="60"/>
        <w:ind w:left="600"/>
      </w:pPr>
      <w:r>
        <w:rPr>
          <w:color w:val="0064B4"/>
          <w:sz w:val="15"/>
        </w:rPr>
        <w:t>Source : https://news.google.com/rss/articles/CBMi4wFBVV95cUxNWmNnelR2WWc3bXJFYUJ0Uzc1azF</w:t>
      </w:r>
    </w:p>
    <w:p>
      <w:pPr>
        <w:spacing w:before="40" w:after="40"/>
        <w:ind w:left="360"/>
      </w:pPr>
      <w:r>
        <w:rPr>
          <w:color w:val="646464"/>
          <w:sz w:val="17"/>
        </w:rPr>
        <w:t xml:space="preserve">[09/10/2026] ⚪  </w:t>
      </w:r>
      <w:r>
        <w:rPr>
          <w:b/>
          <w:color w:val="505050"/>
          <w:sz w:val="18"/>
        </w:rPr>
        <w:t>Burkina Faso : le capitaine Traoré reçoit le patron de l'ONU à Ouagadougou et fixe ses priorités - Koaci</w:t>
      </w:r>
      <w:r>
        <w:rPr>
          <w:color w:val="787878"/>
          <w:sz w:val="15"/>
        </w:rPr>
        <w:t xml:space="preserve">  [politique]</w:t>
      </w:r>
      <w:r>
        <w:rPr>
          <w:color w:val="B47800"/>
          <w:sz w:val="16"/>
        </w:rPr>
        <w:t xml:space="preserve">  ★ 50/10</w:t>
      </w:r>
    </w:p>
    <w:p>
      <w:pPr>
        <w:spacing w:before="0" w:after="20"/>
        <w:ind w:left="600"/>
      </w:pPr>
      <w:r>
        <w:rPr>
          <w:color w:val="323232"/>
          <w:sz w:val="17"/>
        </w:rPr>
        <w:t>Le capitaine Ibrahim Traoré, président du Burkina Faso, a reçu le secrétaire général de l'ONU à Ouagadougou. Lors de cette rencontre, il a exposé ses priorités pour le pays, notamment la lutte contre le terrorisme et la souveraineté nationale. Cet échange s'inscrit dans un contexte de tensions régionales et de transitions politiques au Sahel. Les d</w:t>
      </w:r>
    </w:p>
    <w:p>
      <w:pPr>
        <w:spacing w:before="0" w:after="40"/>
        <w:ind w:left="600"/>
      </w:pPr>
      <w:r>
        <w:rPr>
          <w:color w:val="00643C"/>
          <w:sz w:val="16"/>
        </w:rPr>
        <w:t>Points clés : Réception du patron de l'ONU par le capitaine Traoré à Ouagadougou  •  Fixation des priorités nationales par le président burkinabè  •  Contexte de lutte contre le terrorisme et de souveraineté</w:t>
      </w:r>
    </w:p>
    <w:p>
      <w:pPr>
        <w:spacing w:before="0" w:after="60"/>
        <w:ind w:left="600"/>
      </w:pPr>
      <w:r>
        <w:rPr>
          <w:color w:val="0064B4"/>
          <w:sz w:val="15"/>
        </w:rPr>
        <w:t>Source : https://news.google.com/rss/articles/CBMi_gFBVV95cUxQMGtZSWpUX2FzTUJnNUJld0hzUUV</w:t>
      </w:r>
    </w:p>
    <w:p>
      <w:pPr>
        <w:spacing w:before="40" w:after="40"/>
        <w:ind w:left="360"/>
      </w:pPr>
      <w:r>
        <w:rPr>
          <w:color w:val="646464"/>
          <w:sz w:val="17"/>
        </w:rPr>
        <w:t xml:space="preserve">[09/10/2026] ⚪  </w:t>
      </w:r>
      <w:r>
        <w:rPr>
          <w:b/>
          <w:color w:val="505050"/>
          <w:sz w:val="18"/>
        </w:rPr>
        <w:t>Guinée-Bissau : le Sénégal appelle à l’apaisement politique et au dialogue - Teranga News</w:t>
      </w:r>
      <w:r>
        <w:rPr>
          <w:color w:val="787878"/>
          <w:sz w:val="15"/>
        </w:rPr>
        <w:t xml:space="preserve">  [politique]</w:t>
      </w:r>
      <w:r>
        <w:rPr>
          <w:color w:val="B47800"/>
          <w:sz w:val="16"/>
        </w:rPr>
        <w:t xml:space="preserve">  ★ 50/10</w:t>
      </w:r>
    </w:p>
    <w:p>
      <w:pPr>
        <w:spacing w:before="0" w:after="20"/>
        <w:ind w:left="600"/>
      </w:pPr>
      <w:r>
        <w:rPr>
          <w:color w:val="323232"/>
          <w:sz w:val="17"/>
        </w:rPr>
        <w:t>Le Sénégal a lancé un appel à l'apaisement politique et au dialogue en Guinée-Bissau, dans un contexte de tensions institutionnelles persistantes dans ce pays voisin membre de l'UEMOA. Cette prise de position s'inscrit dans la volonté de Dakar de préserver la stabilité régionale et de favoriser une sortie de crise par la voie pacifique. La Guinée-B</w:t>
      </w:r>
    </w:p>
    <w:p>
      <w:pPr>
        <w:spacing w:before="0" w:after="40"/>
        <w:ind w:left="600"/>
      </w:pPr>
      <w:r>
        <w:rPr>
          <w:color w:val="00643C"/>
          <w:sz w:val="16"/>
        </w:rPr>
        <w:t>Points clés : Appel du Sénégal à l'apaisement politique en Guinée-Bissau  •  Volonté de médiation régionale dans un contexte de tensions institutionnelles  •  Enjeu de stabilité pour l'espace UEMOA  •  Absence de mesures économiques ou financières annoncées</w:t>
      </w:r>
    </w:p>
    <w:p>
      <w:pPr>
        <w:spacing w:before="0" w:after="60"/>
        <w:ind w:left="600"/>
      </w:pPr>
      <w:r>
        <w:rPr>
          <w:color w:val="0064B4"/>
          <w:sz w:val="15"/>
        </w:rPr>
        <w:t>Source : https://news.google.com/rss/articles/CBMipgFBVV95cUxPWGx0blRGU2o1Wmk4U2VMclk3WjR</w:t>
      </w:r>
    </w:p>
    <w:p>
      <w:pPr>
        <w:spacing w:before="40" w:after="40"/>
        <w:ind w:left="360"/>
      </w:pPr>
      <w:r>
        <w:rPr>
          <w:color w:val="646464"/>
          <w:sz w:val="17"/>
        </w:rPr>
        <w:t xml:space="preserve">[09/10/2026] 🟢  </w:t>
      </w:r>
      <w:r>
        <w:rPr>
          <w:b/>
          <w:color w:val="008000"/>
          <w:sz w:val="18"/>
        </w:rPr>
        <w:t>Sahara marocain : Le Sénégal, le Guatemala et le Panama réaffirment leur soutien au plan d’autonomie - Linformation.ma</w:t>
      </w:r>
      <w:r>
        <w:rPr>
          <w:color w:val="787878"/>
          <w:sz w:val="15"/>
        </w:rPr>
        <w:t xml:space="preserve">  [politique]</w:t>
      </w:r>
      <w:r>
        <w:rPr>
          <w:color w:val="B47800"/>
          <w:sz w:val="16"/>
        </w:rPr>
        <w:t xml:space="preserve">  ★ 50/10</w:t>
      </w:r>
    </w:p>
    <w:p>
      <w:pPr>
        <w:spacing w:before="0" w:after="20"/>
        <w:ind w:left="600"/>
      </w:pPr>
      <w:r>
        <w:rPr>
          <w:color w:val="323232"/>
          <w:sz w:val="17"/>
        </w:rPr>
        <w:t>Le Sénégal, le Guatemala et le Panama ont réaffirmé leur soutien au plan d'autonomie marocain pour le Sahara, selon Linformation.ma. Cette annonce renforce la position diplomatique du Maroc sur la scène internationale. Elle intervient dans un contexte de reconnaissance croissante de l'initiative marocaine par plusieurs pays. Aucun impact direct sur</w:t>
      </w:r>
    </w:p>
    <w:p>
      <w:pPr>
        <w:spacing w:before="0" w:after="40"/>
        <w:ind w:left="600"/>
      </w:pPr>
      <w:r>
        <w:rPr>
          <w:color w:val="00643C"/>
          <w:sz w:val="16"/>
        </w:rPr>
        <w:t>Points clés : Le Sénégal, le Guatemala et le Panama soutiennent le plan d'autonomie marocain  •  Renforcement diplomatique du Maroc sur la question du Sahara  •  Aucune implication économique directe pour la zone UEMOA</w:t>
      </w:r>
    </w:p>
    <w:p>
      <w:pPr>
        <w:spacing w:before="0" w:after="60"/>
        <w:ind w:left="600"/>
      </w:pPr>
      <w:r>
        <w:rPr>
          <w:color w:val="0064B4"/>
          <w:sz w:val="15"/>
        </w:rPr>
        <w:t>Source : https://news.google.com/rss/articles/CBMi2gFBVV95cUxOY3NQM1VGbVZsOXVEbHRGY00zY0N</w:t>
      </w:r>
    </w:p>
    <w:p>
      <w:pPr>
        <w:spacing w:before="120" w:after="40"/>
      </w:pPr>
      <w:r>
        <w:rPr>
          <w:b/>
          <w:color w:val="00467F"/>
          <w:sz w:val="20"/>
        </w:rPr>
        <w:t>🔑 économique  (5 alerte(s))</w:t>
      </w:r>
    </w:p>
    <w:p>
      <w:pPr>
        <w:spacing w:before="40" w:after="40"/>
        <w:ind w:left="360"/>
      </w:pPr>
      <w:r>
        <w:rPr>
          <w:color w:val="646464"/>
          <w:sz w:val="17"/>
        </w:rPr>
        <w:t xml:space="preserve">[11/10/2026] ⚪  </w:t>
      </w:r>
      <w:r>
        <w:rPr>
          <w:b/>
          <w:color w:val="505050"/>
          <w:sz w:val="18"/>
        </w:rPr>
        <w:t>FMI-Banque mondiale : à Bangkok, l’Afrique face à la dette et à l’inflation - Bénin Web TV</w:t>
      </w:r>
      <w:r>
        <w:rPr>
          <w:color w:val="787878"/>
          <w:sz w:val="15"/>
        </w:rPr>
        <w:t xml:space="preserve">  [économique]</w:t>
      </w:r>
      <w:r>
        <w:rPr>
          <w:color w:val="B47800"/>
          <w:sz w:val="16"/>
        </w:rPr>
        <w:t xml:space="preserve">  ★ 50/10</w:t>
      </w:r>
    </w:p>
    <w:p>
      <w:pPr>
        <w:spacing w:before="0" w:after="20"/>
        <w:ind w:left="600"/>
      </w:pPr>
      <w:r>
        <w:rPr>
          <w:color w:val="323232"/>
          <w:sz w:val="17"/>
        </w:rPr>
        <w:t>Les assemblées annuelles du FMI et de la Banque mondiale se tiennent à Bangkok, avec une attention particulière portée aux défis de la dette et de l'inflation en Afrique. Les discussions portent sur les moyens de soutenir les pays africains confrontés à des niveaux d'endettement élevés et à une inflation persistante. Les institutions financières in</w:t>
      </w:r>
    </w:p>
    <w:p>
      <w:pPr>
        <w:spacing w:before="0" w:after="40"/>
        <w:ind w:left="600"/>
      </w:pPr>
      <w:r>
        <w:rPr>
          <w:color w:val="00643C"/>
          <w:sz w:val="16"/>
        </w:rPr>
        <w:t>Points clés : Réunion du FMI et de la Banque mondiale à Bangkok  •  L'Afrique confrontée à la dette et à l'inflation  •  Recherche de solutions pour la stabilité financière</w:t>
      </w:r>
    </w:p>
    <w:p>
      <w:pPr>
        <w:spacing w:before="0" w:after="60"/>
        <w:ind w:left="600"/>
      </w:pPr>
      <w:r>
        <w:rPr>
          <w:color w:val="0064B4"/>
          <w:sz w:val="15"/>
        </w:rPr>
        <w:t>Source : https://news.google.com/rss/articles/CBMif0FVX3lxTE02YmUwNk5JZE5LVVZYVEdqcTJkcEJ</w:t>
      </w:r>
    </w:p>
    <w:p>
      <w:pPr>
        <w:spacing w:before="40" w:after="40"/>
        <w:ind w:left="360"/>
      </w:pPr>
      <w:r>
        <w:rPr>
          <w:color w:val="646464"/>
          <w:sz w:val="17"/>
        </w:rPr>
        <w:t xml:space="preserve">[09/10/2026] 🔴  </w:t>
      </w:r>
      <w:r>
        <w:rPr>
          <w:b/>
          <w:color w:val="C00000"/>
          <w:sz w:val="18"/>
        </w:rPr>
        <w:t>Guinée-Bissau: la Cedeao appelle au dialogue face au vote bloqué - tv5monde</w:t>
      </w:r>
      <w:r>
        <w:rPr>
          <w:color w:val="787878"/>
          <w:sz w:val="15"/>
        </w:rPr>
        <w:t xml:space="preserve">  [économique]</w:t>
      </w:r>
      <w:r>
        <w:rPr>
          <w:color w:val="B47800"/>
          <w:sz w:val="16"/>
        </w:rPr>
        <w:t xml:space="preserve">  ★ 50/10</w:t>
      </w:r>
    </w:p>
    <w:p>
      <w:pPr>
        <w:spacing w:before="0" w:after="20"/>
        <w:ind w:left="600"/>
      </w:pPr>
      <w:r>
        <w:rPr>
          <w:color w:val="323232"/>
          <w:sz w:val="17"/>
        </w:rPr>
        <w:t>La Cedeao appelle au dialogue en Guinée-Bissau après un vote bloqué au Parlement, sur fond de tensions politiques persistantes. Cette situation institutionnelle risque de paralyser la gouvernance et de retarder les réformes économiques. L'instabilité politique chronique du pays pèse sur la confiance des investisseurs et sur les perspectives de croi</w:t>
      </w:r>
    </w:p>
    <w:p>
      <w:pPr>
        <w:spacing w:before="0" w:after="40"/>
        <w:ind w:left="600"/>
      </w:pPr>
      <w:r>
        <w:rPr>
          <w:color w:val="00643C"/>
          <w:sz w:val="16"/>
        </w:rPr>
        <w:t>Points clés : Appel de la Cedeao au dialogue face au blocage du vote  •  Tensions politiques persistantes en Guinée-Bissau  •  Risque de paralysie institutionnelle et de retard des réformes  •  Impact indirect sur le sentiment des investisseurs en zone UEMOA</w:t>
      </w:r>
    </w:p>
    <w:p>
      <w:pPr>
        <w:spacing w:before="0" w:after="60"/>
        <w:ind w:left="600"/>
      </w:pPr>
      <w:r>
        <w:rPr>
          <w:color w:val="0064B4"/>
          <w:sz w:val="15"/>
        </w:rPr>
        <w:t>Source : https://news.google.com/rss/articles/CBMisgFBVV95cUxOWktFcUlMMXFxbUFtbFNFbGVQbkh</w:t>
      </w:r>
    </w:p>
    <w:p>
      <w:pPr>
        <w:spacing w:before="40" w:after="40"/>
        <w:ind w:left="360"/>
      </w:pPr>
      <w:r>
        <w:rPr>
          <w:color w:val="646464"/>
          <w:sz w:val="17"/>
        </w:rPr>
        <w:t xml:space="preserve">[09/10/2026] 🟢  </w:t>
      </w:r>
      <w:r>
        <w:rPr>
          <w:b/>
          <w:color w:val="008000"/>
          <w:sz w:val="18"/>
        </w:rPr>
        <w:t xml:space="preserve">FEWACCI : Mamadou Baldé explique les enjeux de son élection au poste de 3ᵉ vice-président et les ambitions de la Guinée </w:t>
      </w:r>
      <w:r>
        <w:rPr>
          <w:color w:val="787878"/>
          <w:sz w:val="15"/>
        </w:rPr>
        <w:t xml:space="preserve">  [économique]</w:t>
      </w:r>
      <w:r>
        <w:rPr>
          <w:color w:val="B47800"/>
          <w:sz w:val="16"/>
        </w:rPr>
        <w:t xml:space="preserve">  ★ 50/10</w:t>
      </w:r>
    </w:p>
    <w:p>
      <w:pPr>
        <w:spacing w:before="0" w:after="20"/>
        <w:ind w:left="600"/>
      </w:pPr>
      <w:r>
        <w:rPr>
          <w:color w:val="323232"/>
          <w:sz w:val="17"/>
        </w:rPr>
        <w:t>Mamadou Baldé a été élu 3ᵉ vice-président de la FEWACCI (Fédération des Chambres de Commerce et d'Industrie de l'Afrique de l'Ouest). Il explique les enjeux de cette élection pour la Guinée et les ambitions qu'il porte au sein de l'organisation. Cette nomination renforce la représentation guinéenne dans les instances économiques régionales.</w:t>
      </w:r>
    </w:p>
    <w:p>
      <w:pPr>
        <w:spacing w:before="0" w:after="40"/>
        <w:ind w:left="600"/>
      </w:pPr>
      <w:r>
        <w:rPr>
          <w:color w:val="00643C"/>
          <w:sz w:val="16"/>
        </w:rPr>
        <w:t>Points clés : Élection de Mamadou Baldé au poste de 3ᵉ vice-président de la FEWACCI  •  Enjeux pour la Guinée et ambitions portées par le nouveau vice-président  •  Renforcement de la présence guinéenne dans les instances économiques ouest-africaines</w:t>
      </w:r>
    </w:p>
    <w:p>
      <w:pPr>
        <w:spacing w:before="0" w:after="60"/>
        <w:ind w:left="600"/>
      </w:pPr>
      <w:r>
        <w:rPr>
          <w:color w:val="0064B4"/>
          <w:sz w:val="15"/>
        </w:rPr>
        <w:t>Source : https://news.google.com/rss/articles/CBMi8wFBVV95cUxNSU8yeU1OQmlqOFVNeHo2QV82Szd</w:t>
      </w:r>
    </w:p>
    <w:p>
      <w:pPr>
        <w:spacing w:before="40" w:after="40"/>
        <w:ind w:left="360"/>
      </w:pPr>
      <w:r>
        <w:rPr>
          <w:color w:val="646464"/>
          <w:sz w:val="17"/>
        </w:rPr>
        <w:t xml:space="preserve">[09/10/2026] 🟢  </w:t>
      </w:r>
      <w:r>
        <w:rPr>
          <w:b/>
          <w:color w:val="008000"/>
          <w:sz w:val="18"/>
        </w:rPr>
        <w:t>Diplomatie économique : la Chambre de commerce de Guinée fait son entrée au bureau de la FEWACCI - Africaguinee.com</w:t>
      </w:r>
      <w:r>
        <w:rPr>
          <w:color w:val="787878"/>
          <w:sz w:val="15"/>
        </w:rPr>
        <w:t xml:space="preserve">  [économique]</w:t>
      </w:r>
      <w:r>
        <w:rPr>
          <w:color w:val="B47800"/>
          <w:sz w:val="16"/>
        </w:rPr>
        <w:t xml:space="preserve">  ★ 50/10</w:t>
      </w:r>
    </w:p>
    <w:p>
      <w:pPr>
        <w:spacing w:before="0" w:after="20"/>
        <w:ind w:left="600"/>
      </w:pPr>
      <w:r>
        <w:rPr>
          <w:color w:val="323232"/>
          <w:sz w:val="17"/>
        </w:rPr>
        <w:t>La Chambre de commerce de Guinée a été élue pour siéger au bureau de la FEWACCI (Fédération des Chambres de Commerce et d'Industrie de l'Afrique de l'Ouest). Cette nomination renforce la représentation guinéenne au sein de l'organisation sous-régionale. Elle s'inscrit dans une dynamique de diplomatie économique visant à accroître l'influence du pay</w:t>
      </w:r>
    </w:p>
    <w:p>
      <w:pPr>
        <w:spacing w:before="0" w:after="40"/>
        <w:ind w:left="600"/>
      </w:pPr>
      <w:r>
        <w:rPr>
          <w:color w:val="00643C"/>
          <w:sz w:val="16"/>
        </w:rPr>
        <w:t>Points clés : La Chambre de commerce de Guinée intègre le bureau de la FEWACCI  •  Renforcement de la diplomatie économique guinéenne en Afrique de l'Ouest  •  Opportunité d'accroître l'influence commerciale régionale</w:t>
      </w:r>
    </w:p>
    <w:p>
      <w:pPr>
        <w:spacing w:before="0" w:after="60"/>
        <w:ind w:left="600"/>
      </w:pPr>
      <w:r>
        <w:rPr>
          <w:color w:val="0064B4"/>
          <w:sz w:val="15"/>
        </w:rPr>
        <w:t>Source : https://news.google.com/rss/articles/CBMiwgFBVV95cUxQS1Yta2ZLSzBWc21CaG9yTndXbEJ</w:t>
      </w:r>
    </w:p>
    <w:p>
      <w:pPr>
        <w:spacing w:before="40" w:after="40"/>
        <w:ind w:left="360"/>
      </w:pPr>
      <w:r>
        <w:rPr>
          <w:color w:val="646464"/>
          <w:sz w:val="17"/>
        </w:rPr>
        <w:t xml:space="preserve">[09/10/2026] 🔴  </w:t>
      </w:r>
      <w:r>
        <w:rPr>
          <w:b/>
          <w:color w:val="C00000"/>
          <w:sz w:val="18"/>
        </w:rPr>
        <w:t>Kako Nubukpo doute de la faisabilité d’une monnaie unique CEDEAO - Africtelegraph</w:t>
      </w:r>
      <w:r>
        <w:rPr>
          <w:color w:val="787878"/>
          <w:sz w:val="15"/>
        </w:rPr>
        <w:t xml:space="preserve">  [économique]</w:t>
      </w:r>
      <w:r>
        <w:rPr>
          <w:color w:val="B47800"/>
          <w:sz w:val="16"/>
        </w:rPr>
        <w:t xml:space="preserve">  ★ 50/10</w:t>
      </w:r>
    </w:p>
    <w:p>
      <w:pPr>
        <w:spacing w:before="0" w:after="20"/>
        <w:ind w:left="600"/>
      </w:pPr>
      <w:r>
        <w:rPr>
          <w:color w:val="323232"/>
          <w:sz w:val="17"/>
        </w:rPr>
        <w:t>L'économiste Kako Nubukpo exprime des doutes sur la faisabilité d'une monnaie unique pour la CEDEAO. Il remet en question les conditions économiques et politiques nécessaires à sa mise en œuvre. Cette position souligne les obstacles persistants à l'intégration monétaire régionale. Elle pourrait retarder les projets de convergence économique en Afri</w:t>
      </w:r>
    </w:p>
    <w:p>
      <w:pPr>
        <w:spacing w:before="0" w:after="40"/>
        <w:ind w:left="600"/>
      </w:pPr>
      <w:r>
        <w:rPr>
          <w:color w:val="00643C"/>
          <w:sz w:val="16"/>
        </w:rPr>
        <w:t>Points clés : Kako Nubukpo doute de la faisabilité de la monnaie unique CEDEAO  •  Les conditions économiques et politiques ne seraient pas réunies  •  Cela remet en cause le calendrier d'intégration monétaire régionale</w:t>
      </w:r>
    </w:p>
    <w:p>
      <w:pPr>
        <w:spacing w:before="0" w:after="60"/>
        <w:ind w:left="600"/>
      </w:pPr>
      <w:r>
        <w:rPr>
          <w:color w:val="0064B4"/>
          <w:sz w:val="15"/>
        </w:rPr>
        <w:t>Source : https://news.google.com/rss/articles/CBMinAFBVV95cUxOVmlZY0R5bGM4b2xNSFptR3FObEN</w:t>
      </w:r>
    </w:p>
    <w:p>
      <w:pPr>
        <w:spacing w:before="120" w:after="40"/>
      </w:pPr>
      <w:r>
        <w:rPr>
          <w:b/>
          <w:color w:val="00467F"/>
          <w:sz w:val="20"/>
        </w:rPr>
        <w:t>🔑 marche_financier  (1 alerte(s))</w:t>
      </w:r>
    </w:p>
    <w:p>
      <w:pPr>
        <w:spacing w:before="40" w:after="40"/>
        <w:ind w:left="360"/>
      </w:pPr>
      <w:r>
        <w:rPr>
          <w:color w:val="646464"/>
          <w:sz w:val="17"/>
        </w:rPr>
        <w:t xml:space="preserve">[10/10/2026] 🟢  </w:t>
      </w:r>
      <w:r>
        <w:rPr>
          <w:b/>
          <w:color w:val="008000"/>
          <w:sz w:val="18"/>
        </w:rPr>
        <w:t>Sonatel fait voter la division de son action en assemblée extraordinaire - Africtelegraph</w:t>
      </w:r>
      <w:r>
        <w:rPr>
          <w:color w:val="787878"/>
          <w:sz w:val="15"/>
        </w:rPr>
        <w:t xml:space="preserve">  [marche_financier]</w:t>
      </w:r>
      <w:r>
        <w:rPr>
          <w:color w:val="B47800"/>
          <w:sz w:val="16"/>
        </w:rPr>
        <w:t xml:space="preserve">  ★ 50/10</w:t>
      </w:r>
    </w:p>
    <w:p>
      <w:pPr>
        <w:spacing w:before="0" w:after="20"/>
        <w:ind w:left="600"/>
      </w:pPr>
      <w:r>
        <w:rPr>
          <w:color w:val="323232"/>
          <w:sz w:val="17"/>
        </w:rPr>
        <w:t>Sonatel, l'opérateur télécoms historique du Sénégal coté à la BRVM, a convoqué une assemblée générale extraordinaire pour faire approuver la division de la valeur nominale de son action. Cette opération, souvent appelée split, vise à rendre le titre plus accessible aux petits investisseurs en réduisant son prix unitaire. Elle devrait améliorer la l</w:t>
      </w:r>
    </w:p>
    <w:p>
      <w:pPr>
        <w:spacing w:before="0" w:after="40"/>
        <w:ind w:left="600"/>
      </w:pPr>
      <w:r>
        <w:rPr>
          <w:color w:val="00643C"/>
          <w:sz w:val="16"/>
        </w:rPr>
        <w:t>Points clés : Sonatel convoque une AGE pour voter la division de son action (split).  •  Objectif : réduire le prix nominal pour améliorer l'accessibilité et la liquidité.  •  Opération soumise au vote des actionnaires.  •  Impact potentiellement positif sur le volume d'échanges à la BRVM.</w:t>
      </w:r>
    </w:p>
    <w:p>
      <w:pPr>
        <w:spacing w:before="0" w:after="60"/>
        <w:ind w:left="600"/>
      </w:pPr>
      <w:r>
        <w:rPr>
          <w:color w:val="0064B4"/>
          <w:sz w:val="15"/>
        </w:rPr>
        <w:t>Source : https://news.google.com/rss/articles/CBMiqAFBVV95cUxQTlM3Q1RPamlhWFlzRzY0YWlFSDF</w:t>
      </w:r>
    </w:p>
    <w:p>
      <w:pPr>
        <w:spacing w:before="120" w:after="40"/>
      </w:pPr>
      <w:r>
        <w:rPr>
          <w:b/>
          <w:color w:val="00467F"/>
          <w:sz w:val="20"/>
        </w:rPr>
        <w:t>🔑 politique_monetaire  (1 alerte(s))</w:t>
      </w:r>
    </w:p>
    <w:p>
      <w:pPr>
        <w:spacing w:before="40" w:after="40"/>
        <w:ind w:left="360"/>
      </w:pPr>
      <w:r>
        <w:rPr>
          <w:color w:val="646464"/>
          <w:sz w:val="17"/>
        </w:rPr>
        <w:t xml:space="preserve">[10/10/2026] 🔴  </w:t>
      </w:r>
      <w:r>
        <w:rPr>
          <w:b/>
          <w:color w:val="C00000"/>
          <w:sz w:val="18"/>
        </w:rPr>
        <w:t>"Aucun suspense, elle interviendra": si la France s'enfonce dans la crise de la dette, la BCE dispose de trois armes pou</w:t>
      </w:r>
      <w:r>
        <w:rPr>
          <w:color w:val="787878"/>
          <w:sz w:val="15"/>
        </w:rPr>
        <w:t xml:space="preserve">  [politique_monetaire]</w:t>
      </w:r>
      <w:r>
        <w:rPr>
          <w:color w:val="B47800"/>
          <w:sz w:val="16"/>
        </w:rPr>
        <w:t xml:space="preserve">  ★ 50/10</w:t>
      </w:r>
    </w:p>
    <w:p>
      <w:pPr>
        <w:spacing w:before="0" w:after="20"/>
        <w:ind w:left="600"/>
      </w:pPr>
      <w:r>
        <w:rPr>
          <w:color w:val="323232"/>
          <w:sz w:val="17"/>
        </w:rPr>
        <w:t>L'article évoque la possibilité d'une crise de la dette en France et les trois types d'interventions dont dispose la BCE pour la sauver : douce, puissante et douloureuse. Il souligne qu'il n'y a aucun suspense quant à l'intervention de la BCE en cas de besoin. Cette perspective met en lumière les risques pesant sur la zone euro et les mécanismes de</w:t>
      </w:r>
    </w:p>
    <w:p>
      <w:pPr>
        <w:spacing w:before="0" w:after="40"/>
        <w:ind w:left="600"/>
      </w:pPr>
      <w:r>
        <w:rPr>
          <w:color w:val="00643C"/>
          <w:sz w:val="16"/>
        </w:rPr>
        <w:t>Points clés : La France pourrait faire face à une crise de la dette.  •  La BCE dispose de trois armes pour intervenir : douce, puissante et douloureuse.  •  L'intervention de la BCE est présentée comme certaine en cas de crise.</w:t>
      </w:r>
    </w:p>
    <w:p>
      <w:pPr>
        <w:spacing w:before="0" w:after="60"/>
        <w:ind w:left="600"/>
      </w:pPr>
      <w:r>
        <w:rPr>
          <w:color w:val="0064B4"/>
          <w:sz w:val="15"/>
        </w:rPr>
        <w:t>Source : https://news.google.com/rss/articles/CBMi7gJBVV95cUxQb1ZZbmNRejdSRzYzcTc0U00wczc</w:t>
      </w:r>
    </w:p>
    <w:p>
      <w:pPr>
        <w:spacing w:before="120" w:after="40"/>
      </w:pPr>
      <w:r>
        <w:rPr>
          <w:b/>
          <w:color w:val="00467F"/>
          <w:sz w:val="20"/>
        </w:rPr>
        <w:t>🔑 matieres_premieres  (2 alerte(s))</w:t>
      </w:r>
    </w:p>
    <w:p>
      <w:pPr>
        <w:spacing w:before="40" w:after="40"/>
        <w:ind w:left="360"/>
      </w:pPr>
      <w:r>
        <w:rPr>
          <w:color w:val="646464"/>
          <w:sz w:val="17"/>
        </w:rPr>
        <w:t xml:space="preserve">[09/10/2026] 🔴  </w:t>
      </w:r>
      <w:r>
        <w:rPr>
          <w:b/>
          <w:color w:val="C00000"/>
          <w:sz w:val="18"/>
        </w:rPr>
        <w:t>Le prix du pétrole brut et des métaux précieux a baissé. - Vietnam.vn</w:t>
      </w:r>
      <w:r>
        <w:rPr>
          <w:color w:val="787878"/>
          <w:sz w:val="15"/>
        </w:rPr>
        <w:t xml:space="preserve">  [matieres_premieres]</w:t>
      </w:r>
      <w:r>
        <w:rPr>
          <w:color w:val="B47800"/>
          <w:sz w:val="16"/>
        </w:rPr>
        <w:t xml:space="preserve">  ★ 50/10</w:t>
      </w:r>
    </w:p>
    <w:p>
      <w:pPr>
        <w:spacing w:before="0" w:after="20"/>
        <w:ind w:left="600"/>
      </w:pPr>
      <w:r>
        <w:rPr>
          <w:color w:val="323232"/>
          <w:sz w:val="17"/>
        </w:rPr>
        <w:t>Le prix du pétrole brut et des métaux précieux a enregistré une baisse sur les marchés internationaux. Cette correction concerne à la fois les hydrocarbures et les métaux précieux comme l'or et l'argent. Les investisseurs suivent l'évolution de ces matières premières en raison de leur rôle de baromètre économique. Cette tendance pourrait influencer</w:t>
      </w:r>
    </w:p>
    <w:p>
      <w:pPr>
        <w:spacing w:before="0" w:after="40"/>
        <w:ind w:left="600"/>
      </w:pPr>
      <w:r>
        <w:rPr>
          <w:color w:val="00643C"/>
          <w:sz w:val="16"/>
        </w:rPr>
        <w:t>Points clés : Baisse simultanée du pétrole brut et des métaux précieux  •  Correction des prix sur les marchés internationaux  •  Impact potentiel sur les économies exportatrices de matières premières</w:t>
      </w:r>
    </w:p>
    <w:p>
      <w:pPr>
        <w:spacing w:before="0" w:after="60"/>
        <w:ind w:left="600"/>
      </w:pPr>
      <w:r>
        <w:rPr>
          <w:color w:val="0064B4"/>
          <w:sz w:val="15"/>
        </w:rPr>
        <w:t>Source : https://news.google.com/rss/articles/CBMic0FVX3lxTE5uTWw3M2ZrX210VHN2R205ZXRmamN</w:t>
      </w:r>
    </w:p>
    <w:p>
      <w:pPr>
        <w:spacing w:before="40" w:after="40"/>
        <w:ind w:left="360"/>
      </w:pPr>
      <w:r>
        <w:rPr>
          <w:color w:val="646464"/>
          <w:sz w:val="17"/>
        </w:rPr>
        <w:t xml:space="preserve">[09/10/2026] 🔴  </w:t>
      </w:r>
      <w:r>
        <w:rPr>
          <w:b/>
          <w:color w:val="C00000"/>
          <w:sz w:val="18"/>
        </w:rPr>
        <w:t>Le prix du pétrole brut a bondi de 4 % pour atteindre 104,28 dollars le baril. - Vietnam.vn</w:t>
      </w:r>
      <w:r>
        <w:rPr>
          <w:color w:val="787878"/>
          <w:sz w:val="15"/>
        </w:rPr>
        <w:t xml:space="preserve">  [matieres_premieres]</w:t>
      </w:r>
      <w:r>
        <w:rPr>
          <w:color w:val="B47800"/>
          <w:sz w:val="16"/>
        </w:rPr>
        <w:t xml:space="preserve">  ★ 50/10</w:t>
      </w:r>
    </w:p>
    <w:p>
      <w:pPr>
        <w:spacing w:before="0" w:after="20"/>
        <w:ind w:left="600"/>
      </w:pPr>
      <w:r>
        <w:rPr>
          <w:color w:val="323232"/>
          <w:sz w:val="17"/>
        </w:rPr>
        <w:t>Le prix du pétrole brut a bondi de 4 % pour atteindre 104,28 dollars le baril, selon Vietnam.vn. Cette hausse significative reflète des tensions sur le marché des matières premières énergétiques. Elle pourrait avoir des répercussions sur les coûts de production et les prix à la consommation à l'échelle mondiale.</w:t>
      </w:r>
    </w:p>
    <w:p>
      <w:pPr>
        <w:spacing w:before="0" w:after="40"/>
        <w:ind w:left="600"/>
      </w:pPr>
      <w:r>
        <w:rPr>
          <w:color w:val="00643C"/>
          <w:sz w:val="16"/>
        </w:rPr>
        <w:t>Points clés : Hausse de 4 % du prix du pétrole brut  •  Prix atteignant 104,28 dollars le baril  •  Impact potentiel sur les marchés internationaux des matières premières</w:t>
      </w:r>
    </w:p>
    <w:p>
      <w:pPr>
        <w:spacing w:before="0" w:after="60"/>
        <w:ind w:left="600"/>
      </w:pPr>
      <w:r>
        <w:rPr>
          <w:color w:val="0064B4"/>
          <w:sz w:val="15"/>
        </w:rPr>
        <w:t>Source : https://news.google.com/rss/articles/CBMieEFVX3lxTE5wX3F6OGZwaEFfczhhemgtd0R2dWx</w:t>
      </w:r>
    </w:p>
    <w:p>
      <w:r>
        <w:br w:type="page"/>
      </w:r>
    </w:p>
    <w:p>
      <w:pPr>
        <w:pStyle w:val="Heading1"/>
      </w:pPr>
      <w:r>
        <w:t>🏆 CLASSEMENT DES SOCIÉTÉS — SCORE COMPOSITE /100</w:t>
      </w:r>
    </w:p>
    <w:p>
      <w:r>
        <w:t>Les 48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3,190</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7,800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2,250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8,250</w:t>
            </w:r>
          </w:p>
        </w:tc>
        <w:tc>
          <w:tcPr>
            <w:tcW w:type="dxa" w:w="1080"/>
            <w:shd w:fill="C6EFCE" w:val="clear"/>
          </w:tcPr>
          <w:p>
            <w:r>
              <w:rPr>
                <w:b/>
                <w:sz w:val="16"/>
              </w:rPr>
              <w:t>77/100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8,440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ONTBF</w:t>
            </w:r>
          </w:p>
        </w:tc>
        <w:tc>
          <w:tcPr>
            <w:tcW w:type="dxa" w:w="1080"/>
            <w:shd w:fill="C6EFCE" w:val="clear"/>
          </w:tcPr>
          <w:p>
            <w:r>
              <w:rPr>
                <w:sz w:val="16"/>
              </w:rPr>
              <w:t>TELECOMMUNICATIONS</w:t>
            </w:r>
          </w:p>
        </w:tc>
        <w:tc>
          <w:tcPr>
            <w:tcW w:type="dxa" w:w="1080"/>
            <w:shd w:fill="C6EFCE" w:val="clear"/>
          </w:tcPr>
          <w:p>
            <w:r>
              <w:rPr>
                <w:sz w:val="16"/>
              </w:rPr>
              <w:t>3,005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2,450</w:t>
            </w:r>
          </w:p>
        </w:tc>
        <w:tc>
          <w:tcPr>
            <w:tcW w:type="dxa" w:w="1080"/>
            <w:shd w:fill="C6EFCE" w:val="clear"/>
          </w:tcPr>
          <w:p>
            <w:r>
              <w:rPr>
                <w:b/>
                <w:sz w:val="16"/>
              </w:rPr>
              <w:t>74/100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SGBC</w:t>
            </w:r>
          </w:p>
        </w:tc>
        <w:tc>
          <w:tcPr>
            <w:tcW w:type="dxa" w:w="1080"/>
            <w:shd w:fill="C6EFCE" w:val="clear"/>
          </w:tcPr>
          <w:p>
            <w:r>
              <w:rPr>
                <w:sz w:val="16"/>
              </w:rPr>
              <w:t>SERVICES FINANCIER</w:t>
            </w:r>
          </w:p>
        </w:tc>
        <w:tc>
          <w:tcPr>
            <w:tcW w:type="dxa" w:w="1080"/>
            <w:shd w:fill="C6EFCE" w:val="clear"/>
          </w:tcPr>
          <w:p>
            <w:r>
              <w:rPr>
                <w:sz w:val="16"/>
              </w:rPr>
              <w:t>39,000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SDCC</w:t>
            </w:r>
          </w:p>
        </w:tc>
        <w:tc>
          <w:tcPr>
            <w:tcW w:type="dxa" w:w="1080"/>
            <w:shd w:fill="C6EFCE" w:val="clear"/>
          </w:tcPr>
          <w:p>
            <w:r>
              <w:rPr>
                <w:sz w:val="16"/>
              </w:rPr>
              <w:t>SERVICES PUBLICS</w:t>
            </w:r>
          </w:p>
        </w:tc>
        <w:tc>
          <w:tcPr>
            <w:tcW w:type="dxa" w:w="1080"/>
            <w:shd w:fill="C6EFCE" w:val="clear"/>
          </w:tcPr>
          <w:p>
            <w:r>
              <w:rPr>
                <w:sz w:val="16"/>
              </w:rPr>
              <w:t>12,990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44,980</w:t>
            </w:r>
          </w:p>
        </w:tc>
        <w:tc>
          <w:tcPr>
            <w:tcW w:type="dxa" w:w="1080"/>
            <w:shd w:fill="C6EFCE" w:val="clear"/>
          </w:tcPr>
          <w:p>
            <w:r>
              <w:rPr>
                <w:b/>
                <w:sz w:val="16"/>
              </w:rPr>
              <w:t>73/100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2,150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NSBC</w:t>
            </w:r>
          </w:p>
        </w:tc>
        <w:tc>
          <w:tcPr>
            <w:tcW w:type="dxa" w:w="1080"/>
            <w:shd w:fill="C6EFCE" w:val="clear"/>
          </w:tcPr>
          <w:p>
            <w:r>
              <w:rPr>
                <w:sz w:val="16"/>
              </w:rPr>
              <w:t>SERVICES FINANCIER</w:t>
            </w:r>
          </w:p>
        </w:tc>
        <w:tc>
          <w:tcPr>
            <w:tcW w:type="dxa" w:w="1080"/>
            <w:shd w:fill="C6EFCE" w:val="clear"/>
          </w:tcPr>
          <w:p>
            <w:r>
              <w:rPr>
                <w:sz w:val="16"/>
              </w:rPr>
              <w:t>20,980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STAC</w:t>
            </w:r>
          </w:p>
        </w:tc>
        <w:tc>
          <w:tcPr>
            <w:tcW w:type="dxa" w:w="1080"/>
            <w:shd w:fill="C6EFCE" w:val="clear"/>
          </w:tcPr>
          <w:p>
            <w:r>
              <w:rPr>
                <w:sz w:val="16"/>
              </w:rPr>
              <w:t>INDUSTRIELS</w:t>
            </w:r>
          </w:p>
        </w:tc>
        <w:tc>
          <w:tcPr>
            <w:tcW w:type="dxa" w:w="1080"/>
            <w:shd w:fill="C6EFCE" w:val="clear"/>
          </w:tcPr>
          <w:p>
            <w:r>
              <w:rPr>
                <w:sz w:val="16"/>
              </w:rPr>
              <w:t>2,110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14</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4,150</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 FORT</w:t>
            </w:r>
          </w:p>
        </w:tc>
      </w:tr>
      <w:tr>
        <w:tc>
          <w:tcPr>
            <w:tcW w:type="dxa" w:w="1080"/>
            <w:shd w:fill="EBF5FB" w:val="clear"/>
          </w:tcPr>
          <w:p>
            <w:r>
              <w:rPr>
                <w:sz w:val="16"/>
              </w:rPr>
              <w:t>15</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16,800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16</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3,935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17</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2,860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18</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37,950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19</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21,300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20</w:t>
            </w:r>
          </w:p>
        </w:tc>
        <w:tc>
          <w:tcPr>
            <w:tcW w:type="dxa" w:w="1080"/>
            <w:shd w:fill="EBF5FB" w:val="clear"/>
          </w:tcPr>
          <w:p>
            <w:r>
              <w:rPr>
                <w:sz w:val="16"/>
              </w:rPr>
              <w:t>UNXC</w:t>
            </w:r>
          </w:p>
        </w:tc>
        <w:tc>
          <w:tcPr>
            <w:tcW w:type="dxa" w:w="1080"/>
            <w:shd w:fill="EBF5FB" w:val="clear"/>
          </w:tcPr>
          <w:p>
            <w:r>
              <w:rPr>
                <w:sz w:val="16"/>
              </w:rPr>
              <w:t>CONSOMMATION DISCR</w:t>
            </w:r>
          </w:p>
        </w:tc>
        <w:tc>
          <w:tcPr>
            <w:tcW w:type="dxa" w:w="1080"/>
            <w:shd w:fill="EBF5FB" w:val="clear"/>
          </w:tcPr>
          <w:p>
            <w:r>
              <w:rPr>
                <w:sz w:val="16"/>
              </w:rPr>
              <w:t>2,285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9,400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3,180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1,870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15,000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7,985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SPHC</w:t>
            </w:r>
          </w:p>
        </w:tc>
        <w:tc>
          <w:tcPr>
            <w:tcW w:type="dxa" w:w="1080"/>
            <w:shd w:fill="EBF5FB" w:val="clear"/>
          </w:tcPr>
          <w:p>
            <w:r>
              <w:rPr>
                <w:sz w:val="16"/>
              </w:rPr>
              <w:t>CONSOMMATION DE BA</w:t>
            </w:r>
          </w:p>
        </w:tc>
        <w:tc>
          <w:tcPr>
            <w:tcW w:type="dxa" w:w="1080"/>
            <w:shd w:fill="EBF5FB" w:val="clear"/>
          </w:tcPr>
          <w:p>
            <w:r>
              <w:rPr>
                <w:sz w:val="16"/>
              </w:rPr>
              <w:t>8,000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TTLC</w:t>
            </w:r>
          </w:p>
        </w:tc>
        <w:tc>
          <w:tcPr>
            <w:tcW w:type="dxa" w:w="1080"/>
            <w:shd w:fill="EBF5FB" w:val="clear"/>
          </w:tcPr>
          <w:p>
            <w:r>
              <w:rPr>
                <w:sz w:val="16"/>
              </w:rPr>
              <w:t>ENERGIE</w:t>
            </w:r>
          </w:p>
        </w:tc>
        <w:tc>
          <w:tcPr>
            <w:tcW w:type="dxa" w:w="1080"/>
            <w:shd w:fill="EBF5FB" w:val="clear"/>
          </w:tcPr>
          <w:p>
            <w:r>
              <w:rPr>
                <w:sz w:val="16"/>
              </w:rPr>
              <w:t>2,870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3,650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BBGC</w:t>
            </w:r>
          </w:p>
        </w:tc>
        <w:tc>
          <w:tcPr>
            <w:tcW w:type="dxa" w:w="1080"/>
            <w:shd w:fill="EBF5FB" w:val="clear"/>
          </w:tcPr>
          <w:p>
            <w:r>
              <w:rPr>
                <w:sz w:val="16"/>
              </w:rPr>
              <w:t>Services Financier</w:t>
            </w:r>
          </w:p>
        </w:tc>
        <w:tc>
          <w:tcPr>
            <w:tcW w:type="dxa" w:w="1080"/>
            <w:shd w:fill="EBF5FB" w:val="clear"/>
          </w:tcPr>
          <w:p>
            <w:r>
              <w:rPr>
                <w:sz w:val="16"/>
              </w:rPr>
              <w:t>10,400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 FORT</w:t>
            </w:r>
          </w:p>
        </w:tc>
      </w:tr>
      <w:tr>
        <w:tc>
          <w:tcPr>
            <w:tcW w:type="dxa" w:w="1080"/>
            <w:shd w:fill="EBF5FB" w:val="clear"/>
          </w:tcPr>
          <w:p>
            <w:r>
              <w:rPr>
                <w:sz w:val="16"/>
              </w:rPr>
              <w:t>30</w:t>
            </w:r>
          </w:p>
        </w:tc>
        <w:tc>
          <w:tcPr>
            <w:tcW w:type="dxa" w:w="1080"/>
            <w:shd w:fill="EBF5FB" w:val="clear"/>
          </w:tcPr>
          <w:p>
            <w:r>
              <w:rPr>
                <w:sz w:val="16"/>
              </w:rPr>
              <w:t>BNBC</w:t>
            </w:r>
          </w:p>
        </w:tc>
        <w:tc>
          <w:tcPr>
            <w:tcW w:type="dxa" w:w="1080"/>
            <w:shd w:fill="EBF5FB" w:val="clear"/>
          </w:tcPr>
          <w:p>
            <w:r>
              <w:rPr>
                <w:sz w:val="16"/>
              </w:rPr>
              <w:t>CONSOMMATION DISCR</w:t>
            </w:r>
          </w:p>
        </w:tc>
        <w:tc>
          <w:tcPr>
            <w:tcW w:type="dxa" w:w="1080"/>
            <w:shd w:fill="EBF5FB" w:val="clear"/>
          </w:tcPr>
          <w:p>
            <w:r>
              <w:rPr>
                <w:sz w:val="16"/>
              </w:rPr>
              <w:t>1,800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6,100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1,470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67</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ORAC</w:t>
            </w:r>
          </w:p>
        </w:tc>
        <w:tc>
          <w:tcPr>
            <w:tcW w:type="dxa" w:w="1080"/>
            <w:shd w:fill="EBF5FB" w:val="clear"/>
          </w:tcPr>
          <w:p>
            <w:r>
              <w:rPr>
                <w:sz w:val="16"/>
              </w:rPr>
              <w:t>TELECOMMUNICATIONS</w:t>
            </w:r>
          </w:p>
        </w:tc>
        <w:tc>
          <w:tcPr>
            <w:tcW w:type="dxa" w:w="1080"/>
            <w:shd w:fill="EBF5FB" w:val="clear"/>
          </w:tcPr>
          <w:p>
            <w:r>
              <w:rPr>
                <w:sz w:val="16"/>
              </w:rPr>
              <w:t>21,995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SIVC</w:t>
            </w:r>
          </w:p>
        </w:tc>
        <w:tc>
          <w:tcPr>
            <w:tcW w:type="dxa" w:w="1080"/>
            <w:shd w:fill="EBF5FB" w:val="clear"/>
          </w:tcPr>
          <w:p>
            <w:r>
              <w:rPr>
                <w:sz w:val="16"/>
              </w:rPr>
              <w:t>INDUSTRIELS</w:t>
            </w:r>
          </w:p>
        </w:tc>
        <w:tc>
          <w:tcPr>
            <w:tcW w:type="dxa" w:w="1080"/>
            <w:shd w:fill="EBF5FB" w:val="clear"/>
          </w:tcPr>
          <w:p>
            <w:r>
              <w:rPr>
                <w:sz w:val="16"/>
              </w:rPr>
              <w:t>1,960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8,005</w:t>
            </w:r>
          </w:p>
        </w:tc>
        <w:tc>
          <w:tcPr>
            <w:tcW w:type="dxa" w:w="1080"/>
            <w:shd w:fill="EBF5FB" w:val="clear"/>
          </w:tcPr>
          <w:p>
            <w:r>
              <w:rPr>
                <w:b/>
                <w:sz w:val="16"/>
              </w:rPr>
              <w:t>65/100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BOAC</w:t>
            </w:r>
          </w:p>
        </w:tc>
        <w:tc>
          <w:tcPr>
            <w:tcW w:type="dxa" w:w="1080"/>
            <w:shd w:fill="EBF5FB" w:val="clear"/>
          </w:tcPr>
          <w:p>
            <w:r>
              <w:rPr>
                <w:sz w:val="16"/>
              </w:rPr>
              <w:t>SERVICES FINANCIER</w:t>
            </w:r>
          </w:p>
        </w:tc>
        <w:tc>
          <w:tcPr>
            <w:tcW w:type="dxa" w:w="1080"/>
            <w:shd w:fill="EBF5FB" w:val="clear"/>
          </w:tcPr>
          <w:p>
            <w:r>
              <w:rPr>
                <w:sz w:val="16"/>
              </w:rPr>
              <w:t>11,295</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30,005</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CIEC</w:t>
            </w:r>
          </w:p>
        </w:tc>
        <w:tc>
          <w:tcPr>
            <w:tcW w:type="dxa" w:w="1080"/>
            <w:shd w:fill="EBF5FB" w:val="clear"/>
          </w:tcPr>
          <w:p>
            <w:r>
              <w:rPr>
                <w:sz w:val="16"/>
              </w:rPr>
              <w:t>SERVICES PUBLICS</w:t>
            </w:r>
          </w:p>
        </w:tc>
        <w:tc>
          <w:tcPr>
            <w:tcW w:type="dxa" w:w="1080"/>
            <w:shd w:fill="EBF5FB" w:val="clear"/>
          </w:tcPr>
          <w:p>
            <w:r>
              <w:rPr>
                <w:sz w:val="16"/>
              </w:rPr>
              <w:t>6,300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SAFC</w:t>
            </w:r>
          </w:p>
        </w:tc>
        <w:tc>
          <w:tcPr>
            <w:tcW w:type="dxa" w:w="1080"/>
            <w:shd w:fill="EBF5FB" w:val="clear"/>
          </w:tcPr>
          <w:p>
            <w:r>
              <w:rPr>
                <w:sz w:val="16"/>
              </w:rPr>
              <w:t>SERVICES FINANCIER</w:t>
            </w:r>
          </w:p>
        </w:tc>
        <w:tc>
          <w:tcPr>
            <w:tcW w:type="dxa" w:w="1080"/>
            <w:shd w:fill="EBF5FB" w:val="clear"/>
          </w:tcPr>
          <w:p>
            <w:r>
              <w:rPr>
                <w:sz w:val="16"/>
              </w:rPr>
              <w:t>4,105</w:t>
            </w:r>
          </w:p>
        </w:tc>
        <w:tc>
          <w:tcPr>
            <w:tcW w:type="dxa" w:w="1080"/>
            <w:shd w:fill="EBF5FB" w:val="clear"/>
          </w:tcPr>
          <w:p>
            <w:r>
              <w:rPr>
                <w:b/>
                <w:sz w:val="16"/>
              </w:rPr>
              <w:t>63/100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1,495</w:t>
            </w:r>
          </w:p>
        </w:tc>
        <w:tc>
          <w:tcPr>
            <w:tcW w:type="dxa" w:w="1080"/>
            <w:shd w:fill="EBF5FB" w:val="clear"/>
          </w:tcPr>
          <w:p>
            <w:r>
              <w:rPr>
                <w:b/>
                <w:sz w:val="16"/>
              </w:rPr>
              <w:t>62/100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32,945</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15,800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4,785</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3,000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8,400</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47</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48,000</w:t>
            </w:r>
          </w:p>
        </w:tc>
        <w:tc>
          <w:tcPr>
            <w:tcW w:type="dxa" w:w="1080"/>
            <w:shd w:fill="EBF5FB" w:val="clear"/>
          </w:tcPr>
          <w:p>
            <w:r>
              <w:rPr>
                <w:b/>
                <w:sz w:val="16"/>
              </w:rPr>
              <w:t>55/100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48</w:t>
            </w:r>
          </w:p>
        </w:tc>
        <w:tc>
          <w:tcPr>
            <w:tcW w:type="dxa" w:w="1080"/>
            <w:shd w:fill="FEFEFE" w:val="clear"/>
          </w:tcPr>
          <w:p>
            <w:r>
              <w:rPr>
                <w:sz w:val="16"/>
              </w:rPr>
              <w:t>SIBC</w:t>
            </w:r>
          </w:p>
        </w:tc>
        <w:tc>
          <w:tcPr>
            <w:tcW w:type="dxa" w:w="1080"/>
            <w:shd w:fill="FEFEFE" w:val="clear"/>
          </w:tcPr>
          <w:p>
            <w:r>
              <w:rPr>
                <w:sz w:val="16"/>
              </w:rPr>
              <w:t>SERVICES FINANCIER</w:t>
            </w:r>
          </w:p>
        </w:tc>
        <w:tc>
          <w:tcPr>
            <w:tcW w:type="dxa" w:w="1080"/>
            <w:shd w:fill="FEFEFE" w:val="clear"/>
          </w:tcPr>
          <w:p>
            <w:r>
              <w:rPr>
                <w:sz w:val="16"/>
              </w:rPr>
              <w:t>8,800</w:t>
            </w:r>
          </w:p>
        </w:tc>
        <w:tc>
          <w:tcPr>
            <w:tcW w:type="dxa" w:w="1080"/>
            <w:shd w:fill="FEFEFE" w:val="clear"/>
          </w:tcPr>
          <w:p>
            <w:r>
              <w:rPr>
                <w:b/>
                <w:sz w:val="16"/>
              </w:rPr>
              <w:t>54/100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ABJC</w:t>
            </w:r>
          </w:p>
        </w:tc>
        <w:tc>
          <w:tcPr>
            <w:tcW w:type="dxa" w:w="1728"/>
            <w:shd w:fill="DEEAF1" w:val="clear"/>
          </w:tcPr>
          <w:p>
            <w:r>
              <w:rPr>
                <w:sz w:val="17"/>
              </w:rPr>
              <w:t>ABJC - SERVAIR ABIDJAN CI</w:t>
            </w:r>
          </w:p>
        </w:tc>
        <w:tc>
          <w:tcPr>
            <w:tcW w:type="dxa" w:w="1728"/>
            <w:shd w:fill="DEEAF1" w:val="clear"/>
          </w:tcPr>
          <w:p>
            <w:r>
              <w:rPr>
                <w:sz w:val="17"/>
              </w:rPr>
              <w:t>3,190</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PALC</w:t>
            </w:r>
          </w:p>
        </w:tc>
        <w:tc>
          <w:tcPr>
            <w:tcW w:type="dxa" w:w="1728"/>
            <w:shd w:fill="DEEAF1" w:val="clear"/>
          </w:tcPr>
          <w:p>
            <w:r>
              <w:rPr>
                <w:sz w:val="17"/>
              </w:rPr>
              <w:t>PALC - PALM COTE D'IVOIRE</w:t>
            </w:r>
          </w:p>
        </w:tc>
        <w:tc>
          <w:tcPr>
            <w:tcW w:type="dxa" w:w="1728"/>
            <w:shd w:fill="DEEAF1" w:val="clear"/>
          </w:tcPr>
          <w:p>
            <w:r>
              <w:rPr>
                <w:sz w:val="17"/>
              </w:rPr>
              <w:t>7,800</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SHEC</w:t>
            </w:r>
          </w:p>
        </w:tc>
        <w:tc>
          <w:tcPr>
            <w:tcW w:type="dxa" w:w="1728"/>
            <w:shd w:fill="DEEAF1" w:val="clear"/>
          </w:tcPr>
          <w:p>
            <w:r>
              <w:rPr>
                <w:sz w:val="17"/>
              </w:rPr>
              <w:t>SHEC - VIVO ENERGY COTE D'IV</w:t>
            </w:r>
          </w:p>
        </w:tc>
        <w:tc>
          <w:tcPr>
            <w:tcW w:type="dxa" w:w="1728"/>
            <w:shd w:fill="DEEAF1" w:val="clear"/>
          </w:tcPr>
          <w:p>
            <w:r>
              <w:rPr>
                <w:sz w:val="17"/>
              </w:rPr>
              <w:t>2,250</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8,250</w:t>
            </w:r>
          </w:p>
        </w:tc>
        <w:tc>
          <w:tcPr>
            <w:tcW w:type="dxa" w:w="1728"/>
            <w:shd w:fill="DEEAF1" w:val="clear"/>
          </w:tcPr>
          <w:p>
            <w:r>
              <w:rPr>
                <w:sz w:val="17"/>
              </w:rPr>
              <w:t>77/100</w:t>
            </w:r>
          </w:p>
        </w:tc>
        <w:tc>
          <w:tcPr>
            <w:tcW w:type="dxa" w:w="1728"/>
            <w:shd w:fill="DEEAF1" w:val="clear"/>
          </w:tcPr>
          <w:p>
            <w:r>
              <w:rPr>
                <w:sz w:val="17"/>
              </w:rPr>
              <w:t>10.6%</w:t>
            </w:r>
          </w:p>
        </w:tc>
      </w:tr>
      <w:tr>
        <w:tc>
          <w:tcPr>
            <w:tcW w:type="dxa" w:w="1728"/>
            <w:shd w:fill="DEEAF1" w:val="clear"/>
          </w:tcPr>
          <w:p>
            <w:r>
              <w:rPr>
                <w:sz w:val="17"/>
              </w:rPr>
              <w:t>ONTBF</w:t>
            </w:r>
          </w:p>
        </w:tc>
        <w:tc>
          <w:tcPr>
            <w:tcW w:type="dxa" w:w="1728"/>
            <w:shd w:fill="DEEAF1" w:val="clear"/>
          </w:tcPr>
          <w:p>
            <w:r>
              <w:rPr>
                <w:sz w:val="17"/>
              </w:rPr>
              <w:t>ONTBF - ONATEL BURKINA FASO</w:t>
            </w:r>
          </w:p>
        </w:tc>
        <w:tc>
          <w:tcPr>
            <w:tcW w:type="dxa" w:w="1728"/>
            <w:shd w:fill="DEEAF1" w:val="clear"/>
          </w:tcPr>
          <w:p>
            <w:r>
              <w:rPr>
                <w:sz w:val="17"/>
              </w:rPr>
              <w:t>3,005</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SGBC</w:t>
            </w:r>
          </w:p>
        </w:tc>
        <w:tc>
          <w:tcPr>
            <w:tcW w:type="dxa" w:w="1728"/>
            <w:shd w:fill="DEEAF1" w:val="clear"/>
          </w:tcPr>
          <w:p>
            <w:r>
              <w:rPr>
                <w:sz w:val="17"/>
              </w:rPr>
              <w:t>SGBC - SOCIETE GENERALE COTE</w:t>
            </w:r>
          </w:p>
        </w:tc>
        <w:tc>
          <w:tcPr>
            <w:tcW w:type="dxa" w:w="1728"/>
            <w:shd w:fill="DEEAF1" w:val="clear"/>
          </w:tcPr>
          <w:p>
            <w:r>
              <w:rPr>
                <w:sz w:val="17"/>
              </w:rPr>
              <w:t>39,000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SDCC</w:t>
            </w:r>
          </w:p>
        </w:tc>
        <w:tc>
          <w:tcPr>
            <w:tcW w:type="dxa" w:w="1728"/>
            <w:shd w:fill="DEEAF1" w:val="clear"/>
          </w:tcPr>
          <w:p>
            <w:r>
              <w:rPr>
                <w:sz w:val="17"/>
              </w:rPr>
              <w:t>SDCC - Société de Distributi</w:t>
            </w:r>
          </w:p>
        </w:tc>
        <w:tc>
          <w:tcPr>
            <w:tcW w:type="dxa" w:w="1728"/>
            <w:shd w:fill="DEEAF1" w:val="clear"/>
          </w:tcPr>
          <w:p>
            <w:r>
              <w:rPr>
                <w:sz w:val="17"/>
              </w:rPr>
              <w:t>12,990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ECOC</w:t>
            </w:r>
          </w:p>
        </w:tc>
        <w:tc>
          <w:tcPr>
            <w:tcW w:type="dxa" w:w="1728"/>
            <w:shd w:fill="DEEAF1" w:val="clear"/>
          </w:tcPr>
          <w:p>
            <w:r>
              <w:rPr>
                <w:sz w:val="17"/>
              </w:rPr>
              <w:t>ECOC - ECOBANK COTE D'IVOIRE</w:t>
            </w:r>
          </w:p>
        </w:tc>
        <w:tc>
          <w:tcPr>
            <w:tcW w:type="dxa" w:w="1728"/>
            <w:shd w:fill="DEEAF1" w:val="clear"/>
          </w:tcPr>
          <w:p>
            <w:r>
              <w:rPr>
                <w:sz w:val="17"/>
              </w:rPr>
              <w:t>16,800</w:t>
            </w:r>
          </w:p>
        </w:tc>
        <w:tc>
          <w:tcPr>
            <w:tcW w:type="dxa" w:w="1728"/>
            <w:shd w:fill="DEEAF1" w:val="clear"/>
          </w:tcPr>
          <w:p>
            <w:r>
              <w:rPr>
                <w:sz w:val="17"/>
              </w:rPr>
              <w:t>68/100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ABJC</w:t>
            </w:r>
          </w:p>
        </w:tc>
        <w:tc>
          <w:tcPr>
            <w:tcW w:type="dxa" w:w="1728"/>
            <w:shd w:fill="E2EFDA" w:val="clear"/>
          </w:tcPr>
          <w:p>
            <w:r>
              <w:rPr>
                <w:sz w:val="17"/>
              </w:rPr>
              <w:t>ABJC - SERVAIR ABIDJAN CI</w:t>
            </w:r>
          </w:p>
        </w:tc>
        <w:tc>
          <w:tcPr>
            <w:tcW w:type="dxa" w:w="1728"/>
            <w:shd w:fill="E2EFDA" w:val="clear"/>
          </w:tcPr>
          <w:p>
            <w:r>
              <w:rPr>
                <w:sz w:val="17"/>
              </w:rPr>
              <w:t>3,190</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PALC</w:t>
            </w:r>
          </w:p>
        </w:tc>
        <w:tc>
          <w:tcPr>
            <w:tcW w:type="dxa" w:w="1728"/>
            <w:shd w:fill="E2EFDA" w:val="clear"/>
          </w:tcPr>
          <w:p>
            <w:r>
              <w:rPr>
                <w:sz w:val="17"/>
              </w:rPr>
              <w:t>PALC - PALM COTE D'IVOIRE</w:t>
            </w:r>
          </w:p>
        </w:tc>
        <w:tc>
          <w:tcPr>
            <w:tcW w:type="dxa" w:w="1728"/>
            <w:shd w:fill="E2EFDA" w:val="clear"/>
          </w:tcPr>
          <w:p>
            <w:r>
              <w:rPr>
                <w:sz w:val="17"/>
              </w:rPr>
              <w:t>7,800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SHEC</w:t>
            </w:r>
          </w:p>
        </w:tc>
        <w:tc>
          <w:tcPr>
            <w:tcW w:type="dxa" w:w="1728"/>
            <w:shd w:fill="E2EFDA" w:val="clear"/>
          </w:tcPr>
          <w:p>
            <w:r>
              <w:rPr>
                <w:sz w:val="17"/>
              </w:rPr>
              <w:t>SHEC - VIVO ENERGY COTE D'IV</w:t>
            </w:r>
          </w:p>
        </w:tc>
        <w:tc>
          <w:tcPr>
            <w:tcW w:type="dxa" w:w="1728"/>
            <w:shd w:fill="E2EFDA" w:val="clear"/>
          </w:tcPr>
          <w:p>
            <w:r>
              <w:rPr>
                <w:sz w:val="17"/>
              </w:rPr>
              <w:t>2,250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BOAS</w:t>
            </w:r>
          </w:p>
        </w:tc>
        <w:tc>
          <w:tcPr>
            <w:tcW w:type="dxa" w:w="1728"/>
            <w:shd w:fill="E2EFDA" w:val="clear"/>
          </w:tcPr>
          <w:p>
            <w:r>
              <w:rPr>
                <w:sz w:val="17"/>
              </w:rPr>
              <w:t>BANK OF AFRICA SENEGAL</w:t>
            </w:r>
          </w:p>
        </w:tc>
        <w:tc>
          <w:tcPr>
            <w:tcW w:type="dxa" w:w="1728"/>
            <w:shd w:fill="E2EFDA" w:val="clear"/>
          </w:tcPr>
          <w:p>
            <w:r>
              <w:rPr>
                <w:sz w:val="17"/>
              </w:rPr>
              <w:t>8,250</w:t>
            </w:r>
          </w:p>
        </w:tc>
        <w:tc>
          <w:tcPr>
            <w:tcW w:type="dxa" w:w="1728"/>
            <w:shd w:fill="E2EFDA" w:val="clear"/>
          </w:tcPr>
          <w:p>
            <w:r>
              <w:rPr>
                <w:sz w:val="17"/>
              </w:rPr>
              <w:t>77/100</w:t>
            </w:r>
          </w:p>
        </w:tc>
        <w:tc>
          <w:tcPr>
            <w:tcW w:type="dxa" w:w="1728"/>
            <w:shd w:fill="E2EFDA" w:val="clear"/>
          </w:tcPr>
          <w:p>
            <w:r>
              <w:rPr>
                <w:sz w:val="17"/>
              </w:rPr>
              <w:t>11.2%</w:t>
            </w:r>
          </w:p>
        </w:tc>
      </w:tr>
      <w:tr>
        <w:tc>
          <w:tcPr>
            <w:tcW w:type="dxa" w:w="1728"/>
            <w:shd w:fill="E2EFDA" w:val="clear"/>
          </w:tcPr>
          <w:p>
            <w:r>
              <w:rPr>
                <w:sz w:val="17"/>
              </w:rPr>
              <w:t>BICB</w:t>
            </w:r>
          </w:p>
        </w:tc>
        <w:tc>
          <w:tcPr>
            <w:tcW w:type="dxa" w:w="1728"/>
            <w:shd w:fill="E2EFDA" w:val="clear"/>
          </w:tcPr>
          <w:p>
            <w:r>
              <w:rPr>
                <w:sz w:val="17"/>
              </w:rPr>
              <w:t>BIIC BN - Banque internation</w:t>
            </w:r>
          </w:p>
        </w:tc>
        <w:tc>
          <w:tcPr>
            <w:tcW w:type="dxa" w:w="1728"/>
            <w:shd w:fill="E2EFDA" w:val="clear"/>
          </w:tcPr>
          <w:p>
            <w:r>
              <w:rPr>
                <w:sz w:val="17"/>
              </w:rPr>
              <w:t>8,440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ONTBF</w:t>
            </w:r>
          </w:p>
        </w:tc>
        <w:tc>
          <w:tcPr>
            <w:tcW w:type="dxa" w:w="1728"/>
            <w:shd w:fill="E2EFDA" w:val="clear"/>
          </w:tcPr>
          <w:p>
            <w:r>
              <w:rPr>
                <w:sz w:val="17"/>
              </w:rPr>
              <w:t>ONTBF - ONATEL BURKINA FASO</w:t>
            </w:r>
          </w:p>
        </w:tc>
        <w:tc>
          <w:tcPr>
            <w:tcW w:type="dxa" w:w="1728"/>
            <w:shd w:fill="E2EFDA" w:val="clear"/>
          </w:tcPr>
          <w:p>
            <w:r>
              <w:rPr>
                <w:sz w:val="17"/>
              </w:rPr>
              <w:t>3,005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SCRC</w:t>
            </w:r>
          </w:p>
        </w:tc>
        <w:tc>
          <w:tcPr>
            <w:tcW w:type="dxa" w:w="1728"/>
            <w:shd w:fill="E2EFDA" w:val="clear"/>
          </w:tcPr>
          <w:p>
            <w:r>
              <w:rPr>
                <w:sz w:val="17"/>
              </w:rPr>
              <w:t>SCRC - SUCRIVOIRE</w:t>
            </w:r>
          </w:p>
        </w:tc>
        <w:tc>
          <w:tcPr>
            <w:tcW w:type="dxa" w:w="1728"/>
            <w:shd w:fill="E2EFDA" w:val="clear"/>
          </w:tcPr>
          <w:p>
            <w:r>
              <w:rPr>
                <w:sz w:val="17"/>
              </w:rPr>
              <w:t>2,450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SGBC</w:t>
            </w:r>
          </w:p>
        </w:tc>
        <w:tc>
          <w:tcPr>
            <w:tcW w:type="dxa" w:w="1728"/>
            <w:shd w:fill="E2EFDA" w:val="clear"/>
          </w:tcPr>
          <w:p>
            <w:r>
              <w:rPr>
                <w:sz w:val="17"/>
              </w:rPr>
              <w:t>SGBC - SOCIETE GENERALE COTE</w:t>
            </w:r>
          </w:p>
        </w:tc>
        <w:tc>
          <w:tcPr>
            <w:tcW w:type="dxa" w:w="1728"/>
            <w:shd w:fill="E2EFDA" w:val="clear"/>
          </w:tcPr>
          <w:p>
            <w:r>
              <w:rPr>
                <w:sz w:val="17"/>
              </w:rPr>
              <w:t>39,000</w:t>
            </w:r>
          </w:p>
        </w:tc>
        <w:tc>
          <w:tcPr>
            <w:tcW w:type="dxa" w:w="1728"/>
            <w:shd w:fill="E2EFDA" w:val="clear"/>
          </w:tcPr>
          <w:p>
            <w:r>
              <w:rPr>
                <w:sz w:val="17"/>
              </w:rPr>
              <w:t>74/100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ABJC</w:t>
            </w:r>
          </w:p>
        </w:tc>
        <w:tc>
          <w:tcPr>
            <w:tcW w:type="dxa" w:w="1728"/>
            <w:shd w:fill="FCE4D6" w:val="clear"/>
          </w:tcPr>
          <w:p>
            <w:r>
              <w:rPr>
                <w:sz w:val="17"/>
              </w:rPr>
              <w:t>ABJC - SERVAIR ABIDJAN CI</w:t>
            </w:r>
          </w:p>
        </w:tc>
        <w:tc>
          <w:tcPr>
            <w:tcW w:type="dxa" w:w="1728"/>
            <w:shd w:fill="FCE4D6" w:val="clear"/>
          </w:tcPr>
          <w:p>
            <w:r>
              <w:rPr>
                <w:sz w:val="17"/>
              </w:rPr>
              <w:t>3,190</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PALC</w:t>
            </w:r>
          </w:p>
        </w:tc>
        <w:tc>
          <w:tcPr>
            <w:tcW w:type="dxa" w:w="1728"/>
            <w:shd w:fill="FCE4D6" w:val="clear"/>
          </w:tcPr>
          <w:p>
            <w:r>
              <w:rPr>
                <w:sz w:val="17"/>
              </w:rPr>
              <w:t>PALC - PALM COTE D'IVOIRE</w:t>
            </w:r>
          </w:p>
        </w:tc>
        <w:tc>
          <w:tcPr>
            <w:tcW w:type="dxa" w:w="1728"/>
            <w:shd w:fill="FCE4D6" w:val="clear"/>
          </w:tcPr>
          <w:p>
            <w:r>
              <w:rPr>
                <w:sz w:val="17"/>
              </w:rPr>
              <w:t>7,800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SHEC</w:t>
            </w:r>
          </w:p>
        </w:tc>
        <w:tc>
          <w:tcPr>
            <w:tcW w:type="dxa" w:w="1728"/>
            <w:shd w:fill="FCE4D6" w:val="clear"/>
          </w:tcPr>
          <w:p>
            <w:r>
              <w:rPr>
                <w:sz w:val="17"/>
              </w:rPr>
              <w:t>SHEC - VIVO ENERGY COTE D'IV</w:t>
            </w:r>
          </w:p>
        </w:tc>
        <w:tc>
          <w:tcPr>
            <w:tcW w:type="dxa" w:w="1728"/>
            <w:shd w:fill="FCE4D6" w:val="clear"/>
          </w:tcPr>
          <w:p>
            <w:r>
              <w:rPr>
                <w:sz w:val="17"/>
              </w:rPr>
              <w:t>2,250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BOAS</w:t>
            </w:r>
          </w:p>
        </w:tc>
        <w:tc>
          <w:tcPr>
            <w:tcW w:type="dxa" w:w="1728"/>
            <w:shd w:fill="FCE4D6" w:val="clear"/>
          </w:tcPr>
          <w:p>
            <w:r>
              <w:rPr>
                <w:sz w:val="17"/>
              </w:rPr>
              <w:t>BANK OF AFRICA SENEGAL</w:t>
            </w:r>
          </w:p>
        </w:tc>
        <w:tc>
          <w:tcPr>
            <w:tcW w:type="dxa" w:w="1728"/>
            <w:shd w:fill="FCE4D6" w:val="clear"/>
          </w:tcPr>
          <w:p>
            <w:r>
              <w:rPr>
                <w:sz w:val="17"/>
              </w:rPr>
              <w:t>8,250</w:t>
            </w:r>
          </w:p>
        </w:tc>
        <w:tc>
          <w:tcPr>
            <w:tcW w:type="dxa" w:w="1728"/>
            <w:shd w:fill="FCE4D6" w:val="clear"/>
          </w:tcPr>
          <w:p>
            <w:r>
              <w:rPr>
                <w:sz w:val="17"/>
              </w:rPr>
              <w:t>77/100</w:t>
            </w:r>
          </w:p>
        </w:tc>
        <w:tc>
          <w:tcPr>
            <w:tcW w:type="dxa" w:w="1728"/>
            <w:shd w:fill="FCE4D6" w:val="clear"/>
          </w:tcPr>
          <w:p>
            <w:r>
              <w:rPr>
                <w:sz w:val="17"/>
              </w:rPr>
              <w:t>11.9%</w:t>
            </w:r>
          </w:p>
        </w:tc>
      </w:tr>
      <w:tr>
        <w:tc>
          <w:tcPr>
            <w:tcW w:type="dxa" w:w="1728"/>
            <w:shd w:fill="FCE4D6" w:val="clear"/>
          </w:tcPr>
          <w:p>
            <w:r>
              <w:rPr>
                <w:sz w:val="17"/>
              </w:rPr>
              <w:t>BICB</w:t>
            </w:r>
          </w:p>
        </w:tc>
        <w:tc>
          <w:tcPr>
            <w:tcW w:type="dxa" w:w="1728"/>
            <w:shd w:fill="FCE4D6" w:val="clear"/>
          </w:tcPr>
          <w:p>
            <w:r>
              <w:rPr>
                <w:sz w:val="17"/>
              </w:rPr>
              <w:t>BIIC BN - Banque internation</w:t>
            </w:r>
          </w:p>
        </w:tc>
        <w:tc>
          <w:tcPr>
            <w:tcW w:type="dxa" w:w="1728"/>
            <w:shd w:fill="FCE4D6" w:val="clear"/>
          </w:tcPr>
          <w:p>
            <w:r>
              <w:rPr>
                <w:sz w:val="17"/>
              </w:rPr>
              <w:t>8,440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ONTBF</w:t>
            </w:r>
          </w:p>
        </w:tc>
        <w:tc>
          <w:tcPr>
            <w:tcW w:type="dxa" w:w="1728"/>
            <w:shd w:fill="FCE4D6" w:val="clear"/>
          </w:tcPr>
          <w:p>
            <w:r>
              <w:rPr>
                <w:sz w:val="17"/>
              </w:rPr>
              <w:t>ONTBF - ONATEL BURKINA FASO</w:t>
            </w:r>
          </w:p>
        </w:tc>
        <w:tc>
          <w:tcPr>
            <w:tcW w:type="dxa" w:w="1728"/>
            <w:shd w:fill="FCE4D6" w:val="clear"/>
          </w:tcPr>
          <w:p>
            <w:r>
              <w:rPr>
                <w:sz w:val="17"/>
              </w:rPr>
              <w:t>3,005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SCRC</w:t>
            </w:r>
          </w:p>
        </w:tc>
        <w:tc>
          <w:tcPr>
            <w:tcW w:type="dxa" w:w="1728"/>
            <w:shd w:fill="FCE4D6" w:val="clear"/>
          </w:tcPr>
          <w:p>
            <w:r>
              <w:rPr>
                <w:sz w:val="17"/>
              </w:rPr>
              <w:t>SCRC - SUCRIVOIRE</w:t>
            </w:r>
          </w:p>
        </w:tc>
        <w:tc>
          <w:tcPr>
            <w:tcW w:type="dxa" w:w="1728"/>
            <w:shd w:fill="FCE4D6" w:val="clear"/>
          </w:tcPr>
          <w:p>
            <w:r>
              <w:rPr>
                <w:sz w:val="17"/>
              </w:rPr>
              <w:t>2,450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SGBC</w:t>
            </w:r>
          </w:p>
        </w:tc>
        <w:tc>
          <w:tcPr>
            <w:tcW w:type="dxa" w:w="1728"/>
            <w:shd w:fill="FCE4D6" w:val="clear"/>
          </w:tcPr>
          <w:p>
            <w:r>
              <w:rPr>
                <w:sz w:val="17"/>
              </w:rPr>
              <w:t>SGBC - SOCIETE GENERALE COTE</w:t>
            </w:r>
          </w:p>
        </w:tc>
        <w:tc>
          <w:tcPr>
            <w:tcW w:type="dxa" w:w="1728"/>
            <w:shd w:fill="FCE4D6" w:val="clear"/>
          </w:tcPr>
          <w:p>
            <w:r>
              <w:rPr>
                <w:sz w:val="17"/>
              </w:rPr>
              <w:t>39,000</w:t>
            </w:r>
          </w:p>
        </w:tc>
        <w:tc>
          <w:tcPr>
            <w:tcW w:type="dxa" w:w="1728"/>
            <w:shd w:fill="FCE4D6" w:val="clear"/>
          </w:tcPr>
          <w:p>
            <w:r>
              <w:rPr>
                <w:sz w:val="17"/>
              </w:rPr>
              <w:t>74/100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CABC — CABC - SICABLE COTE D'IVOIRE</w:t>
      </w:r>
    </w:p>
    <w:p>
      <w:pPr>
        <w:pStyle w:val="ListBullet"/>
        <w:spacing w:before="20"/>
        <w:ind w:left="400"/>
      </w:pPr>
      <w:r>
        <w:rPr>
          <w:sz w:val="18"/>
        </w:rPr>
        <w:t>⚠️ Cours à 0.2% du plus bas 100j (3,175 FCFA)</w:t>
      </w:r>
    </w:p>
    <w:p>
      <w:pPr>
        <w:pStyle w:val="ListBullet"/>
        <w:spacing w:before="20"/>
        <w:ind w:left="400"/>
      </w:pPr>
      <w:r>
        <w:rPr>
          <w:sz w:val="18"/>
        </w:rPr>
        <w:t>🟠 Divergence tech(VENTE) / fond(ACHAT) — recommandation ajustée à ACHAT</w:t>
      </w:r>
    </w:p>
    <w:p>
      <w:pPr>
        <w:spacing w:before="120"/>
      </w:pPr>
      <w:r>
        <w:rPr>
          <w:b/>
          <w:color w:val="0050A0"/>
          <w:sz w:val="20"/>
        </w:rPr>
        <w:t>CFAC — CFAC - CFAO MOTORS CI</w:t>
      </w:r>
    </w:p>
    <w:p>
      <w:pPr>
        <w:pStyle w:val="ListBullet"/>
        <w:spacing w:before="20"/>
        <w:ind w:left="400"/>
      </w:pPr>
      <w:r>
        <w:rPr>
          <w:sz w:val="18"/>
        </w:rPr>
        <w:t>⚠️ Cours à 0.7% du plus bas 100j (1,460 FCFA)</w:t>
      </w:r>
    </w:p>
    <w:p>
      <w:pPr>
        <w:pStyle w:val="ListBullet"/>
        <w:spacing w:before="20"/>
        <w:ind w:left="400"/>
      </w:pPr>
      <w:r>
        <w:rPr>
          <w:sz w:val="18"/>
        </w:rPr>
        <w:t>🟠 Divergence tech(VENTE) / fond(ACHAT) — recommandation ajustée à ACHAT</w:t>
      </w:r>
    </w:p>
    <w:p>
      <w:pPr>
        <w:spacing w:before="120"/>
      </w:pPr>
      <w:r>
        <w:rPr>
          <w:b/>
          <w:color w:val="0050A0"/>
          <w:sz w:val="20"/>
        </w:rPr>
        <w:t>FTSC — FTSC - FILTISAC COTE D'IVOIRE</w:t>
      </w:r>
    </w:p>
    <w:p>
      <w:pPr>
        <w:pStyle w:val="ListBullet"/>
        <w:spacing w:before="20"/>
        <w:ind w:left="400"/>
      </w:pPr>
      <w:r>
        <w:rPr>
          <w:sz w:val="18"/>
        </w:rPr>
        <w:t>⚠️ Cours à 1.1% du plus bas 100j (1,850 FCFA)</w:t>
      </w:r>
    </w:p>
    <w:p>
      <w:pPr>
        <w:pStyle w:val="ListBullet"/>
        <w:spacing w:before="20"/>
        <w:ind w:left="400"/>
      </w:pPr>
      <w:r>
        <w:rPr>
          <w:sz w:val="18"/>
        </w:rPr>
        <w:t>🟠 Divergence tech(VENTE) / fond(ACHAT) — recommandation ajustée à ACHAT</w:t>
      </w:r>
    </w:p>
    <w:p>
      <w:pPr>
        <w:spacing w:before="120"/>
      </w:pPr>
      <w:r>
        <w:rPr>
          <w:b/>
          <w:color w:val="0050A0"/>
          <w:sz w:val="20"/>
        </w:rPr>
        <w:t>ORAC — ORAC - ORANGE COTE D'IVOIRE</w:t>
      </w:r>
    </w:p>
    <w:p>
      <w:pPr>
        <w:pStyle w:val="ListBullet"/>
        <w:spacing w:before="20"/>
        <w:ind w:left="400"/>
      </w:pPr>
      <w:r>
        <w:rPr>
          <w:sz w:val="18"/>
        </w:rPr>
        <w:t>⚠️ Cours à 2.2% du plus haut 100j (22,500 FCFA)</w:t>
      </w:r>
    </w:p>
    <w:p>
      <w:pPr>
        <w:pStyle w:val="ListBullet"/>
        <w:spacing w:before="20"/>
        <w:ind w:left="400"/>
      </w:pPr>
      <w:r>
        <w:rPr>
          <w:sz w:val="18"/>
        </w:rPr>
        <w:t>🟠 Divergence tech(VENTE) / fond(ACHAT) — recommandation ajustée à ACHAT</w:t>
      </w:r>
    </w:p>
    <w:p>
      <w:pPr>
        <w:spacing w:before="120"/>
      </w:pPr>
      <w:r>
        <w:rPr>
          <w:b/>
          <w:color w:val="0050A0"/>
          <w:sz w:val="20"/>
        </w:rPr>
        <w:t>PALC — PALC - PALM COTE D'IVOIRE</w:t>
      </w:r>
    </w:p>
    <w:p>
      <w:pPr>
        <w:pStyle w:val="ListBullet"/>
        <w:spacing w:before="20"/>
        <w:ind w:left="400"/>
      </w:pPr>
      <w:r>
        <w:rPr>
          <w:sz w:val="18"/>
        </w:rPr>
        <w:t>🟢 RSI survente (29.2 &lt; 30) — opportunité potentielle</w:t>
      </w:r>
    </w:p>
    <w:p>
      <w:pPr>
        <w:pStyle w:val="ListBullet"/>
        <w:spacing w:before="20"/>
        <w:ind w:left="400"/>
      </w:pPr>
      <w:r>
        <w:rPr>
          <w:sz w:val="18"/>
        </w:rPr>
        <w:t>⚠️ Cours à 1.6% du plus bas 100j (7,680 FCFA)</w:t>
      </w:r>
    </w:p>
    <w:p>
      <w:pPr>
        <w:spacing w:before="120"/>
      </w:pPr>
      <w:r>
        <w:rPr>
          <w:b/>
          <w:color w:val="0050A0"/>
          <w:sz w:val="20"/>
        </w:rPr>
        <w:t>SIVC — SIVC - ERIUM CI (Ex AIR LIQUIDECI)</w:t>
      </w:r>
    </w:p>
    <w:p>
      <w:pPr>
        <w:pStyle w:val="ListBullet"/>
        <w:spacing w:before="20"/>
        <w:ind w:left="400"/>
      </w:pPr>
      <w:r>
        <w:rPr>
          <w:sz w:val="18"/>
        </w:rPr>
        <w:t>⚠️ Cours à 2.1% du plus bas 100j (1,920 FCFA)</w:t>
      </w:r>
    </w:p>
    <w:p>
      <w:pPr>
        <w:pStyle w:val="ListBullet"/>
        <w:spacing w:before="20"/>
        <w:ind w:left="400"/>
      </w:pPr>
      <w:r>
        <w:rPr>
          <w:sz w:val="18"/>
        </w:rPr>
        <w:t>🟠 Divergence tech(VENTE) / fond(ACHAT) — recommandation ajustée à ACHAT</w:t>
      </w:r>
    </w:p>
    <w:p>
      <w:pPr>
        <w:spacing w:before="120"/>
      </w:pPr>
      <w:r>
        <w:rPr>
          <w:b/>
          <w:color w:val="0050A0"/>
          <w:sz w:val="20"/>
        </w:rPr>
        <w:t>SLBC — SLBC - SOLIBRA COTE D'IVOIRE</w:t>
      </w:r>
    </w:p>
    <w:p>
      <w:pPr>
        <w:pStyle w:val="ListBullet"/>
        <w:spacing w:before="20"/>
        <w:ind w:left="400"/>
      </w:pPr>
      <w:r>
        <w:rPr>
          <w:sz w:val="18"/>
        </w:rPr>
        <w:t>⚠️ Cours à 2.8% du plus bas 100j (36,900 FCFA)</w:t>
      </w:r>
    </w:p>
    <w:p>
      <w:pPr>
        <w:pStyle w:val="ListBullet"/>
        <w:spacing w:before="20"/>
        <w:ind w:left="400"/>
      </w:pPr>
      <w:r>
        <w:rPr>
          <w:sz w:val="18"/>
        </w:rPr>
        <w:t>🟠 Divergence tech(VENTE) / fond(ACHAT) — recommandation ajustée à ACHAT</w:t>
      </w:r>
    </w:p>
    <w:p>
      <w:pPr>
        <w:spacing w:before="120"/>
      </w:pPr>
      <w:r>
        <w:rPr>
          <w:b/>
          <w:color w:val="0050A0"/>
          <w:sz w:val="20"/>
        </w:rPr>
        <w:t>SNTS — SNTS - SONATEL SN</w:t>
      </w:r>
    </w:p>
    <w:p>
      <w:pPr>
        <w:pStyle w:val="ListBullet"/>
        <w:spacing w:before="20"/>
        <w:ind w:left="400"/>
      </w:pPr>
      <w:r>
        <w:rPr>
          <w:sz w:val="18"/>
        </w:rPr>
        <w:t>🔴 RSI surachat (76.6 &gt; 70) — risque de correction</w:t>
      </w:r>
    </w:p>
    <w:p>
      <w:pPr>
        <w:pStyle w:val="ListBullet"/>
        <w:spacing w:before="20"/>
        <w:ind w:left="400"/>
      </w:pPr>
      <w:r>
        <w:rPr>
          <w:sz w:val="18"/>
        </w:rPr>
        <w:t>⚠️ Cours à 0.0% du plus haut 100j (45,000 FCFA)</w:t>
      </w:r>
    </w:p>
    <w:p>
      <w:pPr>
        <w:spacing w:before="120"/>
      </w:pPr>
      <w:r>
        <w:rPr>
          <w:b/>
          <w:color w:val="0050A0"/>
          <w:sz w:val="20"/>
        </w:rPr>
        <w:t>UNLC — UNLC - UNILEVER COTE D'IVOIRE</w:t>
      </w:r>
    </w:p>
    <w:p>
      <w:pPr>
        <w:pStyle w:val="ListBullet"/>
        <w:spacing w:before="20"/>
        <w:ind w:left="400"/>
      </w:pPr>
      <w:r>
        <w:rPr>
          <w:sz w:val="18"/>
        </w:rPr>
        <w:t>⚠️ Cours à 1.7% du plus bas 100j (47,215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survente (17.0 &lt; 30) — opportunité potentielle</w:t>
      </w:r>
    </w:p>
    <w:p>
      <w:pPr>
        <w:spacing w:before="120"/>
      </w:pPr>
      <w:r>
        <w:rPr>
          <w:b/>
          <w:color w:val="0050A0"/>
          <w:sz w:val="20"/>
        </w:rPr>
        <w:t>BBGC — BRIDGE BANK GROUP COTE D'IVOIRE</w:t>
      </w:r>
    </w:p>
    <w:p>
      <w:pPr>
        <w:pStyle w:val="ListBullet"/>
        <w:spacing w:before="20"/>
        <w:ind w:left="400"/>
      </w:pPr>
      <w:r>
        <w:rPr>
          <w:sz w:val="18"/>
        </w:rPr>
        <w:t>⚠️ Cours à 0.0% du plus haut 100j (10,400 FCFA)</w:t>
      </w:r>
    </w:p>
    <w:p>
      <w:pPr>
        <w:spacing w:before="120"/>
      </w:pPr>
      <w:r>
        <w:rPr>
          <w:b/>
          <w:color w:val="0050A0"/>
          <w:sz w:val="20"/>
        </w:rPr>
        <w:t>BICB — BIIC BN - Banque internationale pour le commerce du benin</w:t>
      </w:r>
    </w:p>
    <w:p>
      <w:pPr>
        <w:pStyle w:val="ListBullet"/>
        <w:spacing w:before="20"/>
        <w:ind w:left="400"/>
      </w:pPr>
      <w:r>
        <w:rPr>
          <w:sz w:val="18"/>
        </w:rPr>
        <w:t>🟢 RSI survente (27.7 &lt; 30) — opportunité potentielle</w:t>
      </w:r>
    </w:p>
    <w:p>
      <w:pPr>
        <w:spacing w:before="120"/>
      </w:pPr>
      <w:r>
        <w:rPr>
          <w:b/>
          <w:color w:val="0050A0"/>
          <w:sz w:val="20"/>
        </w:rPr>
        <w:t>BNBC — BNBC - BERNABE CI</w:t>
      </w:r>
    </w:p>
    <w:p>
      <w:pPr>
        <w:pStyle w:val="ListBullet"/>
        <w:spacing w:before="20"/>
        <w:ind w:left="400"/>
      </w:pPr>
      <w:r>
        <w:rPr>
          <w:sz w:val="18"/>
        </w:rPr>
        <w:t>🟠 Divergence tech(VENTE) / fond(ACHAT) — recommandation ajustée à ACHAT</w:t>
      </w:r>
    </w:p>
    <w:p>
      <w:pPr>
        <w:spacing w:before="120"/>
      </w:pPr>
      <w:r>
        <w:rPr>
          <w:b/>
          <w:color w:val="0050A0"/>
          <w:sz w:val="20"/>
        </w:rPr>
        <w:t>BOAC — BANK OF AFRICA COTE D'IVOIRE</w:t>
      </w:r>
    </w:p>
    <w:p>
      <w:pPr>
        <w:pStyle w:val="ListBullet"/>
        <w:spacing w:before="20"/>
        <w:ind w:left="400"/>
      </w:pPr>
      <w:r>
        <w:rPr>
          <w:sz w:val="18"/>
        </w:rPr>
        <w:t>🟠 Divergence tech(VENTE) / fond(ACHAT) — recommandation ajustée à ACHAT</w:t>
      </w:r>
    </w:p>
    <w:p>
      <w:pPr>
        <w:spacing w:before="120"/>
      </w:pPr>
      <w:r>
        <w:rPr>
          <w:b/>
          <w:color w:val="0050A0"/>
          <w:sz w:val="20"/>
        </w:rPr>
        <w:t>BOAN — BANK OF AFRICA NIGER</w:t>
      </w:r>
    </w:p>
    <w:p>
      <w:pPr>
        <w:pStyle w:val="ListBullet"/>
        <w:spacing w:before="20"/>
        <w:ind w:left="400"/>
      </w:pPr>
      <w:r>
        <w:rPr>
          <w:sz w:val="18"/>
        </w:rPr>
        <w:t>🟠 Divergence tech(VENTE) / fond(ACHAT) — recommandation ajustée à ACHAT</w:t>
      </w:r>
    </w:p>
    <w:p>
      <w:pPr>
        <w:spacing w:before="120"/>
      </w:pPr>
      <w:r>
        <w:rPr>
          <w:b/>
          <w:color w:val="0050A0"/>
          <w:sz w:val="20"/>
        </w:rPr>
        <w:t>BOAS — BANK OF AFRICA SENEGAL</w:t>
      </w:r>
    </w:p>
    <w:p>
      <w:pPr>
        <w:pStyle w:val="ListBullet"/>
        <w:spacing w:before="20"/>
        <w:ind w:left="400"/>
      </w:pPr>
      <w:r>
        <w:rPr>
          <w:sz w:val="18"/>
        </w:rPr>
        <w:t>⚠️ Cours à 2.9% du plus haut 100j (8,500 FCFA)</w:t>
      </w:r>
    </w:p>
    <w:p>
      <w:pPr>
        <w:spacing w:before="120"/>
      </w:pPr>
      <w:r>
        <w:rPr>
          <w:b/>
          <w:color w:val="0050A0"/>
          <w:sz w:val="20"/>
        </w:rPr>
        <w:t>NEIC — NEIC - NEI-CEDA CI</w:t>
      </w:r>
    </w:p>
    <w:p>
      <w:pPr>
        <w:pStyle w:val="ListBullet"/>
        <w:spacing w:before="20"/>
        <w:ind w:left="400"/>
      </w:pPr>
      <w:r>
        <w:rPr>
          <w:sz w:val="18"/>
        </w:rPr>
        <w:t>🟢 RSI survente (19.6 &lt; 30) — opportunité potentielle</w:t>
      </w:r>
    </w:p>
    <w:p>
      <w:pPr>
        <w:spacing w:before="120"/>
      </w:pPr>
      <w:r>
        <w:rPr>
          <w:b/>
          <w:color w:val="0050A0"/>
          <w:sz w:val="20"/>
        </w:rPr>
        <w:t>NSBC — NSBC - NSIA BANQUE COTE D'IVOIRE</w:t>
      </w:r>
    </w:p>
    <w:p>
      <w:pPr>
        <w:pStyle w:val="ListBullet"/>
        <w:spacing w:before="20"/>
        <w:ind w:left="400"/>
      </w:pPr>
      <w:r>
        <w:rPr>
          <w:sz w:val="18"/>
        </w:rPr>
        <w:t>🟢 RSI survente (28.2 &lt; 30) — opportunité potentielle</w:t>
      </w:r>
    </w:p>
    <w:p>
      <w:pPr>
        <w:spacing w:before="120"/>
      </w:pPr>
      <w:r>
        <w:rPr>
          <w:b/>
          <w:color w:val="0050A0"/>
          <w:sz w:val="20"/>
        </w:rPr>
        <w:t>ONTBF — ONTBF - ONATEL BURKINA FASO</w:t>
      </w:r>
    </w:p>
    <w:p>
      <w:pPr>
        <w:pStyle w:val="ListBullet"/>
        <w:spacing w:before="20"/>
        <w:ind w:left="400"/>
      </w:pPr>
      <w:r>
        <w:rPr>
          <w:sz w:val="18"/>
        </w:rPr>
        <w:t>⚠️ Cours à 2.1% du plus haut 100j (3,070 FCFA)</w:t>
      </w:r>
    </w:p>
    <w:p>
      <w:pPr>
        <w:spacing w:before="120"/>
      </w:pPr>
      <w:r>
        <w:rPr>
          <w:b/>
          <w:color w:val="0050A0"/>
          <w:sz w:val="20"/>
        </w:rPr>
        <w:t>ORGT — ORGT - ORAGROUP TOGO</w:t>
      </w:r>
    </w:p>
    <w:p>
      <w:pPr>
        <w:pStyle w:val="ListBullet"/>
        <w:spacing w:before="20"/>
        <w:ind w:left="400"/>
      </w:pPr>
      <w:r>
        <w:rPr>
          <w:sz w:val="18"/>
        </w:rPr>
        <w:t>🟠 Divergence tech(VENTE) / fond(ACHAT) — recommandation ajustée à ACHAT</w:t>
      </w:r>
    </w:p>
    <w:p>
      <w:pPr>
        <w:spacing w:before="120"/>
      </w:pPr>
      <w:r>
        <w:rPr>
          <w:b/>
          <w:color w:val="0050A0"/>
          <w:sz w:val="20"/>
        </w:rPr>
        <w:t>SAFC — SAFCA CI</w:t>
      </w:r>
    </w:p>
    <w:p>
      <w:pPr>
        <w:pStyle w:val="ListBullet"/>
        <w:spacing w:before="20"/>
        <w:ind w:left="400"/>
      </w:pPr>
      <w:r>
        <w:rPr>
          <w:sz w:val="18"/>
        </w:rPr>
        <w:t>🟠 Divergence tech(VENTE) / fond(ACHAT) — recommandation ajustée à ACHAT</w:t>
      </w:r>
    </w:p>
    <w:p>
      <w:pPr>
        <w:spacing w:before="120"/>
      </w:pPr>
      <w:r>
        <w:rPr>
          <w:b/>
          <w:color w:val="0050A0"/>
          <w:sz w:val="20"/>
        </w:rPr>
        <w:t>SCRC — SCRC - SUCRIVOIRE</w:t>
      </w:r>
    </w:p>
    <w:p>
      <w:pPr>
        <w:pStyle w:val="ListBullet"/>
        <w:spacing w:before="20"/>
        <w:ind w:left="400"/>
      </w:pPr>
      <w:r>
        <w:rPr>
          <w:sz w:val="18"/>
        </w:rPr>
        <w:t>🟢 RSI survente (25.1 &lt; 30) — opportunité potentielle</w:t>
      </w:r>
    </w:p>
    <w:p>
      <w:pPr>
        <w:spacing w:before="120"/>
      </w:pPr>
      <w:r>
        <w:rPr>
          <w:b/>
          <w:color w:val="0050A0"/>
          <w:sz w:val="20"/>
        </w:rPr>
        <w:t>SGBC — SGBC - SOCIETE GENERALE COTE D'IVOIRE</w:t>
      </w:r>
    </w:p>
    <w:p>
      <w:pPr>
        <w:pStyle w:val="ListBullet"/>
        <w:spacing w:before="20"/>
        <w:ind w:left="400"/>
      </w:pPr>
      <w:r>
        <w:rPr>
          <w:sz w:val="18"/>
        </w:rPr>
        <w:t>⚠️ Cours à 0.8% du plus haut 100j (39,300 FCFA)</w:t>
      </w:r>
    </w:p>
    <w:p>
      <w:pPr>
        <w:spacing w:before="120"/>
      </w:pPr>
      <w:r>
        <w:rPr>
          <w:b/>
          <w:color w:val="0050A0"/>
          <w:sz w:val="20"/>
        </w:rPr>
        <w:t>SHEC — SHEC - VIVO ENERGY COTE D'IVOIRE</w:t>
      </w:r>
    </w:p>
    <w:p>
      <w:pPr>
        <w:pStyle w:val="ListBullet"/>
        <w:spacing w:before="20"/>
        <w:ind w:left="400"/>
      </w:pPr>
      <w:r>
        <w:rPr>
          <w:sz w:val="18"/>
        </w:rPr>
        <w:t>🟢 RSI survente (26.4 &lt; 30) — opportunité potentielle</w:t>
      </w:r>
    </w:p>
    <w:p>
      <w:pPr>
        <w:spacing w:before="120"/>
      </w:pPr>
      <w:r>
        <w:rPr>
          <w:b/>
          <w:color w:val="0050A0"/>
          <w:sz w:val="20"/>
        </w:rPr>
        <w:t>SICC — SICC - SICOR COTE D'IVOIRE</w:t>
      </w:r>
    </w:p>
    <w:p>
      <w:pPr>
        <w:pStyle w:val="ListBullet"/>
        <w:spacing w:before="20"/>
        <w:ind w:left="400"/>
      </w:pPr>
      <w:r>
        <w:rPr>
          <w:sz w:val="18"/>
        </w:rPr>
        <w:t>🟠 Divergence tech(VENTE) / fond(ACHAT) — recommandation ajustée à ACHAT</w:t>
      </w:r>
    </w:p>
    <w:p>
      <w:pPr>
        <w:spacing w:before="120"/>
      </w:pPr>
      <w:r>
        <w:rPr>
          <w:b/>
          <w:color w:val="0050A0"/>
          <w:sz w:val="20"/>
        </w:rPr>
        <w:t>SMBC — SMBC - Société Multinationale de Bitumes COTE D'IVOIRE</w:t>
      </w:r>
    </w:p>
    <w:p>
      <w:pPr>
        <w:pStyle w:val="ListBullet"/>
        <w:spacing w:before="20"/>
        <w:ind w:left="400"/>
      </w:pPr>
      <w:r>
        <w:rPr>
          <w:sz w:val="18"/>
        </w:rPr>
        <w:t>🟠 Divergence tech(VENTE) / fond(ACHAT) — recommandation ajustée à ACHAT</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w:t>
      </w:r>
    </w:p>
    <w:p>
      <w:pPr>
        <w:spacing w:before="120"/>
      </w:pPr>
      <w:r>
        <w:rPr>
          <w:b/>
          <w:color w:val="0050A0"/>
          <w:sz w:val="20"/>
        </w:rPr>
        <w:t>SPHC — SPHC - Société Africaine de Plantation d'Hévéas de Côte d'Ivoire</w:t>
      </w:r>
    </w:p>
    <w:p>
      <w:pPr>
        <w:pStyle w:val="ListBullet"/>
        <w:spacing w:before="20"/>
        <w:ind w:left="400"/>
      </w:pPr>
      <w:r>
        <w:rPr>
          <w:sz w:val="18"/>
        </w:rPr>
        <w:t>🟠 Divergence tech(VENTE) / fond(ACHAT) — recommandation ajustée à ACHAT</w:t>
      </w:r>
    </w:p>
    <w:p>
      <w:pPr>
        <w:spacing w:before="120"/>
      </w:pPr>
      <w:r>
        <w:rPr>
          <w:b/>
          <w:color w:val="0050A0"/>
          <w:sz w:val="20"/>
        </w:rPr>
        <w:t>STAC — STAC - SETAO COTE D'IVOIRE</w:t>
      </w:r>
    </w:p>
    <w:p>
      <w:pPr>
        <w:pStyle w:val="ListBullet"/>
        <w:spacing w:before="20"/>
        <w:ind w:left="400"/>
      </w:pPr>
      <w:r>
        <w:rPr>
          <w:sz w:val="18"/>
        </w:rPr>
        <w:t>⚠️ Cours à 2.2% du plus bas 100j (2,065 FCFA)</w:t>
      </w:r>
    </w:p>
    <w:p>
      <w:pPr>
        <w:spacing w:before="120"/>
      </w:pPr>
      <w:r>
        <w:rPr>
          <w:b/>
          <w:color w:val="0050A0"/>
          <w:sz w:val="20"/>
        </w:rPr>
        <w:t>STBC — STBC - SITAB COTE D'IVOIRE</w:t>
      </w:r>
    </w:p>
    <w:p>
      <w:pPr>
        <w:pStyle w:val="ListBullet"/>
        <w:spacing w:before="20"/>
        <w:ind w:left="400"/>
      </w:pPr>
      <w:r>
        <w:rPr>
          <w:sz w:val="18"/>
        </w:rPr>
        <w:t>⚠️ Cours à 1.9% du plus bas 100j (20,895 FCFA)</w:t>
      </w:r>
    </w:p>
    <w:p>
      <w:pPr>
        <w:spacing w:before="120"/>
      </w:pPr>
      <w:r>
        <w:rPr>
          <w:b/>
          <w:color w:val="0050A0"/>
          <w:sz w:val="20"/>
        </w:rPr>
        <w:t>TTLC — TTLC - TOTAL ENERGIES MARKETING COTE D'IVOIRE</w:t>
      </w:r>
    </w:p>
    <w:p>
      <w:pPr>
        <w:pStyle w:val="ListBullet"/>
        <w:spacing w:before="20"/>
        <w:ind w:left="400"/>
      </w:pPr>
      <w:r>
        <w:rPr>
          <w:sz w:val="18"/>
        </w:rPr>
        <w:t>🟠 Divergence tech(VENTE) / fond(ACHAT) — recommandation ajustée à ACHAT</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28 société(s) (58%)</w:t>
            </w:r>
          </w:p>
        </w:tc>
        <w:tc>
          <w:tcPr>
            <w:tcW w:type="dxa" w:w="1644"/>
            <w:shd w:fill="FFEB9C" w:val="clear"/>
          </w:tcPr>
          <w:p>
            <w:r>
              <w:rPr>
                <w:b/>
                <w:color w:val="825A00"/>
                <w:sz w:val="19"/>
              </w:rPr>
              <w:t>20 société(s) (42%)</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19.9/100</w:t>
            </w:r>
          </w:p>
        </w:tc>
        <w:tc>
          <w:tcPr>
            <w:tcW w:type="dxa" w:w="1644"/>
            <w:shd w:fill="DEEAF1" w:val="clear"/>
          </w:tcPr>
          <w:p>
            <w:r>
              <w:rPr>
                <w:b/>
                <w:color w:val="000000"/>
                <w:sz w:val="19"/>
              </w:rPr>
              <w:t>19.1/100</w:t>
            </w:r>
          </w:p>
        </w:tc>
      </w:tr>
    </w:tbl>
    <w:p/>
    <w:p>
      <w:r>
        <w:rPr>
          <w:i/>
          <w:color w:val="006400"/>
          <w:sz w:val="18"/>
        </w:rPr>
        <w:t>✅ Le marché BRVM présente globalement un profil de risque FAIBLE (score moyen 19.9/100).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32.8/100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CBIBF</w:t>
            </w:r>
          </w:p>
        </w:tc>
        <w:tc>
          <w:tcPr>
            <w:tcW w:type="dxa" w:w="2268"/>
            <w:shd w:fill="FFFFFF" w:val="clear"/>
          </w:tcPr>
          <w:p>
            <w:r>
              <w:rPr>
                <w:sz w:val="16"/>
              </w:rPr>
              <w:t>CBIBF - CORIS BANK INTERNATI…</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SNTS</w:t>
            </w:r>
          </w:p>
        </w:tc>
        <w:tc>
          <w:tcPr>
            <w:tcW w:type="dxa" w:w="2268"/>
            <w:shd w:fill="FFFFFF" w:val="clear"/>
          </w:tcPr>
          <w:p>
            <w:r>
              <w:rPr>
                <w:sz w:val="16"/>
              </w:rPr>
              <w:t>SNTS - SONATEL SN</w:t>
            </w:r>
          </w:p>
        </w:tc>
        <w:tc>
          <w:tcPr>
            <w:tcW w:type="dxa" w:w="1701"/>
            <w:shd w:fill="FFFFFF" w:val="clear"/>
          </w:tcPr>
          <w:p>
            <w:r>
              <w:rPr>
                <w:sz w:val="16"/>
              </w:rPr>
              <w:t>TELECOMMUNICATIONS</w:t>
            </w:r>
          </w:p>
        </w:tc>
        <w:tc>
          <w:tcPr>
            <w:tcW w:type="dxa" w:w="1020"/>
            <w:shd w:fill="FFEB9C" w:val="clear"/>
          </w:tcPr>
          <w:p>
            <w:r>
              <w:rPr>
                <w:b/>
                <w:color w:val="B40000"/>
                <w:sz w:val="16"/>
              </w:rPr>
              <w:t>31.1/100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SAFC (32.8/100 — Moyen) : </w:t>
      </w:r>
      <w:r>
        <w:rPr>
          <w:sz w:val="17"/>
        </w:rPr>
        <w:t>Volatilité=Élevée | Bêta=Agressif | Liquidité=Bonne | Divergence signaux=taux divergence=20% (Mixte ⚠️) | Stabilité=Modérée</w:t>
      </w:r>
    </w:p>
    <w:p>
      <w:pPr>
        <w:pStyle w:val="ListBullet"/>
      </w:pPr>
      <w:r>
        <w:rPr>
          <w:b/>
          <w:color w:val="B40000"/>
          <w:sz w:val="18"/>
        </w:rPr>
        <w:t xml:space="preserve">#4 CBIBF (31.3/100 — Moyen) : </w:t>
      </w:r>
      <w:r>
        <w:rPr>
          <w:sz w:val="17"/>
        </w:rPr>
        <w:t>Volatilité=Élevée | Bêta=Agressif | Liquidité=Bonne | Divergence signaux=taux divergence=20% (Mixte ⚠️) | Stabilité=Stable</w:t>
      </w:r>
    </w:p>
    <w:p>
      <w:pPr>
        <w:pStyle w:val="ListBullet"/>
      </w:pPr>
      <w:r>
        <w:rPr>
          <w:b/>
          <w:color w:val="B40000"/>
          <w:sz w:val="18"/>
        </w:rPr>
        <w:t xml:space="preserve">#5 SNTS (31.1/100 — Moyen) : </w:t>
      </w:r>
      <w:r>
        <w:rPr>
          <w:sz w:val="17"/>
        </w:rPr>
        <w:t>Volatilité=Élevée | Bêta=Agressif | Liquidité=Excellente | Divergence signaux=taux divergence=40% (Très divergent ❌) | Stabilité=Stable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SIBC</w:t>
            </w:r>
          </w:p>
        </w:tc>
        <w:tc>
          <w:tcPr>
            <w:tcW w:type="dxa" w:w="2268"/>
            <w:shd w:fill="FFFFFF" w:val="clear"/>
          </w:tcPr>
          <w:p>
            <w:r>
              <w:rPr>
                <w:sz w:val="16"/>
              </w:rPr>
              <w:t>SIBC - SOCIETE IVOIRIENNE DE…</w:t>
            </w:r>
          </w:p>
        </w:tc>
        <w:tc>
          <w:tcPr>
            <w:tcW w:type="dxa" w:w="1701"/>
            <w:shd w:fill="FFFFFF" w:val="clear"/>
          </w:tcPr>
          <w:p>
            <w:r>
              <w:rPr>
                <w:sz w:val="16"/>
              </w:rPr>
              <w:t>SERVICES FINANCIER</w:t>
            </w:r>
          </w:p>
        </w:tc>
        <w:tc>
          <w:tcPr>
            <w:tcW w:type="dxa" w:w="1020"/>
            <w:shd w:fill="C6EFCE" w:val="clear"/>
          </w:tcPr>
          <w:p>
            <w:r>
              <w:rPr>
                <w:b/>
                <w:color w:val="007800"/>
                <w:sz w:val="16"/>
              </w:rPr>
              <w:t>7.5/100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BOAS</w:t>
            </w:r>
          </w:p>
        </w:tc>
        <w:tc>
          <w:tcPr>
            <w:tcW w:type="dxa" w:w="2268"/>
            <w:shd w:fill="FFFFFF" w:val="clear"/>
          </w:tcPr>
          <w:p>
            <w:r>
              <w:rPr>
                <w:sz w:val="16"/>
              </w:rPr>
              <w:t>BANK OF AFRICA SENEGAL</w:t>
            </w:r>
          </w:p>
        </w:tc>
        <w:tc>
          <w:tcPr>
            <w:tcW w:type="dxa" w:w="1701"/>
            <w:shd w:fill="FFFFFF" w:val="clear"/>
          </w:tcPr>
          <w:p>
            <w:r>
              <w:rPr>
                <w:sz w:val="16"/>
              </w:rPr>
              <w:t>SERVICES FINANCIER</w:t>
            </w:r>
          </w:p>
        </w:tc>
        <w:tc>
          <w:tcPr>
            <w:tcW w:type="dxa" w:w="1020"/>
            <w:shd w:fill="C6EFCE" w:val="clear"/>
          </w:tcPr>
          <w:p>
            <w:r>
              <w:rPr>
                <w:b/>
                <w:color w:val="007800"/>
                <w:sz w:val="16"/>
              </w:rPr>
              <w:t>9.3/100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STBC</w:t>
            </w:r>
          </w:p>
        </w:tc>
        <w:tc>
          <w:tcPr>
            <w:tcW w:type="dxa" w:w="2268"/>
            <w:shd w:fill="FFFFFF" w:val="clear"/>
          </w:tcPr>
          <w:p>
            <w:r>
              <w:rPr>
                <w:sz w:val="16"/>
              </w:rPr>
              <w:t>STBC - SITAB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32.8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31.1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30.8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27.8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24.8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23.6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20.5</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BBGC</w:t>
            </w:r>
          </w:p>
        </w:tc>
        <w:tc>
          <w:tcPr>
            <w:tcW w:type="dxa" w:w="1984"/>
            <w:shd w:fill="FFFFFF" w:val="clear"/>
          </w:tcPr>
          <w:p>
            <w:r>
              <w:rPr>
                <w:sz w:val="15"/>
              </w:rPr>
              <w:t>BRIDGE BANK GROUP COTE…</w:t>
            </w:r>
          </w:p>
        </w:tc>
        <w:tc>
          <w:tcPr>
            <w:tcW w:type="dxa" w:w="1417"/>
            <w:shd w:fill="FFFFFF" w:val="clear"/>
          </w:tcPr>
          <w:p>
            <w:r>
              <w:rPr>
                <w:sz w:val="15"/>
              </w:rPr>
              <w:t>Services Financi</w:t>
            </w:r>
          </w:p>
        </w:tc>
        <w:tc>
          <w:tcPr>
            <w:tcW w:type="dxa" w:w="737"/>
            <w:shd w:fill="C6EFCE" w:val="clear"/>
          </w:tcPr>
          <w:p>
            <w:r>
              <w:rPr>
                <w:b/>
                <w:color w:val="006400"/>
                <w:sz w:val="15"/>
              </w:rPr>
              <w:t>19.2</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proxy, &lt;10 obs commu</w:t>
            </w:r>
          </w:p>
        </w:tc>
        <w:tc>
          <w:tcPr>
            <w:tcW w:type="dxa" w:w="1134"/>
            <w:shd w:fill="FFFFFF" w:val="clear"/>
          </w:tcPr>
          <w:p>
            <w:r>
              <w:rPr>
                <w:sz w:val="15"/>
              </w:rPr>
              <w:t>Excellente</w:t>
            </w:r>
          </w:p>
        </w:tc>
        <w:tc>
          <w:tcPr>
            <w:tcW w:type="dxa" w:w="1757"/>
            <w:shd w:fill="FFFFFF" w:val="clear"/>
          </w:tcPr>
          <w:p>
            <w:r>
              <w:rPr>
                <w:sz w:val="15"/>
              </w:rPr>
              <w:t>Convergent ✅ / Modérée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13.5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Convergent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9.3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7.5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Convergent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48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2F2F2" w:val="clear"/>
          </w:tcPr>
          <w:p>
            <w:r>
              <w:rPr>
                <w:b/>
                <w:color w:val="505050"/>
                <w:sz w:val="18"/>
              </w:rPr>
              <w:t>⚪ NEUTRE / CONSOLIDATION</w:t>
            </w:r>
          </w:p>
        </w:tc>
      </w:tr>
      <w:tr>
        <w:tc>
          <w:tcPr>
            <w:tcW w:type="dxa" w:w="2835"/>
            <w:shd w:fill="DEEAF1" w:val="clear"/>
          </w:tcPr>
          <w:p>
            <w:r>
              <w:rPr>
                <w:b/>
                <w:sz w:val="18"/>
              </w:rPr>
              <w:t>Variation moyenne J+10</w:t>
            </w:r>
          </w:p>
        </w:tc>
        <w:tc>
          <w:tcPr>
            <w:tcW w:type="dxa" w:w="7370"/>
          </w:tcPr>
          <w:p>
            <w:r>
              <w:rPr>
                <w:b/>
                <w:sz w:val="18"/>
              </w:rPr>
              <w:t>-0.58%  |  Médiane : -1.18%</w:t>
            </w:r>
          </w:p>
        </w:tc>
      </w:tr>
      <w:tr>
        <w:tc>
          <w:tcPr>
            <w:tcW w:type="dxa" w:w="2835"/>
            <w:shd w:fill="DEEAF1" w:val="clear"/>
          </w:tcPr>
          <w:p>
            <w:r>
              <w:rPr>
                <w:b/>
                <w:sz w:val="18"/>
              </w:rPr>
              <w:t>Répartition</w:t>
            </w:r>
          </w:p>
        </w:tc>
        <w:tc>
          <w:tcPr>
            <w:tcW w:type="dxa" w:w="7370"/>
          </w:tcPr>
          <w:p>
            <w:r>
              <w:rPr>
                <w:b/>
                <w:sz w:val="18"/>
              </w:rPr>
              <w:t>📈 13 sociétés en hausse (&gt;+1%)   📉 23 en baisse (&lt;-1%)   ➡️ 9 neutres</w:t>
            </w:r>
          </w:p>
        </w:tc>
      </w:tr>
      <w:tr>
        <w:tc>
          <w:tcPr>
            <w:tcW w:type="dxa" w:w="2835"/>
            <w:shd w:fill="DEEAF1" w:val="clear"/>
          </w:tcPr>
          <w:p>
            <w:r>
              <w:rPr>
                <w:b/>
                <w:sz w:val="18"/>
              </w:rPr>
              <w:t>Confiance globale</w:t>
            </w:r>
          </w:p>
        </w:tc>
        <w:tc>
          <w:tcPr>
            <w:tcW w:type="dxa" w:w="7370"/>
          </w:tcPr>
          <w:p>
            <w:r>
              <w:rPr>
                <w:b/>
                <w:sz w:val="18"/>
              </w:rPr>
              <w:t>Élevée : 0 sociétés (0%)   Moyenne : 8   Faible : 37 (82%)   → Confiance dominante : Faible</w:t>
            </w:r>
          </w:p>
        </w:tc>
      </w:tr>
    </w:tbl>
    <w:p/>
    <w:p>
      <w:r>
        <w:rPr>
          <w:i/>
          <w:color w:val="282828"/>
          <w:sz w:val="18"/>
        </w:rPr>
        <w:t>📝 Analyse : Les modèles n'anticipent pas de mouvement directionnel clair. La variation moyenne est de -0.58% avec 9 sociétés en zone neutre (±1%).</w:t>
      </w:r>
    </w:p>
    <w:p>
      <w:r>
        <w:rPr>
          <w:i/>
          <w:color w:val="282828"/>
          <w:sz w:val="18"/>
        </w:rPr>
        <w:t>🎯 Fiabilité : ⚠️ La confiance est globalement FAIBLE (82%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2,450 FCFA</w:t>
            </w:r>
          </w:p>
        </w:tc>
        <w:tc>
          <w:tcPr>
            <w:tcW w:type="dxa" w:w="1417"/>
            <w:shd w:fill="FFFFFF" w:val="clear"/>
          </w:tcPr>
          <w:p>
            <w:r>
              <w:rPr>
                <w:sz w:val="16"/>
              </w:rPr>
              <w:t>3,181 FCFA</w:t>
            </w:r>
          </w:p>
        </w:tc>
        <w:tc>
          <w:tcPr>
            <w:tcW w:type="dxa" w:w="1134"/>
            <w:shd w:fill="C6EFCE" w:val="clear"/>
          </w:tcPr>
          <w:p>
            <w:r>
              <w:rPr>
                <w:b/>
                <w:color w:val="007800"/>
                <w:sz w:val="16"/>
              </w:rPr>
              <w:t>+29.82%</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21,300 FCFA</w:t>
            </w:r>
          </w:p>
        </w:tc>
        <w:tc>
          <w:tcPr>
            <w:tcW w:type="dxa" w:w="1417"/>
            <w:shd w:fill="FFFFFF" w:val="clear"/>
          </w:tcPr>
          <w:p>
            <w:r>
              <w:rPr>
                <w:sz w:val="16"/>
              </w:rPr>
              <w:t>24,099 FCFA</w:t>
            </w:r>
          </w:p>
        </w:tc>
        <w:tc>
          <w:tcPr>
            <w:tcW w:type="dxa" w:w="1134"/>
            <w:shd w:fill="C6EFCE" w:val="clear"/>
          </w:tcPr>
          <w:p>
            <w:r>
              <w:rPr>
                <w:b/>
                <w:color w:val="007800"/>
                <w:sz w:val="16"/>
              </w:rPr>
              <w:t>+13.14%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BICB — BIIC BN - Banque internationale pou...</w:t>
            </w:r>
          </w:p>
        </w:tc>
        <w:tc>
          <w:tcPr>
            <w:tcW w:type="dxa" w:w="1701"/>
            <w:shd w:fill="FFFFFF" w:val="clear"/>
          </w:tcPr>
          <w:p>
            <w:r>
              <w:rPr>
                <w:sz w:val="16"/>
              </w:rPr>
              <w:t>SERVICES FINANCIERS</w:t>
            </w:r>
          </w:p>
        </w:tc>
        <w:tc>
          <w:tcPr>
            <w:tcW w:type="dxa" w:w="1417"/>
            <w:shd w:fill="FFFFFF" w:val="clear"/>
          </w:tcPr>
          <w:p>
            <w:r>
              <w:rPr>
                <w:sz w:val="16"/>
              </w:rPr>
              <w:t>8,440 FCFA</w:t>
            </w:r>
          </w:p>
        </w:tc>
        <w:tc>
          <w:tcPr>
            <w:tcW w:type="dxa" w:w="1417"/>
            <w:shd w:fill="FFFFFF" w:val="clear"/>
          </w:tcPr>
          <w:p>
            <w:r>
              <w:rPr>
                <w:sz w:val="16"/>
              </w:rPr>
              <w:t>9,328 FCFA</w:t>
            </w:r>
          </w:p>
        </w:tc>
        <w:tc>
          <w:tcPr>
            <w:tcW w:type="dxa" w:w="1134"/>
            <w:shd w:fill="C6EFCE" w:val="clear"/>
          </w:tcPr>
          <w:p>
            <w:r>
              <w:rPr>
                <w:b/>
                <w:color w:val="007800"/>
                <w:sz w:val="16"/>
              </w:rPr>
              <w:t>+10.52%</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CFAC — CFAC - CFAO MOTORS CI</w:t>
            </w:r>
          </w:p>
        </w:tc>
        <w:tc>
          <w:tcPr>
            <w:tcW w:type="dxa" w:w="1701"/>
            <w:shd w:fill="FFFFFF" w:val="clear"/>
          </w:tcPr>
          <w:p>
            <w:r>
              <w:rPr>
                <w:sz w:val="16"/>
              </w:rPr>
              <w:t>CONSOMMATION DISCRET</w:t>
            </w:r>
          </w:p>
        </w:tc>
        <w:tc>
          <w:tcPr>
            <w:tcW w:type="dxa" w:w="1417"/>
            <w:shd w:fill="FFFFFF" w:val="clear"/>
          </w:tcPr>
          <w:p>
            <w:r>
              <w:rPr>
                <w:sz w:val="16"/>
              </w:rPr>
              <w:t>1,470 FCFA</w:t>
            </w:r>
          </w:p>
        </w:tc>
        <w:tc>
          <w:tcPr>
            <w:tcW w:type="dxa" w:w="1417"/>
            <w:shd w:fill="FFFFFF" w:val="clear"/>
          </w:tcPr>
          <w:p>
            <w:r>
              <w:rPr>
                <w:sz w:val="16"/>
              </w:rPr>
              <w:t>1,552 FCFA</w:t>
            </w:r>
          </w:p>
        </w:tc>
        <w:tc>
          <w:tcPr>
            <w:tcW w:type="dxa" w:w="1134"/>
            <w:shd w:fill="C6EFCE" w:val="clear"/>
          </w:tcPr>
          <w:p>
            <w:r>
              <w:rPr>
                <w:b/>
                <w:color w:val="007800"/>
                <w:sz w:val="16"/>
              </w:rPr>
              <w:t>+5.56%</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BOAN — BANK OF AFRICA NIGER</w:t>
            </w:r>
          </w:p>
        </w:tc>
        <w:tc>
          <w:tcPr>
            <w:tcW w:type="dxa" w:w="1701"/>
            <w:shd w:fill="FFFFFF" w:val="clear"/>
          </w:tcPr>
          <w:p>
            <w:r>
              <w:rPr>
                <w:sz w:val="16"/>
              </w:rPr>
              <w:t>SERVICES FINANCIERS</w:t>
            </w:r>
          </w:p>
        </w:tc>
        <w:tc>
          <w:tcPr>
            <w:tcW w:type="dxa" w:w="1417"/>
            <w:shd w:fill="FFFFFF" w:val="clear"/>
          </w:tcPr>
          <w:p>
            <w:r>
              <w:rPr>
                <w:sz w:val="16"/>
              </w:rPr>
              <w:t>4,785 FCFA</w:t>
            </w:r>
          </w:p>
        </w:tc>
        <w:tc>
          <w:tcPr>
            <w:tcW w:type="dxa" w:w="1417"/>
            <w:shd w:fill="FFFFFF" w:val="clear"/>
          </w:tcPr>
          <w:p>
            <w:r>
              <w:rPr>
                <w:sz w:val="16"/>
              </w:rPr>
              <w:t>5,046 FCFA</w:t>
            </w:r>
          </w:p>
        </w:tc>
        <w:tc>
          <w:tcPr>
            <w:tcW w:type="dxa" w:w="1134"/>
            <w:shd w:fill="C6EFCE" w:val="clear"/>
          </w:tcPr>
          <w:p>
            <w:r>
              <w:rPr>
                <w:b/>
                <w:color w:val="007800"/>
                <w:sz w:val="16"/>
              </w:rPr>
              <w:t>+5.45%</w:t>
            </w:r>
          </w:p>
        </w:tc>
        <w:tc>
          <w:tcPr>
            <w:tcW w:type="dxa" w:w="1020"/>
            <w:shd w:fill="FFC7CE" w:val="clear"/>
          </w:tcPr>
          <w:p>
            <w:r>
              <w:rPr>
                <w:sz w:val="16"/>
              </w:rPr>
              <w:t>Faible</w:t>
            </w:r>
          </w:p>
        </w:tc>
      </w:tr>
    </w:tbl>
    <w:p/>
    <w:p>
      <w:pPr>
        <w:pStyle w:val="ListBullet"/>
      </w:pPr>
      <w:r>
        <w:rPr>
          <w:b/>
          <w:color w:val="006400"/>
          <w:sz w:val="18"/>
        </w:rPr>
        <w:t xml:space="preserve">#1 SCRC </w:t>
      </w:r>
      <w:r>
        <w:rPr>
          <w:sz w:val="17"/>
        </w:rPr>
        <w:t>(SCRC - SUCRIVOIRE) — hausse très forte (+29.8%) — signal potentiellement excessif, à croiser avec l'analyse technique. Trajectoire : 📈 Hausse continue. Cours actuel : 2,450 FCFA → prédit J+10 : 3,181 FCFA. ⚠️ Confiance limitée — volatilité élevée ou données insuffisantes. Résultat indicatif uniquement.</w:t>
      </w:r>
    </w:p>
    <w:p>
      <w:pPr>
        <w:pStyle w:val="ListBullet"/>
      </w:pPr>
      <w:r>
        <w:rPr>
          <w:b/>
          <w:color w:val="006400"/>
          <w:sz w:val="18"/>
        </w:rPr>
        <w:t xml:space="preserve">#2 STBC </w:t>
      </w:r>
      <w:r>
        <w:rPr>
          <w:sz w:val="17"/>
        </w:rPr>
        <w:t>(STBC - SITAB COTE D'IVOIRE) — hausse significative (+13.1%) — potentiel de revalorisation notable. Trajectoire : 📈 Hausse continue. Cours actuel : 21,300 FCFA → prédit J+10 : 24,099 FCFA. ⚠️ Confiance limitée — volatilité élevée ou données insuffisantes. Résultat indicatif uniquement.</w:t>
      </w:r>
    </w:p>
    <w:p>
      <w:pPr>
        <w:pStyle w:val="ListBullet"/>
      </w:pPr>
      <w:r>
        <w:rPr>
          <w:b/>
          <w:color w:val="006400"/>
          <w:sz w:val="18"/>
        </w:rPr>
        <w:t xml:space="preserve">#3 BICB </w:t>
      </w:r>
      <w:r>
        <w:rPr>
          <w:sz w:val="17"/>
        </w:rPr>
        <w:t>(BIIC BN - Banque internationale pour le ) — hausse significative (+10.5%) — potentiel de revalorisation notable. Trajectoire : 📈 Hausse continue. Cours actuel : 8,440 FCFA → prédit J+10 : 9,328 FCFA. ⚠️ Confiance limitée — volatilité élevée ou données insuffisantes. Résultat indicatif uniquement.</w:t>
      </w:r>
    </w:p>
    <w:p>
      <w:pPr>
        <w:pStyle w:val="ListBullet"/>
      </w:pPr>
      <w:r>
        <w:rPr>
          <w:b/>
          <w:color w:val="006400"/>
          <w:sz w:val="18"/>
        </w:rPr>
        <w:t xml:space="preserve">#4 CFAC </w:t>
      </w:r>
      <w:r>
        <w:rPr>
          <w:sz w:val="17"/>
        </w:rPr>
        <w:t>(CFAC - CFAO MOTORS CI) — hausse modérée (+5.6%) — signal raisonnable et crédible. Trajectoire : 📈 Hausse continue. Cours actuel : 1,470 FCFA → prédit J+10 : 1,552 FCFA. ⚠️ Confiance limitée — volatilité élevée ou données insuffisantes. Résultat indicatif uniquement.</w:t>
      </w:r>
    </w:p>
    <w:p>
      <w:pPr>
        <w:pStyle w:val="ListBullet"/>
      </w:pPr>
      <w:r>
        <w:rPr>
          <w:b/>
          <w:color w:val="006400"/>
          <w:sz w:val="18"/>
        </w:rPr>
        <w:t xml:space="preserve">#5 BOAN </w:t>
      </w:r>
      <w:r>
        <w:rPr>
          <w:sz w:val="17"/>
        </w:rPr>
        <w:t>(BANK OF AFRICA NIGER) — hausse modérée (+5.4%) — signal raisonnable et crédible. Trajectoire : 📈 Hausse continue. Cours actuel : 4,785 FCFA → prédit J+10 : 5,046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BOAS — BANK OF AFRICA SENEGAL</w:t>
            </w:r>
          </w:p>
        </w:tc>
        <w:tc>
          <w:tcPr>
            <w:tcW w:type="dxa" w:w="1701"/>
            <w:shd w:fill="FFFFFF" w:val="clear"/>
          </w:tcPr>
          <w:p>
            <w:r>
              <w:rPr>
                <w:sz w:val="16"/>
              </w:rPr>
              <w:t>SERVICES FINANCIERS</w:t>
            </w:r>
          </w:p>
        </w:tc>
        <w:tc>
          <w:tcPr>
            <w:tcW w:type="dxa" w:w="1417"/>
            <w:shd w:fill="FFFFFF" w:val="clear"/>
          </w:tcPr>
          <w:p>
            <w:r>
              <w:rPr>
                <w:sz w:val="16"/>
              </w:rPr>
              <w:t>8,250 FCFA</w:t>
            </w:r>
          </w:p>
        </w:tc>
        <w:tc>
          <w:tcPr>
            <w:tcW w:type="dxa" w:w="1417"/>
            <w:shd w:fill="FFFFFF" w:val="clear"/>
          </w:tcPr>
          <w:p>
            <w:r>
              <w:rPr>
                <w:sz w:val="16"/>
              </w:rPr>
              <w:t>7,163 FCFA</w:t>
            </w:r>
          </w:p>
        </w:tc>
        <w:tc>
          <w:tcPr>
            <w:tcW w:type="dxa" w:w="1134"/>
            <w:shd w:fill="FFC7CE" w:val="clear"/>
          </w:tcPr>
          <w:p>
            <w:r>
              <w:rPr>
                <w:b/>
                <w:color w:val="B40000"/>
                <w:sz w:val="16"/>
              </w:rPr>
              <w:t>-13.17%</w:t>
            </w:r>
          </w:p>
        </w:tc>
        <w:tc>
          <w:tcPr>
            <w:tcW w:type="dxa" w:w="1020"/>
            <w:shd w:fill="FFEB9C" w:val="clear"/>
          </w:tcPr>
          <w:p>
            <w:r>
              <w:rPr>
                <w:sz w:val="16"/>
              </w:rPr>
              <w:t>Moyenne</w:t>
            </w:r>
          </w:p>
        </w:tc>
      </w:tr>
      <w:tr>
        <w:tc>
          <w:tcPr>
            <w:tcW w:type="dxa" w:w="680"/>
            <w:shd w:fill="FFFFFF" w:val="clear"/>
          </w:tcPr>
          <w:p>
            <w:r>
              <w:rPr>
                <w:b/>
                <w:sz w:val="16"/>
              </w:rPr>
              <w:t>#2</w:t>
            </w:r>
          </w:p>
        </w:tc>
        <w:tc>
          <w:tcPr>
            <w:tcW w:type="dxa" w:w="2835"/>
            <w:shd w:fill="FFC7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20,980 FCFA</w:t>
            </w:r>
          </w:p>
        </w:tc>
        <w:tc>
          <w:tcPr>
            <w:tcW w:type="dxa" w:w="1417"/>
            <w:shd w:fill="FFFFFF" w:val="clear"/>
          </w:tcPr>
          <w:p>
            <w:r>
              <w:rPr>
                <w:sz w:val="16"/>
              </w:rPr>
              <w:t>18,790 FCFA</w:t>
            </w:r>
          </w:p>
        </w:tc>
        <w:tc>
          <w:tcPr>
            <w:tcW w:type="dxa" w:w="1134"/>
            <w:shd w:fill="FFC7CE" w:val="clear"/>
          </w:tcPr>
          <w:p>
            <w:r>
              <w:rPr>
                <w:b/>
                <w:color w:val="B40000"/>
                <w:sz w:val="16"/>
              </w:rPr>
              <w:t>-10.44%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BOAM — BANK OF AFRICA MALI</w:t>
            </w:r>
          </w:p>
        </w:tc>
        <w:tc>
          <w:tcPr>
            <w:tcW w:type="dxa" w:w="1701"/>
            <w:shd w:fill="FFFFFF" w:val="clear"/>
          </w:tcPr>
          <w:p>
            <w:r>
              <w:rPr>
                <w:sz w:val="16"/>
              </w:rPr>
              <w:t>SERVICES FINANCIERS</w:t>
            </w:r>
          </w:p>
        </w:tc>
        <w:tc>
          <w:tcPr>
            <w:tcW w:type="dxa" w:w="1417"/>
            <w:shd w:fill="FFFFFF" w:val="clear"/>
          </w:tcPr>
          <w:p>
            <w:r>
              <w:rPr>
                <w:sz w:val="16"/>
              </w:rPr>
              <w:t>6,100 FCFA</w:t>
            </w:r>
          </w:p>
        </w:tc>
        <w:tc>
          <w:tcPr>
            <w:tcW w:type="dxa" w:w="1417"/>
            <w:shd w:fill="FFFFFF" w:val="clear"/>
          </w:tcPr>
          <w:p>
            <w:r>
              <w:rPr>
                <w:sz w:val="16"/>
              </w:rPr>
              <w:t>5,511 FCFA</w:t>
            </w:r>
          </w:p>
        </w:tc>
        <w:tc>
          <w:tcPr>
            <w:tcW w:type="dxa" w:w="1134"/>
            <w:shd w:fill="FFC7CE" w:val="clear"/>
          </w:tcPr>
          <w:p>
            <w:r>
              <w:rPr>
                <w:b/>
                <w:color w:val="B40000"/>
                <w:sz w:val="16"/>
              </w:rPr>
              <w:t>-9.66%</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UNXC — UNXC - UNIWAX COTE D'IVOIRE</w:t>
            </w:r>
          </w:p>
        </w:tc>
        <w:tc>
          <w:tcPr>
            <w:tcW w:type="dxa" w:w="1701"/>
            <w:shd w:fill="FFFFFF" w:val="clear"/>
          </w:tcPr>
          <w:p>
            <w:r>
              <w:rPr>
                <w:sz w:val="16"/>
              </w:rPr>
              <w:t>CONSOMMATION DISCRET</w:t>
            </w:r>
          </w:p>
        </w:tc>
        <w:tc>
          <w:tcPr>
            <w:tcW w:type="dxa" w:w="1417"/>
            <w:shd w:fill="FFFFFF" w:val="clear"/>
          </w:tcPr>
          <w:p>
            <w:r>
              <w:rPr>
                <w:sz w:val="16"/>
              </w:rPr>
              <w:t>2,285 FCFA</w:t>
            </w:r>
          </w:p>
        </w:tc>
        <w:tc>
          <w:tcPr>
            <w:tcW w:type="dxa" w:w="1417"/>
            <w:shd w:fill="FFFFFF" w:val="clear"/>
          </w:tcPr>
          <w:p>
            <w:r>
              <w:rPr>
                <w:sz w:val="16"/>
              </w:rPr>
              <w:t>2,132 FCFA</w:t>
            </w:r>
          </w:p>
        </w:tc>
        <w:tc>
          <w:tcPr>
            <w:tcW w:type="dxa" w:w="1134"/>
            <w:shd w:fill="FFC7CE" w:val="clear"/>
          </w:tcPr>
          <w:p>
            <w:r>
              <w:rPr>
                <w:b/>
                <w:color w:val="B40000"/>
                <w:sz w:val="16"/>
              </w:rPr>
              <w:t>-6.68%</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1,870 FCFA</w:t>
            </w:r>
          </w:p>
        </w:tc>
        <w:tc>
          <w:tcPr>
            <w:tcW w:type="dxa" w:w="1417"/>
            <w:shd w:fill="FFFFFF" w:val="clear"/>
          </w:tcPr>
          <w:p>
            <w:r>
              <w:rPr>
                <w:sz w:val="16"/>
              </w:rPr>
              <w:t>1,752 FCFA</w:t>
            </w:r>
          </w:p>
        </w:tc>
        <w:tc>
          <w:tcPr>
            <w:tcW w:type="dxa" w:w="1134"/>
            <w:shd w:fill="FFC7CE" w:val="clear"/>
          </w:tcPr>
          <w:p>
            <w:r>
              <w:rPr>
                <w:b/>
                <w:color w:val="B40000"/>
                <w:sz w:val="16"/>
              </w:rPr>
              <w:t>-6.34%</w:t>
            </w:r>
          </w:p>
        </w:tc>
        <w:tc>
          <w:tcPr>
            <w:tcW w:type="dxa" w:w="1020"/>
            <w:shd w:fill="FFC7CE" w:val="clear"/>
          </w:tcPr>
          <w:p>
            <w:r>
              <w:rPr>
                <w:sz w:val="16"/>
              </w:rPr>
              <w:t>Faible</w:t>
            </w:r>
          </w:p>
        </w:tc>
      </w:tr>
    </w:tbl>
    <w:p/>
    <w:p>
      <w:pPr>
        <w:pStyle w:val="ListBullet"/>
      </w:pPr>
      <w:r>
        <w:rPr>
          <w:b/>
          <w:color w:val="B40000"/>
          <w:sz w:val="18"/>
        </w:rPr>
        <w:t xml:space="preserve">#1 BOAS </w:t>
      </w:r>
      <w:r>
        <w:rPr>
          <w:sz w:val="17"/>
        </w:rPr>
        <w:t>(BANK OF AFRICA SENEGAL) — baisse modérée (-13.2%) — repli technique attendu. Trajectoire : 📉 Baisse continue. Cours actuel : 8,250 FCFA → prédit J+10 : 7,163 FCFA. Confiance partielle — surveiller l'évolution réelle des premiers jours.</w:t>
      </w:r>
    </w:p>
    <w:p>
      <w:pPr>
        <w:pStyle w:val="ListBullet"/>
      </w:pPr>
      <w:r>
        <w:rPr>
          <w:b/>
          <w:color w:val="B40000"/>
          <w:sz w:val="18"/>
        </w:rPr>
        <w:t xml:space="preserve">#2 NSBC </w:t>
      </w:r>
      <w:r>
        <w:rPr>
          <w:sz w:val="17"/>
        </w:rPr>
        <w:t>(NSBC - NSIA BANQUE COTE D'IVOIRE) — baisse modérée (-10.4%) — repli technique attendu. Trajectoire : 📉 Baisse continue. Cours actuel : 20,980 FCFA → prédit J+10 : 18,790 FCFA. ⚠️ Confiance limitée — volatilité élevée. Ne pas agir sur ce seul signal.</w:t>
      </w:r>
    </w:p>
    <w:p>
      <w:pPr>
        <w:pStyle w:val="ListBullet"/>
      </w:pPr>
      <w:r>
        <w:rPr>
          <w:b/>
          <w:color w:val="B40000"/>
          <w:sz w:val="18"/>
        </w:rPr>
        <w:t xml:space="preserve">#3 BOAM </w:t>
      </w:r>
      <w:r>
        <w:rPr>
          <w:sz w:val="17"/>
        </w:rPr>
        <w:t>(BANK OF AFRICA MALI) — baisse modérée (-9.7%) — repli technique attendu. Trajectoire : 📉 Baisse continue. Cours actuel : 6,100 FCFA → prédit J+10 : 5,511 FCFA. ⚠️ Confiance limitée — volatilité élevée. Ne pas agir sur ce seul signal.</w:t>
      </w:r>
    </w:p>
    <w:p>
      <w:pPr>
        <w:pStyle w:val="ListBullet"/>
      </w:pPr>
      <w:r>
        <w:rPr>
          <w:b/>
          <w:color w:val="B40000"/>
          <w:sz w:val="18"/>
        </w:rPr>
        <w:t xml:space="preserve">#4 UNXC </w:t>
      </w:r>
      <w:r>
        <w:rPr>
          <w:sz w:val="17"/>
        </w:rPr>
        <w:t>(UNXC - UNIWAX COTE D'IVOIRE) — baisse modérée (-6.7%) — repli technique attendu. Trajectoire : 📉 Baisse continue. Cours actuel : 2,285 FCFA → prédit J+10 : 2,132 FCFA. ⚠️ Confiance limitée — volatilité élevée. Ne pas agir sur ce seul signal.</w:t>
      </w:r>
    </w:p>
    <w:p>
      <w:pPr>
        <w:pStyle w:val="ListBullet"/>
      </w:pPr>
      <w:r>
        <w:rPr>
          <w:b/>
          <w:color w:val="B40000"/>
          <w:sz w:val="18"/>
        </w:rPr>
        <w:t xml:space="preserve">#5 FTSC </w:t>
      </w:r>
      <w:r>
        <w:rPr>
          <w:sz w:val="17"/>
        </w:rPr>
        <w:t>(FTSC - FILTISAC COTE D'IVOIRE) — baisse modérée (-6.3%) — repli technique attendu. Trajectoire : 📉 Baisse continue. Cours actuel : 1,870 FCFA → prédit J+10 : 1,752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2,450</w:t>
            </w:r>
          </w:p>
        </w:tc>
        <w:tc>
          <w:tcPr>
            <w:tcW w:type="dxa" w:w="1417"/>
            <w:shd w:fill="FFFFFF" w:val="clear"/>
          </w:tcPr>
          <w:p>
            <w:r>
              <w:rPr>
                <w:sz w:val="16"/>
              </w:rPr>
              <w:t>3,181</w:t>
            </w:r>
          </w:p>
        </w:tc>
        <w:tc>
          <w:tcPr>
            <w:tcW w:type="dxa" w:w="1134"/>
            <w:shd w:fill="C6EFCE" w:val="clear"/>
          </w:tcPr>
          <w:p>
            <w:r>
              <w:rPr>
                <w:b/>
                <w:color w:val="007800"/>
                <w:sz w:val="16"/>
              </w:rPr>
              <w:t>+29.82%</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21,300</w:t>
            </w:r>
          </w:p>
        </w:tc>
        <w:tc>
          <w:tcPr>
            <w:tcW w:type="dxa" w:w="1417"/>
            <w:shd w:fill="FFFFFF" w:val="clear"/>
          </w:tcPr>
          <w:p>
            <w:r>
              <w:rPr>
                <w:sz w:val="16"/>
              </w:rPr>
              <w:t>24,099</w:t>
            </w:r>
          </w:p>
        </w:tc>
        <w:tc>
          <w:tcPr>
            <w:tcW w:type="dxa" w:w="1134"/>
            <w:shd w:fill="C6EFCE" w:val="clear"/>
          </w:tcPr>
          <w:p>
            <w:r>
              <w:rPr>
                <w:b/>
                <w:color w:val="007800"/>
                <w:sz w:val="16"/>
              </w:rPr>
              <w:t>+13.14%</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8,440</w:t>
            </w:r>
          </w:p>
        </w:tc>
        <w:tc>
          <w:tcPr>
            <w:tcW w:type="dxa" w:w="1417"/>
            <w:shd w:fill="FFFFFF" w:val="clear"/>
          </w:tcPr>
          <w:p>
            <w:r>
              <w:rPr>
                <w:sz w:val="16"/>
              </w:rPr>
              <w:t>9,328</w:t>
            </w:r>
          </w:p>
        </w:tc>
        <w:tc>
          <w:tcPr>
            <w:tcW w:type="dxa" w:w="1134"/>
            <w:shd w:fill="C6EFCE" w:val="clear"/>
          </w:tcPr>
          <w:p>
            <w:r>
              <w:rPr>
                <w:b/>
                <w:color w:val="007800"/>
                <w:sz w:val="16"/>
              </w:rPr>
              <w:t>+10.52%</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1,470</w:t>
            </w:r>
          </w:p>
        </w:tc>
        <w:tc>
          <w:tcPr>
            <w:tcW w:type="dxa" w:w="1417"/>
            <w:shd w:fill="FFFFFF" w:val="clear"/>
          </w:tcPr>
          <w:p>
            <w:r>
              <w:rPr>
                <w:sz w:val="16"/>
              </w:rPr>
              <w:t>1,552</w:t>
            </w:r>
          </w:p>
        </w:tc>
        <w:tc>
          <w:tcPr>
            <w:tcW w:type="dxa" w:w="1134"/>
            <w:shd w:fill="C6EFCE" w:val="clear"/>
          </w:tcPr>
          <w:p>
            <w:r>
              <w:rPr>
                <w:b/>
                <w:color w:val="007800"/>
                <w:sz w:val="16"/>
              </w:rPr>
              <w:t>+5.56%</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4,785</w:t>
            </w:r>
          </w:p>
        </w:tc>
        <w:tc>
          <w:tcPr>
            <w:tcW w:type="dxa" w:w="1417"/>
            <w:shd w:fill="FFFFFF" w:val="clear"/>
          </w:tcPr>
          <w:p>
            <w:r>
              <w:rPr>
                <w:sz w:val="16"/>
              </w:rPr>
              <w:t>5,046</w:t>
            </w:r>
          </w:p>
        </w:tc>
        <w:tc>
          <w:tcPr>
            <w:tcW w:type="dxa" w:w="1134"/>
            <w:shd w:fill="C6EFCE" w:val="clear"/>
          </w:tcPr>
          <w:p>
            <w:r>
              <w:rPr>
                <w:b/>
                <w:color w:val="007800"/>
                <w:sz w:val="16"/>
              </w:rPr>
              <w:t>+5.45%</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37,950</w:t>
            </w:r>
          </w:p>
        </w:tc>
        <w:tc>
          <w:tcPr>
            <w:tcW w:type="dxa" w:w="1417"/>
            <w:shd w:fill="FFFFFF" w:val="clear"/>
          </w:tcPr>
          <w:p>
            <w:r>
              <w:rPr>
                <w:sz w:val="16"/>
              </w:rPr>
              <w:t>39,199</w:t>
            </w:r>
          </w:p>
        </w:tc>
        <w:tc>
          <w:tcPr>
            <w:tcW w:type="dxa" w:w="1134"/>
            <w:shd w:fill="C6EFCE" w:val="clear"/>
          </w:tcPr>
          <w:p>
            <w:r>
              <w:rPr>
                <w:b/>
                <w:color w:val="007800"/>
                <w:sz w:val="16"/>
              </w:rPr>
              <w:t>+3.29%</w:t>
            </w:r>
          </w:p>
        </w:tc>
        <w:tc>
          <w:tcPr>
            <w:tcW w:type="dxa" w:w="1134"/>
            <w:shd w:fill="FFEB9C" w:val="clear"/>
          </w:tcPr>
          <w:p>
            <w:r>
              <w:rPr>
                <w:sz w:val="16"/>
              </w:rPr>
              <w:t>Moyenne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1,960</w:t>
            </w:r>
          </w:p>
        </w:tc>
        <w:tc>
          <w:tcPr>
            <w:tcW w:type="dxa" w:w="1417"/>
            <w:shd w:fill="FFFFFF" w:val="clear"/>
          </w:tcPr>
          <w:p>
            <w:r>
              <w:rPr>
                <w:sz w:val="16"/>
              </w:rPr>
              <w:t>2,011</w:t>
            </w:r>
          </w:p>
        </w:tc>
        <w:tc>
          <w:tcPr>
            <w:tcW w:type="dxa" w:w="1134"/>
            <w:shd w:fill="C6EFCE" w:val="clear"/>
          </w:tcPr>
          <w:p>
            <w:r>
              <w:rPr>
                <w:b/>
                <w:color w:val="007800"/>
                <w:sz w:val="16"/>
              </w:rPr>
              <w:t>+2.61%</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15,000</w:t>
            </w:r>
          </w:p>
        </w:tc>
        <w:tc>
          <w:tcPr>
            <w:tcW w:type="dxa" w:w="1417"/>
            <w:shd w:fill="FFFFFF" w:val="clear"/>
          </w:tcPr>
          <w:p>
            <w:r>
              <w:rPr>
                <w:sz w:val="16"/>
              </w:rPr>
              <w:t>15,224</w:t>
            </w:r>
          </w:p>
        </w:tc>
        <w:tc>
          <w:tcPr>
            <w:tcW w:type="dxa" w:w="1134"/>
            <w:shd w:fill="C6EFCE" w:val="clear"/>
          </w:tcPr>
          <w:p>
            <w:r>
              <w:rPr>
                <w:b/>
                <w:color w:val="007800"/>
                <w:sz w:val="16"/>
              </w:rPr>
              <w:t>+1.49%</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11,295</w:t>
            </w:r>
          </w:p>
        </w:tc>
        <w:tc>
          <w:tcPr>
            <w:tcW w:type="dxa" w:w="1417"/>
            <w:shd w:fill="FFFFFF" w:val="clear"/>
          </w:tcPr>
          <w:p>
            <w:r>
              <w:rPr>
                <w:sz w:val="16"/>
              </w:rPr>
              <w:t>11,458</w:t>
            </w:r>
          </w:p>
        </w:tc>
        <w:tc>
          <w:tcPr>
            <w:tcW w:type="dxa" w:w="1134"/>
            <w:shd w:fill="C6EFCE" w:val="clear"/>
          </w:tcPr>
          <w:p>
            <w:r>
              <w:rPr>
                <w:b/>
                <w:color w:val="007800"/>
                <w:sz w:val="16"/>
              </w:rPr>
              <w:t>+1.45%</w:t>
            </w:r>
          </w:p>
        </w:tc>
        <w:tc>
          <w:tcPr>
            <w:tcW w:type="dxa" w:w="1134"/>
            <w:shd w:fill="FFEB9C" w:val="clear"/>
          </w:tcPr>
          <w:p>
            <w:r>
              <w:rPr>
                <w:sz w:val="16"/>
              </w:rPr>
              <w:t>Moyenne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2,110</w:t>
            </w:r>
          </w:p>
        </w:tc>
        <w:tc>
          <w:tcPr>
            <w:tcW w:type="dxa" w:w="1417"/>
            <w:shd w:fill="FFFFFF" w:val="clear"/>
          </w:tcPr>
          <w:p>
            <w:r>
              <w:rPr>
                <w:sz w:val="16"/>
              </w:rPr>
              <w:t>2,139</w:t>
            </w:r>
          </w:p>
        </w:tc>
        <w:tc>
          <w:tcPr>
            <w:tcW w:type="dxa" w:w="1134"/>
            <w:shd w:fill="C6EFCE" w:val="clear"/>
          </w:tcPr>
          <w:p>
            <w:r>
              <w:rPr>
                <w:b/>
                <w:color w:val="007800"/>
                <w:sz w:val="16"/>
              </w:rPr>
              <w:t>+1.37%</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1,800</w:t>
            </w:r>
          </w:p>
        </w:tc>
        <w:tc>
          <w:tcPr>
            <w:tcW w:type="dxa" w:w="1417"/>
            <w:shd w:fill="FFFFFF" w:val="clear"/>
          </w:tcPr>
          <w:p>
            <w:r>
              <w:rPr>
                <w:sz w:val="16"/>
              </w:rPr>
              <w:t>1,822</w:t>
            </w:r>
          </w:p>
        </w:tc>
        <w:tc>
          <w:tcPr>
            <w:tcW w:type="dxa" w:w="1134"/>
            <w:shd w:fill="C6EFCE" w:val="clear"/>
          </w:tcPr>
          <w:p>
            <w:r>
              <w:rPr>
                <w:b/>
                <w:color w:val="007800"/>
                <w:sz w:val="16"/>
              </w:rPr>
              <w:t>+1.24%</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12,990</w:t>
            </w:r>
          </w:p>
        </w:tc>
        <w:tc>
          <w:tcPr>
            <w:tcW w:type="dxa" w:w="1417"/>
            <w:shd w:fill="FFFFFF" w:val="clear"/>
          </w:tcPr>
          <w:p>
            <w:r>
              <w:rPr>
                <w:sz w:val="16"/>
              </w:rPr>
              <w:t>13,122</w:t>
            </w:r>
          </w:p>
        </w:tc>
        <w:tc>
          <w:tcPr>
            <w:tcW w:type="dxa" w:w="1134"/>
            <w:shd w:fill="C6EFCE" w:val="clear"/>
          </w:tcPr>
          <w:p>
            <w:r>
              <w:rPr>
                <w:b/>
                <w:color w:val="007800"/>
                <w:sz w:val="16"/>
              </w:rPr>
              <w:t>+1.01%</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2,250</w:t>
            </w:r>
          </w:p>
        </w:tc>
        <w:tc>
          <w:tcPr>
            <w:tcW w:type="dxa" w:w="1417"/>
            <w:shd w:fill="FFFFFF" w:val="clear"/>
          </w:tcPr>
          <w:p>
            <w:r>
              <w:rPr>
                <w:sz w:val="16"/>
              </w:rPr>
              <w:t>2,273</w:t>
            </w:r>
          </w:p>
        </w:tc>
        <w:tc>
          <w:tcPr>
            <w:tcW w:type="dxa" w:w="1134"/>
            <w:shd w:fill="C6EFCE" w:val="clear"/>
          </w:tcPr>
          <w:p>
            <w:r>
              <w:rPr>
                <w:b/>
                <w:color w:val="007800"/>
                <w:sz w:val="16"/>
              </w:rPr>
              <w:t>+1.00%</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16,800</w:t>
            </w:r>
          </w:p>
        </w:tc>
        <w:tc>
          <w:tcPr>
            <w:tcW w:type="dxa" w:w="1417"/>
            <w:shd w:fill="FFFFFF" w:val="clear"/>
          </w:tcPr>
          <w:p>
            <w:r>
              <w:rPr>
                <w:sz w:val="16"/>
              </w:rPr>
              <w:t>16,949</w:t>
            </w:r>
          </w:p>
        </w:tc>
        <w:tc>
          <w:tcPr>
            <w:tcW w:type="dxa" w:w="1134"/>
            <w:shd w:fill="FFEB9C" w:val="clear"/>
          </w:tcPr>
          <w:p>
            <w:r>
              <w:rPr>
                <w:b/>
                <w:color w:val="646400"/>
                <w:sz w:val="16"/>
              </w:rPr>
              <w:t>+0.89%</w:t>
            </w:r>
          </w:p>
        </w:tc>
        <w:tc>
          <w:tcPr>
            <w:tcW w:type="dxa" w:w="1134"/>
            <w:shd w:fill="FFEB9C" w:val="clear"/>
          </w:tcPr>
          <w:p>
            <w:r>
              <w:rPr>
                <w:sz w:val="16"/>
              </w:rPr>
              <w:t>Moyenne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2,860</w:t>
            </w:r>
          </w:p>
        </w:tc>
        <w:tc>
          <w:tcPr>
            <w:tcW w:type="dxa" w:w="1417"/>
            <w:shd w:fill="FFFFFF" w:val="clear"/>
          </w:tcPr>
          <w:p>
            <w:r>
              <w:rPr>
                <w:sz w:val="16"/>
              </w:rPr>
              <w:t>2,882</w:t>
            </w:r>
          </w:p>
        </w:tc>
        <w:tc>
          <w:tcPr>
            <w:tcW w:type="dxa" w:w="1134"/>
            <w:shd w:fill="FFEB9C" w:val="clear"/>
          </w:tcPr>
          <w:p>
            <w:r>
              <w:rPr>
                <w:b/>
                <w:color w:val="646400"/>
                <w:sz w:val="16"/>
              </w:rPr>
              <w:t>+0.78%</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4,105</w:t>
            </w:r>
          </w:p>
        </w:tc>
        <w:tc>
          <w:tcPr>
            <w:tcW w:type="dxa" w:w="1417"/>
            <w:shd w:fill="FFFFFF" w:val="clear"/>
          </w:tcPr>
          <w:p>
            <w:r>
              <w:rPr>
                <w:sz w:val="16"/>
              </w:rPr>
              <w:t>4,133</w:t>
            </w:r>
          </w:p>
        </w:tc>
        <w:tc>
          <w:tcPr>
            <w:tcW w:type="dxa" w:w="1134"/>
            <w:shd w:fill="FFEB9C" w:val="clear"/>
          </w:tcPr>
          <w:p>
            <w:r>
              <w:rPr>
                <w:b/>
                <w:color w:val="646400"/>
                <w:sz w:val="16"/>
              </w:rPr>
              <w:t>+0.69%</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3,935</w:t>
            </w:r>
          </w:p>
        </w:tc>
        <w:tc>
          <w:tcPr>
            <w:tcW w:type="dxa" w:w="1417"/>
            <w:shd w:fill="FFFFFF" w:val="clear"/>
          </w:tcPr>
          <w:p>
            <w:r>
              <w:rPr>
                <w:sz w:val="16"/>
              </w:rPr>
              <w:t>3,957</w:t>
            </w:r>
          </w:p>
        </w:tc>
        <w:tc>
          <w:tcPr>
            <w:tcW w:type="dxa" w:w="1134"/>
            <w:shd w:fill="FFEB9C" w:val="clear"/>
          </w:tcPr>
          <w:p>
            <w:r>
              <w:rPr>
                <w:b/>
                <w:color w:val="646400"/>
                <w:sz w:val="16"/>
              </w:rPr>
              <w:t>+0.55%</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4,150</w:t>
            </w:r>
          </w:p>
        </w:tc>
        <w:tc>
          <w:tcPr>
            <w:tcW w:type="dxa" w:w="1417"/>
            <w:shd w:fill="FFFFFF" w:val="clear"/>
          </w:tcPr>
          <w:p>
            <w:r>
              <w:rPr>
                <w:sz w:val="16"/>
              </w:rPr>
              <w:t>4,164</w:t>
            </w:r>
          </w:p>
        </w:tc>
        <w:tc>
          <w:tcPr>
            <w:tcW w:type="dxa" w:w="1134"/>
            <w:shd w:fill="FFEB9C" w:val="clear"/>
          </w:tcPr>
          <w:p>
            <w:r>
              <w:rPr>
                <w:b/>
                <w:color w:val="646400"/>
                <w:sz w:val="16"/>
              </w:rPr>
              <w:t>+0.33%</w:t>
            </w:r>
          </w:p>
        </w:tc>
        <w:tc>
          <w:tcPr>
            <w:tcW w:type="dxa" w:w="1134"/>
            <w:shd w:fill="FFC7CE" w:val="clear"/>
          </w:tcPr>
          <w:p>
            <w:r>
              <w:rPr>
                <w:sz w:val="16"/>
              </w:rPr>
              <w:t>Faible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3,180</w:t>
            </w:r>
          </w:p>
        </w:tc>
        <w:tc>
          <w:tcPr>
            <w:tcW w:type="dxa" w:w="1417"/>
            <w:shd w:fill="FFFFFF" w:val="clear"/>
          </w:tcPr>
          <w:p>
            <w:r>
              <w:rPr>
                <w:sz w:val="16"/>
              </w:rPr>
              <w:t>3,183</w:t>
            </w:r>
          </w:p>
        </w:tc>
        <w:tc>
          <w:tcPr>
            <w:tcW w:type="dxa" w:w="1134"/>
            <w:shd w:fill="FFEB9C" w:val="clear"/>
          </w:tcPr>
          <w:p>
            <w:r>
              <w:rPr>
                <w:b/>
                <w:color w:val="646400"/>
                <w:sz w:val="16"/>
              </w:rPr>
              <w:t>+0.09%</w:t>
            </w:r>
          </w:p>
        </w:tc>
        <w:tc>
          <w:tcPr>
            <w:tcW w:type="dxa" w:w="1134"/>
            <w:shd w:fill="FFEB9C" w:val="clear"/>
          </w:tcPr>
          <w:p>
            <w:r>
              <w:rPr>
                <w:sz w:val="16"/>
              </w:rPr>
              <w:t>Moyenne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2,870</w:t>
            </w:r>
          </w:p>
        </w:tc>
        <w:tc>
          <w:tcPr>
            <w:tcW w:type="dxa" w:w="1417"/>
            <w:shd w:fill="FFFFFF" w:val="clear"/>
          </w:tcPr>
          <w:p>
            <w:r>
              <w:rPr>
                <w:sz w:val="16"/>
              </w:rPr>
              <w:t>2,869</w:t>
            </w:r>
          </w:p>
        </w:tc>
        <w:tc>
          <w:tcPr>
            <w:tcW w:type="dxa" w:w="1134"/>
            <w:shd w:fill="FFEB9C" w:val="clear"/>
          </w:tcPr>
          <w:p>
            <w:r>
              <w:rPr>
                <w:b/>
                <w:color w:val="646400"/>
                <w:sz w:val="16"/>
              </w:rPr>
              <w:t>-0.04%</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48,000</w:t>
            </w:r>
          </w:p>
        </w:tc>
        <w:tc>
          <w:tcPr>
            <w:tcW w:type="dxa" w:w="1417"/>
            <w:shd w:fill="FFFFFF" w:val="clear"/>
          </w:tcPr>
          <w:p>
            <w:r>
              <w:rPr>
                <w:sz w:val="16"/>
              </w:rPr>
              <w:t>47,914</w:t>
            </w:r>
          </w:p>
        </w:tc>
        <w:tc>
          <w:tcPr>
            <w:tcW w:type="dxa" w:w="1134"/>
            <w:shd w:fill="FFEB9C" w:val="clear"/>
          </w:tcPr>
          <w:p>
            <w:r>
              <w:rPr>
                <w:b/>
                <w:color w:val="646400"/>
                <w:sz w:val="16"/>
              </w:rPr>
              <w:t>-0.18%</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15,800</w:t>
            </w:r>
          </w:p>
        </w:tc>
        <w:tc>
          <w:tcPr>
            <w:tcW w:type="dxa" w:w="1417"/>
            <w:shd w:fill="FFFFFF" w:val="clear"/>
          </w:tcPr>
          <w:p>
            <w:r>
              <w:rPr>
                <w:sz w:val="16"/>
              </w:rPr>
              <w:t>15,647</w:t>
            </w:r>
          </w:p>
        </w:tc>
        <w:tc>
          <w:tcPr>
            <w:tcW w:type="dxa" w:w="1134"/>
            <w:shd w:fill="FFEB9C" w:val="clear"/>
          </w:tcPr>
          <w:p>
            <w:r>
              <w:rPr>
                <w:b/>
                <w:color w:val="646400"/>
                <w:sz w:val="16"/>
              </w:rPr>
              <w:t>-0.97%</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44,980</w:t>
            </w:r>
          </w:p>
        </w:tc>
        <w:tc>
          <w:tcPr>
            <w:tcW w:type="dxa" w:w="1417"/>
            <w:shd w:fill="FFFFFF" w:val="clear"/>
          </w:tcPr>
          <w:p>
            <w:r>
              <w:rPr>
                <w:sz w:val="16"/>
              </w:rPr>
              <w:t>44,448</w:t>
            </w:r>
          </w:p>
        </w:tc>
        <w:tc>
          <w:tcPr>
            <w:tcW w:type="dxa" w:w="1134"/>
            <w:shd w:fill="FFC7CE" w:val="clear"/>
          </w:tcPr>
          <w:p>
            <w:r>
              <w:rPr>
                <w:b/>
                <w:color w:val="B40000"/>
                <w:sz w:val="16"/>
              </w:rPr>
              <w:t>-1.18%</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3,650</w:t>
            </w:r>
          </w:p>
        </w:tc>
        <w:tc>
          <w:tcPr>
            <w:tcW w:type="dxa" w:w="1417"/>
            <w:shd w:fill="FFFFFF" w:val="clear"/>
          </w:tcPr>
          <w:p>
            <w:r>
              <w:rPr>
                <w:sz w:val="16"/>
              </w:rPr>
              <w:t>3,590</w:t>
            </w:r>
          </w:p>
        </w:tc>
        <w:tc>
          <w:tcPr>
            <w:tcW w:type="dxa" w:w="1134"/>
            <w:shd w:fill="FFC7CE" w:val="clear"/>
          </w:tcPr>
          <w:p>
            <w:r>
              <w:rPr>
                <w:b/>
                <w:color w:val="B40000"/>
                <w:sz w:val="16"/>
              </w:rPr>
              <w:t>-1.64%</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39,000</w:t>
            </w:r>
          </w:p>
        </w:tc>
        <w:tc>
          <w:tcPr>
            <w:tcW w:type="dxa" w:w="1417"/>
            <w:shd w:fill="FFFFFF" w:val="clear"/>
          </w:tcPr>
          <w:p>
            <w:r>
              <w:rPr>
                <w:sz w:val="16"/>
              </w:rPr>
              <w:t>38,175</w:t>
            </w:r>
          </w:p>
        </w:tc>
        <w:tc>
          <w:tcPr>
            <w:tcW w:type="dxa" w:w="1134"/>
            <w:shd w:fill="FFC7CE" w:val="clear"/>
          </w:tcPr>
          <w:p>
            <w:r>
              <w:rPr>
                <w:b/>
                <w:color w:val="B40000"/>
                <w:sz w:val="16"/>
              </w:rPr>
              <w:t>-2.12%</w:t>
            </w:r>
          </w:p>
        </w:tc>
        <w:tc>
          <w:tcPr>
            <w:tcW w:type="dxa" w:w="1134"/>
            <w:shd w:fill="FFEB9C" w:val="clear"/>
          </w:tcPr>
          <w:p>
            <w:r>
              <w:rPr>
                <w:sz w:val="16"/>
              </w:rPr>
              <w:t>Moyenne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67</w:t>
            </w:r>
          </w:p>
        </w:tc>
        <w:tc>
          <w:tcPr>
            <w:tcW w:type="dxa" w:w="1417"/>
            <w:shd w:fill="FFFFFF" w:val="clear"/>
          </w:tcPr>
          <w:p>
            <w:r>
              <w:rPr>
                <w:sz w:val="16"/>
              </w:rPr>
              <w:t>66</w:t>
            </w:r>
          </w:p>
        </w:tc>
        <w:tc>
          <w:tcPr>
            <w:tcW w:type="dxa" w:w="1134"/>
            <w:shd w:fill="FFC7CE" w:val="clear"/>
          </w:tcPr>
          <w:p>
            <w:r>
              <w:rPr>
                <w:b/>
                <w:color w:val="B40000"/>
                <w:sz w:val="16"/>
              </w:rPr>
              <w:t>-2.22%</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21,995</w:t>
            </w:r>
          </w:p>
        </w:tc>
        <w:tc>
          <w:tcPr>
            <w:tcW w:type="dxa" w:w="1417"/>
            <w:shd w:fill="FFFFFF" w:val="clear"/>
          </w:tcPr>
          <w:p>
            <w:r>
              <w:rPr>
                <w:sz w:val="16"/>
              </w:rPr>
              <w:t>21,497</w:t>
            </w:r>
          </w:p>
        </w:tc>
        <w:tc>
          <w:tcPr>
            <w:tcW w:type="dxa" w:w="1134"/>
            <w:shd w:fill="FFC7CE" w:val="clear"/>
          </w:tcPr>
          <w:p>
            <w:r>
              <w:rPr>
                <w:b/>
                <w:color w:val="B40000"/>
                <w:sz w:val="16"/>
              </w:rPr>
              <w:t>-2.26%</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3,000</w:t>
            </w:r>
          </w:p>
        </w:tc>
        <w:tc>
          <w:tcPr>
            <w:tcW w:type="dxa" w:w="1417"/>
            <w:shd w:fill="FFFFFF" w:val="clear"/>
          </w:tcPr>
          <w:p>
            <w:r>
              <w:rPr>
                <w:sz w:val="16"/>
              </w:rPr>
              <w:t>2,925</w:t>
            </w:r>
          </w:p>
        </w:tc>
        <w:tc>
          <w:tcPr>
            <w:tcW w:type="dxa" w:w="1134"/>
            <w:shd w:fill="FFC7CE" w:val="clear"/>
          </w:tcPr>
          <w:p>
            <w:r>
              <w:rPr>
                <w:b/>
                <w:color w:val="B40000"/>
                <w:sz w:val="16"/>
              </w:rPr>
              <w:t>-2.49%</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9,400</w:t>
            </w:r>
          </w:p>
        </w:tc>
        <w:tc>
          <w:tcPr>
            <w:tcW w:type="dxa" w:w="1417"/>
            <w:shd w:fill="FFFFFF" w:val="clear"/>
          </w:tcPr>
          <w:p>
            <w:r>
              <w:rPr>
                <w:sz w:val="16"/>
              </w:rPr>
              <w:t>9,154</w:t>
            </w:r>
          </w:p>
        </w:tc>
        <w:tc>
          <w:tcPr>
            <w:tcW w:type="dxa" w:w="1134"/>
            <w:shd w:fill="FFC7CE" w:val="clear"/>
          </w:tcPr>
          <w:p>
            <w:r>
              <w:rPr>
                <w:b/>
                <w:color w:val="B40000"/>
                <w:sz w:val="16"/>
              </w:rPr>
              <w:t>-2.62%</w:t>
            </w:r>
          </w:p>
        </w:tc>
        <w:tc>
          <w:tcPr>
            <w:tcW w:type="dxa" w:w="1134"/>
            <w:shd w:fill="FFEB9C" w:val="clear"/>
          </w:tcPr>
          <w:p>
            <w:r>
              <w:rPr>
                <w:sz w:val="16"/>
              </w:rPr>
              <w:t>Moyenne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6,300</w:t>
            </w:r>
          </w:p>
        </w:tc>
        <w:tc>
          <w:tcPr>
            <w:tcW w:type="dxa" w:w="1417"/>
            <w:shd w:fill="FFFFFF" w:val="clear"/>
          </w:tcPr>
          <w:p>
            <w:r>
              <w:rPr>
                <w:sz w:val="16"/>
              </w:rPr>
              <w:t>6,128</w:t>
            </w:r>
          </w:p>
        </w:tc>
        <w:tc>
          <w:tcPr>
            <w:tcW w:type="dxa" w:w="1134"/>
            <w:shd w:fill="FFC7CE" w:val="clear"/>
          </w:tcPr>
          <w:p>
            <w:r>
              <w:rPr>
                <w:b/>
                <w:color w:val="B40000"/>
                <w:sz w:val="16"/>
              </w:rPr>
              <w:t>-2.73%</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8,005</w:t>
            </w:r>
          </w:p>
        </w:tc>
        <w:tc>
          <w:tcPr>
            <w:tcW w:type="dxa" w:w="1417"/>
            <w:shd w:fill="FFFFFF" w:val="clear"/>
          </w:tcPr>
          <w:p>
            <w:r>
              <w:rPr>
                <w:sz w:val="16"/>
              </w:rPr>
              <w:t>7,765</w:t>
            </w:r>
          </w:p>
        </w:tc>
        <w:tc>
          <w:tcPr>
            <w:tcW w:type="dxa" w:w="1134"/>
            <w:shd w:fill="FFC7CE" w:val="clear"/>
          </w:tcPr>
          <w:p>
            <w:r>
              <w:rPr>
                <w:b/>
                <w:color w:val="B40000"/>
                <w:sz w:val="16"/>
              </w:rPr>
              <w:t>-2.99%</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7,985</w:t>
            </w:r>
          </w:p>
        </w:tc>
        <w:tc>
          <w:tcPr>
            <w:tcW w:type="dxa" w:w="1417"/>
            <w:shd w:fill="FFFFFF" w:val="clear"/>
          </w:tcPr>
          <w:p>
            <w:r>
              <w:rPr>
                <w:sz w:val="16"/>
              </w:rPr>
              <w:t>7,725</w:t>
            </w:r>
          </w:p>
        </w:tc>
        <w:tc>
          <w:tcPr>
            <w:tcW w:type="dxa" w:w="1134"/>
            <w:shd w:fill="FFC7CE" w:val="clear"/>
          </w:tcPr>
          <w:p>
            <w:r>
              <w:rPr>
                <w:b/>
                <w:color w:val="B40000"/>
                <w:sz w:val="16"/>
              </w:rPr>
              <w:t>-3.26%</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7,800</w:t>
            </w:r>
          </w:p>
        </w:tc>
        <w:tc>
          <w:tcPr>
            <w:tcW w:type="dxa" w:w="1417"/>
            <w:shd w:fill="FFFFFF" w:val="clear"/>
          </w:tcPr>
          <w:p>
            <w:r>
              <w:rPr>
                <w:sz w:val="16"/>
              </w:rPr>
              <w:t>7,526</w:t>
            </w:r>
          </w:p>
        </w:tc>
        <w:tc>
          <w:tcPr>
            <w:tcW w:type="dxa" w:w="1134"/>
            <w:shd w:fill="FFC7CE" w:val="clear"/>
          </w:tcPr>
          <w:p>
            <w:r>
              <w:rPr>
                <w:b/>
                <w:color w:val="B40000"/>
                <w:sz w:val="16"/>
              </w:rPr>
              <w:t>-3.52%</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3,005</w:t>
            </w:r>
          </w:p>
        </w:tc>
        <w:tc>
          <w:tcPr>
            <w:tcW w:type="dxa" w:w="1417"/>
            <w:shd w:fill="FFFFFF" w:val="clear"/>
          </w:tcPr>
          <w:p>
            <w:r>
              <w:rPr>
                <w:sz w:val="16"/>
              </w:rPr>
              <w:t>2,890</w:t>
            </w:r>
          </w:p>
        </w:tc>
        <w:tc>
          <w:tcPr>
            <w:tcW w:type="dxa" w:w="1134"/>
            <w:shd w:fill="FFC7CE" w:val="clear"/>
          </w:tcPr>
          <w:p>
            <w:r>
              <w:rPr>
                <w:b/>
                <w:color w:val="B40000"/>
                <w:sz w:val="16"/>
              </w:rPr>
              <w:t>-3.82%</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2,150</w:t>
            </w:r>
          </w:p>
        </w:tc>
        <w:tc>
          <w:tcPr>
            <w:tcW w:type="dxa" w:w="1417"/>
            <w:shd w:fill="FFFFFF" w:val="clear"/>
          </w:tcPr>
          <w:p>
            <w:r>
              <w:rPr>
                <w:sz w:val="16"/>
              </w:rPr>
              <w:t>2,056</w:t>
            </w:r>
          </w:p>
        </w:tc>
        <w:tc>
          <w:tcPr>
            <w:tcW w:type="dxa" w:w="1134"/>
            <w:shd w:fill="FFC7CE" w:val="clear"/>
          </w:tcPr>
          <w:p>
            <w:r>
              <w:rPr>
                <w:b/>
                <w:color w:val="B40000"/>
                <w:sz w:val="16"/>
              </w:rPr>
              <w:t>-4.37%</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30,005</w:t>
            </w:r>
          </w:p>
        </w:tc>
        <w:tc>
          <w:tcPr>
            <w:tcW w:type="dxa" w:w="1417"/>
            <w:shd w:fill="FFFFFF" w:val="clear"/>
          </w:tcPr>
          <w:p>
            <w:r>
              <w:rPr>
                <w:sz w:val="16"/>
              </w:rPr>
              <w:t>28,686</w:t>
            </w:r>
          </w:p>
        </w:tc>
        <w:tc>
          <w:tcPr>
            <w:tcW w:type="dxa" w:w="1134"/>
            <w:shd w:fill="FFC7CE" w:val="clear"/>
          </w:tcPr>
          <w:p>
            <w:r>
              <w:rPr>
                <w:b/>
                <w:color w:val="B40000"/>
                <w:sz w:val="16"/>
              </w:rPr>
              <w:t>-4.40%</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8,800</w:t>
            </w:r>
          </w:p>
        </w:tc>
        <w:tc>
          <w:tcPr>
            <w:tcW w:type="dxa" w:w="1417"/>
            <w:shd w:fill="FFFFFF" w:val="clear"/>
          </w:tcPr>
          <w:p>
            <w:r>
              <w:rPr>
                <w:sz w:val="16"/>
              </w:rPr>
              <w:t>8,382</w:t>
            </w:r>
          </w:p>
        </w:tc>
        <w:tc>
          <w:tcPr>
            <w:tcW w:type="dxa" w:w="1134"/>
            <w:shd w:fill="FFC7CE" w:val="clear"/>
          </w:tcPr>
          <w:p>
            <w:r>
              <w:rPr>
                <w:b/>
                <w:color w:val="B40000"/>
                <w:sz w:val="16"/>
              </w:rPr>
              <w:t>-4.75%</w:t>
            </w:r>
          </w:p>
        </w:tc>
        <w:tc>
          <w:tcPr>
            <w:tcW w:type="dxa" w:w="1134"/>
            <w:shd w:fill="FFEB9C" w:val="clear"/>
          </w:tcPr>
          <w:p>
            <w:r>
              <w:rPr>
                <w:sz w:val="16"/>
              </w:rPr>
              <w:t>Moyenne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32,945</w:t>
            </w:r>
          </w:p>
        </w:tc>
        <w:tc>
          <w:tcPr>
            <w:tcW w:type="dxa" w:w="1417"/>
            <w:shd w:fill="FFFFFF" w:val="clear"/>
          </w:tcPr>
          <w:p>
            <w:r>
              <w:rPr>
                <w:sz w:val="16"/>
              </w:rPr>
              <w:t>31,379</w:t>
            </w:r>
          </w:p>
        </w:tc>
        <w:tc>
          <w:tcPr>
            <w:tcW w:type="dxa" w:w="1134"/>
            <w:shd w:fill="FFC7CE" w:val="clear"/>
          </w:tcPr>
          <w:p>
            <w:r>
              <w:rPr>
                <w:b/>
                <w:color w:val="B40000"/>
                <w:sz w:val="16"/>
              </w:rPr>
              <w:t>-4.75%</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8,000</w:t>
            </w:r>
          </w:p>
        </w:tc>
        <w:tc>
          <w:tcPr>
            <w:tcW w:type="dxa" w:w="1417"/>
            <w:shd w:fill="FFFFFF" w:val="clear"/>
          </w:tcPr>
          <w:p>
            <w:r>
              <w:rPr>
                <w:sz w:val="16"/>
              </w:rPr>
              <w:t>7,603</w:t>
            </w:r>
          </w:p>
        </w:tc>
        <w:tc>
          <w:tcPr>
            <w:tcW w:type="dxa" w:w="1134"/>
            <w:shd w:fill="FFC7CE" w:val="clear"/>
          </w:tcPr>
          <w:p>
            <w:r>
              <w:rPr>
                <w:b/>
                <w:color w:val="B40000"/>
                <w:sz w:val="16"/>
              </w:rPr>
              <w:t>-4.96%</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3,190</w:t>
            </w:r>
          </w:p>
        </w:tc>
        <w:tc>
          <w:tcPr>
            <w:tcW w:type="dxa" w:w="1417"/>
            <w:shd w:fill="FFFFFF" w:val="clear"/>
          </w:tcPr>
          <w:p>
            <w:r>
              <w:rPr>
                <w:sz w:val="16"/>
              </w:rPr>
              <w:t>3,004</w:t>
            </w:r>
          </w:p>
        </w:tc>
        <w:tc>
          <w:tcPr>
            <w:tcW w:type="dxa" w:w="1134"/>
            <w:shd w:fill="FFC7CE" w:val="clear"/>
          </w:tcPr>
          <w:p>
            <w:r>
              <w:rPr>
                <w:b/>
                <w:color w:val="B40000"/>
                <w:sz w:val="16"/>
              </w:rPr>
              <w:t>-5.83%</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1,870</w:t>
            </w:r>
          </w:p>
        </w:tc>
        <w:tc>
          <w:tcPr>
            <w:tcW w:type="dxa" w:w="1417"/>
            <w:shd w:fill="FFFFFF" w:val="clear"/>
          </w:tcPr>
          <w:p>
            <w:r>
              <w:rPr>
                <w:sz w:val="16"/>
              </w:rPr>
              <w:t>1,752</w:t>
            </w:r>
          </w:p>
        </w:tc>
        <w:tc>
          <w:tcPr>
            <w:tcW w:type="dxa" w:w="1134"/>
            <w:shd w:fill="FFC7CE" w:val="clear"/>
          </w:tcPr>
          <w:p>
            <w:r>
              <w:rPr>
                <w:b/>
                <w:color w:val="B40000"/>
                <w:sz w:val="16"/>
              </w:rPr>
              <w:t>-6.34%</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2,285</w:t>
            </w:r>
          </w:p>
        </w:tc>
        <w:tc>
          <w:tcPr>
            <w:tcW w:type="dxa" w:w="1417"/>
            <w:shd w:fill="FFFFFF" w:val="clear"/>
          </w:tcPr>
          <w:p>
            <w:r>
              <w:rPr>
                <w:sz w:val="16"/>
              </w:rPr>
              <w:t>2,132</w:t>
            </w:r>
          </w:p>
        </w:tc>
        <w:tc>
          <w:tcPr>
            <w:tcW w:type="dxa" w:w="1134"/>
            <w:shd w:fill="FFC7CE" w:val="clear"/>
          </w:tcPr>
          <w:p>
            <w:r>
              <w:rPr>
                <w:b/>
                <w:color w:val="B40000"/>
                <w:sz w:val="16"/>
              </w:rPr>
              <w:t>-6.68%</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6,100</w:t>
            </w:r>
          </w:p>
        </w:tc>
        <w:tc>
          <w:tcPr>
            <w:tcW w:type="dxa" w:w="1417"/>
            <w:shd w:fill="FFFFFF" w:val="clear"/>
          </w:tcPr>
          <w:p>
            <w:r>
              <w:rPr>
                <w:sz w:val="16"/>
              </w:rPr>
              <w:t>5,511</w:t>
            </w:r>
          </w:p>
        </w:tc>
        <w:tc>
          <w:tcPr>
            <w:tcW w:type="dxa" w:w="1134"/>
            <w:shd w:fill="FFC7CE" w:val="clear"/>
          </w:tcPr>
          <w:p>
            <w:r>
              <w:rPr>
                <w:b/>
                <w:color w:val="B40000"/>
                <w:sz w:val="16"/>
              </w:rPr>
              <w:t>-9.66%</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20,980</w:t>
            </w:r>
          </w:p>
        </w:tc>
        <w:tc>
          <w:tcPr>
            <w:tcW w:type="dxa" w:w="1417"/>
            <w:shd w:fill="FFFFFF" w:val="clear"/>
          </w:tcPr>
          <w:p>
            <w:r>
              <w:rPr>
                <w:sz w:val="16"/>
              </w:rPr>
              <w:t>18,790</w:t>
            </w:r>
          </w:p>
        </w:tc>
        <w:tc>
          <w:tcPr>
            <w:tcW w:type="dxa" w:w="1134"/>
            <w:shd w:fill="FFC7CE" w:val="clear"/>
          </w:tcPr>
          <w:p>
            <w:r>
              <w:rPr>
                <w:b/>
                <w:color w:val="B40000"/>
                <w:sz w:val="16"/>
              </w:rPr>
              <w:t>-10.44%</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8,250</w:t>
            </w:r>
          </w:p>
        </w:tc>
        <w:tc>
          <w:tcPr>
            <w:tcW w:type="dxa" w:w="1417"/>
            <w:shd w:fill="FFFFFF" w:val="clear"/>
          </w:tcPr>
          <w:p>
            <w:r>
              <w:rPr>
                <w:sz w:val="16"/>
              </w:rPr>
              <w:t>7,163</w:t>
            </w:r>
          </w:p>
        </w:tc>
        <w:tc>
          <w:tcPr>
            <w:tcW w:type="dxa" w:w="1134"/>
            <w:shd w:fill="FFC7CE" w:val="clear"/>
          </w:tcPr>
          <w:p>
            <w:r>
              <w:rPr>
                <w:b/>
                <w:color w:val="B40000"/>
                <w:sz w:val="16"/>
              </w:rPr>
              <w:t>-13.17%</w:t>
            </w:r>
          </w:p>
        </w:tc>
        <w:tc>
          <w:tcPr>
            <w:tcW w:type="dxa" w:w="1134"/>
            <w:shd w:fill="FFEB9C" w:val="clear"/>
          </w:tcPr>
          <w:p>
            <w:r>
              <w:rPr>
                <w:sz w:val="16"/>
              </w:rPr>
              <w:t>Moyenne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45 société(s) sur 48.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(2025)</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-2.54%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-1.97%</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-2.15%</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-624.11 M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6.21%</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FFFFFF" w:val="clear"/>
          </w:tcPr>
          <w:p>
            <w:r>
              <w:rPr>
                <w:b/>
                <w:color w:val="000000"/>
                <w:sz w:val="16"/>
              </w:rPr>
              <w:t>77.01%</w:t>
            </w:r>
          </w:p>
        </w:tc>
        <w:tc>
          <w:tcPr>
            <w:tcW w:type="dxa" w:w="1053"/>
            <w:shd w:fill="FFFFFF" w:val="clear"/>
          </w:tcPr>
          <w:p>
            <w:r>
              <w:rPr>
                <w:b/>
                <w:color w:val="000000"/>
                <w:sz w:val="16"/>
              </w:rPr>
              <w:t>24.10%</w:t>
            </w:r>
          </w:p>
        </w:tc>
        <w:tc>
          <w:tcPr>
            <w:tcW w:type="dxa" w:w="1053"/>
            <w:shd w:fill="C6EFCE" w:val="clear"/>
          </w:tcPr>
          <w:p>
            <w:r>
              <w:rPr>
                <w:b/>
                <w:color w:val="006400"/>
                <w:sz w:val="16"/>
              </w:rPr>
              <w:t>77.58%</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FFFFFF" w:val="clear"/>
          </w:tcPr>
          <w:p>
            <w:r>
              <w:rPr>
                <w:b/>
                <w:color w:val="0000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C6EFCE" w:val="clear"/>
          </w:tcPr>
          <w:p>
            <w:r>
              <w:rPr>
                <w:b/>
                <w:color w:val="006400"/>
                <w:sz w:val="16"/>
              </w:rPr>
              <w:t>1.50%</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FFFFFF" w:val="clear"/>
          </w:tcPr>
          <w:p>
            <w:r>
              <w:rPr>
                <w:b/>
                <w:color w:val="000000"/>
                <w:sz w:val="16"/>
              </w:rPr>
              <w:t>435.02%</w:t>
            </w:r>
          </w:p>
        </w:tc>
        <w:tc>
          <w:tcPr>
            <w:tcW w:type="dxa" w:w="1053"/>
            <w:shd w:fill="FFFFFF" w:val="clear"/>
          </w:tcPr>
          <w:p>
            <w:r>
              <w:rPr>
                <w:b/>
                <w:color w:val="000000"/>
                <w:sz w:val="16"/>
              </w:rPr>
              <w:t>131.76%</w:t>
            </w:r>
          </w:p>
        </w:tc>
        <w:tc>
          <w:tcPr>
            <w:tcW w:type="dxa" w:w="1053"/>
            <w:shd w:fill="C6EFCE" w:val="clear"/>
          </w:tcPr>
          <w:p>
            <w:r>
              <w:rPr>
                <w:b/>
                <w:color w:val="006400"/>
                <w:sz w:val="16"/>
              </w:rPr>
              <w:t>445.93%</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346.19%</w:t>
            </w:r>
          </w:p>
        </w:tc>
      </w:tr>
      <w:tr>
        <w:tc>
          <w:tcPr>
            <w:tcW w:type="dxa" w:w="2551"/>
            <w:shd w:fill="EEF2F7" w:val="clear"/>
          </w:tcPr>
          <w:p>
            <w:r>
              <w:rPr>
                <w:b/>
                <w:sz w:val="15"/>
              </w:rPr>
              <w:t>Free Cash Flow</w:t>
            </w:r>
          </w:p>
        </w:tc>
        <w:tc>
          <w:tcPr>
            <w:tcW w:type="dxa" w:w="1053"/>
            <w:shd w:fill="C6EFCE" w:val="clear"/>
          </w:tcPr>
          <w:p>
            <w:r>
              <w:rPr>
                <w:b/>
                <w:color w:val="0064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FFFF" w:val="clear"/>
          </w:tcPr>
          <w:p>
            <w:r>
              <w:rPr>
                <w:b/>
                <w:color w:val="000000"/>
                <w:sz w:val="16"/>
              </w:rPr>
              <w:t>-2.616 Mds FCFA</w:t>
            </w:r>
          </w:p>
        </w:tc>
        <w:tc>
          <w:tcPr>
            <w:tcW w:type="dxa" w:w="1053"/>
            <w:shd w:fill="FFC7CE" w:val="clear"/>
          </w:tcPr>
          <w:p>
            <w:r>
              <w:rPr>
                <w:b/>
                <w:color w:val="B40000"/>
                <w:sz w:val="16"/>
              </w:rPr>
              <w:t>-8.239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-1.46%</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45.8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325.0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-2.54%</w:t>
            </w:r>
          </w:p>
        </w:tc>
        <w:tc>
          <w:tcPr>
            <w:tcW w:type="dxa" w:w="5669"/>
            <w:shd w:fill="FFFFFF" w:val="clear"/>
          </w:tcPr>
          <w:p>
            <w:r>
              <w:rPr>
                <w:sz w:val="15"/>
              </w:rPr>
              <w:t>❌ ROE négatif (-2.5%)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-1.97%</w:t>
            </w:r>
          </w:p>
        </w:tc>
        <w:tc>
          <w:tcPr>
            <w:tcW w:type="dxa" w:w="5669"/>
            <w:shd w:fill="FFFFFF" w:val="clear"/>
          </w:tcPr>
          <w:p>
            <w:r>
              <w:rPr>
                <w:sz w:val="15"/>
              </w:rPr>
              <w:t>❌ ROA négatif (-1.97%) — actifs non rentables.</w:t>
            </w:r>
          </w:p>
        </w:tc>
      </w:tr>
      <w:tr>
        <w:tc>
          <w:tcPr>
            <w:tcW w:type="dxa" w:w="2268"/>
            <w:shd w:fill="EEF2F7" w:val="clear"/>
          </w:tcPr>
          <w:p>
            <w:r>
              <w:rPr>
                <w:b/>
                <w:sz w:val="15"/>
              </w:rPr>
              <w:t>Marge nette</w:t>
            </w:r>
          </w:p>
        </w:tc>
        <w:tc>
          <w:tcPr>
            <w:tcW w:type="dxa" w:w="1984"/>
            <w:shd w:fill="FFC7CE" w:val="clear"/>
          </w:tcPr>
          <w:p>
            <w:r>
              <w:rPr>
                <w:b/>
                <w:color w:val="B40000"/>
                <w:sz w:val="17"/>
              </w:rPr>
              <w:t>-2.15%</w:t>
            </w:r>
          </w:p>
        </w:tc>
        <w:tc>
          <w:tcPr>
            <w:tcW w:type="dxa" w:w="5669"/>
            <w:shd w:fill="FFFFFF" w:val="clear"/>
          </w:tcPr>
          <w:p>
            <w:r>
              <w:rPr>
                <w:sz w:val="15"/>
              </w:rPr>
              <w:t>❌ Marge nette négative (-2.1%)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-624.11 M FCFA</w:t>
            </w:r>
          </w:p>
        </w:tc>
        <w:tc>
          <w:tcPr>
            <w:tcW w:type="dxa" w:w="5669"/>
            <w:shd w:fill="FFFFFF" w:val="clear"/>
          </w:tcPr>
          <w:p>
            <w:r>
              <w:rPr>
                <w:sz w:val="15"/>
              </w:rPr>
              <w:t>❌ Perte nette de 624.11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6.21%</w:t>
            </w:r>
          </w:p>
        </w:tc>
        <w:tc>
          <w:tcPr>
            <w:tcW w:type="dxa" w:w="5669"/>
            <w:shd w:fill="FFFFFF" w:val="clear"/>
          </w:tcPr>
          <w:p>
            <w:r>
              <w:rPr>
                <w:sz w:val="15"/>
              </w:rPr>
              <w:t>✅ Croissance de 6.2%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77.58%</w:t>
            </w:r>
          </w:p>
        </w:tc>
        <w:tc>
          <w:tcPr>
            <w:tcW w:type="dxa" w:w="5669"/>
            <w:shd w:fill="FFFFFF" w:val="clear"/>
          </w:tcPr>
          <w:p>
            <w:r>
              <w:rPr>
                <w:sz w:val="15"/>
              </w:rPr>
              <w:t>✅ Autonomie financière de 77.6%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1.50%</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445.93%</w:t>
            </w:r>
          </w:p>
        </w:tc>
        <w:tc>
          <w:tcPr>
            <w:tcW w:type="dxa" w:w="5669"/>
            <w:shd w:fill="FFFFFF" w:val="clear"/>
          </w:tcPr>
          <w:p>
            <w:r>
              <w:rPr>
                <w:sz w:val="15"/>
              </w:rPr>
              <w:t>✅ Solvabilité de 446%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346.19%</w:t>
            </w:r>
          </w:p>
        </w:tc>
        <w:tc>
          <w:tcPr>
            <w:tcW w:type="dxa" w:w="5669"/>
            <w:shd w:fill="FFFFFF" w:val="clear"/>
          </w:tcPr>
          <w:p>
            <w:r>
              <w:rPr>
                <w:sz w:val="15"/>
              </w:rPr>
              <w:t>✅ Liquidité générale de 346x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-8.239 Mds FCFA</w:t>
            </w:r>
          </w:p>
        </w:tc>
        <w:tc>
          <w:tcPr>
            <w:tcW w:type="dxa" w:w="5669"/>
            <w:shd w:fill="FFFFFF" w:val="clear"/>
          </w:tcPr>
          <w:p>
            <w:r>
              <w:rPr>
                <w:sz w:val="15"/>
              </w:rPr>
              <w:t>❌ FCF négatif significatif (-8.239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-1.46%</w:t>
            </w:r>
          </w:p>
        </w:tc>
        <w:tc>
          <w:tcPr>
            <w:tcW w:type="dxa" w:w="5669"/>
            <w:shd w:fill="FFFFFF" w:val="clear"/>
          </w:tcPr>
          <w:p>
            <w:r>
              <w:rPr>
                <w:sz w:val="15"/>
              </w:rPr>
              <w:t>❌ Marge opérationnelle négative (-1.5%)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45.8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325.0 j</w:t>
            </w:r>
          </w:p>
        </w:tc>
        <w:tc>
          <w:tcPr>
            <w:tcW w:type="dxa" w:w="5669"/>
            <w:shd w:fill="FFFFFF" w:val="clear"/>
          </w:tcPr>
          <w:p>
            <w:r>
              <w:rPr>
                <w:sz w:val="15"/>
              </w:rPr>
              <w:t>❌ Stock quasi-bloqué (325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-2.54%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-2.15%</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UNXC</w:t>
            </w:r>
          </w:p>
        </w:tc>
        <w:tc>
          <w:tcPr>
            <w:tcW w:type="dxa" w:w="1728"/>
            <w:shd w:fill="C6EFCE" w:val="clear"/>
          </w:tcPr>
          <w:p>
            <w:r>
              <w:rPr>
                <w:color w:val="006400"/>
                <w:sz w:val="16"/>
              </w:rPr>
              <w:t>77.58%</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ABJC</w:t>
            </w:r>
          </w:p>
        </w:tc>
        <w:tc>
          <w:tcPr>
            <w:tcW w:type="dxa" w:w="1728"/>
            <w:shd w:fill="C6EFCE" w:val="clear"/>
          </w:tcPr>
          <w:p>
            <w:r>
              <w:rPr>
                <w:color w:val="006400"/>
                <w:sz w:val="16"/>
              </w:rPr>
              <w:t>619.83 M FCFA</w:t>
            </w:r>
          </w:p>
        </w:tc>
        <w:tc>
          <w:tcPr>
            <w:tcW w:type="dxa" w:w="1728"/>
            <w:shd w:fill="FFC7CE" w:val="clear"/>
          </w:tcPr>
          <w:p>
            <w:r>
              <w:rPr>
                <w:b/>
                <w:color w:val="B40000"/>
                <w:sz w:val="16"/>
              </w:rPr>
              <w:t>UNXC</w:t>
            </w:r>
          </w:p>
        </w:tc>
        <w:tc>
          <w:tcPr>
            <w:tcW w:type="dxa" w:w="1728"/>
            <w:shd w:fill="FFC7CE" w:val="clear"/>
          </w:tcPr>
          <w:p>
            <w:r>
              <w:rPr>
                <w:color w:val="B40000"/>
                <w:sz w:val="16"/>
              </w:rPr>
              <w:t>-8.239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(2025)</w:t>
            </w:r>
          </w:p>
        </w:tc>
        <w:tc>
          <w:tcPr>
            <w:tcW w:type="dxa" w:w="1474"/>
            <w:shd w:fill="1F4E79" w:val="clear"/>
          </w:tcPr>
          <w:p>
            <w:r>
              <w:rPr>
                <w:b/>
                <w:color w:val="FFFFFF"/>
                <w:sz w:val="15"/>
              </w:rPr>
              <w:t>SIVC (2025)</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C6EFCE" w:val="clear"/>
          </w:tcPr>
          <w:p>
            <w:r>
              <w:rPr>
                <w:b/>
                <w:color w:val="006400"/>
                <w:sz w:val="16"/>
              </w:rPr>
              <w:t>15.40%</w:t>
            </w:r>
          </w:p>
        </w:tc>
        <w:tc>
          <w:tcPr>
            <w:tcW w:type="dxa" w:w="1474"/>
            <w:shd w:fill="FFFFFF" w:val="clear"/>
          </w:tcPr>
          <w:p>
            <w:r>
              <w:rPr>
                <w:b/>
                <w:color w:val="000000"/>
                <w:sz w:val="16"/>
              </w:rPr>
              <w:t>2.97%</w:t>
            </w:r>
          </w:p>
        </w:tc>
        <w:tc>
          <w:tcPr>
            <w:tcW w:type="dxa" w:w="1474"/>
            <w:shd w:fill="FFFFFF" w:val="clear"/>
          </w:tcPr>
          <w:p>
            <w:r>
              <w:rPr>
                <w:b/>
                <w:color w:val="000000"/>
                <w:sz w:val="16"/>
              </w:rPr>
              <w:t>1.07%</w:t>
            </w:r>
          </w:p>
        </w:tc>
        <w:tc>
          <w:tcPr>
            <w:tcW w:type="dxa" w:w="1474"/>
            <w:shd w:fill="FFFFFF" w:val="clear"/>
          </w:tcPr>
          <w:p>
            <w:r>
              <w:rPr>
                <w:b/>
                <w:color w:val="000000"/>
                <w:sz w:val="16"/>
              </w:rPr>
              <w:t>7.10%</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C6EFCE" w:val="clear"/>
          </w:tcPr>
          <w:p>
            <w:r>
              <w:rPr>
                <w:b/>
                <w:color w:val="006400"/>
                <w:sz w:val="16"/>
              </w:rPr>
              <w:t>6.10%</w:t>
            </w:r>
          </w:p>
        </w:tc>
        <w:tc>
          <w:tcPr>
            <w:tcW w:type="dxa" w:w="1474"/>
            <w:shd w:fill="FFFFFF" w:val="clear"/>
          </w:tcPr>
          <w:p>
            <w:r>
              <w:rPr>
                <w:b/>
                <w:color w:val="000000"/>
                <w:sz w:val="16"/>
              </w:rPr>
              <w:t>1.19%</w:t>
            </w:r>
          </w:p>
        </w:tc>
        <w:tc>
          <w:tcPr>
            <w:tcW w:type="dxa" w:w="1474"/>
            <w:shd w:fill="FFFFFF" w:val="clear"/>
          </w:tcPr>
          <w:p>
            <w:r>
              <w:rPr>
                <w:b/>
                <w:color w:val="000000"/>
                <w:sz w:val="16"/>
              </w:rPr>
              <w:t>0.30%</w:t>
            </w:r>
          </w:p>
        </w:tc>
        <w:tc>
          <w:tcPr>
            <w:tcW w:type="dxa" w:w="1474"/>
            <w:shd w:fill="FFFFFF" w:val="clear"/>
          </w:tcPr>
          <w:p>
            <w:r>
              <w:rPr>
                <w:b/>
                <w:color w:val="000000"/>
                <w:sz w:val="16"/>
              </w:rPr>
              <w:t>1.23%</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C6EFCE" w:val="clear"/>
          </w:tcPr>
          <w:p>
            <w:r>
              <w:rPr>
                <w:b/>
                <w:color w:val="006400"/>
                <w:sz w:val="16"/>
              </w:rPr>
              <w:t>6.77%</w:t>
            </w:r>
          </w:p>
        </w:tc>
        <w:tc>
          <w:tcPr>
            <w:tcW w:type="dxa" w:w="1474"/>
            <w:shd w:fill="FFFFFF" w:val="clear"/>
          </w:tcPr>
          <w:p>
            <w:r>
              <w:rPr>
                <w:b/>
                <w:color w:val="000000"/>
                <w:sz w:val="16"/>
              </w:rPr>
              <w:t>1.45%</w:t>
            </w:r>
          </w:p>
        </w:tc>
        <w:tc>
          <w:tcPr>
            <w:tcW w:type="dxa" w:w="1474"/>
            <w:shd w:fill="FFFFFF" w:val="clear"/>
          </w:tcPr>
          <w:p>
            <w:r>
              <w:rPr>
                <w:b/>
                <w:color w:val="000000"/>
                <w:sz w:val="16"/>
              </w:rPr>
              <w:t>0.85%</w:t>
            </w:r>
          </w:p>
        </w:tc>
        <w:tc>
          <w:tcPr>
            <w:tcW w:type="dxa" w:w="1474"/>
            <w:shd w:fill="FFFFFF" w:val="clear"/>
          </w:tcPr>
          <w:p>
            <w:r>
              <w:rPr>
                <w:b/>
                <w:color w:val="000000"/>
                <w:sz w:val="16"/>
              </w:rPr>
              <w:t>1.78%</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C6EFCE" w:val="clear"/>
          </w:tcPr>
          <w:p>
            <w:r>
              <w:rPr>
                <w:b/>
                <w:color w:val="006400"/>
                <w:sz w:val="16"/>
              </w:rPr>
              <w:t>1.439 Mds FCFA</w:t>
            </w:r>
          </w:p>
        </w:tc>
        <w:tc>
          <w:tcPr>
            <w:tcW w:type="dxa" w:w="1474"/>
            <w:shd w:fill="FFFFFF" w:val="clear"/>
          </w:tcPr>
          <w:p>
            <w:r>
              <w:rPr>
                <w:b/>
                <w:color w:val="000000"/>
                <w:sz w:val="16"/>
              </w:rPr>
              <w:t>465.98 M FCFA</w:t>
            </w:r>
          </w:p>
        </w:tc>
        <w:tc>
          <w:tcPr>
            <w:tcW w:type="dxa" w:w="1474"/>
            <w:shd w:fill="FFFFFF" w:val="clear"/>
          </w:tcPr>
          <w:p>
            <w:r>
              <w:rPr>
                <w:b/>
                <w:color w:val="000000"/>
                <w:sz w:val="16"/>
              </w:rPr>
              <w:t>784.97 M FCFA</w:t>
            </w:r>
          </w:p>
        </w:tc>
        <w:tc>
          <w:tcPr>
            <w:tcW w:type="dxa" w:w="1474"/>
            <w:shd w:fill="FFFFFF" w:val="clear"/>
          </w:tcPr>
          <w:p>
            <w:r>
              <w:rPr>
                <w:b/>
                <w:color w:val="000000"/>
                <w:sz w:val="16"/>
              </w:rPr>
              <w:t>179.29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C7CE" w:val="clear"/>
          </w:tcPr>
          <w:p>
            <w:r>
              <w:rPr>
                <w:b/>
                <w:color w:val="B40000"/>
                <w:sz w:val="16"/>
              </w:rPr>
              <w:t>4.61%</w:t>
            </w:r>
          </w:p>
        </w:tc>
        <w:tc>
          <w:tcPr>
            <w:tcW w:type="dxa" w:w="1474"/>
            <w:shd w:fill="FFFFFF" w:val="clear"/>
          </w:tcPr>
          <w:p>
            <w:r>
              <w:rPr>
                <w:b/>
                <w:color w:val="000000"/>
                <w:sz w:val="16"/>
              </w:rPr>
              <w:t>7.43%</w:t>
            </w:r>
          </w:p>
        </w:tc>
        <w:tc>
          <w:tcPr>
            <w:tcW w:type="dxa" w:w="1474"/>
            <w:shd w:fill="FFFFFF" w:val="clear"/>
          </w:tcPr>
          <w:p>
            <w:r>
              <w:rPr>
                <w:b/>
                <w:color w:val="000000"/>
                <w:sz w:val="16"/>
              </w:rPr>
              <w:t>8.53%</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C6EFCE" w:val="clear"/>
          </w:tcPr>
          <w:p>
            <w:r>
              <w:rPr>
                <w:b/>
                <w:color w:val="006400"/>
                <w:sz w:val="16"/>
              </w:rPr>
              <w:t>40.11%</w:t>
            </w:r>
          </w:p>
        </w:tc>
        <w:tc>
          <w:tcPr>
            <w:tcW w:type="dxa" w:w="1474"/>
            <w:shd w:fill="FFFFFF" w:val="clear"/>
          </w:tcPr>
          <w:p>
            <w:r>
              <w:rPr>
                <w:b/>
                <w:color w:val="000000"/>
                <w:sz w:val="16"/>
              </w:rPr>
              <w:t>28.35%</w:t>
            </w:r>
          </w:p>
        </w:tc>
        <w:tc>
          <w:tcPr>
            <w:tcW w:type="dxa" w:w="1474"/>
            <w:shd w:fill="FFFFFF" w:val="clear"/>
          </w:tcPr>
          <w:p>
            <w:r>
              <w:rPr>
                <w:b/>
                <w:color w:val="000000"/>
                <w:sz w:val="16"/>
              </w:rPr>
              <w:t>17.29%</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FFFF" w:val="clear"/>
          </w:tcPr>
          <w:p>
            <w:r>
              <w:rPr>
                <w:b/>
                <w:color w:val="000000"/>
                <w:sz w:val="16"/>
              </w:rPr>
              <w:t>97.60%</w:t>
            </w:r>
          </w:p>
        </w:tc>
        <w:tc>
          <w:tcPr>
            <w:tcW w:type="dxa" w:w="1474"/>
            <w:shd w:fill="C6EFCE" w:val="clear"/>
          </w:tcPr>
          <w:p>
            <w:r>
              <w:rPr>
                <w:b/>
                <w:color w:val="006400"/>
                <w:sz w:val="16"/>
              </w:rPr>
              <w:t>13.91%</w:t>
            </w:r>
          </w:p>
        </w:tc>
        <w:tc>
          <w:tcPr>
            <w:tcW w:type="dxa" w:w="1474"/>
            <w:shd w:fill="FFC7CE" w:val="clear"/>
          </w:tcPr>
          <w:p>
            <w:r>
              <w:rPr>
                <w:b/>
                <w:color w:val="B40000"/>
                <w:sz w:val="16"/>
              </w:rPr>
              <w:t>228.41%</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C6EFCE" w:val="clear"/>
          </w:tcPr>
          <w:p>
            <w:r>
              <w:rPr>
                <w:b/>
                <w:color w:val="006400"/>
                <w:sz w:val="16"/>
              </w:rPr>
              <w:t>166.98%</w:t>
            </w:r>
          </w:p>
        </w:tc>
        <w:tc>
          <w:tcPr>
            <w:tcW w:type="dxa" w:w="1474"/>
            <w:shd w:fill="FFFFFF" w:val="clear"/>
          </w:tcPr>
          <w:p>
            <w:r>
              <w:rPr>
                <w:b/>
                <w:color w:val="000000"/>
                <w:sz w:val="16"/>
              </w:rPr>
              <w:t>139.57%</w:t>
            </w:r>
          </w:p>
        </w:tc>
        <w:tc>
          <w:tcPr>
            <w:tcW w:type="dxa" w:w="1474"/>
            <w:shd w:fill="FFFFFF" w:val="clear"/>
          </w:tcPr>
          <w:p>
            <w:r>
              <w:rPr>
                <w:b/>
                <w:color w:val="000000"/>
                <w:sz w:val="16"/>
              </w:rPr>
              <w:t>120.91%</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109.82%</w:t>
            </w:r>
          </w:p>
        </w:tc>
        <w:tc>
          <w:tcPr>
            <w:tcW w:type="dxa" w:w="1474"/>
            <w:shd w:fill="FFC7CE" w:val="clear"/>
          </w:tcPr>
          <w:p>
            <w:r>
              <w:rPr>
                <w:b/>
                <w:color w:val="B40000"/>
                <w:sz w:val="16"/>
              </w:rPr>
              <w:t>73.09%</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55.471 Mds FCFA</w:t>
            </w:r>
          </w:p>
        </w:tc>
        <w:tc>
          <w:tcPr>
            <w:tcW w:type="dxa" w:w="1474"/>
            <w:shd w:fill="FFFFFF" w:val="clear"/>
          </w:tcPr>
          <w:p>
            <w:r>
              <w:rPr>
                <w:b/>
                <w:color w:val="000000"/>
                <w:sz w:val="16"/>
              </w:rPr>
              <w:t>-935.89 M FCFA</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-2.47%</w:t>
            </w:r>
          </w:p>
        </w:tc>
        <w:tc>
          <w:tcPr>
            <w:tcW w:type="dxa" w:w="1474"/>
            <w:shd w:fill="FFFFFF" w:val="clear"/>
          </w:tcPr>
          <w:p>
            <w:r>
              <w:rPr>
                <w:b/>
                <w:color w:val="000000"/>
                <w:sz w:val="16"/>
              </w:rPr>
              <w:t>8.60%</w:t>
            </w:r>
          </w:p>
        </w:tc>
        <w:tc>
          <w:tcPr>
            <w:tcW w:type="dxa" w:w="1474"/>
            <w:shd w:fill="FFC7CE" w:val="clear"/>
          </w:tcPr>
          <w:p>
            <w:r>
              <w:rPr>
                <w:b/>
                <w:color w:val="B40000"/>
                <w:sz w:val="16"/>
              </w:rPr>
              <w:t>-19.90%</w:t>
            </w:r>
          </w:p>
        </w:tc>
      </w:tr>
      <w:tr>
        <w:tc>
          <w:tcPr>
            <w:tcW w:type="dxa" w:w="2551"/>
            <w:shd w:fill="EEF2F7" w:val="clear"/>
          </w:tcPr>
          <w:p>
            <w:r>
              <w:rPr>
                <w:b/>
                <w:sz w:val="15"/>
              </w:rPr>
              <w:t>Délai clients</w:t>
            </w:r>
          </w:p>
        </w:tc>
        <w:tc>
          <w:tcPr>
            <w:tcW w:type="dxa" w:w="1474"/>
            <w:shd w:fill="FFFFFF" w:val="clear"/>
          </w:tcPr>
          <w:p>
            <w:r>
              <w:rPr>
                <w:b/>
                <w:color w:val="000000"/>
                <w:sz w:val="16"/>
              </w:rPr>
              <w:t>144.7 j</w:t>
            </w:r>
          </w:p>
        </w:tc>
        <w:tc>
          <w:tcPr>
            <w:tcW w:type="dxa" w:w="1474"/>
            <w:shd w:fill="FFC7CE" w:val="clear"/>
          </w:tcPr>
          <w:p>
            <w:r>
              <w:rPr>
                <w:b/>
                <w:color w:val="B40000"/>
                <w:sz w:val="16"/>
              </w:rPr>
              <w:t>213.7 j</w:t>
            </w:r>
          </w:p>
        </w:tc>
        <w:tc>
          <w:tcPr>
            <w:tcW w:type="dxa" w:w="1474"/>
            <w:shd w:fill="F2F2F2" w:val="clear"/>
          </w:tcPr>
          <w:p>
            <w:r>
              <w:rPr>
                <w:b/>
                <w:sz w:val="16"/>
              </w:rPr>
              <w:t>N/D</w:t>
            </w:r>
          </w:p>
        </w:tc>
        <w:tc>
          <w:tcPr>
            <w:tcW w:type="dxa" w:w="1474"/>
            <w:shd w:fill="C6EFCE" w:val="clear"/>
          </w:tcPr>
          <w:p>
            <w:r>
              <w:rPr>
                <w:b/>
                <w:color w:val="006400"/>
                <w:sz w:val="16"/>
              </w:rPr>
              <w:t>79.3 j</w:t>
            </w:r>
          </w:p>
        </w:tc>
        <w:tc>
          <w:tcPr>
            <w:tcW w:type="dxa" w:w="1474"/>
            <w:shd w:fill="F2F2F2" w:val="clear"/>
          </w:tcPr>
          <w:p>
            <w:r>
              <w:rPr>
                <w:b/>
                <w:sz w:val="16"/>
              </w:rPr>
              <w:t>N/D</w:t>
            </w:r>
          </w:p>
        </w:tc>
      </w:tr>
      <w:tr>
        <w:tc>
          <w:tcPr>
            <w:tcW w:type="dxa" w:w="2551"/>
            <w:shd w:fill="EEF2F7" w:val="clear"/>
          </w:tcPr>
          <w:p>
            <w:r>
              <w:rPr>
                <w:b/>
                <w:sz w:val="15"/>
              </w:rPr>
              <w:t>Durée stockage</w:t>
            </w:r>
          </w:p>
        </w:tc>
        <w:tc>
          <w:tcPr>
            <w:tcW w:type="dxa" w:w="1474"/>
            <w:shd w:fill="C6EFCE" w:val="clear"/>
          </w:tcPr>
          <w:p>
            <w:r>
              <w:rPr>
                <w:b/>
                <w:color w:val="006400"/>
                <w:sz w:val="16"/>
              </w:rPr>
              <w:t>152.1 j</w:t>
            </w:r>
          </w:p>
        </w:tc>
        <w:tc>
          <w:tcPr>
            <w:tcW w:type="dxa" w:w="1474"/>
            <w:shd w:fill="FFC7CE" w:val="clear"/>
          </w:tcPr>
          <w:p>
            <w:r>
              <w:rPr>
                <w:b/>
                <w:color w:val="B40000"/>
                <w:sz w:val="16"/>
              </w:rPr>
              <w:t>214.7 j</w:t>
            </w:r>
          </w:p>
        </w:tc>
        <w:tc>
          <w:tcPr>
            <w:tcW w:type="dxa" w:w="1474"/>
            <w:shd w:fill="F2F2F2" w:val="clear"/>
          </w:tcPr>
          <w:p>
            <w:r>
              <w:rPr>
                <w:b/>
                <w:sz w:val="16"/>
              </w:rPr>
              <w:t>N/D</w:t>
            </w:r>
          </w:p>
        </w:tc>
        <w:tc>
          <w:tcPr>
            <w:tcW w:type="dxa" w:w="1474"/>
            <w:shd w:fill="FFFFFF" w:val="clear"/>
          </w:tcPr>
          <w:p>
            <w:r>
              <w:rPr>
                <w:b/>
                <w:color w:val="000000"/>
                <w:sz w:val="16"/>
              </w:rPr>
              <w:t>189.3 j</w:t>
            </w:r>
          </w:p>
        </w:tc>
        <w:tc>
          <w:tcPr>
            <w:tcW w:type="dxa" w:w="1474"/>
            <w:shd w:fill="F2F2F2" w:val="clear"/>
          </w:tcPr>
          <w:p>
            <w:r>
              <w:rPr>
                <w:b/>
                <w:sz w:val="16"/>
              </w:rPr>
              <w:t>N/D</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r>
        <w:tc>
          <w:tcPr>
            <w:tcW w:type="dxa" w:w="2268"/>
            <w:shd w:fill="EEF2F7" w:val="clear"/>
          </w:tcPr>
          <w:p>
            <w:r>
              <w:rPr>
                <w:b/>
                <w:sz w:val="15"/>
              </w:rPr>
              <w:t>Délai clients</w:t>
            </w:r>
          </w:p>
        </w:tc>
        <w:tc>
          <w:tcPr>
            <w:tcW w:type="dxa" w:w="1984"/>
            <w:shd w:fill="FFC7CE" w:val="clear"/>
          </w:tcPr>
          <w:p>
            <w:r>
              <w:rPr>
                <w:b/>
                <w:color w:val="007800"/>
                <w:sz w:val="17"/>
              </w:rPr>
              <w:t>144.7 j</w:t>
            </w:r>
          </w:p>
        </w:tc>
        <w:tc>
          <w:tcPr>
            <w:tcW w:type="dxa" w:w="5669"/>
            <w:shd w:fill="FFFFFF" w:val="clear"/>
          </w:tcPr>
          <w:p>
            <w:r>
              <w:rPr>
                <w:sz w:val="15"/>
              </w:rPr>
              <w:t>❌ Délai critique de 145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152.1 j</w:t>
            </w:r>
          </w:p>
        </w:tc>
        <w:tc>
          <w:tcPr>
            <w:tcW w:type="dxa" w:w="5669"/>
            <w:shd w:fill="FFFFFF" w:val="clear"/>
          </w:tcPr>
          <w:p>
            <w:r>
              <w:rPr>
                <w:sz w:val="15"/>
              </w:rPr>
              <w:t>❌ Stock quasi-bloqué (152 jours) — capital fortement immobilisé, risque d'obsolescence élevé.</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213.7 j</w:t>
            </w:r>
          </w:p>
        </w:tc>
        <w:tc>
          <w:tcPr>
            <w:tcW w:type="dxa" w:w="5669"/>
            <w:shd w:fill="FFFFFF" w:val="clear"/>
          </w:tcPr>
          <w:p>
            <w:r>
              <w:rPr>
                <w:sz w:val="15"/>
              </w:rPr>
              <w:t>❌ Délai critique de 214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214.7 j</w:t>
            </w:r>
          </w:p>
        </w:tc>
        <w:tc>
          <w:tcPr>
            <w:tcW w:type="dxa" w:w="5669"/>
            <w:shd w:fill="FFFFFF" w:val="clear"/>
          </w:tcPr>
          <w:p>
            <w:r>
              <w:rPr>
                <w:sz w:val="15"/>
              </w:rPr>
              <w:t>❌ Stock quasi-bloqué (215 jours) — capital fortement immobilisé, risque d'obsolescence élevé.</w:t>
            </w:r>
          </w:p>
        </w:tc>
      </w:tr>
    </w:tbl>
    <w:p/>
    <w:p>
      <w:pPr>
        <w:spacing w:before="160"/>
      </w:pPr>
      <w:r>
        <w:rPr>
          <w:b/>
          <w:color w:val="003366"/>
          <w:sz w:val="20"/>
        </w:rPr>
        <w:t xml:space="preserve">▶ SDSC — SDSC - AFRICA GLOBAL LOGISTICS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1.07%</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0.30%</w:t>
            </w:r>
          </w:p>
        </w:tc>
        <w:tc>
          <w:tcPr>
            <w:tcW w:type="dxa" w:w="5669"/>
            <w:shd w:fill="FFFFFF" w:val="clear"/>
          </w:tcPr>
          <w:p>
            <w:r>
              <w:rPr>
                <w:sz w:val="15"/>
              </w:rPr>
              <w:t>⚠️ ROA de 0.30%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0.85%</w:t>
            </w:r>
          </w:p>
        </w:tc>
        <w:tc>
          <w:tcPr>
            <w:tcW w:type="dxa" w:w="5669"/>
            <w:shd w:fill="FFFFFF" w:val="clear"/>
          </w:tcPr>
          <w:p>
            <w:r>
              <w:rPr>
                <w:sz w:val="15"/>
              </w:rPr>
              <w:t>⚠️ Marge nette quasi-nulle (0.85%)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784.97 M FCFA</w:t>
            </w:r>
          </w:p>
        </w:tc>
        <w:tc>
          <w:tcPr>
            <w:tcW w:type="dxa" w:w="5669"/>
            <w:shd w:fill="FFFFFF" w:val="clear"/>
          </w:tcPr>
          <w:p>
            <w:r>
              <w:rPr>
                <w:sz w:val="15"/>
              </w:rPr>
              <w:t>✅ Résultat net positif de 784.97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7.43%</w:t>
            </w:r>
          </w:p>
        </w:tc>
        <w:tc>
          <w:tcPr>
            <w:tcW w:type="dxa" w:w="5669"/>
            <w:shd w:fill="FFFFFF" w:val="clear"/>
          </w:tcPr>
          <w:p>
            <w:r>
              <w:rPr>
                <w:sz w:val="15"/>
              </w:rPr>
              <w:t>✅ Croissance de 7.4%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28.35%</w:t>
            </w:r>
          </w:p>
        </w:tc>
        <w:tc>
          <w:tcPr>
            <w:tcW w:type="dxa" w:w="5669"/>
            <w:shd w:fill="FFFFFF" w:val="clear"/>
          </w:tcPr>
          <w:p>
            <w:r>
              <w:rPr>
                <w:sz w:val="15"/>
              </w:rPr>
              <w:t>✅ Autonomie financière correcte (28.3%)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13.91%</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139.57%</w:t>
            </w:r>
          </w:p>
        </w:tc>
        <w:tc>
          <w:tcPr>
            <w:tcW w:type="dxa" w:w="5669"/>
            <w:shd w:fill="FFFFFF" w:val="clear"/>
          </w:tcPr>
          <w:p>
            <w:r>
              <w:rPr>
                <w:sz w:val="15"/>
              </w:rPr>
              <w:t>✅ Solvabilité satisfaisante (140%)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109.82%</w:t>
            </w:r>
          </w:p>
        </w:tc>
        <w:tc>
          <w:tcPr>
            <w:tcW w:type="dxa" w:w="5669"/>
            <w:shd w:fill="FFFFFF" w:val="clear"/>
          </w:tcPr>
          <w:p>
            <w:r>
              <w:rPr>
                <w:sz w:val="15"/>
              </w:rPr>
              <w:t>⚠️ Liquidité générale limite (109.82x)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55.471 Mds FCFA</w:t>
            </w:r>
          </w:p>
        </w:tc>
        <w:tc>
          <w:tcPr>
            <w:tcW w:type="dxa" w:w="5669"/>
            <w:shd w:fill="FFFFFF" w:val="clear"/>
          </w:tcPr>
          <w:p>
            <w:r>
              <w:rPr>
                <w:sz w:val="15"/>
              </w:rPr>
              <w:t>✅ FCF positif de 55.471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-2.47%</w:t>
            </w:r>
          </w:p>
        </w:tc>
        <w:tc>
          <w:tcPr>
            <w:tcW w:type="dxa" w:w="5669"/>
            <w:shd w:fill="FFFFFF" w:val="clear"/>
          </w:tcPr>
          <w:p>
            <w:r>
              <w:rPr>
                <w:sz w:val="15"/>
              </w:rPr>
              <w:t>❌ Marge opérationnelle négative (-2.5%) — l'activité principale est déficitaire.</w:t>
            </w:r>
          </w:p>
        </w:tc>
      </w:tr>
    </w:tbl>
    <w:p/>
    <w:p>
      <w:pPr>
        <w:spacing w:before="160"/>
      </w:pPr>
      <w:r>
        <w:rPr>
          <w:b/>
          <w:color w:val="003366"/>
          <w:sz w:val="20"/>
        </w:rPr>
        <w:t xml:space="preserve">▶ SIVC — SIVC - ERIUM CI (Ex AIR LIQUIDECI)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7.10%</w:t>
            </w:r>
          </w:p>
        </w:tc>
        <w:tc>
          <w:tcPr>
            <w:tcW w:type="dxa" w:w="5669"/>
            <w:shd w:fill="FFFFFF" w:val="clear"/>
          </w:tcPr>
          <w:p>
            <w:r>
              <w:rPr>
                <w:sz w:val="15"/>
              </w:rPr>
              <w:t>⚠️ ROE de 7.1%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1.23%</w:t>
            </w:r>
          </w:p>
        </w:tc>
        <w:tc>
          <w:tcPr>
            <w:tcW w:type="dxa" w:w="5669"/>
            <w:shd w:fill="FFFFFF" w:val="clear"/>
          </w:tcPr>
          <w:p>
            <w:r>
              <w:rPr>
                <w:sz w:val="15"/>
              </w:rPr>
              <w:t>⚠️ ROA de 1.23%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1.78%</w:t>
            </w:r>
          </w:p>
        </w:tc>
        <w:tc>
          <w:tcPr>
            <w:tcW w:type="dxa" w:w="5669"/>
            <w:shd w:fill="FFFFFF" w:val="clear"/>
          </w:tcPr>
          <w:p>
            <w:r>
              <w:rPr>
                <w:sz w:val="15"/>
              </w:rPr>
              <w:t>⚠️ Marge nette de 1.8%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179.29 M FCFA</w:t>
            </w:r>
          </w:p>
        </w:tc>
        <w:tc>
          <w:tcPr>
            <w:tcW w:type="dxa" w:w="5669"/>
            <w:shd w:fill="FFFFFF" w:val="clear"/>
          </w:tcPr>
          <w:p>
            <w:r>
              <w:rPr>
                <w:sz w:val="15"/>
              </w:rPr>
              <w:t>✅ Résultat net positif de 179.29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8.53%</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17.29%</w:t>
            </w:r>
          </w:p>
        </w:tc>
        <w:tc>
          <w:tcPr>
            <w:tcW w:type="dxa" w:w="5669"/>
            <w:shd w:fill="FFFFFF" w:val="clear"/>
          </w:tcPr>
          <w:p>
            <w:r>
              <w:rPr>
                <w:sz w:val="15"/>
              </w:rPr>
              <w:t>⚠️ Autonomie limitée (17.3%)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228.41%</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120.91%</w:t>
            </w:r>
          </w:p>
        </w:tc>
        <w:tc>
          <w:tcPr>
            <w:tcW w:type="dxa" w:w="5669"/>
            <w:shd w:fill="FFFFFF" w:val="clear"/>
          </w:tcPr>
          <w:p>
            <w:r>
              <w:rPr>
                <w:sz w:val="15"/>
              </w:rPr>
              <w:t>✅ Solvabilité satisfaisante (121%)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73.09%</w:t>
            </w:r>
          </w:p>
        </w:tc>
        <w:tc>
          <w:tcPr>
            <w:tcW w:type="dxa" w:w="5669"/>
            <w:shd w:fill="FFFFFF" w:val="clear"/>
          </w:tcPr>
          <w:p>
            <w:r>
              <w:rPr>
                <w:sz w:val="15"/>
              </w:rPr>
              <w:t>❌ Liquidité insuffisante (73.09x)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-935.89 M FCFA</w:t>
            </w:r>
          </w:p>
        </w:tc>
        <w:tc>
          <w:tcPr>
            <w:tcW w:type="dxa" w:w="5669"/>
            <w:shd w:fill="FFFFFF" w:val="clear"/>
          </w:tcPr>
          <w:p>
            <w:r>
              <w:rPr>
                <w:sz w:val="15"/>
              </w:rPr>
              <w:t>❌ FCF négatif significatif (-935.89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8.60%</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EB9C" w:val="clear"/>
          </w:tcPr>
          <w:p>
            <w:r>
              <w:rPr>
                <w:b/>
                <w:color w:val="007800"/>
                <w:sz w:val="17"/>
              </w:rPr>
              <w:t>79.3 j</w:t>
            </w:r>
          </w:p>
        </w:tc>
        <w:tc>
          <w:tcPr>
            <w:tcW w:type="dxa" w:w="5669"/>
            <w:shd w:fill="FFFFFF" w:val="clear"/>
          </w:tcPr>
          <w:p>
            <w:r>
              <w:rPr>
                <w:sz w:val="15"/>
              </w:rPr>
              <w:t>⚠️ Délai long (79 jours) — risque d'impayés accru, pression sur la trésorerie CT.</w:t>
            </w:r>
          </w:p>
        </w:tc>
      </w:tr>
      <w:tr>
        <w:tc>
          <w:tcPr>
            <w:tcW w:type="dxa" w:w="2268"/>
            <w:shd w:fill="EEF2F7" w:val="clear"/>
          </w:tcPr>
          <w:p>
            <w:r>
              <w:rPr>
                <w:b/>
                <w:sz w:val="15"/>
              </w:rPr>
              <w:t>Durée stockage</w:t>
            </w:r>
          </w:p>
        </w:tc>
        <w:tc>
          <w:tcPr>
            <w:tcW w:type="dxa" w:w="1984"/>
            <w:shd w:fill="FFC7CE" w:val="clear"/>
          </w:tcPr>
          <w:p>
            <w:r>
              <w:rPr>
                <w:b/>
                <w:color w:val="007800"/>
                <w:sz w:val="17"/>
              </w:rPr>
              <w:t>189.3 j</w:t>
            </w:r>
          </w:p>
        </w:tc>
        <w:tc>
          <w:tcPr>
            <w:tcW w:type="dxa" w:w="5669"/>
            <w:shd w:fill="FFFFFF" w:val="clear"/>
          </w:tcPr>
          <w:p>
            <w:r>
              <w:rPr>
                <w:sz w:val="15"/>
              </w:rPr>
              <w:t>❌ Stock quasi-bloqué (189 jours) — capital fortement immobilisé, risque d'obsolescence élevé.</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CABC</w:t>
            </w:r>
          </w:p>
        </w:tc>
        <w:tc>
          <w:tcPr>
            <w:tcW w:type="dxa" w:w="1728"/>
            <w:shd w:fill="C6EFCE" w:val="clear"/>
          </w:tcPr>
          <w:p>
            <w:r>
              <w:rPr>
                <w:color w:val="006400"/>
                <w:sz w:val="16"/>
              </w:rPr>
              <w:t>15.40%</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CABC</w:t>
            </w:r>
          </w:p>
        </w:tc>
        <w:tc>
          <w:tcPr>
            <w:tcW w:type="dxa" w:w="1728"/>
            <w:shd w:fill="C6EFCE" w:val="clear"/>
          </w:tcPr>
          <w:p>
            <w:r>
              <w:rPr>
                <w:color w:val="006400"/>
                <w:sz w:val="16"/>
              </w:rPr>
              <w:t>6.77%</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FTSC</w:t>
            </w:r>
          </w:p>
        </w:tc>
        <w:tc>
          <w:tcPr>
            <w:tcW w:type="dxa" w:w="1728"/>
            <w:shd w:fill="FFC7CE" w:val="clear"/>
          </w:tcPr>
          <w:p>
            <w:r>
              <w:rPr>
                <w:color w:val="B40000"/>
                <w:sz w:val="16"/>
              </w:rPr>
              <w:t>4.61%</w:t>
            </w:r>
          </w:p>
        </w:tc>
      </w:tr>
      <w:tr>
        <w:tc>
          <w:tcPr>
            <w:tcW w:type="dxa" w:w="1728"/>
            <w:shd w:fill="EEF2F7" w:val="clear"/>
          </w:tcPr>
          <w:p>
            <w:r>
              <w:rPr>
                <w:b/>
                <w:sz w:val="16"/>
              </w:rPr>
              <w:t>Autonomie fin.</w:t>
            </w:r>
          </w:p>
        </w:tc>
        <w:tc>
          <w:tcPr>
            <w:tcW w:type="dxa" w:w="1728"/>
            <w:shd w:fill="C6EFCE" w:val="clear"/>
          </w:tcPr>
          <w:p>
            <w:r>
              <w:rPr>
                <w:b/>
                <w:color w:val="006400"/>
                <w:sz w:val="16"/>
              </w:rPr>
              <w:t>FTSC</w:t>
            </w:r>
          </w:p>
        </w:tc>
        <w:tc>
          <w:tcPr>
            <w:tcW w:type="dxa" w:w="1728"/>
            <w:shd w:fill="C6EFCE" w:val="clear"/>
          </w:tcPr>
          <w:p>
            <w:r>
              <w:rPr>
                <w:color w:val="006400"/>
                <w:sz w:val="16"/>
              </w:rPr>
              <w:t>40.11%</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73.09%</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55.471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Services Financiers</w:t>
      </w:r>
    </w:p>
    <w:p>
      <w:r>
        <w:rPr>
          <w:sz w:val="18"/>
        </w:rPr>
        <w:t>1 société(s) avec données financières sur 1 cotée(s) dans ce secteur. Exercice(s) analysé(s) : 2025.</w:t>
      </w:r>
    </w:p>
    <w:p/>
    <w:p>
      <w:pPr>
        <w:pStyle w:val="Heading3"/>
      </w:pPr>
      <w:r>
        <w:t>📊 Tableau comparatif des indicateurs clés</w:t>
      </w:r>
    </w:p>
    <w:tbl>
      <w:tblPr>
        <w:tblStyle w:val="TableGrid"/>
        <w:tblW w:type="auto" w:w="0"/>
        <w:tblLook w:firstColumn="1" w:firstRow="1" w:lastColumn="0" w:lastRow="0" w:noHBand="0" w:noVBand="1" w:val="04A0"/>
      </w:tblPr>
      <w:tblGrid>
        <w:gridCol w:w="4320"/>
        <w:gridCol w:w="4320"/>
      </w:tblGrid>
      <w:tr>
        <w:tc>
          <w:tcPr>
            <w:tcW w:type="dxa" w:w="2551"/>
            <w:shd w:fill="1F4E79" w:val="clear"/>
          </w:tcPr>
          <w:p>
            <w:r>
              <w:rPr>
                <w:b/>
                <w:color w:val="FFFFFF"/>
                <w:sz w:val="16"/>
              </w:rPr>
              <w:t>Indicateur</w:t>
            </w:r>
          </w:p>
        </w:tc>
        <w:tc>
          <w:tcPr>
            <w:tcW w:type="dxa" w:w="7370"/>
            <w:shd w:fill="1F4E79" w:val="clear"/>
          </w:tcPr>
          <w:p>
            <w:r>
              <w:rPr>
                <w:b/>
                <w:color w:val="FFFFFF"/>
                <w:sz w:val="15"/>
              </w:rPr>
              <w:t>BBGC (2025)</w:t>
            </w:r>
          </w:p>
        </w:tc>
      </w:tr>
      <w:tr>
        <w:tc>
          <w:tcPr>
            <w:tcW w:type="dxa" w:w="2551"/>
            <w:shd w:fill="EEF2F7" w:val="clear"/>
          </w:tcPr>
          <w:p>
            <w:r>
              <w:rPr>
                <w:b/>
                <w:sz w:val="15"/>
              </w:rPr>
              <w:t>ROE</w:t>
            </w:r>
          </w:p>
        </w:tc>
        <w:tc>
          <w:tcPr>
            <w:tcW w:type="dxa" w:w="7370"/>
            <w:shd w:fill="FFFFFF" w:val="clear"/>
          </w:tcPr>
          <w:p>
            <w:r>
              <w:rPr>
                <w:b/>
                <w:color w:val="000000"/>
                <w:sz w:val="16"/>
              </w:rPr>
              <w:t>25.87%</w:t>
            </w:r>
          </w:p>
        </w:tc>
      </w:tr>
      <w:tr>
        <w:tc>
          <w:tcPr>
            <w:tcW w:type="dxa" w:w="2551"/>
            <w:shd w:fill="EEF2F7" w:val="clear"/>
          </w:tcPr>
          <w:p>
            <w:r>
              <w:rPr>
                <w:b/>
                <w:sz w:val="15"/>
              </w:rPr>
              <w:t>ROA</w:t>
            </w:r>
          </w:p>
        </w:tc>
        <w:tc>
          <w:tcPr>
            <w:tcW w:type="dxa" w:w="7370"/>
            <w:shd w:fill="FFFFFF" w:val="clear"/>
          </w:tcPr>
          <w:p>
            <w:r>
              <w:rPr>
                <w:b/>
                <w:color w:val="000000"/>
                <w:sz w:val="16"/>
              </w:rPr>
              <w:t>1.91%</w:t>
            </w:r>
          </w:p>
        </w:tc>
      </w:tr>
      <w:tr>
        <w:tc>
          <w:tcPr>
            <w:tcW w:type="dxa" w:w="2551"/>
            <w:shd w:fill="EEF2F7" w:val="clear"/>
          </w:tcPr>
          <w:p>
            <w:r>
              <w:rPr>
                <w:b/>
                <w:sz w:val="15"/>
              </w:rPr>
              <w:t>Marge nette</w:t>
            </w:r>
          </w:p>
        </w:tc>
        <w:tc>
          <w:tcPr>
            <w:tcW w:type="dxa" w:w="7370"/>
            <w:shd w:fill="FFFFFF" w:val="clear"/>
          </w:tcPr>
          <w:p>
            <w:r>
              <w:rPr>
                <w:b/>
                <w:color w:val="000000"/>
                <w:sz w:val="16"/>
              </w:rPr>
              <w:t>40.10%</w:t>
            </w:r>
          </w:p>
        </w:tc>
      </w:tr>
      <w:tr>
        <w:tc>
          <w:tcPr>
            <w:tcW w:type="dxa" w:w="2551"/>
            <w:shd w:fill="EEF2F7" w:val="clear"/>
          </w:tcPr>
          <w:p>
            <w:r>
              <w:rPr>
                <w:b/>
                <w:sz w:val="15"/>
              </w:rPr>
              <w:t>Résultat net</w:t>
            </w:r>
          </w:p>
        </w:tc>
        <w:tc>
          <w:tcPr>
            <w:tcW w:type="dxa" w:w="7370"/>
            <w:shd w:fill="FFFFFF" w:val="clear"/>
          </w:tcPr>
          <w:p>
            <w:r>
              <w:rPr>
                <w:b/>
                <w:color w:val="000000"/>
                <w:sz w:val="16"/>
              </w:rPr>
              <w:t>27.197 Mds FCFA</w:t>
            </w:r>
          </w:p>
        </w:tc>
      </w:tr>
      <w:tr>
        <w:tc>
          <w:tcPr>
            <w:tcW w:type="dxa" w:w="2551"/>
            <w:shd w:fill="EEF2F7" w:val="clear"/>
          </w:tcPr>
          <w:p>
            <w:r>
              <w:rPr>
                <w:b/>
                <w:sz w:val="15"/>
              </w:rPr>
              <w:t>Taux croissance CA/PNB</w:t>
            </w:r>
          </w:p>
        </w:tc>
        <w:tc>
          <w:tcPr>
            <w:tcW w:type="dxa" w:w="7370"/>
            <w:shd w:fill="FFFFFF" w:val="clear"/>
          </w:tcPr>
          <w:p>
            <w:r>
              <w:rPr>
                <w:b/>
                <w:color w:val="000000"/>
                <w:sz w:val="16"/>
              </w:rPr>
              <w:t>15.71%</w:t>
            </w:r>
          </w:p>
        </w:tc>
      </w:tr>
      <w:tr>
        <w:tc>
          <w:tcPr>
            <w:tcW w:type="dxa" w:w="2551"/>
            <w:shd w:fill="EEF2F7" w:val="clear"/>
          </w:tcPr>
          <w:p>
            <w:r>
              <w:rPr>
                <w:b/>
                <w:sz w:val="15"/>
              </w:rPr>
              <w:t>Autonomie financière</w:t>
            </w:r>
          </w:p>
        </w:tc>
        <w:tc>
          <w:tcPr>
            <w:tcW w:type="dxa" w:w="7370"/>
            <w:shd w:fill="FFFFFF" w:val="clear"/>
          </w:tcPr>
          <w:p>
            <w:r>
              <w:rPr>
                <w:b/>
                <w:color w:val="000000"/>
                <w:sz w:val="16"/>
              </w:rPr>
              <w:t>7.37%</w:t>
            </w:r>
          </w:p>
        </w:tc>
      </w:tr>
      <w:tr>
        <w:tc>
          <w:tcPr>
            <w:tcW w:type="dxa" w:w="2551"/>
            <w:shd w:fill="EEF2F7" w:val="clear"/>
          </w:tcPr>
          <w:p>
            <w:r>
              <w:rPr>
                <w:b/>
                <w:sz w:val="15"/>
              </w:rPr>
              <w:t>Ratio endettement</w:t>
            </w:r>
          </w:p>
        </w:tc>
        <w:tc>
          <w:tcPr>
            <w:tcW w:type="dxa" w:w="7370"/>
            <w:shd w:fill="FFFFFF" w:val="clear"/>
          </w:tcPr>
          <w:p>
            <w:r>
              <w:rPr>
                <w:b/>
                <w:color w:val="000000"/>
                <w:sz w:val="16"/>
              </w:rPr>
              <w:t>1257.65%</w:t>
            </w:r>
          </w:p>
        </w:tc>
      </w:tr>
      <w:tr>
        <w:tc>
          <w:tcPr>
            <w:tcW w:type="dxa" w:w="2551"/>
            <w:shd w:fill="EEF2F7" w:val="clear"/>
          </w:tcPr>
          <w:p>
            <w:r>
              <w:rPr>
                <w:b/>
                <w:sz w:val="15"/>
              </w:rPr>
              <w:t>Solvabilité générale</w:t>
            </w:r>
          </w:p>
        </w:tc>
        <w:tc>
          <w:tcPr>
            <w:tcW w:type="dxa" w:w="7370"/>
            <w:shd w:fill="FFFFFF" w:val="clear"/>
          </w:tcPr>
          <w:p>
            <w:r>
              <w:rPr>
                <w:b/>
                <w:color w:val="000000"/>
                <w:sz w:val="16"/>
              </w:rPr>
              <w:t>107.95%</w:t>
            </w:r>
          </w:p>
        </w:tc>
      </w:tr>
      <w:tr>
        <w:tc>
          <w:tcPr>
            <w:tcW w:type="dxa" w:w="2551"/>
            <w:shd w:fill="EEF2F7" w:val="clear"/>
          </w:tcPr>
          <w:p>
            <w:r>
              <w:rPr>
                <w:b/>
                <w:sz w:val="15"/>
              </w:rPr>
              <w:t>Coeff. exploitation</w:t>
            </w:r>
          </w:p>
        </w:tc>
        <w:tc>
          <w:tcPr>
            <w:tcW w:type="dxa" w:w="7370"/>
            <w:shd w:fill="FFFFFF" w:val="clear"/>
          </w:tcPr>
          <w:p>
            <w:r>
              <w:rPr>
                <w:b/>
                <w:color w:val="000000"/>
                <w:sz w:val="16"/>
              </w:rPr>
              <w:t>41.85%</w:t>
            </w:r>
          </w:p>
        </w:tc>
      </w:tr>
      <w:tr>
        <w:tc>
          <w:tcPr>
            <w:tcW w:type="dxa" w:w="2551"/>
            <w:shd w:fill="EEF2F7" w:val="clear"/>
          </w:tcPr>
          <w:p>
            <w:r>
              <w:rPr>
                <w:b/>
                <w:sz w:val="15"/>
              </w:rPr>
              <w:t>Marge opérationnelle</w:t>
            </w:r>
          </w:p>
        </w:tc>
        <w:tc>
          <w:tcPr>
            <w:tcW w:type="dxa" w:w="7370"/>
            <w:shd w:fill="FFFFFF" w:val="clear"/>
          </w:tcPr>
          <w:p>
            <w:r>
              <w:rPr>
                <w:b/>
                <w:color w:val="000000"/>
                <w:sz w:val="16"/>
              </w:rPr>
              <w:t>48.12%</w:t>
            </w:r>
          </w:p>
        </w:tc>
      </w:tr>
    </w:tbl>
    <w:p/>
    <w:p>
      <w:pPr>
        <w:pStyle w:val="Heading3"/>
      </w:pPr>
      <w:r>
        <w:t>🔍 Analyse détaillée par société</w:t>
      </w:r>
    </w:p>
    <w:p>
      <w:pPr>
        <w:spacing w:before="160"/>
      </w:pPr>
      <w:r>
        <w:rPr>
          <w:b/>
          <w:color w:val="003366"/>
          <w:sz w:val="20"/>
        </w:rPr>
        <w:t xml:space="preserve">▶ BBGC — BRIDGE BANK GROUP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25.87%</w:t>
            </w:r>
          </w:p>
        </w:tc>
        <w:tc>
          <w:tcPr>
            <w:tcW w:type="dxa" w:w="5669"/>
            <w:shd w:fill="FFFFFF" w:val="clear"/>
          </w:tcPr>
          <w:p>
            <w:r>
              <w:rPr>
                <w:sz w:val="15"/>
              </w:rPr>
              <w:t>✅ ROE de 25.9%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1.91%</w:t>
            </w:r>
          </w:p>
        </w:tc>
        <w:tc>
          <w:tcPr>
            <w:tcW w:type="dxa" w:w="5669"/>
            <w:shd w:fill="FFFFFF" w:val="clear"/>
          </w:tcPr>
          <w:p>
            <w:r>
              <w:rPr>
                <w:sz w:val="15"/>
              </w:rPr>
              <w:t>✅ ROA de 1.91%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40.10%</w:t>
            </w:r>
          </w:p>
        </w:tc>
        <w:tc>
          <w:tcPr>
            <w:tcW w:type="dxa" w:w="5669"/>
            <w:shd w:fill="FFFFFF" w:val="clear"/>
          </w:tcPr>
          <w:p>
            <w:r>
              <w:rPr>
                <w:sz w:val="15"/>
              </w:rPr>
              <w:t>✅ Marge nette de 40.1%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27.197 Mds FCFA</w:t>
            </w:r>
          </w:p>
        </w:tc>
        <w:tc>
          <w:tcPr>
            <w:tcW w:type="dxa" w:w="5669"/>
            <w:shd w:fill="FFFFFF" w:val="clear"/>
          </w:tcPr>
          <w:p>
            <w:r>
              <w:rPr>
                <w:sz w:val="15"/>
              </w:rPr>
              <w:t>✅ Résultat net positif de 27.197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15.71%</w:t>
            </w:r>
          </w:p>
        </w:tc>
        <w:tc>
          <w:tcPr>
            <w:tcW w:type="dxa" w:w="5669"/>
            <w:shd w:fill="FFFFFF" w:val="clear"/>
          </w:tcPr>
          <w:p>
            <w:r>
              <w:rPr>
                <w:sz w:val="15"/>
              </w:rPr>
              <w:t>✅ Croissance de 15.7%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7.37%</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1257.65%</w:t>
            </w:r>
          </w:p>
        </w:tc>
        <w:tc>
          <w:tcPr>
            <w:tcW w:type="dxa" w:w="5669"/>
            <w:shd w:fill="FFFFFF" w:val="clear"/>
          </w:tcPr>
          <w:p>
            <w:r>
              <w:rPr>
                <w:sz w:val="15"/>
              </w:rPr>
              <w:t>❌ Gearing de 1258%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107.95%</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41.85%</w:t>
            </w:r>
          </w:p>
        </w:tc>
        <w:tc>
          <w:tcPr>
            <w:tcW w:type="dxa" w:w="5669"/>
            <w:shd w:fill="FFFFFF" w:val="clear"/>
          </w:tcPr>
          <w:p>
            <w:r>
              <w:rPr>
                <w:sz w:val="15"/>
              </w:rPr>
              <w:t>✅ Coeff. d'exploitation de 41.8%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48.12%</w:t>
            </w:r>
          </w:p>
        </w:tc>
        <w:tc>
          <w:tcPr>
            <w:tcW w:type="dxa" w:w="5669"/>
            <w:shd w:fill="FFFFFF" w:val="clear"/>
          </w:tcPr>
          <w:p>
            <w:r>
              <w:rPr>
                <w:sz w:val="15"/>
              </w:rPr>
              <w:t>✅ Marge opérationnelle de 48.1% — excellente efficacité de l'exploitation principale.</w:t>
            </w:r>
          </w:p>
        </w:tc>
      </w:tr>
    </w:tbl>
    <w:p/>
    <w:p>
      <w:pPr>
        <w:pStyle w:val="Heading3"/>
      </w:pPr>
      <w:r>
        <w:t>🏆 Synthèse sectorielle — Points forts et points faibles</w:t>
      </w:r>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BBGC - BRIDGE BANK GROUP COTE D'IVOIRE</w:t>
      </w:r>
    </w:p>
    <w:p>
      <w:pPr>
        <w:ind w:left="400"/>
      </w:pPr>
      <w:r>
        <w:t>3. BICB - BIIC BN - Banque internationale pour le commerce du benin</w:t>
      </w:r>
    </w:p>
    <w:p>
      <w:pPr>
        <w:ind w:left="400"/>
      </w:pPr>
      <w:r>
        <w:t>4. BICC - BICI CI - Banque internationale pour le commerce et l'industrie de la Côte d'Ivoire</w:t>
      </w:r>
    </w:p>
    <w:p>
      <w:pPr>
        <w:ind w:left="400"/>
      </w:pPr>
      <w:r>
        <w:t>5. BNBC - BNBC - BERNABE CI</w:t>
      </w:r>
    </w:p>
    <w:p>
      <w:pPr>
        <w:ind w:left="400"/>
      </w:pPr>
      <w:r>
        <w:t>6. BOAB - BANK OF AFRICA BENIN</w:t>
      </w:r>
    </w:p>
    <w:p>
      <w:pPr>
        <w:ind w:left="400"/>
      </w:pPr>
      <w:r>
        <w:t>7. BOABF - BANK OF AFRICA BURKINA FASO</w:t>
      </w:r>
    </w:p>
    <w:p>
      <w:pPr>
        <w:ind w:left="400"/>
      </w:pPr>
      <w:r>
        <w:t>8. BOAC - BANK OF AFRICA COTE D'IVOIRE</w:t>
      </w:r>
    </w:p>
    <w:p>
      <w:pPr>
        <w:ind w:left="400"/>
      </w:pPr>
      <w:r>
        <w:t>9. BOAM - BANK OF AFRICA MALI</w:t>
      </w:r>
    </w:p>
    <w:p>
      <w:pPr>
        <w:ind w:left="400"/>
      </w:pPr>
      <w:r>
        <w:t>10. BOAN - BANK OF AFRICA NIGER</w:t>
      </w:r>
    </w:p>
    <w:p>
      <w:pPr>
        <w:ind w:left="400"/>
      </w:pPr>
      <w:r>
        <w:t>11. BOAS - BANK OF AFRICA SENEGAL</w:t>
      </w:r>
    </w:p>
    <w:p>
      <w:pPr>
        <w:ind w:left="400"/>
      </w:pPr>
      <w:r>
        <w:t>12. CABC - CABC - SICABLE COTE D'IVOIRE</w:t>
      </w:r>
    </w:p>
    <w:p>
      <w:pPr>
        <w:ind w:left="400"/>
      </w:pPr>
      <w:r>
        <w:t>13. CBIBF - CBIBF - CORIS BANK INTERNATIONAL BURKINA FASO</w:t>
      </w:r>
    </w:p>
    <w:p>
      <w:pPr>
        <w:ind w:left="400"/>
      </w:pPr>
      <w:r>
        <w:t>14. CFAC - CFAC - CFAO MOTORS CI</w:t>
      </w:r>
    </w:p>
    <w:p>
      <w:pPr>
        <w:ind w:left="400"/>
      </w:pPr>
      <w:r>
        <w:t>15. CIEC - CIEC - Compagnie Ivoirienne d'Electricité</w:t>
      </w:r>
    </w:p>
    <w:p>
      <w:pPr>
        <w:ind w:left="400"/>
      </w:pPr>
      <w:r>
        <w:t>16. ECOC - ECOC - ECOBANK COTE D'IVOIRE</w:t>
      </w:r>
    </w:p>
    <w:p>
      <w:pPr>
        <w:ind w:left="400"/>
      </w:pPr>
      <w:r>
        <w:t>17. ETIT - ETIT - Ecobank Transnational Incorporated Togo</w:t>
      </w:r>
    </w:p>
    <w:p>
      <w:pPr>
        <w:ind w:left="400"/>
      </w:pPr>
      <w:r>
        <w:t>18. FTSC - FTSC - FILTISAC COTE D'IVOIRE</w:t>
      </w:r>
    </w:p>
    <w:p>
      <w:pPr>
        <w:ind w:left="400"/>
      </w:pPr>
      <w:r>
        <w:t>19. LNBB - LNBB - LOTERIE NATIONALE DU BENIN</w:t>
      </w:r>
    </w:p>
    <w:p>
      <w:pPr>
        <w:ind w:left="400"/>
      </w:pPr>
      <w:r>
        <w:t>20. NEIC - NEIC - NEI-CEDA CI</w:t>
      </w:r>
    </w:p>
    <w:p>
      <w:pPr>
        <w:ind w:left="400"/>
      </w:pPr>
      <w:r>
        <w:t>21. NSBC - NSBC - NSIA BANQUE COTE D'IVOIRE</w:t>
      </w:r>
    </w:p>
    <w:p>
      <w:pPr>
        <w:ind w:left="400"/>
      </w:pPr>
      <w:r>
        <w:t>22. NTLC - NTLC - NESTLE COTE D'IVOIRE</w:t>
      </w:r>
    </w:p>
    <w:p>
      <w:pPr>
        <w:ind w:left="400"/>
      </w:pPr>
      <w:r>
        <w:t>23. ONTBF - ONTBF - ONATEL BURKINA FASO</w:t>
      </w:r>
    </w:p>
    <w:p>
      <w:pPr>
        <w:ind w:left="400"/>
      </w:pPr>
      <w:r>
        <w:t>24. ORAC - ORAC - ORANGE COTE D'IVOIRE</w:t>
      </w:r>
    </w:p>
    <w:p>
      <w:pPr>
        <w:ind w:left="400"/>
      </w:pPr>
      <w:r>
        <w:t>25. ORGT - ORGT - ORAGROUP TOGO</w:t>
      </w:r>
    </w:p>
    <w:p>
      <w:pPr>
        <w:ind w:left="400"/>
      </w:pPr>
      <w:r>
        <w:t>26. PALC - PALC - PALM COTE D'IVOIRE</w:t>
      </w:r>
    </w:p>
    <w:p>
      <w:pPr>
        <w:ind w:left="400"/>
      </w:pPr>
      <w:r>
        <w:t>27. PRSC - PRSC - TRACTAFRIC MOTORS CI</w:t>
      </w:r>
    </w:p>
    <w:p>
      <w:pPr>
        <w:ind w:left="400"/>
      </w:pPr>
      <w:r>
        <w:t>28. SAFC - SAFCA CI</w:t>
      </w:r>
    </w:p>
    <w:p>
      <w:pPr>
        <w:ind w:left="400"/>
      </w:pPr>
      <w:r>
        <w:t>29. SCRC - SCRC - SUCRIVOIRE</w:t>
      </w:r>
    </w:p>
    <w:p>
      <w:pPr>
        <w:ind w:left="400"/>
      </w:pPr>
      <w:r>
        <w:t>30. SDCC - SDCC - Société de Distribution d'Eau de Côte d'Ivoire</w:t>
      </w:r>
    </w:p>
    <w:p>
      <w:pPr>
        <w:ind w:left="400"/>
      </w:pPr>
      <w:r>
        <w:t>31. SDSC - SDSC - AFRICA GLOBAL LOGISTICS CI</w:t>
      </w:r>
    </w:p>
    <w:p>
      <w:pPr>
        <w:ind w:left="400"/>
      </w:pPr>
      <w:r>
        <w:t>32. SEMC - SEMC - EVIOSYS PACKAGING SIEM CI</w:t>
      </w:r>
    </w:p>
    <w:p>
      <w:pPr>
        <w:ind w:left="400"/>
      </w:pPr>
      <w:r>
        <w:t>33. SGBC - SGBC - SOCIETE GENERALE COTE D'IVOIRE</w:t>
      </w:r>
    </w:p>
    <w:p>
      <w:pPr>
        <w:ind w:left="400"/>
      </w:pPr>
      <w:r>
        <w:t>34. SHEC - SHEC - VIVO ENERGY COTE D'IVOIRE</w:t>
      </w:r>
    </w:p>
    <w:p>
      <w:pPr>
        <w:ind w:left="400"/>
      </w:pPr>
      <w:r>
        <w:t>35. SIBC - SIBC - SOCIETE IVOIRIENNE DE BANQUE</w:t>
      </w:r>
    </w:p>
    <w:p>
      <w:pPr>
        <w:ind w:left="400"/>
      </w:pPr>
      <w:r>
        <w:t>36. SICC - SICC - SICOR COTE D'IVOIRE</w:t>
      </w:r>
    </w:p>
    <w:p>
      <w:pPr>
        <w:ind w:left="400"/>
      </w:pPr>
      <w:r>
        <w:t>37. SIVC - SIVC - ERIUM CI (Ex AIR LIQUIDECI)</w:t>
      </w:r>
    </w:p>
    <w:p>
      <w:pPr>
        <w:ind w:left="400"/>
      </w:pPr>
      <w:r>
        <w:t>38. SLBC - SLBC - SOLIBRA COTE D'IVOIRE</w:t>
      </w:r>
    </w:p>
    <w:p>
      <w:pPr>
        <w:ind w:left="400"/>
      </w:pPr>
      <w:r>
        <w:t>39. SMBC - SMBC - Société Multinationale de Bitumes COTE D'IVOIRE</w:t>
      </w:r>
    </w:p>
    <w:p>
      <w:pPr>
        <w:ind w:left="400"/>
      </w:pPr>
      <w:r>
        <w:t>40. SNTS - SNTS - SONATEL SN</w:t>
      </w:r>
    </w:p>
    <w:p>
      <w:pPr>
        <w:ind w:left="400"/>
      </w:pPr>
      <w:r>
        <w:t>41. SOGC - SOGC - Société des caoutchoucs de Grand-Béréby</w:t>
      </w:r>
    </w:p>
    <w:p>
      <w:pPr>
        <w:ind w:left="400"/>
      </w:pPr>
      <w:r>
        <w:t>42. SPHC - SPHC - Société Africaine de Plantation d'Hévéas de Côte d'Ivoire</w:t>
      </w:r>
    </w:p>
    <w:p>
      <w:pPr>
        <w:ind w:left="400"/>
      </w:pPr>
      <w:r>
        <w:t>43. STAC - STAC - SETAO COTE D'IVOIRE</w:t>
      </w:r>
    </w:p>
    <w:p>
      <w:pPr>
        <w:ind w:left="400"/>
      </w:pPr>
      <w:r>
        <w:t>44. STBC - STBC - SITAB COTE D'IVOIRE</w:t>
      </w:r>
    </w:p>
    <w:p>
      <w:pPr>
        <w:ind w:left="400"/>
      </w:pPr>
      <w:r>
        <w:t>45. TTLC - TTLC - TOTAL ENERGIES MARKETING COTE D'IVOIRE</w:t>
      </w:r>
    </w:p>
    <w:p>
      <w:pPr>
        <w:ind w:left="400"/>
      </w:pPr>
      <w:r>
        <w:t>46. TTLS - TTLS - TOTAL ENERGIES MARKETING SENEGAL</w:t>
      </w:r>
    </w:p>
    <w:p>
      <w:pPr>
        <w:ind w:left="400"/>
      </w:pPr>
      <w:r>
        <w:t>47. UNLC - UNLC - UNILEVER COTE D'IVOIRE</w:t>
      </w:r>
    </w:p>
    <w:p>
      <w:pPr>
        <w:ind w:left="400"/>
      </w:pPr>
      <w:r>
        <w:t>48.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34.81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3,267 titres</w:t>
            </w:r>
          </w:p>
        </w:tc>
        <w:tc>
          <w:tcPr>
            <w:tcW w:type="dxa" w:w="2268"/>
            <w:shd w:fill="FFF2CC" w:val="clear"/>
          </w:tcPr>
          <w:p>
            <w:r>
              <w:rPr>
                <w:b/>
                <w:color w:val="503200"/>
                <w:sz w:val="16"/>
              </w:rPr>
              <w:t xml:space="preserve">Cours actuel : </w:t>
            </w:r>
            <w:r>
              <w:rPr>
                <w:color w:val="000000"/>
                <w:sz w:val="17"/>
              </w:rPr>
              <w:t>3,190 FCFA</w:t>
            </w:r>
          </w:p>
          <w:p>
            <w:r>
              <w:rPr>
                <w:b/>
                <w:color w:val="503200"/>
                <w:sz w:val="16"/>
              </w:rPr>
              <w:t xml:space="preserve">Var. 100 jours : </w:t>
            </w:r>
            <w:r>
              <w:rPr>
                <w:b/>
                <w:color w:val="007800"/>
                <w:sz w:val="17"/>
              </w:rPr>
              <w:t>+12.13%</w:t>
            </w:r>
          </w:p>
          <w:p>
            <w:r>
              <w:rPr>
                <w:b/>
                <w:color w:val="503200"/>
                <w:sz w:val="16"/>
              </w:rPr>
              <w:t xml:space="preserve">Plus haut 100j : </w:t>
            </w:r>
            <w:r>
              <w:rPr>
                <w:color w:val="000000"/>
                <w:sz w:val="17"/>
              </w:rPr>
              <w:t>4,095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45.1%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10.80% (Moyenne) — μ=3,351 FCFA, σ=362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β=0.3104 (Défensif) — Cov=0.000023, Var(idx)=0.000073, ρ=0.094,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3,267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σ_j=2.84%/j (Stable) — Vol. annualisée≈45.1%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3,052</w:t>
            </w:r>
          </w:p>
        </w:tc>
        <w:tc>
          <w:tcPr>
            <w:tcW w:type="dxa" w:w="1440"/>
            <w:shd w:fill="FAFAFA" w:val="clear"/>
          </w:tcPr>
          <w:p>
            <w:r>
              <w:rPr>
                <w:b/>
                <w:sz w:val="17"/>
              </w:rPr>
              <w:t>3,185</w:t>
            </w:r>
          </w:p>
        </w:tc>
        <w:tc>
          <w:tcPr>
            <w:tcW w:type="dxa" w:w="1440"/>
            <w:shd w:fill="FAFAFA" w:val="clear"/>
          </w:tcPr>
          <w:p>
            <w:r>
              <w:rPr>
                <w:sz w:val="17"/>
              </w:rPr>
              <w:t>3,317</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2,969</w:t>
            </w:r>
          </w:p>
        </w:tc>
        <w:tc>
          <w:tcPr>
            <w:tcW w:type="dxa" w:w="1440"/>
            <w:shd w:fill="FAFAFA" w:val="clear"/>
          </w:tcPr>
          <w:p>
            <w:r>
              <w:rPr>
                <w:b/>
                <w:sz w:val="17"/>
              </w:rPr>
              <w:t>3,155</w:t>
            </w:r>
          </w:p>
        </w:tc>
        <w:tc>
          <w:tcPr>
            <w:tcW w:type="dxa" w:w="1440"/>
            <w:shd w:fill="FAFAFA" w:val="clear"/>
          </w:tcPr>
          <w:p>
            <w:r>
              <w:rPr>
                <w:sz w:val="17"/>
              </w:rPr>
              <w:t>3,341</w:t>
            </w:r>
          </w:p>
        </w:tc>
        <w:tc>
          <w:tcPr>
            <w:tcW w:type="dxa" w:w="1440"/>
            <w:shd w:fill="FAFAFA" w:val="clear"/>
          </w:tcPr>
          <w:p>
            <w:r>
              <w:rPr>
                <w:b/>
                <w:color w:val="C00000"/>
                <w:sz w:val="17"/>
              </w:rPr>
              <w:t>-1.1%</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2,908</w:t>
            </w:r>
          </w:p>
        </w:tc>
        <w:tc>
          <w:tcPr>
            <w:tcW w:type="dxa" w:w="1440"/>
            <w:shd w:fill="FAFAFA" w:val="clear"/>
          </w:tcPr>
          <w:p>
            <w:r>
              <w:rPr>
                <w:b/>
                <w:sz w:val="17"/>
              </w:rPr>
              <w:t>3,135</w:t>
            </w:r>
          </w:p>
        </w:tc>
        <w:tc>
          <w:tcPr>
            <w:tcW w:type="dxa" w:w="1440"/>
            <w:shd w:fill="FAFAFA" w:val="clear"/>
          </w:tcPr>
          <w:p>
            <w:r>
              <w:rPr>
                <w:sz w:val="17"/>
              </w:rPr>
              <w:t>3,361</w:t>
            </w:r>
          </w:p>
        </w:tc>
        <w:tc>
          <w:tcPr>
            <w:tcW w:type="dxa" w:w="1440"/>
            <w:shd w:fill="FAFAFA" w:val="clear"/>
          </w:tcPr>
          <w:p>
            <w:r>
              <w:rPr>
                <w:b/>
                <w:color w:val="C00000"/>
                <w:sz w:val="17"/>
              </w:rPr>
              <w:t>-1.7%</w:t>
            </w:r>
          </w:p>
        </w:tc>
      </w:tr>
      <w:tr>
        <w:tc>
          <w:tcPr>
            <w:tcW w:type="dxa" w:w="1440"/>
            <w:shd w:fill="FFDCE0" w:val="clear"/>
          </w:tcPr>
          <w:p>
            <w:r>
              <w:rPr>
                <w:sz w:val="17"/>
              </w:rPr>
              <w:t>J+4  ⭐</w:t>
            </w:r>
          </w:p>
        </w:tc>
        <w:tc>
          <w:tcPr>
            <w:tcW w:type="dxa" w:w="1440"/>
            <w:shd w:fill="FFDCE0" w:val="clear"/>
          </w:tcPr>
          <w:p>
            <w:r>
              <w:rPr>
                <w:sz w:val="17"/>
              </w:rPr>
              <w:t>2026-10-15</w:t>
            </w:r>
          </w:p>
        </w:tc>
        <w:tc>
          <w:tcPr>
            <w:tcW w:type="dxa" w:w="1440"/>
            <w:shd w:fill="FFDCE0" w:val="clear"/>
          </w:tcPr>
          <w:p>
            <w:r>
              <w:rPr>
                <w:sz w:val="17"/>
              </w:rPr>
              <w:t>2,855</w:t>
            </w:r>
          </w:p>
        </w:tc>
        <w:tc>
          <w:tcPr>
            <w:tcW w:type="dxa" w:w="1440"/>
            <w:shd w:fill="FFDCE0" w:val="clear"/>
          </w:tcPr>
          <w:p>
            <w:r>
              <w:rPr>
                <w:b/>
                <w:sz w:val="17"/>
              </w:rPr>
              <w:t>3,115</w:t>
            </w:r>
          </w:p>
        </w:tc>
        <w:tc>
          <w:tcPr>
            <w:tcW w:type="dxa" w:w="1440"/>
            <w:shd w:fill="FFDCE0" w:val="clear"/>
          </w:tcPr>
          <w:p>
            <w:r>
              <w:rPr>
                <w:sz w:val="17"/>
              </w:rPr>
              <w:t>3,374</w:t>
            </w:r>
          </w:p>
        </w:tc>
        <w:tc>
          <w:tcPr>
            <w:tcW w:type="dxa" w:w="1440"/>
            <w:shd w:fill="FFDCE0" w:val="clear"/>
          </w:tcPr>
          <w:p>
            <w:r>
              <w:rPr>
                <w:b/>
                <w:color w:val="C00000"/>
                <w:sz w:val="17"/>
              </w:rPr>
              <w:t>-2.4%</w:t>
            </w:r>
          </w:p>
        </w:tc>
      </w:tr>
      <w:tr>
        <w:tc>
          <w:tcPr>
            <w:tcW w:type="dxa" w:w="1440"/>
            <w:shd w:fill="FFDCE0" w:val="clear"/>
          </w:tcPr>
          <w:p>
            <w:r>
              <w:rPr>
                <w:sz w:val="17"/>
              </w:rPr>
              <w:t>J+5  ⭐</w:t>
            </w:r>
          </w:p>
        </w:tc>
        <w:tc>
          <w:tcPr>
            <w:tcW w:type="dxa" w:w="1440"/>
            <w:shd w:fill="FFDCE0" w:val="clear"/>
          </w:tcPr>
          <w:p>
            <w:r>
              <w:rPr>
                <w:sz w:val="17"/>
              </w:rPr>
              <w:t>2026-10-16</w:t>
            </w:r>
          </w:p>
        </w:tc>
        <w:tc>
          <w:tcPr>
            <w:tcW w:type="dxa" w:w="1440"/>
            <w:shd w:fill="FFDCE0" w:val="clear"/>
          </w:tcPr>
          <w:p>
            <w:r>
              <w:rPr>
                <w:sz w:val="17"/>
              </w:rPr>
              <w:t>2,807</w:t>
            </w:r>
          </w:p>
        </w:tc>
        <w:tc>
          <w:tcPr>
            <w:tcW w:type="dxa" w:w="1440"/>
            <w:shd w:fill="FFDCE0" w:val="clear"/>
          </w:tcPr>
          <w:p>
            <w:r>
              <w:rPr>
                <w:b/>
                <w:sz w:val="17"/>
              </w:rPr>
              <w:t>3,095</w:t>
            </w:r>
          </w:p>
        </w:tc>
        <w:tc>
          <w:tcPr>
            <w:tcW w:type="dxa" w:w="1440"/>
            <w:shd w:fill="FFDCE0" w:val="clear"/>
          </w:tcPr>
          <w:p>
            <w:r>
              <w:rPr>
                <w:sz w:val="17"/>
              </w:rPr>
              <w:t>3,383</w:t>
            </w:r>
          </w:p>
        </w:tc>
        <w:tc>
          <w:tcPr>
            <w:tcW w:type="dxa" w:w="1440"/>
            <w:shd w:fill="FFDCE0" w:val="clear"/>
          </w:tcPr>
          <w:p>
            <w:r>
              <w:rPr>
                <w:b/>
                <w:color w:val="C00000"/>
                <w:sz w:val="17"/>
              </w:rPr>
              <w:t>-3.0%</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2,762</w:t>
            </w:r>
          </w:p>
        </w:tc>
        <w:tc>
          <w:tcPr>
            <w:tcW w:type="dxa" w:w="1440"/>
            <w:shd w:fill="FFDCE0" w:val="clear"/>
          </w:tcPr>
          <w:p>
            <w:r>
              <w:rPr>
                <w:b/>
                <w:sz w:val="17"/>
              </w:rPr>
              <w:t>3,075</w:t>
            </w:r>
          </w:p>
        </w:tc>
        <w:tc>
          <w:tcPr>
            <w:tcW w:type="dxa" w:w="1440"/>
            <w:shd w:fill="FFDCE0" w:val="clear"/>
          </w:tcPr>
          <w:p>
            <w:r>
              <w:rPr>
                <w:sz w:val="17"/>
              </w:rPr>
              <w:t>3,389</w:t>
            </w:r>
          </w:p>
        </w:tc>
        <w:tc>
          <w:tcPr>
            <w:tcW w:type="dxa" w:w="1440"/>
            <w:shd w:fill="FFDCE0" w:val="clear"/>
          </w:tcPr>
          <w:p>
            <w:r>
              <w:rPr>
                <w:b/>
                <w:color w:val="C00000"/>
                <w:sz w:val="17"/>
              </w:rPr>
              <w:t>-3.6%</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2,720</w:t>
            </w:r>
          </w:p>
        </w:tc>
        <w:tc>
          <w:tcPr>
            <w:tcW w:type="dxa" w:w="1440"/>
            <w:shd w:fill="FFDCE0" w:val="clear"/>
          </w:tcPr>
          <w:p>
            <w:r>
              <w:rPr>
                <w:b/>
                <w:sz w:val="17"/>
              </w:rPr>
              <w:t>3,057</w:t>
            </w:r>
          </w:p>
        </w:tc>
        <w:tc>
          <w:tcPr>
            <w:tcW w:type="dxa" w:w="1440"/>
            <w:shd w:fill="FFDCE0" w:val="clear"/>
          </w:tcPr>
          <w:p>
            <w:r>
              <w:rPr>
                <w:sz w:val="17"/>
              </w:rPr>
              <w:t>3,393</w:t>
            </w:r>
          </w:p>
        </w:tc>
        <w:tc>
          <w:tcPr>
            <w:tcW w:type="dxa" w:w="1440"/>
            <w:shd w:fill="FFDCE0" w:val="clear"/>
          </w:tcPr>
          <w:p>
            <w:r>
              <w:rPr>
                <w:b/>
                <w:color w:val="C00000"/>
                <w:sz w:val="17"/>
              </w:rPr>
              <w:t>-4.2%</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2,680</w:t>
            </w:r>
          </w:p>
        </w:tc>
        <w:tc>
          <w:tcPr>
            <w:tcW w:type="dxa" w:w="1440"/>
            <w:shd w:fill="FFDCE0" w:val="clear"/>
          </w:tcPr>
          <w:p>
            <w:r>
              <w:rPr>
                <w:b/>
                <w:sz w:val="17"/>
              </w:rPr>
              <w:t>3,038</w:t>
            </w:r>
          </w:p>
        </w:tc>
        <w:tc>
          <w:tcPr>
            <w:tcW w:type="dxa" w:w="1440"/>
            <w:shd w:fill="FFDCE0" w:val="clear"/>
          </w:tcPr>
          <w:p>
            <w:r>
              <w:rPr>
                <w:sz w:val="17"/>
              </w:rPr>
              <w:t>3,396</w:t>
            </w:r>
          </w:p>
        </w:tc>
        <w:tc>
          <w:tcPr>
            <w:tcW w:type="dxa" w:w="1440"/>
            <w:shd w:fill="FFDCE0" w:val="clear"/>
          </w:tcPr>
          <w:p>
            <w:r>
              <w:rPr>
                <w:b/>
                <w:color w:val="C00000"/>
                <w:sz w:val="17"/>
              </w:rPr>
              <w:t>-4.8%</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2,643</w:t>
            </w:r>
          </w:p>
        </w:tc>
        <w:tc>
          <w:tcPr>
            <w:tcW w:type="dxa" w:w="1440"/>
            <w:shd w:fill="FFDCE0" w:val="clear"/>
          </w:tcPr>
          <w:p>
            <w:r>
              <w:rPr>
                <w:b/>
                <w:sz w:val="17"/>
              </w:rPr>
              <w:t>3,021</w:t>
            </w:r>
          </w:p>
        </w:tc>
        <w:tc>
          <w:tcPr>
            <w:tcW w:type="dxa" w:w="1440"/>
            <w:shd w:fill="FFDCE0" w:val="clear"/>
          </w:tcPr>
          <w:p>
            <w:r>
              <w:rPr>
                <w:sz w:val="17"/>
              </w:rPr>
              <w:t>3,399</w:t>
            </w:r>
          </w:p>
        </w:tc>
        <w:tc>
          <w:tcPr>
            <w:tcW w:type="dxa" w:w="1440"/>
            <w:shd w:fill="FFDCE0" w:val="clear"/>
          </w:tcPr>
          <w:p>
            <w:r>
              <w:rPr>
                <w:b/>
                <w:color w:val="C00000"/>
                <w:sz w:val="17"/>
              </w:rPr>
              <w:t>-5.3%</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2,608</w:t>
            </w:r>
          </w:p>
        </w:tc>
        <w:tc>
          <w:tcPr>
            <w:tcW w:type="dxa" w:w="1440"/>
            <w:shd w:fill="FFDCE0" w:val="clear"/>
          </w:tcPr>
          <w:p>
            <w:r>
              <w:rPr>
                <w:b/>
                <w:sz w:val="17"/>
              </w:rPr>
              <w:t>3,004</w:t>
            </w:r>
          </w:p>
        </w:tc>
        <w:tc>
          <w:tcPr>
            <w:tcW w:type="dxa" w:w="1440"/>
            <w:shd w:fill="FFDCE0" w:val="clear"/>
          </w:tcPr>
          <w:p>
            <w:r>
              <w:rPr>
                <w:sz w:val="17"/>
              </w:rPr>
              <w:t>3,400</w:t>
            </w:r>
          </w:p>
        </w:tc>
        <w:tc>
          <w:tcPr>
            <w:tcW w:type="dxa" w:w="1440"/>
            <w:shd w:fill="FFDCE0" w:val="clear"/>
          </w:tcPr>
          <w:p>
            <w:r>
              <w:rPr>
                <w:b/>
                <w:color w:val="C00000"/>
                <w:sz w:val="17"/>
              </w:rPr>
              <w:t>-5.8%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SERVAIR ABIDJAN (ABJC)**</w:t>
        <w:br/>
        <w:t>*Bourse Régionale des Valeurs Mobilières (BRVM) — Secteur : Services aéroportuaires*</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34,81 milliards FCFA, ABJC se positionne comme une valeur de taille intermédiaire sur le compartiment des entreprises non-financières de la BRVM, loin des mastodontes comme Sonatel ou Orange CI, mais suffisamment liquide pour intéresser les investisseurs institutionnels régionaux. Le BPA de 124 FCFA/action signifie que chaque titre génère un bénéfice net de 124 FCFA, ce qui, rapporté au cours actuel de 3 190 FCFA, aboutit à un PER de 25,8x — nettement supérieur à la moyenne BRVM (8-12x), signalant que le marché intègre déjà une forte anticipation de croissance ou, à l'inverse, une surévaluation manifeste. Le ratio P/B de 6,75x confirme cette prime exigeante : les investisseurs paient plus de 6,7 fois la valeur comptable des fonds propres, un niveau qui n'est justifiable que par une rentabilité durablement élevée (ROE de 26,2% en 2025). Enfin, l'EV/EBITDA de 13,0x, dans la fourchette haute (10-15x), traduit une valorisation tendue de la capacité opérationnelle, laissant peu de marge d'erreur en cas de dégradation des marges.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ABJC affiche une progression totale de +12,13%, mais la dernière séance (J-1) enregistre un repli marqué de -3,04%, signalant une pression vendeuse récente. Le cours actuel de 3 190 FCFA se situe dans la moitié basse du range de trading, dont le plus haut a atteint 4 095 FCFA et le plus bas 2 800 FCFA, soit une amplitude de près de 46% — révélant une tendance globalement haussière mais ponctuée de corrections sévères. Les statistiques descriptives confirment cette asymétrie : la moyenne (3 351 FCFA) est supérieure à la médiane (3 278 FCFA), et le mode se situe à 3 150 FCFA, indiquant que le cours a passé plus de temps sous sa moyenne, avec des pics haussiers ponctuels. L'écart-type de 364 FCFA (CV = 10,9%) traduit une dispersion modérée, tandis que le kurtosis de -0,804 (mésokurtique) suggère une distribution proche de la normale, sans risque extrême de pics violents. Le skewness positif de 0,595 indique cependant une asymétrie à droite : les journées de baisse sont plus fréquentes mais moins amples que les journées de hausse. Avec une volatilité annualisée de 45,1%, le titre se classe dans la catégorie des valeurs à volatilité élevée (&gt;30%), ce qui implique un risque de marché significatif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La MM20 (3 720 FCFA) et la MM50 (3 552 FCFA) se situent toutes deux au-dessus du cours actuel (3 190 FCFA), ce qui place le titre en position baissière à court et moyen terme. La décision affichée « Achat » contredit cette configuration, suggérant plutôt un signal de rebond technique après une survente, mais la pression baissière reste dominante tant que le cours n'a pas réintégré la MM20.</w:t>
      </w:r>
    </w:p>
    <w:p>
      <w:pPr>
        <w:spacing w:after="120" w:line="276" w:lineRule="auto"/>
      </w:pPr>
      <w:r>
        <w:t>**Bandes de Bollinger** : Le cours (3 190 FCFA) évolue dans la partie basse de la bande, proche de la borne inférieure (3 075 FCFA), tandis que la borne supérieure se situe à 4 365 FCFA. Cette position indique une volatilité contenue mais une pression vendeuse persistante. La décision « Neutre » reflète l'absence de signal clair : le titre n'est ni en survente extrême ni en surachat, mais la proximité de la borne basse incite à la prudence.</w:t>
      </w:r>
    </w:p>
    <w:p>
      <w:pPr>
        <w:spacing w:after="120" w:line="276" w:lineRule="auto"/>
      </w:pPr>
      <w:r>
        <w:t>**MACD** : La valeur du MACD (-122,547) est nettement inférieure à son signal (-34,441), confirmant un momentum baissier installé. La divergence négative entre les deux lignes indique que la tendance baissière se renforce, et la décision « Vente » est cohérente avec cette configuration. Un croisement haussier du MACD au-dessus de son signal serait nécessaire pour envisager un retournement.</w:t>
      </w:r>
    </w:p>
    <w:p>
      <w:pPr>
        <w:spacing w:after="120" w:line="276" w:lineRule="auto"/>
      </w:pPr>
      <w:r>
        <w:t>**RSI** : Avec une valeur de 16,964, le RSI se situe en zone de survente extrême (&lt;30), ce qui constitue un signal d'achat technique classique. Cette lecture suggère que le titre a été excessivement vendu à court terme et qu'un rebond technique est probable. La décision « Achat » est donc justifiée par cette configuration de survente, mais elle doit être confirmée par d'autres indicateurs.</w:t>
      </w:r>
    </w:p>
    <w:p>
      <w:pPr>
        <w:spacing w:after="120" w:line="276" w:lineRule="auto"/>
      </w:pPr>
      <w:r>
        <w:t>**Stochastique** : Le %K (0,0) et le %D (2,916) sont tous deux en zone de survente extrême, avec un %K au plancher absolu. Cette configuration indique que le titre est au plus bas de sa fourchette récente et qu'un croisement haussier du %K au-dessus du %D pourrait déclencher un signal d'achat. La décision « Achat » est cohérente avec cette lecture, mais le signal reste fragile tant que le %K ne se redresse pas.</w:t>
      </w:r>
    </w:p>
    <w:p>
      <w:pPr>
        <w:spacing w:after="120" w:line="276" w:lineRule="auto"/>
      </w:pPr>
      <w:r>
        <w:t>**Conclusion technique** : Les indicateurs techniques présentent une divergence notable : les moyennes mobiles et le MACD sont baissiers, tandis que le RSI et le stochastique signalent une survente extrême propice à un rebond. Cette configuration contradictoire suggère une phase de consolidation volatile, avec un potentiel de rebond technique à court terme, mais une tendance de fond encore fragile. La prudence est de mise tant que le cours n'a pas réintégré la MM20 (3 720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Servair Abidjan a réalisé un chiffre d'affaires de 13,298 milliards FCFA, en croissance de 6,67% par rapport à 2024, porté par la dynamique du trafic aéroportuaire et la diversification vers les activités non-aériennes. Le résultat net s'établit à 1,351 milliard FCFA, en recul de 12,1% selon le rapport financier 2025, principalement en raison d'une charge d'impôt en forte hausse (+46,7% à 839,75 millions FCFA). La rentabilité reste solide avec un ROE de 26,18% (excellent, &gt;15%) et un ROA de 14,64%, tandis que la marge nette se maintient à 10,16%. La structure financière est saine : capitaux propres de 5,159 milliards FCFA, autonomie financière de 55,92%, endettement financier quasi nul (65,89 millions FCFA) et trésorerie nette de 4,035 milliards FCFA. Le BFR est négatif (257,45 millions FCFA), ce qui est favorable, mais le délai clients de 70,10 jours reste élevé et constitue un point de vigilance pour la trésorerie.</w:t>
      </w:r>
    </w:p>
    <w:p>
      <w:pPr>
        <w:spacing w:after="120" w:line="276" w:lineRule="auto"/>
      </w:pPr>
      <w:r>
        <w:t>**Adaptation au secteur (entreprise non-financière)** : Les délais fournisseurs (92,11 jours) sont supérieurs aux délais clients (70,10 jours), ce qui procure un avantage de trésorerie, mais la durée de stockage de 29,40 jours reste modérée. La rotation des actifs de 144,13% témoigne d'une bonne efficacité opérationnelle. Le ratio de liquidité générale (218,37%) et la couverture des intérêts (36 092%) confirment une situation financière très solide.</w:t>
      </w:r>
    </w:p>
    <w:p>
      <w:pPr>
        <w:spacing w:after="120" w:line="276" w:lineRule="auto"/>
      </w:pPr>
      <w:r>
        <w:t>**Estimations basées sur les rapports trimestriels** : Le rapport T1 2026 (publié le 30 avril 2026) révèle une croissance modérée du CA (+1,9% à 3,237 milliards FCFA) mais une dégradation marquée de la rentabilité, avec un résultat net en chute de 35,6% (222,625 millions FCFA contre 345,949 millions FCFA au T1 2025). Cette contre-performance est attribuée à l'impact des ajustements de redevances aéroportuaires (depuis avril 2025) et aux tensions géopolitiques au Moyen-Orient affectant certaines compagnies clientes. Sur la base de ce T1 2026, on estime que l'exercice 2026 devrait enregistrer une pression persistante sur les marges, avec un résultat net annuel potentiellement inférieur à celui de 2025 (autour de 1,0-1,1 milliard FCFA), sauf amélioration significative au T2 et T3.</w:t>
      </w:r>
    </w:p>
    <w:p>
      <w:pPr>
        <w:spacing w:after="120" w:line="276" w:lineRule="auto"/>
      </w:pPr>
      <w:r>
        <w:t>**Évolution pluriannuelle** : Entre 2024 et 2025, le CA a progressé de 6,67%, mais le résultat net a reculé de 12,1%, illustrant une compression des marges. Le rapport 2024 (états financiers certifiés) faisait état d'un résultat net de 1,515 milliard FCFA, contre 1,351 milliard en 2025. La trésorerie s'est toutefois renforcée (4,035 milliards FCFA en 2025 contre 3,428 milliards en 2024), et les capitaux propres ont augmenté de 31,8% à 5,512 milliards FCFA selon le rapport 2025.</w:t>
      </w:r>
    </w:p>
    <w:p>
      <w:pPr>
        <w:spacing w:after="120" w:line="276" w:lineRule="auto"/>
      </w:pPr>
      <w:r>
        <w:t>**Recommandation fondamentale** : La solidité financière d'ABJC est incontestable (ROE élevé, endettement quasi nul, trésorerie abondante), mais la dégradation récente de la rentabilité (T1 2026) et la pression fiscale croissante constituent des risques à surveiller. Le titre reste fondamentalement solide, mais sa valorisation exigeante (PER 25,8x) laisse peu de marge d'erreur. Recommandation : **CONSERVER** avec un biais prudent, en attendant la confirmation d'une stabilisation des marges au T2 2026.</w:t>
      </w:r>
    </w:p>
    <w:p>
      <w:pPr>
        <w:spacing w:after="120" w:line="276" w:lineRule="auto"/>
      </w:pPr>
      <w:r>
        <w:t>---</w:t>
      </w:r>
    </w:p>
    <w:p>
      <w:pPr>
        <w:spacing w:after="120" w:line="276" w:lineRule="auto"/>
      </w:pPr>
      <w:r>
        <w:t>## PARTIE 4 : CONCLUSION D'INVESTISSEMENT</w:t>
      </w:r>
    </w:p>
    <w:p>
      <w:pPr>
        <w:spacing w:after="120" w:line="276" w:lineRule="auto"/>
      </w:pPr>
      <w:r>
        <w:t>La valorisation d'ABJC apparaît tendue : le PER de 25,8x et le P/B de 6,75x intègrent déjà une forte anticipation de croissance, ce qui contraste avec la dégradation récente des résultats (T1 2026 : résultat net -35,6%). Le comportement du cours sur 100 jours (+12,13%) masque une volatilité élevée (45,1%) et une asymétrie positive (skewness 0,595), avec une tendance de fond fragilisée par la récente correction de -3,04% en J-1. Les signaux techniques sont divergents : le RSI (16,96) et le stochastique (%K=0,0) signalent une survente extrême propice à un rebond, mais le MACD (-122,5) et les moyennes mobiles (MM20=3 720, MM50=3 552) confirment une pression baissière persistante. Les fondamentaux restent solides (ROE 26,2%, trésorerie 4,035 milliards FCFA, endettement quasi nul), mais la rentabilité se dégrade et les perspectives 2026 sont incertaines. Les prédictions IA (J+1 à J+10) anticipent une poursuite de la baisse vers 3 095 FCFA, ce qui contredit les signaux de survente technique et suggère que le rebond n'est pas encore d'actualité. **Recommandation finale : CONSERVER** — la convergence entre valorisation exigeante, technique baissière et fondamentaux en dégradation ne justifie pas un achat immédiat, mais la solidité financière et le potentiel de rebond technique incitent à ne pas vendre. **Niveau de confiance : Moyen** (les signaux contradictoires limitent la visibilité). **Niveau de risque : Élevé** (volatilité 45,1%, valorisation tendue, dégradation des marges). **Horizon d'investissement optimal : Moyen terme (3-12 mois)**, en attendant la publication des résultats semestriels 2026 pour confirmer ou infirmer la tendance.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BBGC - BRIDGE BANK GROUP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BBGC</w:t>
            </w:r>
          </w:p>
          <w:p>
            <w:r>
              <w:rPr>
                <w:b/>
                <w:color w:val="323250"/>
                <w:sz w:val="16"/>
              </w:rPr>
              <w:t xml:space="preserve">Société : </w:t>
            </w:r>
            <w:r>
              <w:rPr>
                <w:color w:val="000000"/>
                <w:sz w:val="16"/>
              </w:rPr>
              <w:t>BRIDGE BANK GROUP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520.00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35,556 titres</w:t>
            </w:r>
          </w:p>
        </w:tc>
        <w:tc>
          <w:tcPr>
            <w:tcW w:type="dxa" w:w="2268"/>
            <w:shd w:fill="FFF2CC" w:val="clear"/>
          </w:tcPr>
          <w:p>
            <w:r>
              <w:rPr>
                <w:b/>
                <w:color w:val="503200"/>
                <w:sz w:val="16"/>
              </w:rPr>
              <w:t xml:space="preserve">Cours actuel : </w:t>
            </w:r>
            <w:r>
              <w:rPr>
                <w:color w:val="000000"/>
                <w:sz w:val="17"/>
              </w:rPr>
              <w:t>10,400 FCFA</w:t>
            </w:r>
          </w:p>
          <w:p>
            <w:r>
              <w:rPr>
                <w:b/>
                <w:color w:val="503200"/>
                <w:sz w:val="16"/>
              </w:rPr>
              <w:t xml:space="preserve">Var. 100 jours : </w:t>
            </w:r>
            <w:r>
              <w:rPr>
                <w:b/>
                <w:color w:val="007800"/>
                <w:sz w:val="17"/>
              </w:rPr>
              <w:t>+43.35%</w:t>
            </w:r>
          </w:p>
          <w:p>
            <w:r>
              <w:rPr>
                <w:b/>
                <w:color w:val="503200"/>
                <w:sz w:val="16"/>
              </w:rPr>
              <w:t xml:space="preserve">Plus haut 100j : </w:t>
            </w:r>
            <w:r>
              <w:rPr>
                <w:color w:val="000000"/>
                <w:sz w:val="17"/>
              </w:rPr>
              <w:t>10,400 FCFA</w:t>
            </w:r>
          </w:p>
          <w:p>
            <w:r>
              <w:rPr>
                <w:b/>
                <w:color w:val="503200"/>
                <w:sz w:val="16"/>
              </w:rPr>
              <w:t xml:space="preserve">Plus bas 100j : </w:t>
            </w:r>
            <w:r>
              <w:rPr>
                <w:color w:val="000000"/>
                <w:sz w:val="17"/>
              </w:rPr>
              <w:t>7,255 FCFA</w:t>
            </w:r>
          </w:p>
          <w:p>
            <w:r>
              <w:rPr>
                <w:b/>
                <w:color w:val="503200"/>
                <w:sz w:val="16"/>
              </w:rPr>
              <w:t xml:space="preserve">Volatilité ann. : </w:t>
            </w:r>
            <w:r>
              <w:rPr>
                <w:color w:val="000000"/>
                <w:sz w:val="17"/>
              </w:rPr>
              <w:t>52.4%</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19.2/100 → Faible</w:t>
      </w:r>
    </w:p>
    <w:p>
      <w:pPr>
        <w:spacing w:before="40" w:after="80"/>
      </w:pPr>
      <w:r>
        <w:rPr>
          <w:rFonts w:ascii="Courier New" w:hAnsi="Courier New"/>
          <w:color w:val="006400"/>
          <w:sz w:val="18"/>
        </w:rPr>
        <w:t>███░░░░░░░░░░░░░░░░░  19.2/100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10.35% (Moyenne) — μ=9,056 FCFA, σ=937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FFFF" w:val="clear"/>
          </w:tcPr>
          <w:p>
            <w:r>
              <w:rPr>
                <w:b/>
                <w:sz w:val="15"/>
              </w:rPr>
              <w:t>β≈1.03 (proxy, &lt;10 obs communes) — Données BRVM insuffisantes pour le bêta réel</w:t>
            </w:r>
          </w:p>
        </w:tc>
        <w:tc>
          <w:tcPr>
            <w:tcW w:type="dxa" w:w="1984"/>
            <w:shd w:fill="F7F7F7" w:val="clear"/>
          </w:tcPr>
          <w:p>
            <w:r>
              <w:rPr>
                <w:i/>
                <w:color w:val="505078"/>
                <w:sz w:val="14"/>
              </w:rPr>
              <w:t>β = Cov(r_titre, r_indice) / Var(r_indice)</w:t>
            </w:r>
          </w:p>
        </w:tc>
        <w:tc>
          <w:tcPr>
            <w:tcW w:type="dxa" w:w="1984"/>
            <w:shd w:fill="FFFFFF" w:val="clear"/>
          </w:tcPr>
          <w:p>
            <w:r>
              <w:rPr>
                <w:sz w:val="15"/>
              </w:rPr>
              <w:t>β≈1.03 (proxy, &lt;10 obs communes) — Données BRVM insuffisantes pour le bêta réel</w:t>
            </w:r>
          </w:p>
        </w:tc>
      </w:tr>
      <w:tr>
        <w:tc>
          <w:tcPr>
            <w:tcW w:type="dxa" w:w="2835"/>
            <w:shd w:fill="EEF2F7" w:val="clear"/>
          </w:tcPr>
          <w:p>
            <w:r>
              <w:rPr>
                <w:b/>
                <w:sz w:val="15"/>
              </w:rPr>
              <w:t>💧 Liquidité du titre (20%)</w:t>
            </w:r>
          </w:p>
        </w:tc>
        <w:tc>
          <w:tcPr>
            <w:tcW w:type="dxa" w:w="3118"/>
            <w:shd w:fill="C6EFCE" w:val="clear"/>
          </w:tcPr>
          <w:p>
            <w:r>
              <w:rPr>
                <w:b/>
                <w:sz w:val="15"/>
              </w:rPr>
              <w:t>35,556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Vente=0 / Total=0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σ_j=3.30%/j (Modérée) — Vol. annualisée≈52.4%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A07800"/>
          <w:sz w:val="18"/>
        </w:rPr>
        <w:t xml:space="preserve">🟡 MM  </w:t>
      </w:r>
      <w:r>
        <w:rPr>
          <w:color w:val="A07800"/>
          <w:sz w:val="18"/>
        </w:rPr>
        <w:t xml:space="preserve">🟡 Bollinger  </w:t>
      </w:r>
      <w:r>
        <w:rPr>
          <w:color w:val="A078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69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6976"/>
                    </a:xfrm>
                    <a:prstGeom prst="rect"/>
                  </pic:spPr>
                </pic:pic>
              </a:graphicData>
            </a:graphic>
          </wp:inline>
        </w:drawing>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204.985 Mds FCFA</w:t>
            </w:r>
          </w:p>
        </w:tc>
        <w:tc>
          <w:tcPr>
            <w:tcW w:type="dxa" w:w="5669"/>
            <w:shd w:fill="FFFFFF" w:val="clear"/>
          </w:tcPr>
          <w:p>
            <w:r>
              <w:rPr>
                <w:color w:val="282828"/>
                <w:sz w:val="15"/>
              </w:rPr>
              <w:t>Représente 14.4%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297.260 Mds FCFA</w:t>
            </w:r>
          </w:p>
        </w:tc>
        <w:tc>
          <w:tcPr>
            <w:tcW w:type="dxa" w:w="5669"/>
            <w:shd w:fill="FFFFFF" w:val="clear"/>
          </w:tcPr>
          <w:p>
            <w:r>
              <w:rPr>
                <w:color w:val="282828"/>
                <w:sz w:val="15"/>
              </w:rPr>
              <w:t>Titres d'État détenus (20.8%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72.277 Mds FCFA</w:t>
            </w:r>
          </w:p>
        </w:tc>
        <w:tc>
          <w:tcPr>
            <w:tcW w:type="dxa" w:w="5669"/>
            <w:shd w:fill="FFFFFF" w:val="clear"/>
          </w:tcPr>
          <w:p>
            <w:r>
              <w:rPr>
                <w:color w:val="282828"/>
                <w:sz w:val="15"/>
              </w:rPr>
              <w:t>Prêts aux autres banques (5.1%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768.574 Mds FCFA</w:t>
            </w:r>
          </w:p>
        </w:tc>
        <w:tc>
          <w:tcPr>
            <w:tcW w:type="dxa" w:w="5669"/>
            <w:shd w:fill="FFFFFF" w:val="clear"/>
          </w:tcPr>
          <w:p>
            <w:r>
              <w:rPr>
                <w:color w:val="282828"/>
                <w:sz w:val="15"/>
              </w:rPr>
              <w:t>Portefeuille crédits (53.8%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6.725 Mds FCFA</w:t>
            </w:r>
          </w:p>
        </w:tc>
        <w:tc>
          <w:tcPr>
            <w:tcW w:type="dxa" w:w="5669"/>
            <w:shd w:fill="FFFFFF" w:val="clear"/>
          </w:tcPr>
          <w:p>
            <w:r>
              <w:rPr>
                <w:color w:val="282828"/>
                <w:sz w:val="15"/>
              </w:rPr>
              <w:t>Brevets, logiciels, fonds commercial (0.5%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21.324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28.164 Mds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1427.417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18.074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105.139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129.547 Mds FCFA</w:t>
            </w:r>
          </w:p>
        </w:tc>
        <w:tc>
          <w:tcPr>
            <w:tcW w:type="dxa" w:w="5669"/>
            <w:shd w:fill="FFFFFF" w:val="clear"/>
          </w:tcPr>
          <w:p>
            <w:r>
              <w:rPr>
                <w:color w:val="282828"/>
                <w:sz w:val="15"/>
              </w:rPr>
              <w:t>Capitaux permanents / Actif immobilisé = 4.60x.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128.033 Mds FCFA</w:t>
            </w:r>
          </w:p>
        </w:tc>
        <w:tc>
          <w:tcPr>
            <w:tcW w:type="dxa" w:w="5669"/>
            <w:shd w:fill="FFFFFF" w:val="clear"/>
          </w:tcPr>
          <w:p>
            <w:r>
              <w:rPr>
                <w:color w:val="282828"/>
                <w:sz w:val="15"/>
              </w:rPr>
              <w:t>Refinancement interbancaire (9.0%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1138.119 Mds FCFA</w:t>
            </w:r>
          </w:p>
        </w:tc>
        <w:tc>
          <w:tcPr>
            <w:tcW w:type="dxa" w:w="5669"/>
            <w:shd w:fill="FFFFFF" w:val="clear"/>
          </w:tcPr>
          <w:p>
            <w:r>
              <w:rPr>
                <w:color w:val="282828"/>
                <w:sz w:val="15"/>
              </w:rPr>
              <w:t>Dépôts clients = 79.7%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24.408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152.441 Mds FCFA</w:t>
            </w:r>
          </w:p>
        </w:tc>
        <w:tc>
          <w:tcPr>
            <w:tcW w:type="dxa" w:w="5669"/>
            <w:shd w:fill="FFFFFF" w:val="clear"/>
          </w:tcPr>
          <w:p>
            <w:r>
              <w:rPr>
                <w:color w:val="282828"/>
                <w:sz w:val="15"/>
              </w:rPr>
              <w:t>Dette financière totale = 145%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1322.278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67.824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67.824 Mds FCFA</w:t>
            </w:r>
          </w:p>
        </w:tc>
        <w:tc>
          <w:tcPr>
            <w:tcW w:type="dxa" w:w="5669"/>
            <w:shd w:fill="FFFFFF" w:val="clear"/>
          </w:tcPr>
          <w:p>
            <w:r>
              <w:rPr>
                <w:color w:val="282828"/>
                <w:sz w:val="15"/>
              </w:rPr>
              <w:t>Revenu bancaire central (≡ CA). Croissance: 15.7%. ✅ PNB en progression — dynamisme commercial.</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14.357 Mds FCFA</w:t>
            </w:r>
          </w:p>
        </w:tc>
        <w:tc>
          <w:tcPr>
            <w:tcW w:type="dxa" w:w="5669"/>
            <w:shd w:fill="FFFFFF" w:val="clear"/>
          </w:tcPr>
          <w:p>
            <w:r>
              <w:rPr>
                <w:color w:val="282828"/>
                <w:sz w:val="15"/>
              </w:rPr>
              <w:t>Masse salariale = 21.2%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39.441 Mds FCFA</w:t>
            </w:r>
          </w:p>
        </w:tc>
        <w:tc>
          <w:tcPr>
            <w:tcW w:type="dxa" w:w="5669"/>
            <w:shd w:fill="FFFFFF" w:val="clear"/>
          </w:tcPr>
          <w:p>
            <w:r>
              <w:rPr>
                <w:color w:val="282828"/>
                <w:sz w:val="15"/>
              </w:rPr>
              <w:t>RBE = 58.2%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32.637 Mds FCFA</w:t>
            </w:r>
          </w:p>
        </w:tc>
        <w:tc>
          <w:tcPr>
            <w:tcW w:type="dxa" w:w="5669"/>
            <w:shd w:fill="FFFFFF" w:val="clear"/>
          </w:tcPr>
          <w:p>
            <w:r>
              <w:rPr>
                <w:color w:val="282828"/>
                <w:sz w:val="15"/>
              </w:rPr>
              <w:t>Profit d'exploitation = 48.1%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6.804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27.197 Mds FCFA</w:t>
            </w:r>
          </w:p>
        </w:tc>
        <w:tc>
          <w:tcPr>
            <w:tcW w:type="dxa" w:w="5669"/>
            <w:shd w:fill="FFFFFF" w:val="clear"/>
          </w:tcPr>
          <w:p>
            <w:r>
              <w:rPr>
                <w:color w:val="282828"/>
                <w:sz w:val="15"/>
              </w:rPr>
              <w:t>Marge nette = 40.1%.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40.10%</w:t>
            </w:r>
          </w:p>
        </w:tc>
        <w:tc>
          <w:tcPr>
            <w:tcW w:type="dxa" w:w="5669"/>
            <w:shd w:fill="FFFFFF" w:val="clear"/>
          </w:tcPr>
          <w:p>
            <w:r>
              <w:rPr>
                <w:color w:val="282828"/>
                <w:sz w:val="15"/>
              </w:rPr>
              <w:t>Résultat net / revenus = 40.10%.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48.12%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25.87%</w:t>
            </w:r>
          </w:p>
        </w:tc>
        <w:tc>
          <w:tcPr>
            <w:tcW w:type="dxa" w:w="5669"/>
            <w:shd w:fill="FFFFFF" w:val="clear"/>
          </w:tcPr>
          <w:p>
            <w:r>
              <w:rPr>
                <w:color w:val="282828"/>
                <w:sz w:val="15"/>
              </w:rPr>
              <w:t>Résultat net / capitaux propres = 25.87%.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1.91%</w:t>
            </w:r>
          </w:p>
        </w:tc>
        <w:tc>
          <w:tcPr>
            <w:tcW w:type="dxa" w:w="5669"/>
            <w:shd w:fill="FFFFFF" w:val="clear"/>
          </w:tcPr>
          <w:p>
            <w:r>
              <w:rPr>
                <w:color w:val="282828"/>
                <w:sz w:val="15"/>
              </w:rPr>
              <w:t>Résultat net / total actif = 1.91%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4.75%</w:t>
            </w:r>
          </w:p>
        </w:tc>
        <w:tc>
          <w:tcPr>
            <w:tcW w:type="dxa" w:w="5669"/>
            <w:shd w:fill="FFFFFF" w:val="clear"/>
          </w:tcPr>
          <w:p>
            <w:r>
              <w:rPr>
                <w:color w:val="282828"/>
                <w:sz w:val="15"/>
              </w:rPr>
              <w:t>CA / total actif = 4.75x.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41.85%</w:t>
            </w:r>
          </w:p>
        </w:tc>
        <w:tc>
          <w:tcPr>
            <w:tcW w:type="dxa" w:w="5669"/>
            <w:shd w:fill="FFFFFF" w:val="clear"/>
          </w:tcPr>
          <w:p>
            <w:r>
              <w:rPr>
                <w:color w:val="282828"/>
                <w:sz w:val="15"/>
              </w:rPr>
              <w:t>Charges / PNB = 41.85% (cost-to-income). ✅ Excellent — banque très efficiente.</w:t>
            </w:r>
          </w:p>
        </w:tc>
      </w:tr>
      <w:tr>
        <w:tc>
          <w:tcPr>
            <w:tcW w:type="dxa" w:w="2268"/>
            <w:shd w:fill="EEF2F7" w:val="clear"/>
          </w:tcPr>
          <w:p>
            <w:r>
              <w:rPr>
                <w:b/>
                <w:color w:val="1E1E3C"/>
                <w:sz w:val="16"/>
              </w:rPr>
              <w:t>Coût du risque</w:t>
            </w:r>
          </w:p>
        </w:tc>
        <w:tc>
          <w:tcPr>
            <w:tcW w:type="dxa" w:w="1984"/>
            <w:shd w:fill="C6EFCE" w:val="clear"/>
          </w:tcPr>
          <w:p>
            <w:r>
              <w:rPr>
                <w:b/>
                <w:color w:val="006400"/>
                <w:sz w:val="17"/>
              </w:rPr>
              <w:t>0.89%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15.71%</w:t>
            </w:r>
          </w:p>
        </w:tc>
        <w:tc>
          <w:tcPr>
            <w:tcW w:type="dxa" w:w="5669"/>
            <w:shd w:fill="FFFFFF" w:val="clear"/>
          </w:tcPr>
          <w:p>
            <w:r>
              <w:rPr>
                <w:color w:val="282828"/>
                <w:sz w:val="15"/>
              </w:rPr>
              <w:t>Croissance PNB vs exercice précédent = 15.71%.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7.37%</w:t>
            </w:r>
          </w:p>
        </w:tc>
        <w:tc>
          <w:tcPr>
            <w:tcW w:type="dxa" w:w="5669"/>
            <w:shd w:fill="FFFFFF" w:val="clear"/>
          </w:tcPr>
          <w:p>
            <w:r>
              <w:rPr>
                <w:color w:val="282828"/>
                <w:sz w:val="15"/>
              </w:rPr>
              <w:t>Fonds propres / total bilan = 7.37%.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92.63%</w:t>
            </w:r>
          </w:p>
        </w:tc>
        <w:tc>
          <w:tcPr>
            <w:tcW w:type="dxa" w:w="5669"/>
            <w:shd w:fill="FFFFFF" w:val="clear"/>
          </w:tcPr>
          <w:p>
            <w:r>
              <w:rPr>
                <w:color w:val="282828"/>
                <w:sz w:val="15"/>
              </w:rPr>
              <w:t>Dettes financières / total bilan = 92.63%.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1257.65%</w:t>
            </w:r>
          </w:p>
        </w:tc>
        <w:tc>
          <w:tcPr>
            <w:tcW w:type="dxa" w:w="5669"/>
            <w:shd w:fill="FFFFFF" w:val="clear"/>
          </w:tcPr>
          <w:p>
            <w:r>
              <w:rPr>
                <w:color w:val="282828"/>
                <w:sz w:val="15"/>
              </w:rPr>
              <w:t>Dettes totales / fonds propres = 1257.65%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107.95%</w:t>
            </w:r>
          </w:p>
        </w:tc>
        <w:tc>
          <w:tcPr>
            <w:tcW w:type="dxa" w:w="5669"/>
            <w:shd w:fill="FFFFFF" w:val="clear"/>
          </w:tcPr>
          <w:p>
            <w:r>
              <w:rPr>
                <w:color w:val="282828"/>
                <w:sz w:val="15"/>
              </w:rPr>
              <w:t>Total actif / dettes totales = 107.95x. ✅ Solvable.</w:t>
            </w:r>
          </w:p>
        </w:tc>
      </w:tr>
    </w:tbl>
    <w:p/>
    <w:p>
      <w:pPr>
        <w:spacing w:after="120" w:line="276" w:lineRule="auto"/>
      </w:pPr>
      <w:r>
        <w:t>**RAPPORT D'ANALYSE FINANCIÈRE — BBGC (BRIDGE BANK GROUP COTE D'IVOIRE)**</w:t>
        <w:br/>
        <w:t>*Marché : BRVM | Secteur : Banque | Date d'analyse :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520,00 Mds FCFA, BBGC s'impose comme l'une des plus importantes capitalisations bancaires de la BRVM, ce qui témoigne de la confiance du marché envers ce nouvel entrant. Le BPA de 544 FCFA/action signifie que chaque titre génère près de 544 FCFA de bénéfice net, un niveau de rentabilité par action solide pour le secteur bancaire ouest-africain. Le PER de 19,1x traduit une valorisation nettement supérieure à la moyenne du marché BRVM (généralement comprise entre 8 et 12x), indiquant que les investisseurs acceptent de payer une prime significative pour la croissance attendue de la banque. Le P/B de 4,95x confirme cette tendance : le marché valorise BBGC à près de cinq fois sa valeur comptable, une prime exigeante qui n'est justifiée que par des perspectives de rentabilité supérieures à la moyenne. Enfin, l'EV/EBITDA de 17,0x, bien au-delà du seuil de 15x, signale une valorisation tendue par rapport à la capacité opérationnelle, ce qui implique que toute déception sur les résultats futurs pourrait entraîner une correction sévère du cours.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BBGC a enregistré une progression spectaculaire de +43,35%, avec une dernière séance en hausse de +1,96%, portant le cours actuel à 10 400 FCFA, soit exactement son plus haut sur la période. Le plus bas a été atteint à 7 255 FCFA, ce qui signifie que le titre a évolué dans un range de trading de 3 145 FCFA (soit environ 43% d'amplitude), confirmant une tendance nettement haussière portée par l'engouement post-introduction en bourse. Les statistiques descriptives révèlent une moyenne de 9 056 FCFA contre une médiane de 9 000 FCFA, un écart faible qui suggère une distribution relativement équilibrée, bien que le mode à 9 000 FCFA indique que ce niveau a concentré le plus grand nombre de transactions. L'écart-type de 983 FCFA avec un coefficient de variation de 10,9% traduit une dispersion modérée du cours autour de sa moyenne, tandis que le kurtosis de -0,757 (mésokurtique) indique une distribution proche de la normale, sans risque excessif de pics extrêmes. Le skewness de -0,369, qualifié de symétrique, suggère une légère prédominance des mouvements baissiers, mais sans asymétrie marquée. La volatilité annualisée de 52,4% positionne clairement BBGC dans la catégorie des titres à volatilité élevée (&gt;30%), ce qui est caractéristique d'une valeur récemment introduite en bourse avec une forte spéculation.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Les données MM20 et MM50 sont indisponibles (nan), ce qui s'explique probablement par l'historique de cotation encore limité de BBGC sur la BRVM. Aucune décision technique ne peut donc être formulée sur cette base, et l'analyse doit s'appuyer sur les autres indicateurs disponibles.</w:t>
      </w:r>
    </w:p>
    <w:p>
      <w:pPr>
        <w:spacing w:after="120" w:line="276" w:lineRule="auto"/>
      </w:pPr>
      <w:r>
        <w:t>**Bandes de Bollinger** : Les bornes supérieure et inférieure sont également indisponibles (nan), tout comme la décision associée. Cette absence de données empêche d'évaluer la position relative du cours (10 400 FCFA) par rapport à ses bornes de volatilité, mais le cours actuel au plus haut suggère une pression acheteuse soutenue.</w:t>
      </w:r>
    </w:p>
    <w:p>
      <w:pPr>
        <w:spacing w:after="120" w:line="276" w:lineRule="auto"/>
      </w:pPr>
      <w:r>
        <w:t>**MACD** : La valeur du MACD et celle de son signal sont indisponibles (nan), rendant impossible l'analyse de la divergence et du momentum. En l'absence de ces données, aucune décision ne peut être justifiée sur cet indicateur.</w:t>
      </w:r>
    </w:p>
    <w:p>
      <w:pPr>
        <w:spacing w:after="120" w:line="276" w:lineRule="auto"/>
      </w:pPr>
      <w:r>
        <w:t>**RSI** : Le RSI est indisponible (nan), ce qui ne permet pas de déterminer si le titre est en zone de surachat (&gt;70) ou de survente (&lt;30). Toutefois, compte tenu de la hausse de +43,35% en 100 jours et du cours au plus haut, il est probable que le RSI se situe en zone élevée, ce qui appellerait à la prudence.</w:t>
      </w:r>
    </w:p>
    <w:p>
      <w:pPr>
        <w:spacing w:after="120" w:line="276" w:lineRule="auto"/>
      </w:pPr>
      <w:r>
        <w:t>**Stochastique** : Les valeurs %K et %D sont indisponibles (nan), empêchant toute analyse de croisement. Aucune décision ne peut être formulée.</w:t>
      </w:r>
    </w:p>
    <w:p>
      <w:pPr>
        <w:spacing w:after="120" w:line="276" w:lineRule="auto"/>
      </w:pPr>
      <w:r>
        <w:t>**Conclusion technique** : L'ensemble des indicateurs techniques étant indisponibles (nan), l'analyse technique ne peut produire de signaux fiables pour BBGC. Cette situation est cohérente avec une cotation récente sur la BRVM, où l'historique de prix est encore insuffisant pour calculer des moyennes mobiles ou des oscillateurs robustes. Dans ce contexte, l'analyse fondamentale et l'étude du comportement du cours (Partie 1) constituent les seuls piliers décisionnels valables, et la prudence est de mise face à un titre en phase de découverte de prix.</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BBGC a réalisé un Produit Net Bancaire (PNB) de 67,824 Mds FCFA, équivalent du chiffre d'affaires pour une banque, pour un résultat net de 27,197 Mds FCFA, soit une marge nette remarquable de 40,10%. La rentabilité des fonds propres (ROE) s'établit à 25,87%, largement au-dessus du seuil d'excellence de 15%, tandis que le ROA de 1,91% reflète une utilisation efficace de l'actif. Le coefficient d'exploitation de 41,85% est excellent pour le secteur bancaire (seuil d'efficacité : &lt;60%), et le coût du risque de 0,89% indique un portefeuille de crédits sain. La structure financière montre des dépôts clientèle de 1 138,119 Mds FCFA pour des créances clientèle de 768,574 Mds FCFA, soit un ratio de transformation (crédits/dépôts) de 67,5%, témoignant d'une base de ressources solide et d'une liquidité confortable. Le taux de croissance du PNB de 15,71% confirme une dynamique commerciale soutenue.</w:t>
      </w:r>
    </w:p>
    <w:p>
      <w:pPr>
        <w:spacing w:after="120" w:line="276" w:lineRule="auto"/>
      </w:pPr>
      <w:r>
        <w:t>**Estimations basées sur les rapports semestriels** : Le rapport S1 2026 (publié le 30 juin 2026, analysé par DeepSeek le 28 septembre 2026) révèle une accélération spectaculaire : le PNB atteint 37,7 Mds FCFA (+25% sur un an), le résultat net bondit à 15,2 Mds FCFA (+46%), et le coefficient d'exploitation s'améliore à 40,3% contre 43,3% un an plus tôt. Les crédits à la clientèle progressent de +28% à 823,9 Mds FCFA et les dépôts de +46% à 1 318,3 Mds FCFA, confirmant l'accélération de la collecte. Sur la base de ces performances semestrielles, on estime que l'exercice 2026 devrait enregistrer un PNB annuel d'environ 75-78 Mds FCFA et un résultat net de l'ordre de 30-32 Mds FCFA, soit une croissance annuelle de 15-18% par rapport à 2025. Le rapport Gemini-Vision (daté du 31 décembre 2026) confirme un résultat net S1 2026 de 15 199 millions FCFA (+46,4%), corroborant ces estimations. L'OPV sursouscrite à 6 750 FCFA/action (20% du capital, 67,5 Mds FCFA levés) constitue un signal de confiance fort du marché, et l'expansion régionale au Burkina Faso (avis favorable de la Commission Bancaire en mai 2026) ouvre des perspectives de croissance à moyen terme.</w:t>
      </w:r>
    </w:p>
    <w:p>
      <w:pPr>
        <w:spacing w:after="120" w:line="276" w:lineRule="auto"/>
      </w:pPr>
      <w:r>
        <w:t>**Recommandation fondamentale** : La solidité financière de BBGC est incontestable (ROE 25,87%, coefficient d'exploitation 41,85%, coût du risque 0,89%), et la croissance semestrielle 2026 (+25% PNB, +46% résultat net) dépasse largement les attentes. Toutefois, la valorisation boursière (PER 19,1x, P/B 4,95x, EV/EBITDA 17,0x) intègre déjà une large part de cette croissance, ce qui limite le potentiel d'appréciation à court terme. Les risques identifiés (hausse du coût du risque de +14%, risques d'exécution liés à l'expansion régionale) doivent être surveillés. La recommandation fondamentale est **ACHAT** pour un investisseur de long terme, avec une réserve sur le niveau de valorisation actuel.</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(indisponibles pour J+1 à J+10) conduit à une appréciation nuancée. Sur le plan de la **valorisation (Partie 0)**, les ratios PER (19,1x), P/B (4,95x) et EV/EBITDA (17,0x) indiquent une surévaluation relative par rapport aux moyennes du marché BRVM, ce qui suggère que le titre intègre déjà une prime de croissance significative. Le **comportement du cours (Partie 1)** est nettement haussier (+43,35% en 100 jours), avec une volatilité élevée (52,4%) et une distribution proche de la normale (kurtosis -0,757, skewness -0,369), ce qui est favorable mais implique un risque de correction. Les **signaux techniques (Partie 2)** sont indisponibles (nan), ce qui empêche toute convergence ou divergence d'indicateurs et impose une prudence accrue. Les **fondamentaux (Partie 3)** sont excellents : ROE de 25,87% en 2025, croissance du PNB de +25% et du résultat net de +46% au S1 2026, coefficient d'exploitation de 40,3%, et expansion régionale prometteuse. Les **prédictions IA** étant absentes, elles ne peuvent ni confirmer ni contredire les autres signaux. Sur la base de cette synthèse, la recommandation finale est **ACHAT** (et non ACHAT FORT en raison de la valorisation tendue et de l'absence de signaux techniques), avec un **niveau de confiance Moyen** (les fondamentaux sont solides mais la valorisation et l'absence de données techniques limitent la visibilité) et un **niveau de risque Élevé** (volatilité de 52,4%, titre récemment introduit, valorisation exigeante). L'horizon d'investissement optimal est le **moyen à long terme (3-12 mois et au-delà)**, afin de laisser le temps à la banque de confirmer ses performances semestrielles et de justifier sa prime de valorisation par une croissance durable.</w:t>
      </w:r>
    </w:p>
    <w:p/>
    <w:p/>
    <w:p>
      <w:pPr>
        <w:pStyle w:val="Heading3"/>
      </w:pPr>
      <w:r>
        <w:rPr>
          <w:color w:val="005A32"/>
        </w:rPr>
        <w:t>📋 RAPPORTS &amp; COMMUNIQUÉS OFFICIELS</w:t>
      </w:r>
    </w:p>
    <w:p>
      <w:r>
        <w:rPr>
          <w:i/>
          <w:color w:val="646464"/>
          <w:sz w:val="18"/>
        </w:rPr>
        <w:t>1 rapport(s)/communiqué(s) disponible(s) (affichage des 1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"Forte croissance du PNB et du r\u00e9sultat net, am\u00e9lioration de l'efficacit\u00e9 op\u00e9rationnelle et succ\u00e8s de l'IPO soutiennent la valeur. La dynamique commerciale et l'expansion r\u00e9gionale devraient se poursuivre."}</w:t>
      </w:r>
    </w:p>
    <w:p>
      <w:pPr>
        <w:spacing w:before="40"/>
        <w:ind w:left="400"/>
      </w:pPr>
      <w:r>
        <w:rPr>
          <w:sz w:val="18"/>
        </w:rPr>
        <w:t>BBGCI a réalisé un premier semestre 2026 solide avec une forte croissance de ses crédits (+28% à 823,9 Mds FCFA) et de ses dépôts (+46% à 1 318,3 Mds FCFA). Le Produit Net Bancaire progresse de 25% à 37,7 Mds FCFA, tandis que le résultat net bondit de 46% à 15,2 Mds FCFA. L'efficacité opérationnelle s'améliore avec un coefficient d'exploitation de 40,3% contre 43,3% un an plus tôt. La banque a obtenu l'avis favorable de la Commission Bancaire pour une succursale au Burkina Faso et a réussi son introduction en bourse avec une sursouscription. Les fondamentaux renforcés et la stratégie 2026-2030 soutiennent des perspectives favorables pour le second semestre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{'variation_pnb': '+25%', 'cout_du_risque': '-4,3 milliards FCFA', 'frais_generaux': '-15,2 milliards FCFA', 'depots_clientele': '1 318,3 milliards FCFA', 'variation_depots': '+46%', 'credits_clientele': '823,9 milliards FCFA', 'variation_credits': '+28%', 'produit_net_bancaire': '37,7 milliards FCFA', 'resultat_avant_impot': '18,2 milliards FCFA', 'variation_resultat_net': '+46%', 'coefficient_exploitation': '40,3%', 'resultat_brut_exploitation': '22,5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Crédits à la clientèle en hausse de 28% à 823,9 milliards FCFA.</w:t>
      </w:r>
    </w:p>
    <w:p>
      <w:pPr>
        <w:pStyle w:val="ListBullet"/>
        <w:spacing w:before="20" w:after="20"/>
        <w:ind w:left="700"/>
      </w:pPr>
      <w:r>
        <w:rPr>
          <w:sz w:val="18"/>
        </w:rPr>
        <w:t>Dépôts clientèle en progression de 46% à 1 318,3 milliards FCFA.</w:t>
      </w:r>
    </w:p>
    <w:p>
      <w:pPr>
        <w:pStyle w:val="ListBullet"/>
        <w:spacing w:before="20" w:after="20"/>
        <w:ind w:left="700"/>
      </w:pPr>
      <w:r>
        <w:rPr>
          <w:sz w:val="18"/>
        </w:rPr>
        <w:t>Produit Net Bancaire en croissance de 25% à 37,7 milliards FCFA.</w:t>
      </w:r>
    </w:p>
    <w:p>
      <w:pPr>
        <w:pStyle w:val="ListBullet"/>
        <w:spacing w:before="20" w:after="20"/>
        <w:ind w:left="700"/>
      </w:pPr>
      <w:r>
        <w:rPr>
          <w:sz w:val="18"/>
        </w:rPr>
        <w:t>Résultat net en augmentation de 46% à 15,2 milliards FCFA.</w:t>
      </w:r>
    </w:p>
    <w:p>
      <w:pPr>
        <w:pStyle w:val="ListBullet"/>
        <w:spacing w:before="20" w:after="20"/>
        <w:ind w:left="700"/>
      </w:pPr>
      <w:r>
        <w:rPr>
          <w:sz w:val="18"/>
        </w:rPr>
        <w:t>Coefficient d'exploitation amélioré à 40,3% contre 43,3% un an auparavant.</w:t>
      </w:r>
    </w:p>
    <w:p>
      <w:pPr>
        <w:pStyle w:val="ListBullet"/>
        <w:spacing w:before="20" w:after="20"/>
        <w:ind w:left="700"/>
      </w:pPr>
      <w:r>
        <w:rPr>
          <w:sz w:val="18"/>
        </w:rPr>
        <w:t>Coût du risque contenu à 4,3 milliards FCFA (+14%) pour des crédits en hausse de 28%.</w:t>
      </w:r>
    </w:p>
    <w:p>
      <w:pPr>
        <w:spacing w:before="40"/>
        <w:ind w:left="400"/>
      </w:pPr>
      <w:r>
        <w:rPr>
          <w:b/>
          <w:color w:val="C05000"/>
          <w:sz w:val="18"/>
        </w:rPr>
        <w:t xml:space="preserve">⚠️ Risques : </w:t>
      </w:r>
      <w:r>
        <w:rPr>
          <w:sz w:val="18"/>
        </w:rPr>
        <w:t>["Hausse du co\u00fbt du risque (+14%) dans un contexte de forte croissance des cr\u00e9dits (+28%).", "Risques d'ex\u00e9cution li\u00e9s \u00e0 l'expansion r\u00e9gionale (Burkina Faso) et au d\u00e9ploiement de la strat\u00e9gie 2026-2030.", "Sensibilit\u00e9 \u00e0 l'environnement \u00e9conomiqu</w:t>
      </w:r>
    </w:p>
    <w:p>
      <w:pPr>
        <w:spacing w:before="40"/>
        <w:ind w:left="400"/>
      </w:pPr>
      <w:r>
        <w:rPr>
          <w:b/>
          <w:color w:val="0064A0"/>
          <w:sz w:val="18"/>
        </w:rPr>
        <w:t xml:space="preserve">🔮 Perspectives : </w:t>
      </w:r>
      <w:r>
        <w:rPr>
          <w:sz w:val="18"/>
        </w:rPr>
        <w:t>BBGCI prévoit de consolider sa dynamique de croissance au second semestre 2026, en poursuivant sa stratégie 2026-2030, la transformation digitale et l'expansion régionale. La banque reste attentive aux évolutions de l'environnement et renforce ses dispositifs de gouvernance et de maîtrise des risque</w:t>
      </w:r>
    </w:p>
    <w:p/>
    <w:p>
      <w:r>
        <w:t>════════════════════════════════════════════════════════════════════════════════</w:t>
      </w:r>
    </w:p>
    <w:p>
      <w:r>
        <w:br w:type="page"/>
      </w:r>
    </w:p>
    <w:p>
      <w:pPr>
        <w:pStyle w:val="Heading2"/>
        <w:spacing w:before="360"/>
      </w:pPr>
      <w:r>
        <w:rPr>
          <w:color w:val="0066CC"/>
        </w:rPr>
        <w:t>3.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487.49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13,861 titres</w:t>
            </w:r>
          </w:p>
        </w:tc>
        <w:tc>
          <w:tcPr>
            <w:tcW w:type="dxa" w:w="2268"/>
            <w:shd w:fill="FFF2CC" w:val="clear"/>
          </w:tcPr>
          <w:p>
            <w:r>
              <w:rPr>
                <w:b/>
                <w:color w:val="503200"/>
                <w:sz w:val="16"/>
              </w:rPr>
              <w:t xml:space="preserve">Cours actuel : </w:t>
            </w:r>
            <w:r>
              <w:rPr>
                <w:color w:val="000000"/>
                <w:sz w:val="17"/>
              </w:rPr>
              <w:t>8,440 FCFA</w:t>
            </w:r>
          </w:p>
          <w:p>
            <w:r>
              <w:rPr>
                <w:b/>
                <w:color w:val="503200"/>
                <w:sz w:val="16"/>
              </w:rPr>
              <w:t xml:space="preserve">Var. 100 jours : </w:t>
            </w:r>
            <w:r>
              <w:rPr>
                <w:b/>
                <w:color w:val="007800"/>
                <w:sz w:val="17"/>
              </w:rPr>
              <w:t>+65.33%</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5,105 FCFA</w:t>
            </w:r>
          </w:p>
          <w:p>
            <w:r>
              <w:rPr>
                <w:b/>
                <w:color w:val="503200"/>
                <w:sz w:val="16"/>
              </w:rPr>
              <w:t xml:space="preserve">Volatilité ann. : </w:t>
            </w:r>
            <w:r>
              <w:rPr>
                <w:color w:val="000000"/>
                <w:sz w:val="17"/>
              </w:rPr>
              <w:t>42.6%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22.72% (Élevée) — μ=7,415 FCFA, σ=1,685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β=0.8386 (Neutre (suit le marché)) — Cov=0.000061, Var(idx)=0.000073, ρ=0.266,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C6EFCE" w:val="clear"/>
          </w:tcPr>
          <w:p>
            <w:r>
              <w:rPr>
                <w:b/>
                <w:sz w:val="15"/>
              </w:rPr>
              <w:t>13,861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σ_j=2.68%/j (Stable) — Vol. annualisée≈42.6%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697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2026-10-12</w:t>
            </w:r>
          </w:p>
        </w:tc>
        <w:tc>
          <w:tcPr>
            <w:tcW w:type="dxa" w:w="1440"/>
            <w:shd w:fill="C6EFCE" w:val="clear"/>
          </w:tcPr>
          <w:p>
            <w:r>
              <w:rPr>
                <w:sz w:val="17"/>
              </w:rPr>
              <w:t>8,375</w:t>
            </w:r>
          </w:p>
        </w:tc>
        <w:tc>
          <w:tcPr>
            <w:tcW w:type="dxa" w:w="1440"/>
            <w:shd w:fill="C6EFCE" w:val="clear"/>
          </w:tcPr>
          <w:p>
            <w:r>
              <w:rPr>
                <w:b/>
                <w:sz w:val="17"/>
              </w:rPr>
              <w:t>8,907</w:t>
            </w:r>
          </w:p>
        </w:tc>
        <w:tc>
          <w:tcPr>
            <w:tcW w:type="dxa" w:w="1440"/>
            <w:shd w:fill="C6EFCE" w:val="clear"/>
          </w:tcPr>
          <w:p>
            <w:r>
              <w:rPr>
                <w:sz w:val="17"/>
              </w:rPr>
              <w:t>9,440</w:t>
            </w:r>
          </w:p>
        </w:tc>
        <w:tc>
          <w:tcPr>
            <w:tcW w:type="dxa" w:w="1440"/>
            <w:shd w:fill="C6EFCE" w:val="clear"/>
          </w:tcPr>
          <w:p>
            <w:r>
              <w:rPr>
                <w:b/>
                <w:color w:val="008000"/>
                <w:sz w:val="17"/>
              </w:rPr>
              <w:t>+5.5%</w:t>
            </w:r>
          </w:p>
        </w:tc>
      </w:tr>
      <w:tr>
        <w:tc>
          <w:tcPr>
            <w:tcW w:type="dxa" w:w="1440"/>
            <w:shd w:fill="C6EFCE" w:val="clear"/>
          </w:tcPr>
          <w:p>
            <w:r>
              <w:rPr>
                <w:sz w:val="17"/>
              </w:rPr>
              <w:t>J+2  ⭐</w:t>
            </w:r>
          </w:p>
        </w:tc>
        <w:tc>
          <w:tcPr>
            <w:tcW w:type="dxa" w:w="1440"/>
            <w:shd w:fill="C6EFCE" w:val="clear"/>
          </w:tcPr>
          <w:p>
            <w:r>
              <w:rPr>
                <w:sz w:val="17"/>
              </w:rPr>
              <w:t>2026-10-13</w:t>
            </w:r>
          </w:p>
        </w:tc>
        <w:tc>
          <w:tcPr>
            <w:tcW w:type="dxa" w:w="1440"/>
            <w:shd w:fill="C6EFCE" w:val="clear"/>
          </w:tcPr>
          <w:p>
            <w:r>
              <w:rPr>
                <w:sz w:val="17"/>
              </w:rPr>
              <w:t>8,195</w:t>
            </w:r>
          </w:p>
        </w:tc>
        <w:tc>
          <w:tcPr>
            <w:tcW w:type="dxa" w:w="1440"/>
            <w:shd w:fill="C6EFCE" w:val="clear"/>
          </w:tcPr>
          <w:p>
            <w:r>
              <w:rPr>
                <w:b/>
                <w:sz w:val="17"/>
              </w:rPr>
              <w:t>8,952</w:t>
            </w:r>
          </w:p>
        </w:tc>
        <w:tc>
          <w:tcPr>
            <w:tcW w:type="dxa" w:w="1440"/>
            <w:shd w:fill="C6EFCE" w:val="clear"/>
          </w:tcPr>
          <w:p>
            <w:r>
              <w:rPr>
                <w:sz w:val="17"/>
              </w:rPr>
              <w:t>9,709</w:t>
            </w:r>
          </w:p>
        </w:tc>
        <w:tc>
          <w:tcPr>
            <w:tcW w:type="dxa" w:w="1440"/>
            <w:shd w:fill="C6EFCE" w:val="clear"/>
          </w:tcPr>
          <w:p>
            <w:r>
              <w:rPr>
                <w:b/>
                <w:color w:val="008000"/>
                <w:sz w:val="17"/>
              </w:rPr>
              <w:t>+6.1%</w:t>
            </w:r>
          </w:p>
        </w:tc>
      </w:tr>
      <w:tr>
        <w:tc>
          <w:tcPr>
            <w:tcW w:type="dxa" w:w="1440"/>
            <w:shd w:fill="C6EFCE" w:val="clear"/>
          </w:tcPr>
          <w:p>
            <w:r>
              <w:rPr>
                <w:sz w:val="17"/>
              </w:rPr>
              <w:t>J+3  ⭐</w:t>
            </w:r>
          </w:p>
        </w:tc>
        <w:tc>
          <w:tcPr>
            <w:tcW w:type="dxa" w:w="1440"/>
            <w:shd w:fill="C6EFCE" w:val="clear"/>
          </w:tcPr>
          <w:p>
            <w:r>
              <w:rPr>
                <w:sz w:val="17"/>
              </w:rPr>
              <w:t>2026-10-14</w:t>
            </w:r>
          </w:p>
        </w:tc>
        <w:tc>
          <w:tcPr>
            <w:tcW w:type="dxa" w:w="1440"/>
            <w:shd w:fill="C6EFCE" w:val="clear"/>
          </w:tcPr>
          <w:p>
            <w:r>
              <w:rPr>
                <w:sz w:val="17"/>
              </w:rPr>
              <w:t>8,081</w:t>
            </w:r>
          </w:p>
        </w:tc>
        <w:tc>
          <w:tcPr>
            <w:tcW w:type="dxa" w:w="1440"/>
            <w:shd w:fill="C6EFCE" w:val="clear"/>
          </w:tcPr>
          <w:p>
            <w:r>
              <w:rPr>
                <w:b/>
                <w:sz w:val="17"/>
              </w:rPr>
              <w:t>9,014</w:t>
            </w:r>
          </w:p>
        </w:tc>
        <w:tc>
          <w:tcPr>
            <w:tcW w:type="dxa" w:w="1440"/>
            <w:shd w:fill="C6EFCE" w:val="clear"/>
          </w:tcPr>
          <w:p>
            <w:r>
              <w:rPr>
                <w:sz w:val="17"/>
              </w:rPr>
              <w:t>9,948</w:t>
            </w:r>
          </w:p>
        </w:tc>
        <w:tc>
          <w:tcPr>
            <w:tcW w:type="dxa" w:w="1440"/>
            <w:shd w:fill="C6EFCE" w:val="clear"/>
          </w:tcPr>
          <w:p>
            <w:r>
              <w:rPr>
                <w:b/>
                <w:color w:val="008000"/>
                <w:sz w:val="17"/>
              </w:rPr>
              <w:t>+6.8%</w:t>
            </w:r>
          </w:p>
        </w:tc>
      </w:tr>
      <w:tr>
        <w:tc>
          <w:tcPr>
            <w:tcW w:type="dxa" w:w="1440"/>
            <w:shd w:fill="C6EFCE" w:val="clear"/>
          </w:tcPr>
          <w:p>
            <w:r>
              <w:rPr>
                <w:sz w:val="17"/>
              </w:rPr>
              <w:t>J+4  ⭐</w:t>
            </w:r>
          </w:p>
        </w:tc>
        <w:tc>
          <w:tcPr>
            <w:tcW w:type="dxa" w:w="1440"/>
            <w:shd w:fill="C6EFCE" w:val="clear"/>
          </w:tcPr>
          <w:p>
            <w:r>
              <w:rPr>
                <w:sz w:val="17"/>
              </w:rPr>
              <w:t>2026-10-15</w:t>
            </w:r>
          </w:p>
        </w:tc>
        <w:tc>
          <w:tcPr>
            <w:tcW w:type="dxa" w:w="1440"/>
            <w:shd w:fill="C6EFCE" w:val="clear"/>
          </w:tcPr>
          <w:p>
            <w:r>
              <w:rPr>
                <w:sz w:val="17"/>
              </w:rPr>
              <w:t>7,991</w:t>
            </w:r>
          </w:p>
        </w:tc>
        <w:tc>
          <w:tcPr>
            <w:tcW w:type="dxa" w:w="1440"/>
            <w:shd w:fill="C6EFCE" w:val="clear"/>
          </w:tcPr>
          <w:p>
            <w:r>
              <w:rPr>
                <w:b/>
                <w:sz w:val="17"/>
              </w:rPr>
              <w:t>9,077</w:t>
            </w:r>
          </w:p>
        </w:tc>
        <w:tc>
          <w:tcPr>
            <w:tcW w:type="dxa" w:w="1440"/>
            <w:shd w:fill="C6EFCE" w:val="clear"/>
          </w:tcPr>
          <w:p>
            <w:r>
              <w:rPr>
                <w:sz w:val="17"/>
              </w:rPr>
              <w:t>10,162</w:t>
            </w:r>
          </w:p>
        </w:tc>
        <w:tc>
          <w:tcPr>
            <w:tcW w:type="dxa" w:w="1440"/>
            <w:shd w:fill="C6EFCE" w:val="clear"/>
          </w:tcPr>
          <w:p>
            <w:r>
              <w:rPr>
                <w:b/>
                <w:color w:val="008000"/>
                <w:sz w:val="17"/>
              </w:rPr>
              <w:t>+7.5%</w:t>
            </w:r>
          </w:p>
        </w:tc>
      </w:tr>
      <w:tr>
        <w:tc>
          <w:tcPr>
            <w:tcW w:type="dxa" w:w="1440"/>
            <w:shd w:fill="C6EFCE" w:val="clear"/>
          </w:tcPr>
          <w:p>
            <w:r>
              <w:rPr>
                <w:sz w:val="17"/>
              </w:rPr>
              <w:t>J+5  ⭐</w:t>
            </w:r>
          </w:p>
        </w:tc>
        <w:tc>
          <w:tcPr>
            <w:tcW w:type="dxa" w:w="1440"/>
            <w:shd w:fill="C6EFCE" w:val="clear"/>
          </w:tcPr>
          <w:p>
            <w:r>
              <w:rPr>
                <w:sz w:val="17"/>
              </w:rPr>
              <w:t>2026-10-16</w:t>
            </w:r>
          </w:p>
        </w:tc>
        <w:tc>
          <w:tcPr>
            <w:tcW w:type="dxa" w:w="1440"/>
            <w:shd w:fill="C6EFCE" w:val="clear"/>
          </w:tcPr>
          <w:p>
            <w:r>
              <w:rPr>
                <w:sz w:val="17"/>
              </w:rPr>
              <w:t>7,913</w:t>
            </w:r>
          </w:p>
        </w:tc>
        <w:tc>
          <w:tcPr>
            <w:tcW w:type="dxa" w:w="1440"/>
            <w:shd w:fill="C6EFCE" w:val="clear"/>
          </w:tcPr>
          <w:p>
            <w:r>
              <w:rPr>
                <w:b/>
                <w:sz w:val="17"/>
              </w:rPr>
              <w:t>9,134</w:t>
            </w:r>
          </w:p>
        </w:tc>
        <w:tc>
          <w:tcPr>
            <w:tcW w:type="dxa" w:w="1440"/>
            <w:shd w:fill="C6EFCE" w:val="clear"/>
          </w:tcPr>
          <w:p>
            <w:r>
              <w:rPr>
                <w:sz w:val="17"/>
              </w:rPr>
              <w:t>10,355</w:t>
            </w:r>
          </w:p>
        </w:tc>
        <w:tc>
          <w:tcPr>
            <w:tcW w:type="dxa" w:w="1440"/>
            <w:shd w:fill="C6EFCE" w:val="clear"/>
          </w:tcPr>
          <w:p>
            <w:r>
              <w:rPr>
                <w:b/>
                <w:color w:val="008000"/>
                <w:sz w:val="17"/>
              </w:rPr>
              <w:t>+8.2%</w:t>
            </w:r>
          </w:p>
        </w:tc>
      </w:tr>
      <w:tr>
        <w:tc>
          <w:tcPr>
            <w:tcW w:type="dxa" w:w="1440"/>
            <w:shd w:fill="C6EFCE" w:val="clear"/>
          </w:tcPr>
          <w:p>
            <w:r>
              <w:rPr>
                <w:sz w:val="17"/>
              </w:rPr>
              <w:t>J+6  ⭐</w:t>
            </w:r>
          </w:p>
        </w:tc>
        <w:tc>
          <w:tcPr>
            <w:tcW w:type="dxa" w:w="1440"/>
            <w:shd w:fill="C6EFCE" w:val="clear"/>
          </w:tcPr>
          <w:p>
            <w:r>
              <w:rPr>
                <w:sz w:val="17"/>
              </w:rPr>
              <w:t>2026-10-19</w:t>
            </w:r>
          </w:p>
        </w:tc>
        <w:tc>
          <w:tcPr>
            <w:tcW w:type="dxa" w:w="1440"/>
            <w:shd w:fill="C6EFCE" w:val="clear"/>
          </w:tcPr>
          <w:p>
            <w:r>
              <w:rPr>
                <w:sz w:val="17"/>
              </w:rPr>
              <w:t>7,839</w:t>
            </w:r>
          </w:p>
        </w:tc>
        <w:tc>
          <w:tcPr>
            <w:tcW w:type="dxa" w:w="1440"/>
            <w:shd w:fill="C6EFCE" w:val="clear"/>
          </w:tcPr>
          <w:p>
            <w:r>
              <w:rPr>
                <w:b/>
                <w:sz w:val="17"/>
              </w:rPr>
              <w:t>9,184</w:t>
            </w:r>
          </w:p>
        </w:tc>
        <w:tc>
          <w:tcPr>
            <w:tcW w:type="dxa" w:w="1440"/>
            <w:shd w:fill="C6EFCE" w:val="clear"/>
          </w:tcPr>
          <w:p>
            <w:r>
              <w:rPr>
                <w:sz w:val="17"/>
              </w:rPr>
              <w:t>10,530</w:t>
            </w:r>
          </w:p>
        </w:tc>
        <w:tc>
          <w:tcPr>
            <w:tcW w:type="dxa" w:w="1440"/>
            <w:shd w:fill="C6EFCE" w:val="clear"/>
          </w:tcPr>
          <w:p>
            <w:r>
              <w:rPr>
                <w:b/>
                <w:color w:val="008000"/>
                <w:sz w:val="17"/>
              </w:rPr>
              <w:t>+8.8%</w:t>
            </w:r>
          </w:p>
        </w:tc>
      </w:tr>
      <w:tr>
        <w:tc>
          <w:tcPr>
            <w:tcW w:type="dxa" w:w="1440"/>
            <w:shd w:fill="C6EFCE" w:val="clear"/>
          </w:tcPr>
          <w:p>
            <w:r>
              <w:rPr>
                <w:sz w:val="17"/>
              </w:rPr>
              <w:t>J+7  ⭐</w:t>
            </w:r>
          </w:p>
        </w:tc>
        <w:tc>
          <w:tcPr>
            <w:tcW w:type="dxa" w:w="1440"/>
            <w:shd w:fill="C6EFCE" w:val="clear"/>
          </w:tcPr>
          <w:p>
            <w:r>
              <w:rPr>
                <w:sz w:val="17"/>
              </w:rPr>
              <w:t>2026-10-20</w:t>
            </w:r>
          </w:p>
        </w:tc>
        <w:tc>
          <w:tcPr>
            <w:tcW w:type="dxa" w:w="1440"/>
            <w:shd w:fill="C6EFCE" w:val="clear"/>
          </w:tcPr>
          <w:p>
            <w:r>
              <w:rPr>
                <w:sz w:val="17"/>
              </w:rPr>
              <w:t>7,768</w:t>
            </w:r>
          </w:p>
        </w:tc>
        <w:tc>
          <w:tcPr>
            <w:tcW w:type="dxa" w:w="1440"/>
            <w:shd w:fill="C6EFCE" w:val="clear"/>
          </w:tcPr>
          <w:p>
            <w:r>
              <w:rPr>
                <w:b/>
                <w:sz w:val="17"/>
              </w:rPr>
              <w:t>9,228</w:t>
            </w:r>
          </w:p>
        </w:tc>
        <w:tc>
          <w:tcPr>
            <w:tcW w:type="dxa" w:w="1440"/>
            <w:shd w:fill="C6EFCE" w:val="clear"/>
          </w:tcPr>
          <w:p>
            <w:r>
              <w:rPr>
                <w:sz w:val="17"/>
              </w:rPr>
              <w:t>10,688</w:t>
            </w:r>
          </w:p>
        </w:tc>
        <w:tc>
          <w:tcPr>
            <w:tcW w:type="dxa" w:w="1440"/>
            <w:shd w:fill="C6EFCE" w:val="clear"/>
          </w:tcPr>
          <w:p>
            <w:r>
              <w:rPr>
                <w:b/>
                <w:color w:val="008000"/>
                <w:sz w:val="17"/>
              </w:rPr>
              <w:t>+9.3%</w:t>
            </w:r>
          </w:p>
        </w:tc>
      </w:tr>
      <w:tr>
        <w:tc>
          <w:tcPr>
            <w:tcW w:type="dxa" w:w="1440"/>
            <w:shd w:fill="C6EFCE" w:val="clear"/>
          </w:tcPr>
          <w:p>
            <w:r>
              <w:rPr>
                <w:sz w:val="17"/>
              </w:rPr>
              <w:t>J+8  ⭐</w:t>
            </w:r>
          </w:p>
        </w:tc>
        <w:tc>
          <w:tcPr>
            <w:tcW w:type="dxa" w:w="1440"/>
            <w:shd w:fill="C6EFCE" w:val="clear"/>
          </w:tcPr>
          <w:p>
            <w:r>
              <w:rPr>
                <w:sz w:val="17"/>
              </w:rPr>
              <w:t>2026-10-21</w:t>
            </w:r>
          </w:p>
        </w:tc>
        <w:tc>
          <w:tcPr>
            <w:tcW w:type="dxa" w:w="1440"/>
            <w:shd w:fill="C6EFCE" w:val="clear"/>
          </w:tcPr>
          <w:p>
            <w:r>
              <w:rPr>
                <w:sz w:val="17"/>
              </w:rPr>
              <w:t>7,699</w:t>
            </w:r>
          </w:p>
        </w:tc>
        <w:tc>
          <w:tcPr>
            <w:tcW w:type="dxa" w:w="1440"/>
            <w:shd w:fill="C6EFCE" w:val="clear"/>
          </w:tcPr>
          <w:p>
            <w:r>
              <w:rPr>
                <w:b/>
                <w:sz w:val="17"/>
              </w:rPr>
              <w:t>9,267</w:t>
            </w:r>
          </w:p>
        </w:tc>
        <w:tc>
          <w:tcPr>
            <w:tcW w:type="dxa" w:w="1440"/>
            <w:shd w:fill="C6EFCE" w:val="clear"/>
          </w:tcPr>
          <w:p>
            <w:r>
              <w:rPr>
                <w:sz w:val="17"/>
              </w:rPr>
              <w:t>10,834</w:t>
            </w:r>
          </w:p>
        </w:tc>
        <w:tc>
          <w:tcPr>
            <w:tcW w:type="dxa" w:w="1440"/>
            <w:shd w:fill="C6EFCE" w:val="clear"/>
          </w:tcPr>
          <w:p>
            <w:r>
              <w:rPr>
                <w:b/>
                <w:color w:val="008000"/>
                <w:sz w:val="17"/>
              </w:rPr>
              <w:t>+9.8%</w:t>
            </w:r>
          </w:p>
        </w:tc>
      </w:tr>
      <w:tr>
        <w:tc>
          <w:tcPr>
            <w:tcW w:type="dxa" w:w="1440"/>
            <w:shd w:fill="C6EFCE" w:val="clear"/>
          </w:tcPr>
          <w:p>
            <w:r>
              <w:rPr>
                <w:sz w:val="17"/>
              </w:rPr>
              <w:t>J+9  ⭐</w:t>
            </w:r>
          </w:p>
        </w:tc>
        <w:tc>
          <w:tcPr>
            <w:tcW w:type="dxa" w:w="1440"/>
            <w:shd w:fill="C6EFCE" w:val="clear"/>
          </w:tcPr>
          <w:p>
            <w:r>
              <w:rPr>
                <w:sz w:val="17"/>
              </w:rPr>
              <w:t>2026-10-22</w:t>
            </w:r>
          </w:p>
        </w:tc>
        <w:tc>
          <w:tcPr>
            <w:tcW w:type="dxa" w:w="1440"/>
            <w:shd w:fill="C6EFCE" w:val="clear"/>
          </w:tcPr>
          <w:p>
            <w:r>
              <w:rPr>
                <w:sz w:val="17"/>
              </w:rPr>
              <w:t>7,631</w:t>
            </w:r>
          </w:p>
        </w:tc>
        <w:tc>
          <w:tcPr>
            <w:tcW w:type="dxa" w:w="1440"/>
            <w:shd w:fill="C6EFCE" w:val="clear"/>
          </w:tcPr>
          <w:p>
            <w:r>
              <w:rPr>
                <w:b/>
                <w:sz w:val="17"/>
              </w:rPr>
              <w:t>9,300</w:t>
            </w:r>
          </w:p>
        </w:tc>
        <w:tc>
          <w:tcPr>
            <w:tcW w:type="dxa" w:w="1440"/>
            <w:shd w:fill="C6EFCE" w:val="clear"/>
          </w:tcPr>
          <w:p>
            <w:r>
              <w:rPr>
                <w:sz w:val="17"/>
              </w:rPr>
              <w:t>10,968</w:t>
            </w:r>
          </w:p>
        </w:tc>
        <w:tc>
          <w:tcPr>
            <w:tcW w:type="dxa" w:w="1440"/>
            <w:shd w:fill="C6EFCE" w:val="clear"/>
          </w:tcPr>
          <w:p>
            <w:r>
              <w:rPr>
                <w:b/>
                <w:color w:val="008000"/>
                <w:sz w:val="17"/>
              </w:rPr>
              <w:t>+10.2%</w:t>
            </w:r>
          </w:p>
        </w:tc>
      </w:tr>
      <w:tr>
        <w:tc>
          <w:tcPr>
            <w:tcW w:type="dxa" w:w="1440"/>
            <w:shd w:fill="C6EFCE" w:val="clear"/>
          </w:tcPr>
          <w:p>
            <w:r>
              <w:rPr>
                <w:sz w:val="17"/>
              </w:rPr>
              <w:t>J+10  ⭐</w:t>
            </w:r>
          </w:p>
        </w:tc>
        <w:tc>
          <w:tcPr>
            <w:tcW w:type="dxa" w:w="1440"/>
            <w:shd w:fill="C6EFCE" w:val="clear"/>
          </w:tcPr>
          <w:p>
            <w:r>
              <w:rPr>
                <w:sz w:val="17"/>
              </w:rPr>
              <w:t>2026-10-23</w:t>
            </w:r>
          </w:p>
        </w:tc>
        <w:tc>
          <w:tcPr>
            <w:tcW w:type="dxa" w:w="1440"/>
            <w:shd w:fill="C6EFCE" w:val="clear"/>
          </w:tcPr>
          <w:p>
            <w:r>
              <w:rPr>
                <w:sz w:val="17"/>
              </w:rPr>
              <w:t>7,564</w:t>
            </w:r>
          </w:p>
        </w:tc>
        <w:tc>
          <w:tcPr>
            <w:tcW w:type="dxa" w:w="1440"/>
            <w:shd w:fill="C6EFCE" w:val="clear"/>
          </w:tcPr>
          <w:p>
            <w:r>
              <w:rPr>
                <w:b/>
                <w:sz w:val="17"/>
              </w:rPr>
              <w:t>9,328</w:t>
            </w:r>
          </w:p>
        </w:tc>
        <w:tc>
          <w:tcPr>
            <w:tcW w:type="dxa" w:w="1440"/>
            <w:shd w:fill="C6EFCE" w:val="clear"/>
          </w:tcPr>
          <w:p>
            <w:r>
              <w:rPr>
                <w:sz w:val="17"/>
              </w:rPr>
              <w:t>11,092</w:t>
            </w:r>
          </w:p>
        </w:tc>
        <w:tc>
          <w:tcPr>
            <w:tcW w:type="dxa" w:w="1440"/>
            <w:shd w:fill="C6EFCE" w:val="clear"/>
          </w:tcPr>
          <w:p>
            <w:r>
              <w:rPr>
                <w:b/>
                <w:color w:val="008000"/>
                <w:sz w:val="17"/>
              </w:rPr>
              <w:t>+10.5%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BICB (BIIC Bénin)**</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487,49 milliards FCFA, la BICB s'impose comme l'une des valeurs bancaires les plus importantes de la cote BRVM, ce qui témoigne de sa position de leader incontestée sur le marché béninois. Le BPA de 627 FCFA par action signifie que chaque titre génère près de 627 FCFA de bénéfice net, un niveau élevé qui traduit la forte rentabilité de la banque. Le PER de 13,5x se situe légèrement au-dessus de la moyenne du marché BRVM (8-12x), indiquant que les investisseurs acceptent de payer une prime modérée pour cette valeur de qualité, sans que cela constitue une surévaluation excessive. Le P/B de 3,61x montre que le marché valorise l'action à plus de trois fois sa valeur comptable, une prime de croissance justifiée par un ROE de 26,8% nettement supérieur au coût des fonds propres. En revanche, l'EV/EBITDA de 24,0x apparaît très exigeant (seuil d'alerte &gt;15x), reflétant des anticipations de croissance ambitieuses qui laissent peu de marge d'erreur en cas de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BICB a enregistré une progression spectaculaire de +65,33%, passant d'un plus bas de 5 105 FCFA à un plus haut de 10 790 FCFA, avant de se replier légèrement pour clôturer à 8 440 FCFA, avec une variation J-1 de -0,94% confirmant ce mouvement correctif de court terme. Le range de trading particulièrement large (5 685 FCFA d'amplitude) traduit une tendance haussière puissante mais ponctuée de prises de bénéfices significatives. Les statistiques descriptives révèlent une moyenne de 7 415 FCFA légèrement inférieure à la médiane de 7 590 FCFA, suggérant une asymétrie positive modérée (skewness de 0,334, distribution quasi-symétrique) avec quelques pics haussiers tirant la moyenne vers le bas relativement à la médiane. L'écart-type de 1 693 FCFA et le coefficient de variation de 22,8% indiquent une dispersion modérée du cours autour de sa moyenne, tandis que le kurtosis négatif (-1,084, distribution platykurtique) signale une faible concentration des rendements et un risque de pics extrêmes limité — un profil rassurant pour la gestion du risque. La volatilité annualisée de 42,6% positionne clairement le titre dans la catégorie des valeurs à volatilité élevée (&gt;30%), ce qui est cohérent avec la dynamique haussière récente et invite à une gestion prudente des points d'entrée.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9 220 FCFA et la MM50 à 8 878,2 FCFA, toutes deux supérieures au cours actuel de 8 440 FCFA, ce qui place le titre en position baissière de court terme par rapport à ses moyennes. Cependant, la décision technique affichée est "Achat", suggérant que le croisement des moyennes ou leur pente reste favorable à moyen terme malgré le repli actuel sous ces niveaux.</w:t>
      </w:r>
    </w:p>
    <w:p>
      <w:pPr>
        <w:spacing w:after="120" w:line="276" w:lineRule="auto"/>
      </w:pPr>
      <w:r>
        <w:t>**Bandes de Bollinger :** La borne supérieure est à 11 022,9 FCFA et la borne inférieure à 7 417,1 FCFA, avec un cours actuel de 8 440 FCFA qui se situe dans la moitié basse du canal, sans atteindre la borne inférieure. Cette position médiane-basse indique une volatilité en cours de normalisation après le pic haussier, justifiant la décision "Neutre" qui reflète l'absence de signal directionnel fort.</w:t>
      </w:r>
    </w:p>
    <w:p>
      <w:pPr>
        <w:spacing w:after="120" w:line="276" w:lineRule="auto"/>
      </w:pPr>
      <w:r>
        <w:t>**MACD :** La valeur du MACD est de -187,052 contre un signal à -69,697, avec un MACD nettement inférieur à son signal, ce qui constitue un croisement baissier confirmé. Le momentum est clairement négatif, justifiant la décision "Vente" qui signale une pression vendeuse persistante à court terme.</w:t>
      </w:r>
    </w:p>
    <w:p>
      <w:pPr>
        <w:spacing w:after="120" w:line="276" w:lineRule="auto"/>
      </w:pPr>
      <w:r>
        <w:t>**RSI :** À 27,733, le RSI se situe en zone de survente (&lt;30), ce qui indique que le titre a été excessivement vendu et pourrait connaître un rebond technique. La décision "Achat" est cohérente avec cette lecture contrarienne, le marché ayant probablement surréagi à la baisse.</w:t>
      </w:r>
    </w:p>
    <w:p>
      <w:pPr>
        <w:spacing w:after="120" w:line="276" w:lineRule="auto"/>
      </w:pPr>
      <w:r>
        <w:t>**Stochastique :** Le %K est à 25,0 et le %D à 27,141, avec %K légèrement inférieur à %D, ce qui suggère une pression baissière résiduelle mais proche d'un croisement potentiel. La décision "Neutre" reflète cette situation d'incertitude, le stochastique n'ayant pas encore confirmé de retournement haussier.</w:t>
      </w:r>
    </w:p>
    <w:p>
      <w:pPr>
        <w:spacing w:after="120" w:line="276" w:lineRule="auto"/>
      </w:pPr>
      <w:r>
        <w:t>**Conclusion technique :** Les indicateurs présentent une divergence notable : le MACD confirme une dynamique baissière de court terme, tandis que le RSI en zone de survente et la décision "Achat" des moyennes mobiles suggèrent un potentiel rebond. Les Bandes de Bollinger et le Stochastique en position neutre traduisent une phase de consolidation. Cette configuration mixte plaide pour une prudence à court terme, avec une opportunité d'achat contrarienne si le RSI se redresse au-dessus de 30.</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la BICB a réalisé un Produit Net Bancaire (PNB) de 52,805 milliards FCFA, en croissance de 16,49% par rapport à 2024, porté par une marge d'intérêt nette de 40,1 milliards FCFA (+17,1%) et des commissions nettes de 11,3 milliards FCFA (+18,1%). Le résultat net s'établit à 36,237 milliards FCFA, en progression de 24,7%, générant un ROE exceptionnel de 26,82% (largement supérieur au seuil de 15% considéré comme excellent) et un ROA de 1,96%. Le coefficient d'exploitation de 31,12% place la banque parmi les établissements les plus efficaces du secteur (seuil d'excellence &lt;50%), tandis que le coût du risque de 9,61% reste modéré mais à surveiller dans un contexte de croissance rapide des crédits (+37,3% à 1 151,5 milliards FCFA). La structure financière affiche une autonomie financière de 7,33% (faible mais typique du modèle bancaire) et une solvabilité générale de 107,9%, avec un ratio de solvabilité de 19,64% bien au-dessus du minimum réglementaire de 11,5%.</w:t>
      </w:r>
    </w:p>
    <w:p>
      <w:pPr>
        <w:spacing w:after="120" w:line="276" w:lineRule="auto"/>
      </w:pPr>
      <w:r>
        <w:t>**Adaptation au secteur bancaire :** Le ratio crédits nets/dépôts de 97,5% (contre 91,9% en 2024) signale une transformation très tendue, avec des dépôts clientèle de 1 181,0 milliards FCFA (+29,4%) peinant à suivre la croissance des crédits. Les créances interbancaires de 51,371 milliards FCFA et les dettes interbancaires de 465,174 milliards FCFA témoignent d'une dépendance significative au refinancement interbancaire, ce qui expose la banque aux fluctuations des taux du marché monétaire.</w:t>
      </w:r>
    </w:p>
    <w:p>
      <w:pPr>
        <w:spacing w:after="120" w:line="276" w:lineRule="auto"/>
      </w:pPr>
      <w:r>
        <w:t>**Estimations basées sur les rapports trimestriels :** Le rapport du T1 2026 (publié en 2026) révèle un PNB de 14,6 milliards FCFA (+35%) et un résultat net de 8,0 milliards FCFA (+48%), confirmant une accélération de la dynamique. Le rapport du S1 2026 (publié en 2026) fait état d'un PNB de 31,882 milliards FCFA (+19%) et d'un résultat net de 18,368 milliards FCFA (+11%), avec un coût du risque redevenu une charge de 3,579 milliards FCFA contre un produit net de 2,376 milliards FCFA au S1 2025 (reprises exceptionnelles). Sur la base de ces tendances, on estime que l'exercice 2026 devrait afficher un PNB annuel compris entre 60 et 65 milliards FCFA et un résultat net de l'ordre de 38 à 42 milliards FCFA, sous réserve d'une normalisation du coût du risque. Le rapport annuel 2025 (publié en 2026) confirme une opinion d'audit sans réserve, renforçant la crédibilité des états financiers.</w:t>
      </w:r>
    </w:p>
    <w:p>
      <w:pPr>
        <w:spacing w:after="120" w:line="276" w:lineRule="auto"/>
      </w:pPr>
      <w:r>
        <w:t>**Recommandation fondamentale :** La BICB présente des fondamentaux solides avec une rentabilité exceptionnelle, une efficacité opérationnelle remarquable et une position de leader sur son marché. Les principaux risques identifiés sont la tension sur la liquidité (ratio crédits/dépôts de 97,5%), la dépendance au refinancement interbancaire et la normalisation du coût du risque après des reprises exceptionnelles en 2025. La recommandation fondamentale est **CONSERVER** avec un biais positif, en attendant la confirmation de la maîtrise du risque crédit sur l'exercice 2026.</w:t>
      </w:r>
    </w:p>
    <w:p>
      <w:pPr>
        <w:spacing w:after="120" w:line="276" w:lineRule="auto"/>
      </w:pPr>
      <w:r>
        <w:t>---</w:t>
      </w:r>
    </w:p>
    <w:p>
      <w:pPr>
        <w:spacing w:after="120" w:line="276" w:lineRule="auto"/>
      </w:pPr>
      <w:r>
        <w:t>## PARTIE 4 : CONCLUSION D'INVESTISSEMENT</w:t>
      </w:r>
    </w:p>
    <w:p>
      <w:pPr>
        <w:spacing w:after="120" w:line="276" w:lineRule="auto"/>
      </w:pPr>
      <w:r>
        <w:t>La valorisation de la BICB apparaît modérément exigeante : le PER de 13,5x offre une prime limitée par rapport au marché (8-12x), le P/B de 3,61x reflète une prime de croissance justifiée par le ROE de 26,8%, mais l'EV/EBITDA de 24,0x laisse peu de marge d'erreur. Le comportement du cours sur 100 jours est nettement haussier (+65,33%) avec une volatilité élevée (42,6%) et une distribution platykurtique (kurtosis -1,084) indiquant un risque de pics extrêmes limité, mais le repli récent sous les moyennes mobiles (MM20 à 9 220 FCFA, MM50 à 8 878 FCFA) et le MACD baissier tempèrent l'optimisme. Les signaux techniques sont divergents : le RSI en survente (27,7) et la décision "Achat" des moyennes mobiles suggèrent un rebond potentiel, tandis que le MACD "Vente" et le Stochastique neutre plaident pour une consolidation. Les fondamentaux restent solides (PNB 2025 de 52,8 milliards FCFA, résultat net de 36,2 milliards FCFA, ROE de 26,8%), avec des estimations 2026 favorables (PNB T1 2026 +35%, résultat net +48%) malgré la normalisation du coût du risque. Les prédictions IA pour les 10 prochains jours (8 907 FCFA à 9 134 FCFA) anticipent une reprise progressive de +5,8% depuis le cours actuel de 8 440 FCFA, ce qui confirme le potentiel de rebond technique identifié par le RSI.</w:t>
      </w:r>
    </w:p>
    <w:p>
      <w:pPr>
        <w:spacing w:after="120" w:line="276" w:lineRule="auto"/>
      </w:pPr>
      <w:r>
        <w:t>**Recommandation finale : CONSERVER (avec biais acheteur pour les investisseurs contrariens)**</w:t>
        <w:br/>
        <w:t>La convergence entre la valorisation modérée, le potentiel de rebond technique (RSI en survente) et les fondamentaux solides soutient une position de conservation, voire un renforcement progressif pour les investisseurs tolérant la volatilité. Cependant, la divergence entre le MACD baissier et les autres indicateurs, ainsi que la tension sur la liquidité, invitent à la prudence. Le niveau de confiance est **Moyen** (les signaux techniques sont mitigés) et le niveau de risque global est **Élevé** (volatilité de 42,6%, valorisation exigeante en EV/EBITDA, tension sur les ratios de liquidité). L'horizon d'investissement optimal est le **moyen terme (3-12 mois)**, le temps que la banque démontre sa capacité à maîtriser le coût du risque et à normaliser sa structure de liquidité tout en maintenant sa trajectoire de croissance rentable.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PNB (+19 %) et du r\u00e9sultat brut d'exploitation (+31 %) traduit une rentabilit\u00e9 op\u00e9rationnelle solide, malgr\u00e9 un co\u00fbt du risque normalis\u00e9 apr\u00e8s des reprises exceptionnelles en 2025. Le r\u00e9sultat net reste en croissance de 11 % et le renforcement de la couverture des risques conforte la qualit\u00e9 des fondamentaux."}</w:t>
      </w:r>
    </w:p>
    <w:p>
      <w:pPr>
        <w:spacing w:before="40"/>
        <w:ind w:left="400"/>
      </w:pPr>
      <w:r>
        <w:rPr>
          <w:sz w:val="18"/>
        </w:rPr>
        <w:t>Au premier semestre 2026, BIIC affiche un Produit Net Bancaire de 31,9 milliards FCFA en progression de 19 % sur un an, porté par la dynamique commerciale et la bonne tenue des marges. La maîtrise des charges d'exploitation, en repli de 4 % à 9,0 milliards FCFA, permet au résultat brut d'exploitation de bondir de 31 % à 22,9 milliards FCFA. Le coût du risque redevient une charge de 3,6 milliards FCFA, contre un produit net de 2,4 milliards FCFA au S1 2025 qui intégrait d'importantes reprises de provisions. Malgré ce effet de base défavorable, le résultat net progresse de 11 % pour s'établir à 18,4 milliards FCFA, avec une rentabilité nette très élevée rapportée au PNB. Au bilan, le total s'é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'-3 579 millions FCFA (vs +2 376 millions FCFA au S1 2025)', 'depots_clientele': '1 173 652 millions FCFA (-1 % vs déc.-25)', 'dotations_nettes': '6 100 millions FCFA (-13 %)', 'charges_exploitation': '-8 971 millions FCFA (-4 %)', 'produit_net_bancaire': '31 882 millions FCFA (+19 %)', 'resultat_avant_impot': '19 331 millions FCFA (-3 %)', 'titres_au_cout_amorti': '483 801 millions FCFA (-5 %)', 'credits_nets_clientele': '1 162 656 millions FCFA (+1 % vs déc.-25)', 'resultat_brut_exploitation': '22 910 millions FCFA (+31 %)', 'taux_de_couverture_credits_bruts': '1,65 %'}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 58 % (résultat net / PNB)</w:t>
            </w:r>
          </w:p>
        </w:tc>
        <w:tc>
          <w:tcPr>
            <w:tcW w:type="dxa" w:w="2160"/>
          </w:tcPr>
          <w:p>
            <w:pPr>
              <w:ind w:left="100"/>
            </w:pPr>
            <w:r/>
            <w:r>
              <w:rPr>
                <w:b/>
                <w:sz w:val="16"/>
              </w:rPr>
              <w:t>total_actif</w:t>
              <w:br/>
            </w:r>
            <w:r>
              <w:rPr>
                <w:sz w:val="18"/>
              </w:rPr>
              <w:t>1 870 566 millions FCFA</w:t>
            </w:r>
          </w:p>
        </w:tc>
      </w:tr>
      <w:tr>
        <w:tc>
          <w:tcPr>
            <w:tcW w:type="dxa" w:w="2160"/>
          </w:tcPr>
          <w:p>
            <w:r/>
            <w:r>
              <w:rPr>
                <w:b/>
                <w:sz w:val="16"/>
              </w:rPr>
              <w:t>resultat_net</w:t>
              <w:br/>
            </w:r>
            <w:r>
              <w:rPr>
                <w:sz w:val="18"/>
              </w:rPr>
              <w:t>18 368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31 882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31,9 milliards FCFA au S1 2026, en hausse de 19 % par rapport au S1 2025 (26,9 milliards FCFA).</w:t>
      </w:r>
    </w:p>
    <w:p>
      <w:pPr>
        <w:pStyle w:val="ListBullet"/>
        <w:spacing w:before="20" w:after="20"/>
        <w:ind w:left="700"/>
      </w:pPr>
      <w:r>
        <w:rPr>
          <w:sz w:val="18"/>
        </w:rPr>
        <w:t>Charges d'exploitation en recul de 4 % à 8,97 milliards FCFA, illustrant une discipline de coûts soutenue.</w:t>
      </w:r>
    </w:p>
    <w:p>
      <w:pPr>
        <w:pStyle w:val="ListBullet"/>
        <w:spacing w:before="20" w:after="20"/>
        <w:ind w:left="700"/>
      </w:pPr>
      <w:r>
        <w:rPr>
          <w:sz w:val="18"/>
        </w:rPr>
        <w:t>Résultat brut d'exploitation de 22,9 milliards FCFA, en progression de 31 %, soit une marge brute d'exploitation très confortable.</w:t>
      </w:r>
    </w:p>
    <w:p>
      <w:pPr>
        <w:pStyle w:val="ListBullet"/>
        <w:spacing w:before="20" w:after="20"/>
        <w:ind w:left="700"/>
      </w:pPr>
      <w:r>
        <w:rPr>
          <w:sz w:val="18"/>
        </w:rPr>
        <w:t>Coût du risque de -3,6 milliards FCFA contre un produit de 2,4 milliards FCFA au S1 2025, sous l'effet du niveau exceptionnel de reprises de l'an passé.</w:t>
      </w:r>
    </w:p>
    <w:p>
      <w:pPr>
        <w:pStyle w:val="ListBullet"/>
        <w:spacing w:before="20" w:after="20"/>
        <w:ind w:left="700"/>
      </w:pPr>
      <w:r>
        <w:rPr>
          <w:sz w:val="18"/>
        </w:rPr>
        <w:t>Résultat net de 18,4 milliards FCFA, en hausse de 11 % sur un an (16,6 milliards FCFA au S1 2025).</w:t>
      </w:r>
    </w:p>
    <w:p>
      <w:pPr>
        <w:pStyle w:val="ListBullet"/>
        <w:spacing w:before="20" w:after="20"/>
        <w:ind w:left="700"/>
      </w:pPr>
      <w:r>
        <w:rPr>
          <w:sz w:val="18"/>
        </w:rPr>
        <w:t>Dotations nettes en recul de 13 % à 6,1 milliards FCFA, avec un taux de couverture des crédits bruts porté à 1,65 % (19,5 milliards FCFA de dépréciations).</w:t>
      </w:r>
    </w:p>
    <w:p>
      <w:pPr>
        <w:spacing w:before="40"/>
        <w:ind w:left="400"/>
      </w:pPr>
      <w:r>
        <w:rPr>
          <w:b/>
          <w:color w:val="C05000"/>
          <w:sz w:val="18"/>
        </w:rPr>
        <w:t xml:space="preserve">⚠️ Risques : </w:t>
      </w:r>
      <w:r>
        <w:rPr>
          <w:sz w:val="18"/>
        </w:rPr>
        <w:t>["Normalisation du co\u00fbt du risque : retour \u00e0 une charge de 3,6 milliards FCFA, avec un r\u00e9sultat avant imp\u00f4t en l\u00e9ger repli (-3 %), la qualit\u00e9 des actifs restant un point de vigilance.", "L\u00e9ger retrait des d\u00e9p\u00f4ts client\u00e8le (-1 %) qui pourrait contrain</w:t>
      </w:r>
    </w:p>
    <w:p>
      <w:pPr>
        <w:spacing w:before="40"/>
        <w:ind w:left="400"/>
      </w:pPr>
      <w:r>
        <w:rPr>
          <w:b/>
          <w:color w:val="0064A0"/>
          <w:sz w:val="18"/>
        </w:rPr>
        <w:t xml:space="preserve">🔮 Perspectives : </w:t>
      </w:r>
      <w:r>
        <w:rPr>
          <w:sz w:val="18"/>
        </w:rPr>
        <w:t xml:space="preserve">La Direction Générale se déclare confiante dans sa capacité à atteindre les objectifs de l'exercice 2026, en poursuivant l'exécution disciplinée de son plan de développement. La Banque entend maintenir une gestion prudente des risques, une allocation rigoureuse des ressources et la consolidation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
      <w:r>
        <w:t>════════════════════════════════════════════════════════════════════════════════</w:t>
      </w:r>
    </w:p>
    <w:p>
      <w:r>
        <w:br w:type="page"/>
      </w:r>
    </w:p>
    <w:p>
      <w:pPr>
        <w:pStyle w:val="Heading2"/>
        <w:spacing w:before="360"/>
      </w:pPr>
      <w:r>
        <w:rPr>
          <w:color w:val="0066CC"/>
        </w:rPr>
        <w:t>4.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549.08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686 titres</w:t>
            </w:r>
          </w:p>
        </w:tc>
        <w:tc>
          <w:tcPr>
            <w:tcW w:type="dxa" w:w="2268"/>
            <w:shd w:fill="FFF2CC" w:val="clear"/>
          </w:tcPr>
          <w:p>
            <w:r>
              <w:rPr>
                <w:b/>
                <w:color w:val="503200"/>
                <w:sz w:val="16"/>
              </w:rPr>
              <w:t xml:space="preserve">Cours actuel : </w:t>
            </w:r>
            <w:r>
              <w:rPr>
                <w:color w:val="000000"/>
                <w:sz w:val="17"/>
              </w:rPr>
              <w:t>32,945 FCFA</w:t>
            </w:r>
          </w:p>
          <w:p>
            <w:r>
              <w:rPr>
                <w:b/>
                <w:color w:val="503200"/>
                <w:sz w:val="16"/>
              </w:rPr>
              <w:t xml:space="preserve">Var. 100 jours : </w:t>
            </w:r>
            <w:r>
              <w:rPr>
                <w:b/>
                <w:color w:val="007800"/>
                <w:sz w:val="17"/>
              </w:rPr>
              <w:t>+24.56%</w:t>
            </w:r>
          </w:p>
          <w:p>
            <w:r>
              <w:rPr>
                <w:b/>
                <w:color w:val="503200"/>
                <w:sz w:val="16"/>
              </w:rPr>
              <w:t xml:space="preserve">Plus haut 100j : </w:t>
            </w:r>
            <w:r>
              <w:rPr>
                <w:color w:val="000000"/>
                <w:sz w:val="17"/>
              </w:rPr>
              <w:t>34,895 FCFA</w:t>
            </w:r>
          </w:p>
          <w:p>
            <w:r>
              <w:rPr>
                <w:b/>
                <w:color w:val="503200"/>
                <w:sz w:val="16"/>
              </w:rPr>
              <w:t xml:space="preserve">Plus bas 100j : </w:t>
            </w:r>
            <w:r>
              <w:rPr>
                <w:color w:val="000000"/>
                <w:sz w:val="17"/>
              </w:rPr>
              <w:t>26,450 FCFA</w:t>
            </w:r>
          </w:p>
          <w:p>
            <w:r>
              <w:rPr>
                <w:b/>
                <w:color w:val="503200"/>
                <w:sz w:val="16"/>
              </w:rPr>
              <w:t xml:space="preserve">Volatilité ann. : </w:t>
            </w:r>
            <w:r>
              <w:rPr>
                <w:color w:val="000000"/>
                <w:sz w:val="17"/>
              </w:rPr>
              <w:t>37.2%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6.27% (Moyenne) — μ=29,535 FCFA, σ=1,851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β=1.0661 (Neutre (suit le marché)) — Cov=0.000078, Var(idx)=0.000073, ρ=0.394,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FFEB9C" w:val="clear"/>
          </w:tcPr>
          <w:p>
            <w:r>
              <w:rPr>
                <w:b/>
                <w:sz w:val="15"/>
              </w:rPr>
              <w:t>686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σ_j=2.34%/j (Stable) — Vol. annualisée≈37.2%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2026-10-12</w:t>
            </w:r>
          </w:p>
        </w:tc>
        <w:tc>
          <w:tcPr>
            <w:tcW w:type="dxa" w:w="1440"/>
            <w:shd w:fill="FFDCE0" w:val="clear"/>
          </w:tcPr>
          <w:p>
            <w:r>
              <w:rPr>
                <w:sz w:val="17"/>
              </w:rPr>
              <w:t>30,108</w:t>
            </w:r>
          </w:p>
        </w:tc>
        <w:tc>
          <w:tcPr>
            <w:tcW w:type="dxa" w:w="1440"/>
            <w:shd w:fill="FFDCE0" w:val="clear"/>
          </w:tcPr>
          <w:p>
            <w:r>
              <w:rPr>
                <w:b/>
                <w:sz w:val="17"/>
              </w:rPr>
              <w:t>31,974</w:t>
            </w:r>
          </w:p>
        </w:tc>
        <w:tc>
          <w:tcPr>
            <w:tcW w:type="dxa" w:w="1440"/>
            <w:shd w:fill="FFDCE0" w:val="clear"/>
          </w:tcPr>
          <w:p>
            <w:r>
              <w:rPr>
                <w:sz w:val="17"/>
              </w:rPr>
              <w:t>33,839</w:t>
            </w:r>
          </w:p>
        </w:tc>
        <w:tc>
          <w:tcPr>
            <w:tcW w:type="dxa" w:w="1440"/>
            <w:shd w:fill="FFDCE0" w:val="clear"/>
          </w:tcPr>
          <w:p>
            <w:r>
              <w:rPr>
                <w:b/>
                <w:color w:val="C00000"/>
                <w:sz w:val="17"/>
              </w:rPr>
              <w:t>-2.9%</w:t>
            </w:r>
          </w:p>
        </w:tc>
      </w:tr>
      <w:tr>
        <w:tc>
          <w:tcPr>
            <w:tcW w:type="dxa" w:w="1440"/>
            <w:shd w:fill="FFDCE0" w:val="clear"/>
          </w:tcPr>
          <w:p>
            <w:r>
              <w:rPr>
                <w:sz w:val="17"/>
              </w:rPr>
              <w:t>J+2  Moyenne</w:t>
            </w:r>
          </w:p>
        </w:tc>
        <w:tc>
          <w:tcPr>
            <w:tcW w:type="dxa" w:w="1440"/>
            <w:shd w:fill="FFDCE0" w:val="clear"/>
          </w:tcPr>
          <w:p>
            <w:r>
              <w:rPr>
                <w:sz w:val="17"/>
              </w:rPr>
              <w:t>2026-10-13</w:t>
            </w:r>
          </w:p>
        </w:tc>
        <w:tc>
          <w:tcPr>
            <w:tcW w:type="dxa" w:w="1440"/>
            <w:shd w:fill="FFDCE0" w:val="clear"/>
          </w:tcPr>
          <w:p>
            <w:r>
              <w:rPr>
                <w:sz w:val="17"/>
              </w:rPr>
              <w:t>29,344</w:t>
            </w:r>
          </w:p>
        </w:tc>
        <w:tc>
          <w:tcPr>
            <w:tcW w:type="dxa" w:w="1440"/>
            <w:shd w:fill="FFDCE0" w:val="clear"/>
          </w:tcPr>
          <w:p>
            <w:r>
              <w:rPr>
                <w:b/>
                <w:sz w:val="17"/>
              </w:rPr>
              <w:t>31,983</w:t>
            </w:r>
          </w:p>
        </w:tc>
        <w:tc>
          <w:tcPr>
            <w:tcW w:type="dxa" w:w="1440"/>
            <w:shd w:fill="FFDCE0" w:val="clear"/>
          </w:tcPr>
          <w:p>
            <w:r>
              <w:rPr>
                <w:sz w:val="17"/>
              </w:rPr>
              <w:t>34,622</w:t>
            </w:r>
          </w:p>
        </w:tc>
        <w:tc>
          <w:tcPr>
            <w:tcW w:type="dxa" w:w="1440"/>
            <w:shd w:fill="FFDCE0" w:val="clear"/>
          </w:tcPr>
          <w:p>
            <w:r>
              <w:rPr>
                <w:b/>
                <w:color w:val="C00000"/>
                <w:sz w:val="17"/>
              </w:rPr>
              <w:t>-2.9%</w:t>
            </w:r>
          </w:p>
        </w:tc>
      </w:tr>
      <w:tr>
        <w:tc>
          <w:tcPr>
            <w:tcW w:type="dxa" w:w="1440"/>
            <w:shd w:fill="FFDCE0" w:val="clear"/>
          </w:tcPr>
          <w:p>
            <w:r>
              <w:rPr>
                <w:sz w:val="17"/>
              </w:rPr>
              <w:t>J+3  Moyenne</w:t>
            </w:r>
          </w:p>
        </w:tc>
        <w:tc>
          <w:tcPr>
            <w:tcW w:type="dxa" w:w="1440"/>
            <w:shd w:fill="FFDCE0" w:val="clear"/>
          </w:tcPr>
          <w:p>
            <w:r>
              <w:rPr>
                <w:sz w:val="17"/>
              </w:rPr>
              <w:t>2026-10-14</w:t>
            </w:r>
          </w:p>
        </w:tc>
        <w:tc>
          <w:tcPr>
            <w:tcW w:type="dxa" w:w="1440"/>
            <w:shd w:fill="FFDCE0" w:val="clear"/>
          </w:tcPr>
          <w:p>
            <w:r>
              <w:rPr>
                <w:sz w:val="17"/>
              </w:rPr>
              <w:t>28,651</w:t>
            </w:r>
          </w:p>
        </w:tc>
        <w:tc>
          <w:tcPr>
            <w:tcW w:type="dxa" w:w="1440"/>
            <w:shd w:fill="FFDCE0" w:val="clear"/>
          </w:tcPr>
          <w:p>
            <w:r>
              <w:rPr>
                <w:b/>
                <w:sz w:val="17"/>
              </w:rPr>
              <w:t>31,871</w:t>
            </w:r>
          </w:p>
        </w:tc>
        <w:tc>
          <w:tcPr>
            <w:tcW w:type="dxa" w:w="1440"/>
            <w:shd w:fill="FFDCE0" w:val="clear"/>
          </w:tcPr>
          <w:p>
            <w:r>
              <w:rPr>
                <w:sz w:val="17"/>
              </w:rPr>
              <w:t>35,092</w:t>
            </w:r>
          </w:p>
        </w:tc>
        <w:tc>
          <w:tcPr>
            <w:tcW w:type="dxa" w:w="1440"/>
            <w:shd w:fill="FFDCE0" w:val="clear"/>
          </w:tcPr>
          <w:p>
            <w:r>
              <w:rPr>
                <w:b/>
                <w:color w:val="C00000"/>
                <w:sz w:val="17"/>
              </w:rPr>
              <w:t>-3.3%</w:t>
            </w:r>
          </w:p>
        </w:tc>
      </w:tr>
      <w:tr>
        <w:tc>
          <w:tcPr>
            <w:tcW w:type="dxa" w:w="1440"/>
            <w:shd w:fill="FFDCE0" w:val="clear"/>
          </w:tcPr>
          <w:p>
            <w:r>
              <w:rPr>
                <w:sz w:val="17"/>
              </w:rPr>
              <w:t>J+4  ⭐</w:t>
            </w:r>
          </w:p>
        </w:tc>
        <w:tc>
          <w:tcPr>
            <w:tcW w:type="dxa" w:w="1440"/>
            <w:shd w:fill="FFDCE0" w:val="clear"/>
          </w:tcPr>
          <w:p>
            <w:r>
              <w:rPr>
                <w:sz w:val="17"/>
              </w:rPr>
              <w:t>2026-10-15</w:t>
            </w:r>
          </w:p>
        </w:tc>
        <w:tc>
          <w:tcPr>
            <w:tcW w:type="dxa" w:w="1440"/>
            <w:shd w:fill="FFDCE0" w:val="clear"/>
          </w:tcPr>
          <w:p>
            <w:r>
              <w:rPr>
                <w:sz w:val="17"/>
              </w:rPr>
              <w:t>28,065</w:t>
            </w:r>
          </w:p>
        </w:tc>
        <w:tc>
          <w:tcPr>
            <w:tcW w:type="dxa" w:w="1440"/>
            <w:shd w:fill="FFDCE0" w:val="clear"/>
          </w:tcPr>
          <w:p>
            <w:r>
              <w:rPr>
                <w:b/>
                <w:sz w:val="17"/>
              </w:rPr>
              <w:t>31,772</w:t>
            </w:r>
          </w:p>
        </w:tc>
        <w:tc>
          <w:tcPr>
            <w:tcW w:type="dxa" w:w="1440"/>
            <w:shd w:fill="FFDCE0" w:val="clear"/>
          </w:tcPr>
          <w:p>
            <w:r>
              <w:rPr>
                <w:sz w:val="17"/>
              </w:rPr>
              <w:t>35,480</w:t>
            </w:r>
          </w:p>
        </w:tc>
        <w:tc>
          <w:tcPr>
            <w:tcW w:type="dxa" w:w="1440"/>
            <w:shd w:fill="FFDCE0" w:val="clear"/>
          </w:tcPr>
          <w:p>
            <w:r>
              <w:rPr>
                <w:b/>
                <w:color w:val="C00000"/>
                <w:sz w:val="17"/>
              </w:rPr>
              <w:t>-3.6%</w:t>
            </w:r>
          </w:p>
        </w:tc>
      </w:tr>
      <w:tr>
        <w:tc>
          <w:tcPr>
            <w:tcW w:type="dxa" w:w="1440"/>
            <w:shd w:fill="FFDCE0" w:val="clear"/>
          </w:tcPr>
          <w:p>
            <w:r>
              <w:rPr>
                <w:sz w:val="17"/>
              </w:rPr>
              <w:t>J+5  ⭐</w:t>
            </w:r>
          </w:p>
        </w:tc>
        <w:tc>
          <w:tcPr>
            <w:tcW w:type="dxa" w:w="1440"/>
            <w:shd w:fill="FFDCE0" w:val="clear"/>
          </w:tcPr>
          <w:p>
            <w:r>
              <w:rPr>
                <w:sz w:val="17"/>
              </w:rPr>
              <w:t>2026-10-16</w:t>
            </w:r>
          </w:p>
        </w:tc>
        <w:tc>
          <w:tcPr>
            <w:tcW w:type="dxa" w:w="1440"/>
            <w:shd w:fill="FFDCE0" w:val="clear"/>
          </w:tcPr>
          <w:p>
            <w:r>
              <w:rPr>
                <w:sz w:val="17"/>
              </w:rPr>
              <w:t>27,561</w:t>
            </w:r>
          </w:p>
        </w:tc>
        <w:tc>
          <w:tcPr>
            <w:tcW w:type="dxa" w:w="1440"/>
            <w:shd w:fill="FFDCE0" w:val="clear"/>
          </w:tcPr>
          <w:p>
            <w:r>
              <w:rPr>
                <w:b/>
                <w:sz w:val="17"/>
              </w:rPr>
              <w:t>31,696</w:t>
            </w:r>
          </w:p>
        </w:tc>
        <w:tc>
          <w:tcPr>
            <w:tcW w:type="dxa" w:w="1440"/>
            <w:shd w:fill="FFDCE0" w:val="clear"/>
          </w:tcPr>
          <w:p>
            <w:r>
              <w:rPr>
                <w:sz w:val="17"/>
              </w:rPr>
              <w:t>35,831</w:t>
            </w:r>
          </w:p>
        </w:tc>
        <w:tc>
          <w:tcPr>
            <w:tcW w:type="dxa" w:w="1440"/>
            <w:shd w:fill="FFDCE0" w:val="clear"/>
          </w:tcPr>
          <w:p>
            <w:r>
              <w:rPr>
                <w:b/>
                <w:color w:val="C00000"/>
                <w:sz w:val="17"/>
              </w:rPr>
              <w:t>-3.8%</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27,108</w:t>
            </w:r>
          </w:p>
        </w:tc>
        <w:tc>
          <w:tcPr>
            <w:tcW w:type="dxa" w:w="1440"/>
            <w:shd w:fill="FFDCE0" w:val="clear"/>
          </w:tcPr>
          <w:p>
            <w:r>
              <w:rPr>
                <w:b/>
                <w:sz w:val="17"/>
              </w:rPr>
              <w:t>31,629</w:t>
            </w:r>
          </w:p>
        </w:tc>
        <w:tc>
          <w:tcPr>
            <w:tcW w:type="dxa" w:w="1440"/>
            <w:shd w:fill="FFDCE0" w:val="clear"/>
          </w:tcPr>
          <w:p>
            <w:r>
              <w:rPr>
                <w:sz w:val="17"/>
              </w:rPr>
              <w:t>36,149</w:t>
            </w:r>
          </w:p>
        </w:tc>
        <w:tc>
          <w:tcPr>
            <w:tcW w:type="dxa" w:w="1440"/>
            <w:shd w:fill="FFDCE0" w:val="clear"/>
          </w:tcPr>
          <w:p>
            <w:r>
              <w:rPr>
                <w:b/>
                <w:color w:val="C00000"/>
                <w:sz w:val="17"/>
              </w:rPr>
              <w:t>-4.0%</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26,691</w:t>
            </w:r>
          </w:p>
        </w:tc>
        <w:tc>
          <w:tcPr>
            <w:tcW w:type="dxa" w:w="1440"/>
            <w:shd w:fill="FFDCE0" w:val="clear"/>
          </w:tcPr>
          <w:p>
            <w:r>
              <w:rPr>
                <w:b/>
                <w:sz w:val="17"/>
              </w:rPr>
              <w:t>31,564</w:t>
            </w:r>
          </w:p>
        </w:tc>
        <w:tc>
          <w:tcPr>
            <w:tcW w:type="dxa" w:w="1440"/>
            <w:shd w:fill="FFDCE0" w:val="clear"/>
          </w:tcPr>
          <w:p>
            <w:r>
              <w:rPr>
                <w:sz w:val="17"/>
              </w:rPr>
              <w:t>36,436</w:t>
            </w:r>
          </w:p>
        </w:tc>
        <w:tc>
          <w:tcPr>
            <w:tcW w:type="dxa" w:w="1440"/>
            <w:shd w:fill="FFDCE0" w:val="clear"/>
          </w:tcPr>
          <w:p>
            <w:r>
              <w:rPr>
                <w:b/>
                <w:color w:val="C00000"/>
                <w:sz w:val="17"/>
              </w:rPr>
              <w:t>-4.2%</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26,302</w:t>
            </w:r>
          </w:p>
        </w:tc>
        <w:tc>
          <w:tcPr>
            <w:tcW w:type="dxa" w:w="1440"/>
            <w:shd w:fill="FFDCE0" w:val="clear"/>
          </w:tcPr>
          <w:p>
            <w:r>
              <w:rPr>
                <w:b/>
                <w:sz w:val="17"/>
              </w:rPr>
              <w:t>31,500</w:t>
            </w:r>
          </w:p>
        </w:tc>
        <w:tc>
          <w:tcPr>
            <w:tcW w:type="dxa" w:w="1440"/>
            <w:shd w:fill="FFDCE0" w:val="clear"/>
          </w:tcPr>
          <w:p>
            <w:r>
              <w:rPr>
                <w:sz w:val="17"/>
              </w:rPr>
              <w:t>36,698</w:t>
            </w:r>
          </w:p>
        </w:tc>
        <w:tc>
          <w:tcPr>
            <w:tcW w:type="dxa" w:w="1440"/>
            <w:shd w:fill="FFDCE0" w:val="clear"/>
          </w:tcPr>
          <w:p>
            <w:r>
              <w:rPr>
                <w:b/>
                <w:color w:val="C00000"/>
                <w:sz w:val="17"/>
              </w:rPr>
              <w:t>-4.4%</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25,936</w:t>
            </w:r>
          </w:p>
        </w:tc>
        <w:tc>
          <w:tcPr>
            <w:tcW w:type="dxa" w:w="1440"/>
            <w:shd w:fill="FFDCE0" w:val="clear"/>
          </w:tcPr>
          <w:p>
            <w:r>
              <w:rPr>
                <w:b/>
                <w:sz w:val="17"/>
              </w:rPr>
              <w:t>31,438</w:t>
            </w:r>
          </w:p>
        </w:tc>
        <w:tc>
          <w:tcPr>
            <w:tcW w:type="dxa" w:w="1440"/>
            <w:shd w:fill="FFDCE0" w:val="clear"/>
          </w:tcPr>
          <w:p>
            <w:r>
              <w:rPr>
                <w:sz w:val="17"/>
              </w:rPr>
              <w:t>36,941</w:t>
            </w:r>
          </w:p>
        </w:tc>
        <w:tc>
          <w:tcPr>
            <w:tcW w:type="dxa" w:w="1440"/>
            <w:shd w:fill="FFDCE0" w:val="clear"/>
          </w:tcPr>
          <w:p>
            <w:r>
              <w:rPr>
                <w:b/>
                <w:color w:val="C00000"/>
                <w:sz w:val="17"/>
              </w:rPr>
              <w:t>-4.6%</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25,589</w:t>
            </w:r>
          </w:p>
        </w:tc>
        <w:tc>
          <w:tcPr>
            <w:tcW w:type="dxa" w:w="1440"/>
            <w:shd w:fill="FFDCE0" w:val="clear"/>
          </w:tcPr>
          <w:p>
            <w:r>
              <w:rPr>
                <w:b/>
                <w:sz w:val="17"/>
              </w:rPr>
              <w:t>31,379</w:t>
            </w:r>
          </w:p>
        </w:tc>
        <w:tc>
          <w:tcPr>
            <w:tcW w:type="dxa" w:w="1440"/>
            <w:shd w:fill="FFDCE0" w:val="clear"/>
          </w:tcPr>
          <w:p>
            <w:r>
              <w:rPr>
                <w:sz w:val="17"/>
              </w:rPr>
              <w:t>37,168</w:t>
            </w:r>
          </w:p>
        </w:tc>
        <w:tc>
          <w:tcPr>
            <w:tcW w:type="dxa" w:w="1440"/>
            <w:shd w:fill="FFDCE0" w:val="clear"/>
          </w:tcPr>
          <w:p>
            <w:r>
              <w:rPr>
                <w:b/>
                <w:color w:val="C00000"/>
                <w:sz w:val="17"/>
              </w:rPr>
              <w:t>-4.8%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**RAPPORT D'ANALYSE FINANCIÈRE — BICC (BICICI)**</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549,08 milliards FCFA, BICC s'impose comme l'une des toutes premières capitalisations de la BRVM, ce qui en fait une valeur de premier plan pour les investisseurs institutionnels de la zone UEMOA. Le BPA de 2 191 FCFA par action signifie que chaque titre génère près de 2 200 FCFA de bénéfice net, un niveau élevé qui traduit la forte rentabilité de la banque. Le PER de 15,0x se situe au-dessus de la moyenne du marché BRVM (généralement comprise entre 8 et 12x), ce qui indique que les investisseurs acceptent de payer une prime pour cette valeur bancaire de qualité, sans pour autant tomber dans une exubérance manifeste. Le P/B de 4,55x, nettement supérieur au seuil de 4x, révèle une valorisation exigeante : le marché valorise la banque à plus de quatre fois sa valeur comptable, ce qui intègre déjà une anticipation de forte rentabilité future (ROE de 30,3%). Enfin, l'EV/EBITDA de 11,0x, dans la fourchette élevée de 10-15x, confirme que la valeur d'entreprise rapportée à la capacité opérationnelle est tendue, cohérente avec un dossier de croissance rentable mais dont le potentiel de revalorisation à court terme est limité par ces multiples déjà généreux.</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BICC a enregistré une progression remarquable de +24,56%, portée par une dernière séance particulièrement dynamique (+4,75% en J-1), ce qui témoigne d'un momentum acheteur toujours actif. Le cours actuel de 32 945 FCFA évolue dans un range de trading compris entre un plus bas de 26 450 FCFA et un plus haut de 34 895 FCFA, soit une amplitude de près de 32%, ce qui confirme une tendance nettement haussière sur la période. Les statistiques descriptives révèlent une moyenne de 29 535 FCFA légèrement supérieure à la médiane de 28 998 FCFA, avec un mode à 29 000 FCFA : cet écart modéré entre moyenne et médiane, combiné à un skewness positif de 1,011, indique une asymétrie à droite — autrement dit, davantage de journées se sont situées sous la moyenne, mais quelques séances de forte hausse ont tiré la moyenne vers le haut. L'écart-type de 1 860 FCFA, correspondant à un coefficient de variation de 6,3%, traduit une dispersion relativement contenue du cours autour de sa moyenne, ce qui est rassurant pour la stabilité du titre. Le kurtosis (excès) de 0,215, qualifié de mésokurtique, signifie que la distribution des rendements est proche d'une loi normale, sans risque excessif de pics extrêmes (queues épaisses). Enfin, la volatilité annualisée de 37,2% classe BICC dans la catégorie des titres à volatilité élevée (&gt;30%), ce qui implique un risque de marché significatif mais cohérent avec la dynamique haussière observée.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(31 973,5 FCFA) et la MM50 (30 793,1 FCFA) se situent toutes deux sous le cours actuel (32 945 FCFA), et la MM20 est supérieure à la MM50, configuration typique d'un croisement haussier (golden cross). Cette disposition confirme la tendance positive et justifie la décision d'**Achat** émise par cet indicateur.</w:t>
      </w:r>
    </w:p>
    <w:p>
      <w:pPr>
        <w:spacing w:after="120" w:line="276" w:lineRule="auto"/>
      </w:pPr>
      <w:r>
        <w:t>**Bandes de Bollinger** : Le cours actuel (32 945 FCFA) évolue dans la partie haute du canal, entre la borne inférieure (29 632,755 FCFA) et la borne supérieure (34 314,245 FCFA), sans toutefois franchir cette dernière. Cette position médiane-haute, couplée à un écartement modéré des bandes, traduit une volatilité normale et justifie la décision **Neutre** : ni suracheté, ni survendu.</w:t>
      </w:r>
    </w:p>
    <w:p>
      <w:pPr>
        <w:spacing w:after="120" w:line="276" w:lineRule="auto"/>
      </w:pPr>
      <w:r>
        <w:t>**MACD** : La valeur du MACD (341,45) est inférieure à son signal (429,044), ce qui génère une divergence baissière et un momentum affaibli. Cette configuration, bien que le MACD reste en territoire positif, justifie la décision de **Vente** à court terme, signalant un essoufflement possible de la dynamique haussière.</w:t>
      </w:r>
    </w:p>
    <w:p>
      <w:pPr>
        <w:spacing w:after="120" w:line="276" w:lineRule="auto"/>
      </w:pPr>
      <w:r>
        <w:t>**RSI** : À 54,233, le RSI se situe dans la zone neutre (30-70), légèrement au-dessus du seuil médian de 50, ce qui indique un équilibre entre acheteurs et vendeurs sans pression excessive dans un sens ou dans l'autre. La décision **Neutre** est donc parfaitement justifiée.</w:t>
      </w:r>
    </w:p>
    <w:p>
      <w:pPr>
        <w:spacing w:after="120" w:line="276" w:lineRule="auto"/>
      </w:pPr>
      <w:r>
        <w:t>**Stochastique** : Le %K (62,136) est supérieur au %D (43,107), ce qui constitue un croisement haussier récent, mais les deux lignes restent dans la zone neutre (entre 20 et 80). Cette configuration suggère un potentiel de rebond à court terme, mais sans signal fort, d'où la décision **Neutre**.</w:t>
      </w:r>
    </w:p>
    <w:p>
      <w:pPr>
        <w:spacing w:after="120" w:line="276" w:lineRule="auto"/>
      </w:pPr>
      <w:r>
        <w:t>**Conclusion technique** : Les indicateurs techniques présentent un tableau mitigé. Les moyennes mobiles confirment la tendance haussière de fond, tandis que le MACD signale un essoufflement du momentum et que le RSI, les Bandes de Bollinger et le Stochastique restent neutres. Cette divergence entre tendance de fond (haussière) et momentum court terme (affaibli) suggère une possible consolidation avant une nouvelle impulsion, et invite à la prudence pour les entrées à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BICC affiche un Produit Net Bancaire (équivalent du chiffre d'affaires pour une banque) de 79,563 milliards FCFA, un résultat net de 36,520 milliards FCFA, un ROE exceptionnel de 30,29% (largement supérieur au seuil de 15% considéré comme excellent) et un ROA de 3,24%. Le coefficient d'exploitation s'établit à 50,83%, un niveau inférieur au seuil de 60% qui qualifie la banque d'efficace, et même proche du seuil d'excellence de 50%. Le coût du risque, mesuré par le ratio provisions/charges financières, ressort à -12,15%, un niveau bas qui témoigne d'un portefeuille de crédits de bonne qualité. La structure bilancielle révèle des dépôts clientèle de 952,872 milliards FCFA pour des créances clientèle de 524,439 milliards FCFA, soit un ratio de transformation (crédits/dépôts) de 55%, indiquant une surliquidité relative — la banque collecte plus qu'elle ne prête, ce qui constitue une réserve de croissance mais aussi un manque à gagner potentiel. Les capitaux propres de 120,570 milliards FCFA pour un total bilan de 1 126,270 milliards FCFA donnent une autonomie financière de 10,71%, faible en apparence mais normale pour une banque dont le modèle repose sur l'effet de levier des dépôts.</w:t>
      </w:r>
    </w:p>
    <w:p>
      <w:pPr>
        <w:spacing w:after="120" w:line="276" w:lineRule="auto"/>
      </w:pPr>
      <w:r>
        <w:t>**Estimations basées sur les rapports trimestriels** : Le rapport du T1 2026 (publié le 31 mars 2026) confirme l'accélération de la dynamique : le PNB progresse de +17,0% à 21 214 millions FCFA et le résultat net bondit de +29,7% à 10 387 millions FCFA, avec une marge nette en amélioration à 49,0% (contre 44,2% au T1 2025). Le rapport du T3 2025 (30 septembre 2025) affichait déjà un PNB cumulé de 58 119 millions FCFA (+16,4%) et un résultat net de 27 402 millions FCFA (+50,8%), avec une marge nette de 47,1%. Sur la base de ces tendances, on peut estimer que l'exercice 2026 devrait enregistrer un PNB supérieur à 90 milliards FCFA et un résultat net approchant 45 milliards FCFA, soit une croissance annualisée de l'ordre de 20-25%. Le rapport du S1 2025 (30 juin 2025) soulignait déjà une réduction significative du coût du risque (-72,8%) et une maîtrise des frais de gestion (+3,5% seulement), facteurs qui devraient continuer à soutenir la rentabilité. Le principal point de vigilance reste la contraction des encours de crédits (-4,5% au T1 2026), due à des remboursements anticipés, qui pourrait à terme peser sur la marge d'intermédiation si elle se prolongeait. Néanmoins, la forte croissance des dépôts (+14,5% au T1 2026) offre une base de financement solide pour une reprise des crédits. En synthèse, la solidité fondamentale de BICC est exceptionnelle : rentabilité record (ROE &gt;30%), efficacité opérationnelle (coefficient d'exploitation &lt;51%), qualité du portefeuille (coût du risque faible) et dynamique commerciale soutenue. Les risques identifiés (baisse des crédits, dépendance aux taux) sont modérés et compensés par la qualité de la gestion.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précédentes et des prédictions IA conduit à une recommandation nuancée. **Sur le plan de la valorisation (Partie 0)** , les ratios PER (15,0x), P/B (4,55x) et EV/EBITDA (11,0x) indiquent une valeur correctement valorisée à légèrement surévaluée : la prime est justifiée par la qualité des fondamentaux, mais elle limite le potentiel de revalorisation à court terme. **Le comportement du cours (Partie 1)** est nettement haussier (+24,56% sur 100 jours), avec une volatilité élevée (37,2%) mais une distribution des rendements proche de la normale (kurtosis 0,215) et une asymétrie positive (skewness 1,011) qui suggère que les hausses l'emportent sur les baisses. **Les signaux techniques (Partie 2)** sont divergents : les moyennes mobiles confirment la tendance haussière, mais le MACD signale un essoufflement et les autres indicateurs sont neutres, ce qui plaide pour une consolidation avant une nouvelle impulsion. **Les fondamentaux (Partie 3)** sont excellents : ROE de 30,29%, coefficient d'exploitation de 50,83%, croissance du PNB de +17,0% au T1 2026 et du résultat net de +29,7%, avec une marge nette en amélioration à 49,0%. **Les prédictions IA (J+1 à J+10)** anticipent une légère correction vers 31 696 FCFA d'ici le 16 octobre 2026, ce qui contredit le momentum haussier récent mais s'aligne sur le signal de vente du MACD et sur la nécessité d'une consolidation après une hausse de 24,56%. **Recommandation finale : CONSERVER**. Cette recommandation reflète la convergence entre des fondamentaux exceptionnels (qui justifient une exposition de long terme) et une valorisation tendue ainsi qu'un momentum court terme affaibli (qui invitent à ne pas renforcer immédiatement). Le niveau de confiance est **Moyen** : la qualité fondamentale est incontestable, mais l'incertitude technique et la valorisation élevée tempèrent l'enthousiasme. Le niveau de risque global est **Moyen** : la volatilité élevée (37,2%) et la sensibilité aux taux d'intérêt constituent des facteurs de risque, mais la solidité financière de la banque limite le risque de perte permanente. L'horizon d'investissement optimal est le **moyen terme (3-12 mois)** : les investisseurs déjà positionnés peuvent conserver leurs titres en profitant de la croissance bénéficiaire, tandis que les nouveaux entrants devraient attendre une correction vers la zone des 30 000-31 000 FCFA (proche de la MM50) pour améliorer leur point d'entrée.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5.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11.92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2,899 titres</w:t>
            </w:r>
          </w:p>
        </w:tc>
        <w:tc>
          <w:tcPr>
            <w:tcW w:type="dxa" w:w="2268"/>
            <w:shd w:fill="FFF2CC" w:val="clear"/>
          </w:tcPr>
          <w:p>
            <w:r>
              <w:rPr>
                <w:b/>
                <w:color w:val="503200"/>
                <w:sz w:val="16"/>
              </w:rPr>
              <w:t xml:space="preserve">Cours actuel : </w:t>
            </w:r>
            <w:r>
              <w:rPr>
                <w:color w:val="000000"/>
                <w:sz w:val="17"/>
              </w:rPr>
              <w:t>1,800 FCFA</w:t>
            </w:r>
          </w:p>
          <w:p>
            <w:r>
              <w:rPr>
                <w:b/>
                <w:color w:val="503200"/>
                <w:sz w:val="16"/>
              </w:rPr>
              <w:t xml:space="preserve">Var. 100 jours : </w:t>
            </w:r>
            <w:r>
              <w:rPr>
                <w:b/>
                <w:color w:val="007800"/>
                <w:sz w:val="17"/>
              </w:rPr>
              <w:t>+16.50%</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1,495 FCFA</w:t>
            </w:r>
          </w:p>
          <w:p>
            <w:r>
              <w:rPr>
                <w:b/>
                <w:color w:val="503200"/>
                <w:sz w:val="16"/>
              </w:rPr>
              <w:t xml:space="preserve">Volatilité ann. : </w:t>
            </w:r>
            <w:r>
              <w:rPr>
                <w:color w:val="000000"/>
                <w:sz w:val="17"/>
              </w:rPr>
              <w:t>52.0%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9.62% (Moyenne) — μ=1,928 FCFA, σ=185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β=0.5103 (Défensif) — Cov=0.000037, Var(idx)=0.000073, ρ=0.135,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2,899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σ_j=3.28%/j (Modérée) — Vol. annualisée≈52.0%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1,712</w:t>
            </w:r>
          </w:p>
        </w:tc>
        <w:tc>
          <w:tcPr>
            <w:tcW w:type="dxa" w:w="1440"/>
            <w:shd w:fill="FAFAFA" w:val="clear"/>
          </w:tcPr>
          <w:p>
            <w:r>
              <w:rPr>
                <w:b/>
                <w:sz w:val="17"/>
              </w:rPr>
              <w:t>1,823</w:t>
            </w:r>
          </w:p>
        </w:tc>
        <w:tc>
          <w:tcPr>
            <w:tcW w:type="dxa" w:w="1440"/>
            <w:shd w:fill="FAFAFA" w:val="clear"/>
          </w:tcPr>
          <w:p>
            <w:r>
              <w:rPr>
                <w:sz w:val="17"/>
              </w:rPr>
              <w:t>1,935</w:t>
            </w:r>
          </w:p>
        </w:tc>
        <w:tc>
          <w:tcPr>
            <w:tcW w:type="dxa" w:w="1440"/>
            <w:shd w:fill="FAFAFA" w:val="clear"/>
          </w:tcPr>
          <w:p>
            <w:r>
              <w:rPr>
                <w:b/>
                <w:color w:val="008000"/>
                <w:sz w:val="17"/>
              </w:rPr>
              <w:t>+1.3%</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1,654</w:t>
            </w:r>
          </w:p>
        </w:tc>
        <w:tc>
          <w:tcPr>
            <w:tcW w:type="dxa" w:w="1440"/>
            <w:shd w:fill="FAFAFA" w:val="clear"/>
          </w:tcPr>
          <w:p>
            <w:r>
              <w:rPr>
                <w:b/>
                <w:sz w:val="17"/>
              </w:rPr>
              <w:t>1,811</w:t>
            </w:r>
          </w:p>
        </w:tc>
        <w:tc>
          <w:tcPr>
            <w:tcW w:type="dxa" w:w="1440"/>
            <w:shd w:fill="FAFAFA" w:val="clear"/>
          </w:tcPr>
          <w:p>
            <w:r>
              <w:rPr>
                <w:sz w:val="17"/>
              </w:rPr>
              <w:t>1,968</w:t>
            </w:r>
          </w:p>
        </w:tc>
        <w:tc>
          <w:tcPr>
            <w:tcW w:type="dxa" w:w="1440"/>
            <w:shd w:fill="FAFAFA" w:val="clear"/>
          </w:tcPr>
          <w:p>
            <w:r>
              <w:rPr>
                <w:b/>
                <w:color w:val="008000"/>
                <w:sz w:val="17"/>
              </w:rPr>
              <w:t>+0.6%</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1,621</w:t>
            </w:r>
          </w:p>
        </w:tc>
        <w:tc>
          <w:tcPr>
            <w:tcW w:type="dxa" w:w="1440"/>
            <w:shd w:fill="FAFAFA" w:val="clear"/>
          </w:tcPr>
          <w:p>
            <w:r>
              <w:rPr>
                <w:b/>
                <w:sz w:val="17"/>
              </w:rPr>
              <w:t>1,813</w:t>
            </w:r>
          </w:p>
        </w:tc>
        <w:tc>
          <w:tcPr>
            <w:tcW w:type="dxa" w:w="1440"/>
            <w:shd w:fill="FAFAFA" w:val="clear"/>
          </w:tcPr>
          <w:p>
            <w:r>
              <w:rPr>
                <w:sz w:val="17"/>
              </w:rPr>
              <w:t>2,005</w:t>
            </w:r>
          </w:p>
        </w:tc>
        <w:tc>
          <w:tcPr>
            <w:tcW w:type="dxa" w:w="1440"/>
            <w:shd w:fill="FAFAFA" w:val="clear"/>
          </w:tcPr>
          <w:p>
            <w:r>
              <w:rPr>
                <w:b/>
                <w:color w:val="008000"/>
                <w:sz w:val="17"/>
              </w:rPr>
              <w:t>+0.7%</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1,594</w:t>
            </w:r>
          </w:p>
        </w:tc>
        <w:tc>
          <w:tcPr>
            <w:tcW w:type="dxa" w:w="1440"/>
            <w:shd w:fill="FAFAFA" w:val="clear"/>
          </w:tcPr>
          <w:p>
            <w:r>
              <w:rPr>
                <w:b/>
                <w:sz w:val="17"/>
              </w:rPr>
              <w:t>1,816</w:t>
            </w:r>
          </w:p>
        </w:tc>
        <w:tc>
          <w:tcPr>
            <w:tcW w:type="dxa" w:w="1440"/>
            <w:shd w:fill="FAFAFA" w:val="clear"/>
          </w:tcPr>
          <w:p>
            <w:r>
              <w:rPr>
                <w:sz w:val="17"/>
              </w:rPr>
              <w:t>2,038</w:t>
            </w:r>
          </w:p>
        </w:tc>
        <w:tc>
          <w:tcPr>
            <w:tcW w:type="dxa" w:w="1440"/>
            <w:shd w:fill="FAFAFA" w:val="clear"/>
          </w:tcPr>
          <w:p>
            <w:r>
              <w:rPr>
                <w:b/>
                <w:color w:val="008000"/>
                <w:sz w:val="17"/>
              </w:rPr>
              <w:t>+0.9%</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1,569</w:t>
            </w:r>
          </w:p>
        </w:tc>
        <w:tc>
          <w:tcPr>
            <w:tcW w:type="dxa" w:w="1440"/>
            <w:shd w:fill="FAFAFA" w:val="clear"/>
          </w:tcPr>
          <w:p>
            <w:r>
              <w:rPr>
                <w:b/>
                <w:sz w:val="17"/>
              </w:rPr>
              <w:t>1,818</w:t>
            </w:r>
          </w:p>
        </w:tc>
        <w:tc>
          <w:tcPr>
            <w:tcW w:type="dxa" w:w="1440"/>
            <w:shd w:fill="FAFAFA" w:val="clear"/>
          </w:tcPr>
          <w:p>
            <w:r>
              <w:rPr>
                <w:sz w:val="17"/>
              </w:rPr>
              <w:t>2,067</w:t>
            </w:r>
          </w:p>
        </w:tc>
        <w:tc>
          <w:tcPr>
            <w:tcW w:type="dxa" w:w="1440"/>
            <w:shd w:fill="FAFAFA" w:val="clear"/>
          </w:tcPr>
          <w:p>
            <w:r>
              <w:rPr>
                <w:b/>
                <w:color w:val="008000"/>
                <w:sz w:val="17"/>
              </w:rPr>
              <w:t>+1.0%</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1,547</w:t>
            </w:r>
          </w:p>
        </w:tc>
        <w:tc>
          <w:tcPr>
            <w:tcW w:type="dxa" w:w="1440"/>
            <w:shd w:fill="FAFAFA" w:val="clear"/>
          </w:tcPr>
          <w:p>
            <w:r>
              <w:rPr>
                <w:b/>
                <w:sz w:val="17"/>
              </w:rPr>
              <w:t>1,820</w:t>
            </w:r>
          </w:p>
        </w:tc>
        <w:tc>
          <w:tcPr>
            <w:tcW w:type="dxa" w:w="1440"/>
            <w:shd w:fill="FAFAFA" w:val="clear"/>
          </w:tcPr>
          <w:p>
            <w:r>
              <w:rPr>
                <w:sz w:val="17"/>
              </w:rPr>
              <w:t>2,092</w:t>
            </w:r>
          </w:p>
        </w:tc>
        <w:tc>
          <w:tcPr>
            <w:tcW w:type="dxa" w:w="1440"/>
            <w:shd w:fill="FAFAFA" w:val="clear"/>
          </w:tcPr>
          <w:p>
            <w:r>
              <w:rPr>
                <w:b/>
                <w:color w:val="008000"/>
                <w:sz w:val="17"/>
              </w:rPr>
              <w:t>+1.1%</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1,526</w:t>
            </w:r>
          </w:p>
        </w:tc>
        <w:tc>
          <w:tcPr>
            <w:tcW w:type="dxa" w:w="1440"/>
            <w:shd w:fill="FAFAFA" w:val="clear"/>
          </w:tcPr>
          <w:p>
            <w:r>
              <w:rPr>
                <w:b/>
                <w:sz w:val="17"/>
              </w:rPr>
              <w:t>1,820</w:t>
            </w:r>
          </w:p>
        </w:tc>
        <w:tc>
          <w:tcPr>
            <w:tcW w:type="dxa" w:w="1440"/>
            <w:shd w:fill="FAFAFA" w:val="clear"/>
          </w:tcPr>
          <w:p>
            <w:r>
              <w:rPr>
                <w:sz w:val="17"/>
              </w:rPr>
              <w:t>2,115</w:t>
            </w:r>
          </w:p>
        </w:tc>
        <w:tc>
          <w:tcPr>
            <w:tcW w:type="dxa" w:w="1440"/>
            <w:shd w:fill="FAFAFA" w:val="clear"/>
          </w:tcPr>
          <w:p>
            <w:r>
              <w:rPr>
                <w:b/>
                <w:color w:val="008000"/>
                <w:sz w:val="17"/>
              </w:rPr>
              <w:t>+1.1%</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1,506</w:t>
            </w:r>
          </w:p>
        </w:tc>
        <w:tc>
          <w:tcPr>
            <w:tcW w:type="dxa" w:w="1440"/>
            <w:shd w:fill="FAFAFA" w:val="clear"/>
          </w:tcPr>
          <w:p>
            <w:r>
              <w:rPr>
                <w:b/>
                <w:sz w:val="17"/>
              </w:rPr>
              <w:t>1,821</w:t>
            </w:r>
          </w:p>
        </w:tc>
        <w:tc>
          <w:tcPr>
            <w:tcW w:type="dxa" w:w="1440"/>
            <w:shd w:fill="FAFAFA" w:val="clear"/>
          </w:tcPr>
          <w:p>
            <w:r>
              <w:rPr>
                <w:sz w:val="17"/>
              </w:rPr>
              <w:t>2,136</w:t>
            </w:r>
          </w:p>
        </w:tc>
        <w:tc>
          <w:tcPr>
            <w:tcW w:type="dxa" w:w="1440"/>
            <w:shd w:fill="FAFAFA" w:val="clear"/>
          </w:tcPr>
          <w:p>
            <w:r>
              <w:rPr>
                <w:b/>
                <w:color w:val="008000"/>
                <w:sz w:val="17"/>
              </w:rPr>
              <w:t>+1.2%</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1,488</w:t>
            </w:r>
          </w:p>
        </w:tc>
        <w:tc>
          <w:tcPr>
            <w:tcW w:type="dxa" w:w="1440"/>
            <w:shd w:fill="FAFAFA" w:val="clear"/>
          </w:tcPr>
          <w:p>
            <w:r>
              <w:rPr>
                <w:b/>
                <w:sz w:val="17"/>
              </w:rPr>
              <w:t>1,822</w:t>
            </w:r>
          </w:p>
        </w:tc>
        <w:tc>
          <w:tcPr>
            <w:tcW w:type="dxa" w:w="1440"/>
            <w:shd w:fill="FAFAFA" w:val="clear"/>
          </w:tcPr>
          <w:p>
            <w:r>
              <w:rPr>
                <w:sz w:val="17"/>
              </w:rPr>
              <w:t>2,156</w:t>
            </w:r>
          </w:p>
        </w:tc>
        <w:tc>
          <w:tcPr>
            <w:tcW w:type="dxa" w:w="1440"/>
            <w:shd w:fill="FAFAFA" w:val="clear"/>
          </w:tcPr>
          <w:p>
            <w:r>
              <w:rPr>
                <w:b/>
                <w:color w:val="008000"/>
                <w:sz w:val="17"/>
              </w:rPr>
              <w:t>+1.2%</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1,470</w:t>
            </w:r>
          </w:p>
        </w:tc>
        <w:tc>
          <w:tcPr>
            <w:tcW w:type="dxa" w:w="1440"/>
            <w:shd w:fill="FAFAFA" w:val="clear"/>
          </w:tcPr>
          <w:p>
            <w:r>
              <w:rPr>
                <w:b/>
                <w:sz w:val="17"/>
              </w:rPr>
              <w:t>1,822</w:t>
            </w:r>
          </w:p>
        </w:tc>
        <w:tc>
          <w:tcPr>
            <w:tcW w:type="dxa" w:w="1440"/>
            <w:shd w:fill="FAFAFA" w:val="clear"/>
          </w:tcPr>
          <w:p>
            <w:r>
              <w:rPr>
                <w:sz w:val="17"/>
              </w:rPr>
              <w:t>2,175</w:t>
            </w:r>
          </w:p>
        </w:tc>
        <w:tc>
          <w:tcPr>
            <w:tcW w:type="dxa" w:w="1440"/>
            <w:shd w:fill="FAFAFA" w:val="clear"/>
          </w:tcPr>
          <w:p>
            <w:r>
              <w:rPr>
                <w:b/>
                <w:color w:val="008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**RAPPORT D'ANALYSE FINANCIÈRE — BNBC (BERNABÉ CÔTE D'IVOIRE)**</w:t>
        <w:br/>
        <w:t>*Analyste : Marché BRVM | Date de référence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11,92 Mds FCFA, BNBC se situe dans la catégorie des petites capitalisations de la BRVM, ce qui implique une liquidité limitée et une sensibilité accrue aux mouvements de portefeuille. Le BPA de 3 FCFA/action est symbolique, reflétant une rentabilité nette quasi-nulle de l'entreprise. Le PER de 534,2x est exceptionnellement élevé — très loin de la moyenne BRVM (~8-12x) — et signale que les investisseurs paient environ 534 fois les bénéfices annuels, ce qui traduit soit une anticipation de forte croissance future, soit une anomalie de marché liée à la faiblesse extrême du résultat net (22,3 M FCFA en 2025). Le P/B de 0,67x (&lt; 1) indique que le marché valorise l'action à 33% en dessous de sa valeur comptable (capitaux propres de 17,77 Mds FCFA), ce qui constitue une opportunité potentielle de valeur. L'EV/EBITDA de 23,6x (&gt; 15x) reste très exigeant et suggère que la valeur d'entreprise intègre des anticipations optimistes non encore matérialisées dans les résultats opérationnels.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BNBC affiche une variation totale positive de +16,50%, mais la dernière séance (J-1) enregistre une chute brutale de -5,51%, signalant une pression vendeuse récente. Le cours actuel de 1 800 FCFA se situe dans un range de trading compris entre 1 495 FCFA (plus bas) et 2 400 FCFA (plus haut), soit une amplitude de 60,5% — très large pour une action de cette capitalisation. La tendance générale est haussière sur la période, mais le repli récent suggère une correction en cours. Les statistiques descriptives révèlent une moyenne de 1 928 FCFA légèrement supérieure à la médiane de 1 962 FCFA, avec un mode à 1 990 FCFA, indiquant une distribution légèrement asymétrique vers le bas (skewness de -0,262, distribution symétrique selon l'interprétation fournie). L'écart-type de 186 FCFA avec un coefficient de variation de 9,7% traduit une dispersion modérée du cours autour de sa moyenne. Le kurtosis de 0,386 (mésokurtique) indique une distribution proche de la normale, sans risque excessif de pics extrêmes. La volatilité annualisée de 52,0% classe le titre dans la catégorie des valeurs à volatilité élevée (&gt;30%), ce qui implique un risque de perte en capital significatif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(1 983,5 FCFA) et la MM50 (2 025,4 FCFA) se situent toutes deux au-dessus du cours actuel (1 800 FCFA), confirmant une configuration baissière. La MM20 est inférieure à la MM50, ce qui indique une pression baissière de court terme plus forte que celle de moyen terme. La décision technique est "Vente", justifiée par le positionnement du cours sous ses deux moyennes mobiles.</w:t>
      </w:r>
    </w:p>
    <w:p>
      <w:pPr>
        <w:spacing w:after="120" w:line="276" w:lineRule="auto"/>
      </w:pPr>
      <w:r>
        <w:t>**Bandes de Bollinger** : Le cours actuel (1 800 FCFA) se situe dans la partie basse de la bande, entre la borne inférieure (1 712,846 FCFA) et la borne supérieure (2 254,154 FCFA). La largeur de la bande (541,3 FCFA) reflète une volatilité élevée. La décision est "Neutre", car le cours n'a pas encore atteint la borne inférieure (zone de survente potentielle) mais reste sous la moyenne mobile.</w:t>
      </w:r>
    </w:p>
    <w:p>
      <w:pPr>
        <w:spacing w:after="120" w:line="276" w:lineRule="auto"/>
      </w:pPr>
      <w:r>
        <w:t>**MACD** : La valeur du MACD (-58,055) est inférieure à son signal (-44,627), confirmant un momentum baissier. La divergence négative entre le MACD et son signal indique que la pression vendeuse persiste. La décision est "Vente", cohérente avec la configuration des moyennes mobiles.</w:t>
      </w:r>
    </w:p>
    <w:p>
      <w:pPr>
        <w:spacing w:after="120" w:line="276" w:lineRule="auto"/>
      </w:pPr>
      <w:r>
        <w:t>**RSI** : À 37,013, le RSI se situe dans la zone neutre basse (30-70), sans atteindre la zone de survente (&lt;30). Cela suggère que le titre n'est pas encore techniquement "survendu" et qu'une poursuite de la baisse reste possible. La décision est "Neutre", mais la tendance est clairement baissière.</w:t>
      </w:r>
    </w:p>
    <w:p>
      <w:pPr>
        <w:spacing w:after="120" w:line="276" w:lineRule="auto"/>
      </w:pPr>
      <w:r>
        <w:t>**Stochastique** : Le %K (0,0) est en zone de survente extrême, tandis que le %D (34,5) reste plus élevé. Le croisement du %K sous le %D est un signal baissier, mais la position du %K à 0,0 suggère un potentiel rebond technique à court terme. La décision est "Achat", en anticipation d'un retournement.</w:t>
      </w:r>
    </w:p>
    <w:p>
      <w:pPr>
        <w:spacing w:after="120" w:line="276" w:lineRule="auto"/>
      </w:pPr>
      <w:r>
        <w:t>**Conclusion technique** : Les indicateurs sont majoritairement baissiers (MM, MACD), avec un RSI neutre et un stochastique en zone de survente. La convergence des signaux négatifs (cours sous les MM, MACD sous son signal) suggère une poursuite de la correction à court terme, mais le stochastique à 0,0 indique qu'un rebond technique pourrait survenir. La prudence reste de mise.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BNBC a réalisé un chiffre d'affaires de 42,454 Mds FCFA, en baisse de -6,31% par rapport à 2024 (45,312 Mds FCFA), selon les états financiers annuels 2025. Le résultat net s'établit à 22,318 M FCFA (contre 7,313 M FCFA en 2024), soit une amélioration de +205%, mais la marge nette reste quasi-nulle à 0,0526%. Le ROE est de 0,1256% et le ROA de 0,0454%, des niveaux extrêmement faibles qui traduisent une rentabilité anémique. Le BFR s'élève à 29,373 Mds FCFA, avec un délai client de 104,40 jours (risque de trésorerie élevé) et une durée de stockage de 339,23 jours (immobilisation de capital importante). La trésorerie nette est fortement négative à -16,689 Mds FCFA, et le flux opérationnel est négatif (-786,11 M FCFA), confirmant un risque de liquidité majeur. Le ratio d'endettement de 105,48% et la capacité de remboursement de 19,17 années (dettes financières/CAF) sont préoccupants. Sur la base du rapport T1 2026 (publié en 2026), le chiffre d'affaires est stable à 11,194 Mds FCFA (-0,12% vs T1 2025), mais le résultat net est une perte de -65,566 M FCFA (contre +16,147 M FCFA au T1 2025), soit une dégradation de -506%, attribuée à l'intégration de la division Équipement en phase de démarrage. On estime que l'exercice 2026 pourrait rester déficitaire si la montée en puissance des nouvelles divisions (Équipement, Power) ne compense pas les charges supplémentaires. Le rapport du T3 2025 (daté du 30/09/2025) indiquait déjà une perte nette cumulée de -157,03 M FCFA, confirmant la tendance négative. La recommandation fondamentale est **VENTE** en raison de la situation financière critique (trésorerie négative, rentabilité nulle, endettement élevé) et de l'absence de dividende.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présente un paradoxe : un PER de 534,2x (surévaluation extrême par rapport aux bénéfices) contraste avec un P/B de 0,67x (sous-évaluation par rapport à la valeur comptable). Cette divergence s'explique par la faiblesse du résultat net (22,3 M FCFA) qui rend le PER non significatif, tandis que le P/B reflète une décote potentielle sur les capitaux propres (17,77 Mds FCFA). Le comportement du cours (Partie 1) est préoccupant : malgré une hausse de +16,50% sur 100 jours, la chute de -5,51% en J-1 et la volatilité de 52,0% signalent une instabilité élevée. Les statistiques (skewness -0,262, kurtosis 0,386) indiquent une distribution symétrique sans risque excessif de pics, mais la tendance récente est baissière. Les signaux techniques (Partie 2) sont majoritairement négatifs (MM, MACD en "Vente", RSI neutre), avec un stochastique en zone de survente qui pourrait déclencher un rebond technique. Les fondamentaux (Partie 3) sont critiques : trésorerie nette de -16,689 Mds FCFA, flux opérationnel négatif, rentabilité quasi-nulle, et perte de -65,566 M FCFA au T1 2026. Les prédictions IA (J+1 à J+10) anticipent une légère reprise (1 823 FCFA à 1 818 FCFA), ce qui contredit les signaux baissiers à court terme mais reste dans une fourchette étroite. Sur la base de cette synthèse, la recommandation finale est **VENTE** (confiance Élevée, risque Élevé). La convergence des signaux négatifs (technique baissier, fondamentaux critiques, trésorerie négative) l'emporte sur le potentiel de rebond technique et la décote comptable. L'horizon d'investissement optimal est **court terme** (&lt;3 mois) pour les traders cherchant à profiter d'un éventuel rebond technique, mais **à éviter** pour les investisseurs long terme en raison des risques de liquidité et de la rentabilité nulle. Une surveillance des résultats du T2 2026 est impérative pour confirmer ou infirmer la tendance.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6.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381.27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5,503 titres</w:t>
            </w:r>
          </w:p>
        </w:tc>
        <w:tc>
          <w:tcPr>
            <w:tcW w:type="dxa" w:w="2268"/>
            <w:shd w:fill="FFF2CC" w:val="clear"/>
          </w:tcPr>
          <w:p>
            <w:r>
              <w:rPr>
                <w:b/>
                <w:color w:val="503200"/>
                <w:sz w:val="16"/>
              </w:rPr>
              <w:t xml:space="preserve">Cours actuel : </w:t>
            </w:r>
            <w:r>
              <w:rPr>
                <w:color w:val="000000"/>
                <w:sz w:val="17"/>
              </w:rPr>
              <w:t>9,400 FCFA</w:t>
            </w:r>
          </w:p>
          <w:p>
            <w:r>
              <w:rPr>
                <w:b/>
                <w:color w:val="503200"/>
                <w:sz w:val="16"/>
              </w:rPr>
              <w:t xml:space="preserve">Var. 100 jours : </w:t>
            </w:r>
            <w:r>
              <w:rPr>
                <w:b/>
                <w:color w:val="007800"/>
                <w:sz w:val="17"/>
              </w:rPr>
              <w:t>+0.00%</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8,520 FCFA</w:t>
            </w:r>
          </w:p>
          <w:p>
            <w:r>
              <w:rPr>
                <w:b/>
                <w:color w:val="503200"/>
                <w:sz w:val="16"/>
              </w:rPr>
              <w:t xml:space="preserve">Volatilité ann. : </w:t>
            </w:r>
            <w:r>
              <w:rPr>
                <w:color w:val="000000"/>
                <w:sz w:val="17"/>
              </w:rPr>
              <w:t>28.7%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6.04% (Moyenne) — μ=9,174 FCFA, σ=554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β=0.5328 (Défensif) — Cov=0.000039, Var(idx)=0.000073, ρ=0.250,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5,503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9,049</w:t>
            </w:r>
          </w:p>
        </w:tc>
        <w:tc>
          <w:tcPr>
            <w:tcW w:type="dxa" w:w="1440"/>
            <w:shd w:fill="FAFAFA" w:val="clear"/>
          </w:tcPr>
          <w:p>
            <w:r>
              <w:rPr>
                <w:b/>
                <w:sz w:val="17"/>
              </w:rPr>
              <w:t>9,344</w:t>
            </w:r>
          </w:p>
        </w:tc>
        <w:tc>
          <w:tcPr>
            <w:tcW w:type="dxa" w:w="1440"/>
            <w:shd w:fill="FAFAFA" w:val="clear"/>
          </w:tcPr>
          <w:p>
            <w:r>
              <w:rPr>
                <w:sz w:val="17"/>
              </w:rPr>
              <w:t>9,638</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8,897</w:t>
            </w:r>
          </w:p>
        </w:tc>
        <w:tc>
          <w:tcPr>
            <w:tcW w:type="dxa" w:w="1440"/>
            <w:shd w:fill="FAFAFA" w:val="clear"/>
          </w:tcPr>
          <w:p>
            <w:r>
              <w:rPr>
                <w:b/>
                <w:sz w:val="17"/>
              </w:rPr>
              <w:t>9,312</w:t>
            </w:r>
          </w:p>
        </w:tc>
        <w:tc>
          <w:tcPr>
            <w:tcW w:type="dxa" w:w="1440"/>
            <w:shd w:fill="FAFAFA" w:val="clear"/>
          </w:tcPr>
          <w:p>
            <w:r>
              <w:rPr>
                <w:sz w:val="17"/>
              </w:rPr>
              <w:t>9,728</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8,778</w:t>
            </w:r>
          </w:p>
        </w:tc>
        <w:tc>
          <w:tcPr>
            <w:tcW w:type="dxa" w:w="1440"/>
            <w:shd w:fill="FAFAFA" w:val="clear"/>
          </w:tcPr>
          <w:p>
            <w:r>
              <w:rPr>
                <w:b/>
                <w:sz w:val="17"/>
              </w:rPr>
              <w:t>9,285</w:t>
            </w:r>
          </w:p>
        </w:tc>
        <w:tc>
          <w:tcPr>
            <w:tcW w:type="dxa" w:w="1440"/>
            <w:shd w:fill="FAFAFA" w:val="clear"/>
          </w:tcPr>
          <w:p>
            <w:r>
              <w:rPr>
                <w:sz w:val="17"/>
              </w:rPr>
              <w:t>9,792</w:t>
            </w:r>
          </w:p>
        </w:tc>
        <w:tc>
          <w:tcPr>
            <w:tcW w:type="dxa" w:w="1440"/>
            <w:shd w:fill="FAFAFA" w:val="clear"/>
          </w:tcPr>
          <w:p>
            <w:r>
              <w:rPr>
                <w:b/>
                <w:color w:val="C00000"/>
                <w:sz w:val="17"/>
              </w:rPr>
              <w:t>-1.2%</w:t>
            </w:r>
          </w:p>
        </w:tc>
      </w:tr>
      <w:tr>
        <w:tc>
          <w:tcPr>
            <w:tcW w:type="dxa" w:w="1440"/>
            <w:shd w:fill="FAFAFA" w:val="clear"/>
          </w:tcPr>
          <w:p>
            <w:r>
              <w:rPr>
                <w:sz w:val="17"/>
              </w:rPr>
              <w:t>J+4  Moyenne</w:t>
            </w:r>
          </w:p>
        </w:tc>
        <w:tc>
          <w:tcPr>
            <w:tcW w:type="dxa" w:w="1440"/>
            <w:shd w:fill="FAFAFA" w:val="clear"/>
          </w:tcPr>
          <w:p>
            <w:r>
              <w:rPr>
                <w:sz w:val="17"/>
              </w:rPr>
              <w:t>2026-10-15</w:t>
            </w:r>
          </w:p>
        </w:tc>
        <w:tc>
          <w:tcPr>
            <w:tcW w:type="dxa" w:w="1440"/>
            <w:shd w:fill="FAFAFA" w:val="clear"/>
          </w:tcPr>
          <w:p>
            <w:r>
              <w:rPr>
                <w:sz w:val="17"/>
              </w:rPr>
              <w:t>8,678</w:t>
            </w:r>
          </w:p>
        </w:tc>
        <w:tc>
          <w:tcPr>
            <w:tcW w:type="dxa" w:w="1440"/>
            <w:shd w:fill="FAFAFA" w:val="clear"/>
          </w:tcPr>
          <w:p>
            <w:r>
              <w:rPr>
                <w:b/>
                <w:sz w:val="17"/>
              </w:rPr>
              <w:t>9,262</w:t>
            </w:r>
          </w:p>
        </w:tc>
        <w:tc>
          <w:tcPr>
            <w:tcW w:type="dxa" w:w="1440"/>
            <w:shd w:fill="FAFAFA" w:val="clear"/>
          </w:tcPr>
          <w:p>
            <w:r>
              <w:rPr>
                <w:sz w:val="17"/>
              </w:rPr>
              <w:t>9,846</w:t>
            </w:r>
          </w:p>
        </w:tc>
        <w:tc>
          <w:tcPr>
            <w:tcW w:type="dxa" w:w="1440"/>
            <w:shd w:fill="FAFAFA" w:val="clear"/>
          </w:tcPr>
          <w:p>
            <w:r>
              <w:rPr>
                <w:b/>
                <w:color w:val="C00000"/>
                <w:sz w:val="17"/>
              </w:rPr>
              <w:t>-1.5%</w:t>
            </w:r>
          </w:p>
        </w:tc>
      </w:tr>
      <w:tr>
        <w:tc>
          <w:tcPr>
            <w:tcW w:type="dxa" w:w="1440"/>
            <w:shd w:fill="FAFAFA" w:val="clear"/>
          </w:tcPr>
          <w:p>
            <w:r>
              <w:rPr>
                <w:sz w:val="17"/>
              </w:rPr>
              <w:t>J+5  Moyenne</w:t>
            </w:r>
          </w:p>
        </w:tc>
        <w:tc>
          <w:tcPr>
            <w:tcW w:type="dxa" w:w="1440"/>
            <w:shd w:fill="FAFAFA" w:val="clear"/>
          </w:tcPr>
          <w:p>
            <w:r>
              <w:rPr>
                <w:sz w:val="17"/>
              </w:rPr>
              <w:t>2026-10-16</w:t>
            </w:r>
          </w:p>
        </w:tc>
        <w:tc>
          <w:tcPr>
            <w:tcW w:type="dxa" w:w="1440"/>
            <w:shd w:fill="FAFAFA" w:val="clear"/>
          </w:tcPr>
          <w:p>
            <w:r>
              <w:rPr>
                <w:sz w:val="17"/>
              </w:rPr>
              <w:t>8,590</w:t>
            </w:r>
          </w:p>
        </w:tc>
        <w:tc>
          <w:tcPr>
            <w:tcW w:type="dxa" w:w="1440"/>
            <w:shd w:fill="FAFAFA" w:val="clear"/>
          </w:tcPr>
          <w:p>
            <w:r>
              <w:rPr>
                <w:b/>
                <w:sz w:val="17"/>
              </w:rPr>
              <w:t>9,241</w:t>
            </w:r>
          </w:p>
        </w:tc>
        <w:tc>
          <w:tcPr>
            <w:tcW w:type="dxa" w:w="1440"/>
            <w:shd w:fill="FAFAFA" w:val="clear"/>
          </w:tcPr>
          <w:p>
            <w:r>
              <w:rPr>
                <w:sz w:val="17"/>
              </w:rPr>
              <w:t>9,893</w:t>
            </w:r>
          </w:p>
        </w:tc>
        <w:tc>
          <w:tcPr>
            <w:tcW w:type="dxa" w:w="1440"/>
            <w:shd w:fill="FAFAFA" w:val="clear"/>
          </w:tcPr>
          <w:p>
            <w:r>
              <w:rPr>
                <w:b/>
                <w:color w:val="C00000"/>
                <w:sz w:val="17"/>
              </w:rPr>
              <w:t>-1.7%</w:t>
            </w:r>
          </w:p>
        </w:tc>
      </w:tr>
      <w:tr>
        <w:tc>
          <w:tcPr>
            <w:tcW w:type="dxa" w:w="1440"/>
            <w:shd w:fill="FAFAFA" w:val="clear"/>
          </w:tcPr>
          <w:p>
            <w:r>
              <w:rPr>
                <w:sz w:val="17"/>
              </w:rPr>
              <w:t>J+6  Moyenne</w:t>
            </w:r>
          </w:p>
        </w:tc>
        <w:tc>
          <w:tcPr>
            <w:tcW w:type="dxa" w:w="1440"/>
            <w:shd w:fill="FAFAFA" w:val="clear"/>
          </w:tcPr>
          <w:p>
            <w:r>
              <w:rPr>
                <w:sz w:val="17"/>
              </w:rPr>
              <w:t>2026-10-19</w:t>
            </w:r>
          </w:p>
        </w:tc>
        <w:tc>
          <w:tcPr>
            <w:tcW w:type="dxa" w:w="1440"/>
            <w:shd w:fill="FAFAFA" w:val="clear"/>
          </w:tcPr>
          <w:p>
            <w:r>
              <w:rPr>
                <w:sz w:val="17"/>
              </w:rPr>
              <w:t>8,510</w:t>
            </w:r>
          </w:p>
        </w:tc>
        <w:tc>
          <w:tcPr>
            <w:tcW w:type="dxa" w:w="1440"/>
            <w:shd w:fill="FAFAFA" w:val="clear"/>
          </w:tcPr>
          <w:p>
            <w:r>
              <w:rPr>
                <w:b/>
                <w:sz w:val="17"/>
              </w:rPr>
              <w:t>9,222</w:t>
            </w:r>
          </w:p>
        </w:tc>
        <w:tc>
          <w:tcPr>
            <w:tcW w:type="dxa" w:w="1440"/>
            <w:shd w:fill="FAFAFA" w:val="clear"/>
          </w:tcPr>
          <w:p>
            <w:r>
              <w:rPr>
                <w:sz w:val="17"/>
              </w:rPr>
              <w:t>9,934</w:t>
            </w:r>
          </w:p>
        </w:tc>
        <w:tc>
          <w:tcPr>
            <w:tcW w:type="dxa" w:w="1440"/>
            <w:shd w:fill="FAFAFA" w:val="clear"/>
          </w:tcPr>
          <w:p>
            <w:r>
              <w:rPr>
                <w:b/>
                <w:color w:val="C00000"/>
                <w:sz w:val="17"/>
              </w:rPr>
              <w:t>-1.9%</w:t>
            </w:r>
          </w:p>
        </w:tc>
      </w:tr>
      <w:tr>
        <w:tc>
          <w:tcPr>
            <w:tcW w:type="dxa" w:w="1440"/>
            <w:shd w:fill="FFDCE0" w:val="clear"/>
          </w:tcPr>
          <w:p>
            <w:r>
              <w:rPr>
                <w:sz w:val="17"/>
              </w:rPr>
              <w:t>J+7  Moyenne</w:t>
            </w:r>
          </w:p>
        </w:tc>
        <w:tc>
          <w:tcPr>
            <w:tcW w:type="dxa" w:w="1440"/>
            <w:shd w:fill="FFDCE0" w:val="clear"/>
          </w:tcPr>
          <w:p>
            <w:r>
              <w:rPr>
                <w:sz w:val="17"/>
              </w:rPr>
              <w:t>2026-10-20</w:t>
            </w:r>
          </w:p>
        </w:tc>
        <w:tc>
          <w:tcPr>
            <w:tcW w:type="dxa" w:w="1440"/>
            <w:shd w:fill="FFDCE0" w:val="clear"/>
          </w:tcPr>
          <w:p>
            <w:r>
              <w:rPr>
                <w:sz w:val="17"/>
              </w:rPr>
              <w:t>8,436</w:t>
            </w:r>
          </w:p>
        </w:tc>
        <w:tc>
          <w:tcPr>
            <w:tcW w:type="dxa" w:w="1440"/>
            <w:shd w:fill="FFDCE0" w:val="clear"/>
          </w:tcPr>
          <w:p>
            <w:r>
              <w:rPr>
                <w:b/>
                <w:sz w:val="17"/>
              </w:rPr>
              <w:t>9,204</w:t>
            </w:r>
          </w:p>
        </w:tc>
        <w:tc>
          <w:tcPr>
            <w:tcW w:type="dxa" w:w="1440"/>
            <w:shd w:fill="FFDCE0" w:val="clear"/>
          </w:tcPr>
          <w:p>
            <w:r>
              <w:rPr>
                <w:sz w:val="17"/>
              </w:rPr>
              <w:t>9,971</w:t>
            </w:r>
          </w:p>
        </w:tc>
        <w:tc>
          <w:tcPr>
            <w:tcW w:type="dxa" w:w="1440"/>
            <w:shd w:fill="FFDCE0" w:val="clear"/>
          </w:tcPr>
          <w:p>
            <w:r>
              <w:rPr>
                <w:b/>
                <w:color w:val="C00000"/>
                <w:sz w:val="17"/>
              </w:rPr>
              <w:t>-2.1%</w:t>
            </w:r>
          </w:p>
        </w:tc>
      </w:tr>
      <w:tr>
        <w:tc>
          <w:tcPr>
            <w:tcW w:type="dxa" w:w="1440"/>
            <w:shd w:fill="FFDCE0" w:val="clear"/>
          </w:tcPr>
          <w:p>
            <w:r>
              <w:rPr>
                <w:sz w:val="17"/>
              </w:rPr>
              <w:t>J+8  Moyenne</w:t>
            </w:r>
          </w:p>
        </w:tc>
        <w:tc>
          <w:tcPr>
            <w:tcW w:type="dxa" w:w="1440"/>
            <w:shd w:fill="FFDCE0" w:val="clear"/>
          </w:tcPr>
          <w:p>
            <w:r>
              <w:rPr>
                <w:sz w:val="17"/>
              </w:rPr>
              <w:t>2026-10-21</w:t>
            </w:r>
          </w:p>
        </w:tc>
        <w:tc>
          <w:tcPr>
            <w:tcW w:type="dxa" w:w="1440"/>
            <w:shd w:fill="FFDCE0" w:val="clear"/>
          </w:tcPr>
          <w:p>
            <w:r>
              <w:rPr>
                <w:sz w:val="17"/>
              </w:rPr>
              <w:t>8,367</w:t>
            </w:r>
          </w:p>
        </w:tc>
        <w:tc>
          <w:tcPr>
            <w:tcW w:type="dxa" w:w="1440"/>
            <w:shd w:fill="FFDCE0" w:val="clear"/>
          </w:tcPr>
          <w:p>
            <w:r>
              <w:rPr>
                <w:b/>
                <w:sz w:val="17"/>
              </w:rPr>
              <w:t>9,186</w:t>
            </w:r>
          </w:p>
        </w:tc>
        <w:tc>
          <w:tcPr>
            <w:tcW w:type="dxa" w:w="1440"/>
            <w:shd w:fill="FFDCE0" w:val="clear"/>
          </w:tcPr>
          <w:p>
            <w:r>
              <w:rPr>
                <w:sz w:val="17"/>
              </w:rPr>
              <w:t>10,005</w:t>
            </w:r>
          </w:p>
        </w:tc>
        <w:tc>
          <w:tcPr>
            <w:tcW w:type="dxa" w:w="1440"/>
            <w:shd w:fill="FFDCE0" w:val="clear"/>
          </w:tcPr>
          <w:p>
            <w:r>
              <w:rPr>
                <w:b/>
                <w:color w:val="C00000"/>
                <w:sz w:val="17"/>
              </w:rPr>
              <w:t>-2.3%</w:t>
            </w:r>
          </w:p>
        </w:tc>
      </w:tr>
      <w:tr>
        <w:tc>
          <w:tcPr>
            <w:tcW w:type="dxa" w:w="1440"/>
            <w:shd w:fill="FFDCE0" w:val="clear"/>
          </w:tcPr>
          <w:p>
            <w:r>
              <w:rPr>
                <w:sz w:val="17"/>
              </w:rPr>
              <w:t>J+9  Moyenne</w:t>
            </w:r>
          </w:p>
        </w:tc>
        <w:tc>
          <w:tcPr>
            <w:tcW w:type="dxa" w:w="1440"/>
            <w:shd w:fill="FFDCE0" w:val="clear"/>
          </w:tcPr>
          <w:p>
            <w:r>
              <w:rPr>
                <w:sz w:val="17"/>
              </w:rPr>
              <w:t>2026-10-22</w:t>
            </w:r>
          </w:p>
        </w:tc>
        <w:tc>
          <w:tcPr>
            <w:tcW w:type="dxa" w:w="1440"/>
            <w:shd w:fill="FFDCE0" w:val="clear"/>
          </w:tcPr>
          <w:p>
            <w:r>
              <w:rPr>
                <w:sz w:val="17"/>
              </w:rPr>
              <w:t>8,302</w:t>
            </w:r>
          </w:p>
        </w:tc>
        <w:tc>
          <w:tcPr>
            <w:tcW w:type="dxa" w:w="1440"/>
            <w:shd w:fill="FFDCE0" w:val="clear"/>
          </w:tcPr>
          <w:p>
            <w:r>
              <w:rPr>
                <w:b/>
                <w:sz w:val="17"/>
              </w:rPr>
              <w:t>9,170</w:t>
            </w:r>
          </w:p>
        </w:tc>
        <w:tc>
          <w:tcPr>
            <w:tcW w:type="dxa" w:w="1440"/>
            <w:shd w:fill="FFDCE0" w:val="clear"/>
          </w:tcPr>
          <w:p>
            <w:r>
              <w:rPr>
                <w:sz w:val="17"/>
              </w:rPr>
              <w:t>10,037</w:t>
            </w:r>
          </w:p>
        </w:tc>
        <w:tc>
          <w:tcPr>
            <w:tcW w:type="dxa" w:w="1440"/>
            <w:shd w:fill="FFDCE0" w:val="clear"/>
          </w:tcPr>
          <w:p>
            <w:r>
              <w:rPr>
                <w:b/>
                <w:color w:val="C00000"/>
                <w:sz w:val="17"/>
              </w:rPr>
              <w:t>-2.5%</w:t>
            </w:r>
          </w:p>
        </w:tc>
      </w:tr>
      <w:tr>
        <w:tc>
          <w:tcPr>
            <w:tcW w:type="dxa" w:w="1440"/>
            <w:shd w:fill="FFDCE0" w:val="clear"/>
          </w:tcPr>
          <w:p>
            <w:r>
              <w:rPr>
                <w:sz w:val="17"/>
              </w:rPr>
              <w:t>J+10  Moyenne</w:t>
            </w:r>
          </w:p>
        </w:tc>
        <w:tc>
          <w:tcPr>
            <w:tcW w:type="dxa" w:w="1440"/>
            <w:shd w:fill="FFDCE0" w:val="clear"/>
          </w:tcPr>
          <w:p>
            <w:r>
              <w:rPr>
                <w:sz w:val="17"/>
              </w:rPr>
              <w:t>2026-10-23</w:t>
            </w:r>
          </w:p>
        </w:tc>
        <w:tc>
          <w:tcPr>
            <w:tcW w:type="dxa" w:w="1440"/>
            <w:shd w:fill="FFDCE0" w:val="clear"/>
          </w:tcPr>
          <w:p>
            <w:r>
              <w:rPr>
                <w:sz w:val="17"/>
              </w:rPr>
              <w:t>8,241</w:t>
            </w:r>
          </w:p>
        </w:tc>
        <w:tc>
          <w:tcPr>
            <w:tcW w:type="dxa" w:w="1440"/>
            <w:shd w:fill="FFDCE0" w:val="clear"/>
          </w:tcPr>
          <w:p>
            <w:r>
              <w:rPr>
                <w:b/>
                <w:sz w:val="17"/>
              </w:rPr>
              <w:t>9,154</w:t>
            </w:r>
          </w:p>
        </w:tc>
        <w:tc>
          <w:tcPr>
            <w:tcW w:type="dxa" w:w="1440"/>
            <w:shd w:fill="FFDCE0" w:val="clear"/>
          </w:tcPr>
          <w:p>
            <w:r>
              <w:rPr>
                <w:sz w:val="17"/>
              </w:rPr>
              <w:t>10,066</w:t>
            </w:r>
          </w:p>
        </w:tc>
        <w:tc>
          <w:tcPr>
            <w:tcW w:type="dxa" w:w="1440"/>
            <w:shd w:fill="FFDCE0" w:val="clear"/>
          </w:tcPr>
          <w:p>
            <w:r>
              <w:rPr>
                <w:b/>
                <w:color w:val="C00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 RAPPORT D'ANALYSE FINANCIÈRE — BOAB (Bank of Africa Bénin)</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381,27 milliards FCFA, BOAB s'impose comme l'une des valeurs bancaires de référence de la cote BRVM, un niveau qui traduit la confiance des investisseurs dans le titre. Le BPA de 496 FCFA/action signifie que chaque titre génère près de 500 FCFA de bénéfice net, un niveau de rentabilité par action solide. Le PER de 19,0x est nettement supérieur à la moyenne du marché BRVM (généralement située entre 8x et 12x), ce qui indique que les investisseurs acceptent de payer une prime significative pour les bénéfices de BOAB, anticipant une croissance future. Le P/B de 3,24x confirme cette tendance : le marché valorise la banque à plus de trois fois sa valeur comptable, une prime de croissance typique des établissements bancaires les plus rentables de la région. Enfin, l'EV/EBITDA de 19,5x, supérieur au seuil de 15x, signale une valorisation exigeante qui intègre déjà une bonne partie du potentiel de croissance — un niveau qui laisse peu de marge d'erreur en cas de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BOAB affiche une variation totale de +0,00%, tout comme la variation J-1, traduisant une stabilité remarquable du titre à 9 400 FCFA. Le range de trading s'étend de 8 520 FCFA (plus bas) à 10 350 FCFA (plus haut), soit une amplitude d'environ 21,5% qui témoigne d'une réelle dynamique de prix malgré la stabilité finale. La tendance générale apparaît donc latérale, avec une oscillation entre ces bornes sans direction franche, le titre ayant probablement connu des phases haussières et baissières qui se sont compensées. Les statistiques descriptives révèlent une moyenne de 9 174 FCFA supérieure à la médiane de 8 950 FCFA, et un mode à 8 700 FCFA : cet écart entre moyenne et médiane, combiné à un skewness positif de 0,933, indique une asymétrie positive avec davantage de journées de cotation sous la moyenne, mais quelques pics haussiers tirant la moyenne vers le haut. L'écart-type de 557 FCFA (CV de 6,1%) traduit une dispersion modérée du cours autour de sa moyenne, tandis que le kurtosis de -0,543 (mésokurtique) suggère une distribution proche de la normale, sans risque excessif de pics extrêmes. La volatilité annualisée de 28,7% positionne le titre dans la catégorie des valeurs à volatilité modérée à élevée (seuil de 30%), ce qui est cohérent avec le profil d'une action bancaire de croissance sur un marché frontière.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9 519,5 FCFA et la MM50 à 9 482,9 FCFA, toutes deux supérieures au cours actuel de 9 400 FCFA. Cette configuration indique que le titre évolue légèrement sous ses moyennes court et moyen terme, mais la proximité des deux moyennes (écart de seulement 36,6 FCFA) et leur pente globalement haussière justifient la décision technique d'**Achat** : le cours pourrait revenir tester ces niveaux, offrant un point d'entrée intéressant.</w:t>
      </w:r>
    </w:p>
    <w:p>
      <w:pPr>
        <w:spacing w:after="120" w:line="276" w:lineRule="auto"/>
      </w:pPr>
      <w:r>
        <w:t>**Bandes de Bollinger** : La borne supérieure se situe à 10 386,24 FCFA et la borne inférieure à 8 652,76 FCFA, encadrant le cours actuel de 9 400 FCFA qui évolue dans la partie médiane basse du canal. La largeur des bandes (environ 1 733 FCFA) reflète une volatilité modérée, et la position du cours, sans contact avec les bornes, justifie la décision **Neutre** : aucun signal de surachat ou de survente n'est présent.</w:t>
      </w:r>
    </w:p>
    <w:p>
      <w:pPr>
        <w:spacing w:after="120" w:line="276" w:lineRule="auto"/>
      </w:pPr>
      <w:r>
        <w:t>**MACD** : La valeur du MACD (-85,531) est inférieure à son signal (-74,217), générant un histogramme négatif qui traduit un momentum baissier persistant. Cette divergence négative, bien que modérée, justifie la décision de **Vente** à court terme : la dynamique de court terme reste défavorable malgré la stabilité du cours.</w:t>
      </w:r>
    </w:p>
    <w:p>
      <w:pPr>
        <w:spacing w:after="120" w:line="276" w:lineRule="auto"/>
      </w:pPr>
      <w:r>
        <w:t>**RSI** : À 40,964, le RSI se situe dans la zone neutre (30-70), sans atteindre le seuil de survente (30) ni de surachat (70). Cette position médiane-basse indique une absence de pression acheteuse ou vendeuse dominante, justifiant la décision **Neutre** : le titre n'est ni survendu ni suracheté.</w:t>
      </w:r>
    </w:p>
    <w:p>
      <w:pPr>
        <w:spacing w:after="120" w:line="276" w:lineRule="auto"/>
      </w:pPr>
      <w:r>
        <w:t>**Stochastique** : Le %K (63,542) est supérieur au %D (54,867), avec un croisement récent à la hausse qui pourrait signaler un début de retournement positif. Cependant, les deux valeurs restent dans la zone neutre, justifiant la décision **Neutre** : le signal haussier est encore trop faible pour être confirmé.</w:t>
      </w:r>
    </w:p>
    <w:p>
      <w:pPr>
        <w:spacing w:after="120" w:line="276" w:lineRule="auto"/>
      </w:pPr>
      <w:r>
        <w:t>**Conclusion technique** : Les indicateurs techniques présentent un tableau mitigé. Les moyennes mobiles plaident pour un achat sur repli, tandis que le MACD signale une pression baissière persistante. Le RSI et le stochastique, en zone neutre, n'apportent pas de signal directionnel fort, et les bandes de Bollinger confirment l'absence de tension extrême. La convergence des signaux vers une **neutralité dominante** suggère une phase de consolidation, avec un léger avantage aux acheteurs si le cours parvient à se maintenir au-dessus des 9 400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BOAB affiche un Produit Net Bancaire (PNB) de 51,274 milliards FCFA, en croissance de 10,20% par rapport à l'exercice précédent, confirmant la dynamique commerciale de la banque. Le résultat net s'élève à 20,107 milliards FCFA, avec une marge nette exceptionnelle de 39,22% et un ROE de 17,11% — un niveau supérieur au seuil de 15% qui témoigne d'une excellente rentabilité des fonds propres. Le ROA de 2,08% reste modeste mais conforme aux standards bancaires, la nature bilancielle de l'activité diluant mécaniquement ce ratio. Le coefficient d'exploitation de 49,53% est inférieur au seuil de 60%, et même proche du seuil d'excellence de 50%, indiquant une banque très efficace dans la maîtrise de ses charges. Le coût du risque, à 22,50% des charges financières, demeure élevé et constitue un point de vigilance sur la qualité du portefeuille de crédits. La structure financière montre une autonomie financière de 12,18% (inférieure au seuil de 30% considéré comme sain), mais une solvabilité générale de 113,87% (supérieure à 1) qui garantit la couverture des dettes par l'actif. Le ratio dépôts/crédits s'établit à 711,642 Mds FCFA de dépôts clientèle pour 391,724 Mds FCFA de créances, soit un taux de transformation de 55%, typique d'une banque conservatrice privilégiant la liquidité.</w:t>
      </w:r>
    </w:p>
    <w:p>
      <w:pPr>
        <w:spacing w:after="120" w:line="276" w:lineRule="auto"/>
      </w:pPr>
      <w:r>
        <w:t>**Estimations basées sur les rapports trimestriels** : Le rapport du **T1 2026 (publié en 2026)** révèle un PNB de 12,329 milliards FCFA, en hausse de 11% sur un an, porté par une progression des commissions de +18,9% et une marge nette bancaire en hausse de +8,5%. Le résultat net du T1 2026 s'établit à 4,502 milliards FCFA, en progression limitée de +1%, traduisant une pression sur les coûts. Les dépôts clientèle atteignent 753,7 milliards FCFA (+3,5% sur l'année glissante), tandis que les créances clientèle stagnent à 386,5 milliards FCFA. Sur la base de ces performances trimestrielles, on peut estimer que l'exercice 2026 devrait enregistrer un PNB annuel autour de 53-55 milliards FCFA (si la dynamique se maintient) et un résultat net proche de 20-21 milliards FCFA, soit une croissance modérée de 0-5% par rapport à 2025. Le rapport du **T3 2025 (daté du 30 septembre 2025)** confirmait déjà cette tendance avec un PNB trimestriel de 37,065 milliards FCFA (+9% en glissement annuel) et un résultat net de 15,880 milliards FCFA (+13%), malgré une contraction des crédits (-10%) et des dépôts (-5%) — une performance paradoxale mais positive qui démontre la capacité de la banque à améliorer sa rentabilité même avec un bilan en contraction. Les rapports antérieurs (S1 2025, T1 2025, exercice 2024) montrent une évolution en dents de scie : le résultat net 2024 (19,647 milliards FCFA) avait reculé de 8,7% par rapport à 2023 (21,529 milliards FCFA), avant un rebond en 2025 à 20,107 milliards FCFA. Le ROE, après avoir culminé à environ 19,1% en 2023, est revenu à 16,7% en 2024 puis 17,11% en 2025, traduisant une normalisation de la rentabilité après l'augmentation de capital de 2024 (capital doublé de 20,3 à 40,6 milliards FCFA).</w:t>
      </w:r>
    </w:p>
    <w:p>
      <w:pPr>
        <w:spacing w:after="120" w:line="276" w:lineRule="auto"/>
      </w:pPr>
      <w:r>
        <w:t>**Recommandation fondamentale** : BOAB présente des fondamentaux solides avec une rentabilité élevée (ROE &gt;17%), une efficacité opérationnelle remarquable (coefficient d'exploitation &lt;50%) et une croissance du PNB à deux chiffres (+10,2% en 2025, +11% au T1 2026). Les principaux risques identifiés sont le coût du risque élevé (22,5% des charges financières), la stagnation des créances clientèle qui pourrait limiter la croissance future, et une autonomie financière faible (12,18%) qui rend la banque dépendante des dépôts et des financements interbancaires. La recommandation fondamentale est de **CONSERVER** le titre : la solidité financière et la rentabilité justifient une exposition, mais la valorisation exigeante (PER 19x) et les pressions sur les coûts limitent le potentiel de hausse à court terme.</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dessine un tableau nuancé pour BOAB. **Sur le plan de la valorisation (Partie 0)**, les ratios PER (19,0x), P/B (3,24x) et EV/EBITDA (19,5x) indiquent une surévaluation relative par rapport à la moyenne du marché BRVM, le titre intégrant déjà une prime de croissance significative. **Le comportement du cours (Partie 1)** révèle une stabilité apparente (+0,00% sur 100 jours) masquant une volatilité modérée (28,7% annualisée) et une asymétrie positive (skewness 0,933) avec quelques pics haussiers, mais la distribution proche de la normale (kurtosis -0,543) limite le risque de mouvements extrêmes. **Les signaux techniques (Partie 2)** sont mitigés : les moyennes mobiles plaident pour un achat sur repli, mais le MACD confirme une pression baissière, tandis que le RSI et le stochastique restent neutres — une divergence qui suggère une phase de consolidation sans direction claire. **Les fondamentaux (Partie 3)** demeurent solides avec un ROE de 17,11%, un coefficient d'exploitation de 49,53% et une croissance du PNB de +10,2% en 2025, mais les estimations basées sur le T1 2026 (+11% de PNB, +1% de résultat net) montrent une décélération de la rentabilité nette qui pourrait peser sur le titre. **Les prédictions IA (J+1 à J+10)** anticipent une trajectoire baissière progressive de 9 344 FCFA (J+1) à 9 241 FCFA (J+5), soit une baisse d'environ 1,7% sur la période, ce qui contredit les signaux d'achat des moyennes mobiles mais confirme la pression baissière du MACD.</w:t>
      </w:r>
    </w:p>
    <w:p>
      <w:pPr>
        <w:spacing w:after="120" w:line="276" w:lineRule="auto"/>
      </w:pPr>
      <w:r>
        <w:t>**Recommandation finale : CONSERVER** — Le titre présente une convergence partielle entre les signaux : la valorisation exigeante et les prédictions baissières à court terme plaident pour la prudence, tandis que les fondamentaux solides et la rentabilité élevée justifient une exposition à moyen terme. La divergence entre les indicateurs techniques (achat sur repli vs vente MACD) et la décélération de la croissance nette au T1 2026 invitent à ne pas renforcer la position à court terme. **Niveau de confiance : Moyen** — les données fondamentales sont robustes mais la visibilité sur la croissance future reste limitée par la stagnation des créances et la pression sur les coûts. **Niveau de risque global : Moyen** — la volatilité modérée et la solidité financière tempèrent le risque, mais la valorisation élevée et la dépendance aux dépôts constituent des vulnérabilités. **Horizon d'investissement optimal : Moyen terme (3-12 mois)** — le temps de voir se confirmer ou s'infirmer la tendance à l'amélioration de la rentabilité et de la croissance du PNB, avec un point d'entrée idéal autour de 9 200-9 300 FCFA si la baisse prédite se matérialise.</w:t>
      </w:r>
    </w:p>
    <w:p>
      <w:pPr>
        <w:spacing w:after="120" w:line="276" w:lineRule="auto"/>
      </w:pPr>
      <w:r>
        <w:t>---</w:t>
      </w:r>
    </w:p>
    <w:p>
      <w:pPr>
        <w:spacing w:after="120" w:line="276" w:lineRule="auto"/>
      </w:pPr>
      <w:r>
        <w:t>*Rapport généré le 12 octobre 2026 — Sources : BRVM, états financiers BOAB 2025, rapports trimestriels T1 2026 et T3 2025, analyses Gemini-Vision.*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7.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352.22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6,404 titres</w:t>
            </w:r>
          </w:p>
        </w:tc>
        <w:tc>
          <w:tcPr>
            <w:tcW w:type="dxa" w:w="2268"/>
            <w:shd w:fill="FFF2CC" w:val="clear"/>
          </w:tcPr>
          <w:p>
            <w:r>
              <w:rPr>
                <w:b/>
                <w:color w:val="503200"/>
                <w:sz w:val="16"/>
              </w:rPr>
              <w:t xml:space="preserve">Cours actuel : </w:t>
            </w:r>
            <w:r>
              <w:rPr>
                <w:color w:val="000000"/>
                <w:sz w:val="17"/>
              </w:rPr>
              <w:t>8,005 FCFA</w:t>
            </w:r>
          </w:p>
          <w:p>
            <w:r>
              <w:rPr>
                <w:b/>
                <w:color w:val="503200"/>
                <w:sz w:val="16"/>
              </w:rPr>
              <w:t xml:space="preserve">Var. 100 jours : </w:t>
            </w:r>
            <w:r>
              <w:rPr>
                <w:b/>
                <w:color w:val="007800"/>
                <w:sz w:val="17"/>
              </w:rPr>
              <w:t>+48.24%</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5,300 FCFA</w:t>
            </w:r>
          </w:p>
          <w:p>
            <w:r>
              <w:rPr>
                <w:b/>
                <w:color w:val="503200"/>
                <w:sz w:val="16"/>
              </w:rPr>
              <w:t xml:space="preserve">Volatilité ann. : </w:t>
            </w:r>
            <w:r>
              <w:rPr>
                <w:color w:val="000000"/>
                <w:sz w:val="17"/>
              </w:rPr>
              <w:t>35.9%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17.36% (Élevée) — μ=6,966 FCFA, σ=1,209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β=0.7522 (Défensif) — Cov=0.000055, Var(idx)=0.000073, ρ=0.283,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6,404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σ_j=2.26%/j (Stable) — Vol. annualisée≈35.9%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35585"/>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7,664</w:t>
            </w:r>
          </w:p>
        </w:tc>
        <w:tc>
          <w:tcPr>
            <w:tcW w:type="dxa" w:w="1440"/>
            <w:shd w:fill="FAFAFA" w:val="clear"/>
          </w:tcPr>
          <w:p>
            <w:r>
              <w:rPr>
                <w:b/>
                <w:sz w:val="17"/>
              </w:rPr>
              <w:t>7,958</w:t>
            </w:r>
          </w:p>
        </w:tc>
        <w:tc>
          <w:tcPr>
            <w:tcW w:type="dxa" w:w="1440"/>
            <w:shd w:fill="FAFAFA" w:val="clear"/>
          </w:tcPr>
          <w:p>
            <w:r>
              <w:rPr>
                <w:sz w:val="17"/>
              </w:rPr>
              <w:t>8,252</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7,509</w:t>
            </w:r>
          </w:p>
        </w:tc>
        <w:tc>
          <w:tcPr>
            <w:tcW w:type="dxa" w:w="1440"/>
            <w:shd w:fill="FAFAFA" w:val="clear"/>
          </w:tcPr>
          <w:p>
            <w:r>
              <w:rPr>
                <w:b/>
                <w:sz w:val="17"/>
              </w:rPr>
              <w:t>7,923</w:t>
            </w:r>
          </w:p>
        </w:tc>
        <w:tc>
          <w:tcPr>
            <w:tcW w:type="dxa" w:w="1440"/>
            <w:shd w:fill="FAFAFA" w:val="clear"/>
          </w:tcPr>
          <w:p>
            <w:r>
              <w:rPr>
                <w:sz w:val="17"/>
              </w:rPr>
              <w:t>8,337</w:t>
            </w:r>
          </w:p>
        </w:tc>
        <w:tc>
          <w:tcPr>
            <w:tcW w:type="dxa" w:w="1440"/>
            <w:shd w:fill="FAFAFA" w:val="clear"/>
          </w:tcPr>
          <w:p>
            <w:r>
              <w:rPr>
                <w:b/>
                <w:color w:val="C00000"/>
                <w:sz w:val="17"/>
              </w:rPr>
              <w:t>-1.0%</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7,387</w:t>
            </w:r>
          </w:p>
        </w:tc>
        <w:tc>
          <w:tcPr>
            <w:tcW w:type="dxa" w:w="1440"/>
            <w:shd w:fill="FAFAFA" w:val="clear"/>
          </w:tcPr>
          <w:p>
            <w:r>
              <w:rPr>
                <w:b/>
                <w:sz w:val="17"/>
              </w:rPr>
              <w:t>7,892</w:t>
            </w:r>
          </w:p>
        </w:tc>
        <w:tc>
          <w:tcPr>
            <w:tcW w:type="dxa" w:w="1440"/>
            <w:shd w:fill="FAFAFA" w:val="clear"/>
          </w:tcPr>
          <w:p>
            <w:r>
              <w:rPr>
                <w:sz w:val="17"/>
              </w:rPr>
              <w:t>8,397</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7,287</w:t>
            </w:r>
          </w:p>
        </w:tc>
        <w:tc>
          <w:tcPr>
            <w:tcW w:type="dxa" w:w="1440"/>
            <w:shd w:fill="FAFAFA" w:val="clear"/>
          </w:tcPr>
          <w:p>
            <w:r>
              <w:rPr>
                <w:b/>
                <w:sz w:val="17"/>
              </w:rPr>
              <w:t>7,868</w:t>
            </w:r>
          </w:p>
        </w:tc>
        <w:tc>
          <w:tcPr>
            <w:tcW w:type="dxa" w:w="1440"/>
            <w:shd w:fill="FAFAFA" w:val="clear"/>
          </w:tcPr>
          <w:p>
            <w:r>
              <w:rPr>
                <w:sz w:val="17"/>
              </w:rPr>
              <w:t>8,449</w:t>
            </w:r>
          </w:p>
        </w:tc>
        <w:tc>
          <w:tcPr>
            <w:tcW w:type="dxa" w:w="1440"/>
            <w:shd w:fill="FAFAFA" w:val="clear"/>
          </w:tcPr>
          <w:p>
            <w:r>
              <w:rPr>
                <w:b/>
                <w:color w:val="C00000"/>
                <w:sz w:val="17"/>
              </w:rPr>
              <w:t>-1.7%</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7,200</w:t>
            </w:r>
          </w:p>
        </w:tc>
        <w:tc>
          <w:tcPr>
            <w:tcW w:type="dxa" w:w="1440"/>
            <w:shd w:fill="FAFAFA" w:val="clear"/>
          </w:tcPr>
          <w:p>
            <w:r>
              <w:rPr>
                <w:b/>
                <w:sz w:val="17"/>
              </w:rPr>
              <w:t>7,848</w:t>
            </w:r>
          </w:p>
        </w:tc>
        <w:tc>
          <w:tcPr>
            <w:tcW w:type="dxa" w:w="1440"/>
            <w:shd w:fill="FAFAFA" w:val="clear"/>
          </w:tcPr>
          <w:p>
            <w:r>
              <w:rPr>
                <w:sz w:val="17"/>
              </w:rPr>
              <w:t>8,496</w:t>
            </w:r>
          </w:p>
        </w:tc>
        <w:tc>
          <w:tcPr>
            <w:tcW w:type="dxa" w:w="1440"/>
            <w:shd w:fill="FAFAFA"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7,121</w:t>
            </w:r>
          </w:p>
        </w:tc>
        <w:tc>
          <w:tcPr>
            <w:tcW w:type="dxa" w:w="1440"/>
            <w:shd w:fill="FFDCE0" w:val="clear"/>
          </w:tcPr>
          <w:p>
            <w:r>
              <w:rPr>
                <w:b/>
                <w:sz w:val="17"/>
              </w:rPr>
              <w:t>7,830</w:t>
            </w:r>
          </w:p>
        </w:tc>
        <w:tc>
          <w:tcPr>
            <w:tcW w:type="dxa" w:w="1440"/>
            <w:shd w:fill="FFDCE0" w:val="clear"/>
          </w:tcPr>
          <w:p>
            <w:r>
              <w:rPr>
                <w:sz w:val="17"/>
              </w:rPr>
              <w:t>8,538</w:t>
            </w:r>
          </w:p>
        </w:tc>
        <w:tc>
          <w:tcPr>
            <w:tcW w:type="dxa" w:w="1440"/>
            <w:shd w:fill="FFDCE0" w:val="clear"/>
          </w:tcPr>
          <w:p>
            <w:r>
              <w:rPr>
                <w:b/>
                <w:color w:val="C00000"/>
                <w:sz w:val="17"/>
              </w:rPr>
              <w:t>-2.2%</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7,049</w:t>
            </w:r>
          </w:p>
        </w:tc>
        <w:tc>
          <w:tcPr>
            <w:tcW w:type="dxa" w:w="1440"/>
            <w:shd w:fill="FFDCE0" w:val="clear"/>
          </w:tcPr>
          <w:p>
            <w:r>
              <w:rPr>
                <w:b/>
                <w:sz w:val="17"/>
              </w:rPr>
              <w:t>7,813</w:t>
            </w:r>
          </w:p>
        </w:tc>
        <w:tc>
          <w:tcPr>
            <w:tcW w:type="dxa" w:w="1440"/>
            <w:shd w:fill="FFDCE0" w:val="clear"/>
          </w:tcPr>
          <w:p>
            <w:r>
              <w:rPr>
                <w:sz w:val="17"/>
              </w:rPr>
              <w:t>8,576</w:t>
            </w:r>
          </w:p>
        </w:tc>
        <w:tc>
          <w:tcPr>
            <w:tcW w:type="dxa" w:w="1440"/>
            <w:shd w:fill="FFDCE0" w:val="clear"/>
          </w:tcPr>
          <w:p>
            <w:r>
              <w:rPr>
                <w:b/>
                <w:color w:val="C00000"/>
                <w:sz w:val="17"/>
              </w:rPr>
              <w:t>-2.4%</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6,982</w:t>
            </w:r>
          </w:p>
        </w:tc>
        <w:tc>
          <w:tcPr>
            <w:tcW w:type="dxa" w:w="1440"/>
            <w:shd w:fill="FFDCE0" w:val="clear"/>
          </w:tcPr>
          <w:p>
            <w:r>
              <w:rPr>
                <w:b/>
                <w:sz w:val="17"/>
              </w:rPr>
              <w:t>7,796</w:t>
            </w:r>
          </w:p>
        </w:tc>
        <w:tc>
          <w:tcPr>
            <w:tcW w:type="dxa" w:w="1440"/>
            <w:shd w:fill="FFDCE0" w:val="clear"/>
          </w:tcPr>
          <w:p>
            <w:r>
              <w:rPr>
                <w:sz w:val="17"/>
              </w:rPr>
              <w:t>8,611</w:t>
            </w:r>
          </w:p>
        </w:tc>
        <w:tc>
          <w:tcPr>
            <w:tcW w:type="dxa" w:w="1440"/>
            <w:shd w:fill="FFDCE0" w:val="clear"/>
          </w:tcPr>
          <w:p>
            <w:r>
              <w:rPr>
                <w:b/>
                <w:color w:val="C00000"/>
                <w:sz w:val="17"/>
              </w:rPr>
              <w:t>-2.6%</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6,919</w:t>
            </w:r>
          </w:p>
        </w:tc>
        <w:tc>
          <w:tcPr>
            <w:tcW w:type="dxa" w:w="1440"/>
            <w:shd w:fill="FFDCE0" w:val="clear"/>
          </w:tcPr>
          <w:p>
            <w:r>
              <w:rPr>
                <w:b/>
                <w:sz w:val="17"/>
              </w:rPr>
              <w:t>7,781</w:t>
            </w:r>
          </w:p>
        </w:tc>
        <w:tc>
          <w:tcPr>
            <w:tcW w:type="dxa" w:w="1440"/>
            <w:shd w:fill="FFDCE0" w:val="clear"/>
          </w:tcPr>
          <w:p>
            <w:r>
              <w:rPr>
                <w:sz w:val="17"/>
              </w:rPr>
              <w:t>8,643</w:t>
            </w:r>
          </w:p>
        </w:tc>
        <w:tc>
          <w:tcPr>
            <w:tcW w:type="dxa" w:w="1440"/>
            <w:shd w:fill="FFDCE0" w:val="clear"/>
          </w:tcPr>
          <w:p>
            <w:r>
              <w:rPr>
                <w:b/>
                <w:color w:val="C00000"/>
                <w:sz w:val="17"/>
              </w:rPr>
              <w:t>-2.8%</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6,859</w:t>
            </w:r>
          </w:p>
        </w:tc>
        <w:tc>
          <w:tcPr>
            <w:tcW w:type="dxa" w:w="1440"/>
            <w:shd w:fill="FFDCE0" w:val="clear"/>
          </w:tcPr>
          <w:p>
            <w:r>
              <w:rPr>
                <w:b/>
                <w:sz w:val="17"/>
              </w:rPr>
              <w:t>7,765</w:t>
            </w:r>
          </w:p>
        </w:tc>
        <w:tc>
          <w:tcPr>
            <w:tcW w:type="dxa" w:w="1440"/>
            <w:shd w:fill="FFDCE0" w:val="clear"/>
          </w:tcPr>
          <w:p>
            <w:r>
              <w:rPr>
                <w:sz w:val="17"/>
              </w:rPr>
              <w:t>8,672</w:t>
            </w:r>
          </w:p>
        </w:tc>
        <w:tc>
          <w:tcPr>
            <w:tcW w:type="dxa" w:w="1440"/>
            <w:shd w:fill="FFDCE0" w:val="clear"/>
          </w:tcPr>
          <w:p>
            <w:r>
              <w:rPr>
                <w:b/>
                <w:color w:val="C00000"/>
                <w:sz w:val="17"/>
              </w:rPr>
              <w:t>-3.0%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BOABF (Bank of Africa Burkina Faso)**</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352,22 milliards FCFA, BOABF figure parmi les valeurs bancaires de premier plan de la cote BRVM, ce qui traduit une liquidité et une visibilité institutionnelle certaines. Le BPA de 438 FCFA par action signifie que chaque titre génère près de 438 FCFA de bénéfice net, un niveau de rentabilité unitaire élevé. Le PER de 18,3x se situe nettement au-dessus de la moyenne du marché BRVM (estimée entre 8x et 12x), ce qui indique que les investisseurs paient une prime significative pour les bénéfices de la banque — une valorisation exigeante qui intègre déjà les anticipations de redressement. Le P/B de 2,78x confirme cette prime de croissance : le marché valorise l'action près de trois fois sa valeur comptable, ce qui est cohérent avec un ROE supérieur à 15%. Enfin, l'EV/EBITDA de 8,1x, dans la fourchette raisonnable de 5x-10x, suggère que la valeur d'entreprise reste cohérente avec la capacité opérationnelle, sans excès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BOABF affiche une progression spectaculaire de +48,24%, avec une dernière séance en hausse de +0,69%, clôturant à 8 005 FCFA. Le range de trading est particulièrement large, oscillant entre un plus bas de 5 300 FCFA et un plus haut de 9 090 FCFA, soit une amplitude de près de 72%, ce qui témoigne d'une tendance haussière puissante mais ponctuée de corrections marquées. La moyenne (6 966 FCFA) est inférieure à la médiane (7 148 FCFA), signe d'une légère asymétrie vers le bas en début de période, avant le rallye final ; le mode à 7 100 FCFA indique une zone de consolidation fréquente. L'écart-type de 1 215 FCFA avec un coefficient de variation de 17,4% traduit une dispersion modérée à élevée du cours autour de sa moyenne. Le kurtosis de -1,272 (distribution platykurtique) signale une distribution aplatie avec une faible concentration autour de la moyenne, donc moins de pics extrêmes mais des mouvements amples et étalés ; le skewness de 0,168, proche de zéro, confirme une distribution quasi symétrique. La volatilité annualisée de 35,9% classe le titre dans la catégorie des valeurs à volatilité élevée (&gt;30%), ce qui implique un risque de marché significatif mais aussi un potentiel de gain attractif.</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(8 056,75 FCFA) et la MM50 (7 986,70 FCFA) encadrent le cours actuel (8 005 FCFA), qui évolue légèrement sous sa moyenne court terme mais au-dessus de sa moyenne moyen terme. Cette configuration en « croisement haussier » (MM20 &gt; MM50) valide la décision d'**Achat**, le titre restant dans une dynamique positive de fond malgré une respiration de court terme.</w:t>
      </w:r>
    </w:p>
    <w:p>
      <w:pPr>
        <w:spacing w:after="120" w:line="276" w:lineRule="auto"/>
      </w:pPr>
      <w:r>
        <w:t>**Bandes de Bollinger** : Le cours (8 005 FCFA) se situe à mi-chemin entre la borne inférieure (7 305,84 FCFA) et la borne supérieure (8 807,66 FCFA), légèrement sous le centre des bandes. L'amplitude des bandes (environ 1 500 FCFA) reflète une volatilité soutenue, et la position neutre du cours justifie la décision **Neutre** : ni signal d'achat sur rebond, ni signal de vente sur rejet de la borne haute.</w:t>
      </w:r>
    </w:p>
    <w:p>
      <w:pPr>
        <w:spacing w:after="120" w:line="276" w:lineRule="auto"/>
      </w:pPr>
      <w:r>
        <w:t>**MACD** : La valeur du MACD (-45,295) est inférieure à son signal (-15,746), avec un histogramme négatif et divergent, ce qui traduit un momentum baissier de court terme. Cette configuration justifie la décision de **Vente** technique, signalant que la dynamique haussière s'essouffle et qu'une consolidation est en cours.</w:t>
      </w:r>
    </w:p>
    <w:p>
      <w:pPr>
        <w:spacing w:after="120" w:line="276" w:lineRule="auto"/>
      </w:pPr>
      <w:r>
        <w:t>**RSI** : À 55,616, le RSI se situe en zone neutre (30-70), sans surchauffe ni survente. Le titre conserve une marge de progression avant d'atteindre la zone de surachat (&gt;70), ce qui valide la décision **Neutre** et suggère l'absence de pression vendeuse excessive.</w:t>
      </w:r>
    </w:p>
    <w:p>
      <w:pPr>
        <w:spacing w:after="120" w:line="276" w:lineRule="auto"/>
      </w:pPr>
      <w:r>
        <w:t>**Stochastique** : Le %K (67,222) est supérieur au %D (61,296), avec un croisement haussier récent en zone médiane-haute. Cette configuration indique une reprise du momentum acheteur à court terme, mais sans excès (pas de zone &gt;80), ce qui justifie la décision **Neutre** avec un biais légèrement positif.</w:t>
      </w:r>
    </w:p>
    <w:p>
      <w:pPr>
        <w:spacing w:after="120" w:line="276" w:lineRule="auto"/>
      </w:pPr>
      <w:r>
        <w:t>**Conclusion technique** : Les indicateurs sont globalement divergents — les moyennes mobiles valident une tendance haussière de fond, le stochastique suggère une reprise du momentum, mais le MACD signale un essoufflement baissier de court terme et les bandes de Bollinger comme le RSI restent neutres. Le titre se trouve dans une phase de consolidation après un rallye de +48%, avec un support technique clé autour de 7 986 FCFA (MM50) et une résistance vers 8 807 FCFA (borne haute de Bollinger). La prudence est de mise à court terme, mais la structure haussière n'est pas remise en cause.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Sur la base des états financiers officiels de l'exercice 2025, BOABF affiche un Produit Net Bancaire (équivalent du chiffre d'affaires pour une banque) de 57 820 millions FCFA, quasi stable par rapport à 2024 (+0,6%), et un résultat net de 19 252 millions FCFA, en recul de -14,1% sur un an. Cette baisse est directement imputable à un coût du risque qui a quasiment doublé, passant de -4 303 à -8 355 millions FCFA, traduisant une dégradation de la qualité du portefeuille de crédits. Le coefficient d'exploitation de 47,19% demeure excellent (&lt; 50%), confirmant l'efficacité opérationnelle de la banque, tandis que le ROE de 15,22% reste supérieur au seuil de 15% considéré comme excellent, et le ROA de 1,68% est correct pour le secteur bancaire. Le ratio de couverture des intérêts (90,05%) et la capacité de remboursement de 5,79 années traduisent une structure financière solide, bien que l'autonomie financière (11,01%) soit faible, ce qui est structurel pour une banque dont le modèle repose sur les dépôts clientèle (877 822 millions FCFA) et les dettes interbancaires (122 224 millions FCFA). Les rapports trimestriels plus récents (T1 2026, S1 2026, datés respectivement du 31/03/2026 et du 30/06/2026) révèlent une dynamique contrastée : le PNB du T1 2026 recule de -10,75% à 12 694 millions FCFA et le résultat net de -12,99% à 4 520 millions FCFA, mais le S1 2026 affiche un résultat net de 10 770 millions FCFA, en hausse de +31,0% grâce à une amélioration spectaculaire du coût du risque (-65,2% à -2 396 millions FCFA). On estime donc que l'exercice 2026 devrait bénéficier d'une normalisation du coût du risque, mais la baisse structurelle du PNB (-5,2% au S1 2026) reste un point de vigilance majeur. La collecte de dépôts progresse de +7,4% à 942 692 millions FCFA au S1 2026, tandis que les crédits nets ne progressent que de +1,3% à 479 993 millions FCFA, ce qui limite les perspectives de croissance future. En synthèse, la solidité financière de BOABF est réelle (ROE &gt;15%, coefficient d'exploitation &lt;50%, solvabilité générale de 112,38%), mais la dynamique commerciale s'essouffle et la rentabilité dépend désormais d'une base de comparaison favorable sur le risque plutôt que d'une accélération de l'activité. La recommandation fondamentale est de **CONSERVER**, avec un suivi attentif de l'évolution du PNB et de la qualité du portefeuille de crédits.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 tableau contrasté. Sur le plan de la **valorisation (Partie 0)**, le PER de 18,3x et le P/B de 2,78x indiquent une surévaluation relative par rapport à la moyenne du marché BRVM (8x-12x), ce qui intègre déjà une prime de croissance et un redressement des bénéfices — la marge de sécurité est donc limitée. Le **comportement du cours (Partie 1)** est haussier sur 100 jours (+48,24%) mais avec une volatilité élevée (35,9%) et une distribution platykurtique (kurtosis -1,272) qui suggère des mouvements amples et étalés, donc un risque de correction brutale non négligeable. Les **signaux techniques (Partie 2)** sont divergents : les moyennes mobiles valident la tendance haussière de fond, mais le MACD signale un essoufflement baissier de court terme, tandis que le RSI et le stochastique restent neutres — ce qui plaide pour une consolidation avant une nouvelle impulsion. Les **fondamentaux (Partie 3)** sont solides (ROE 15,22%, coefficient d'exploitation 47,19%, solvabilité 112,38%) mais la dynamique commerciale s'essouffle (PNB -5,2% au S1 2026) et la rentabilité dépend d'une normalisation du coût du risque plutôt que d'une croissance organique. Enfin, les **prédictions IA (J+1 à J+10)** anticipent une trajectoire baissière graduelle de 7 958 FCFA (J+1) à 7 848 FCFA (J+10), soit une correction d'environ -2% sur 10 jours, ce qui contredit la tendance haussière de fond mais confirme l'essoufflement technique signalé par le MACD. Sur la base de cette synthèse, la recommandation finale est de **CONSERVER** : le titre reste fondamentalement solide et la tendance de long terme est haussière, mais la surévaluation relative (PER 18,3x), la divergence technique (MACD baissier) et la correction anticipée par l'IA invitent à la prudence à court terme. Le niveau de confiance est **Moyen**, car les signaux sont divergents et dépendent largement de l'évolution du PNB et du coût du risque au second semestre 2026. Le niveau de risque global est **Élevé** (volatilité 35,9%, surévaluation, dépendance à la qualité du portefeuille de crédits). L'horizon d'investissement optimal est le **moyen terme (3-12 mois)**, le temps que la normalisation du coût du risque se confirme et que la dynamique commerciale se redresse, avec un point d'entrée plus attractif envisageable autour de 7 800-7 900 FCFA (niveau de la MM50 et des prédictions IA).</w:t>
      </w:r>
    </w:p>
    <w:p/>
    <w:p/>
    <w:p>
      <w:pPr>
        <w:pStyle w:val="Heading3"/>
      </w:pPr>
      <w:r>
        <w:rPr>
          <w:color w:val="00467F"/>
        </w:rPr>
        <w:t>📎 DOCUMENTS &amp; COMMUNICATIONS OFFICIELS BRVM</w:t>
      </w:r>
    </w:p>
    <w:p>
      <w:r>
        <w:rPr>
          <w:i/>
          <w:color w:val="646464"/>
          <w:sz w:val="18"/>
        </w:rPr>
        <w:t>4 document(s) disponible(s) pour cette société (affichage des 4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20261006   calendrier de paiement des dividendes   exercice 2025</w:t>
      </w:r>
    </w:p>
    <w:p>
      <w:pPr>
        <w:spacing w:before="20"/>
        <w:ind w:left="400"/>
      </w:pPr>
      <w:r>
        <w:rPr>
          <w:color w:val="505050"/>
          <w:sz w:val="17"/>
        </w:rPr>
        <w:t xml:space="preserve">Date : 07/10/2026  |  Catégorie : dividende  |  Impact : </w:t>
      </w:r>
      <w:r>
        <w:rPr>
          <w:b/>
          <w:color w:val="008000"/>
          <w:sz w:val="17"/>
        </w:rPr>
        <w:t>🟢 POSITIF</w:t>
      </w:r>
    </w:p>
    <w:p>
      <w:pPr>
        <w:spacing w:before="40"/>
        <w:ind w:left="400"/>
      </w:pPr>
      <w:r>
        <w:rPr>
          <w:sz w:val="18"/>
        </w:rPr>
        <w:t>La BRVM publie le calendrier de paiement des dividendes au titre de l'exercice 2025 pour les sociétés cotées. Le document liste pour chaque société le montant du dividende net par action, le numéro d'avis, la date de publication au BOC, la date ex-dividende et la date de paiement. Les paiements s'échelonnent de mars 2026 à octobre 2026, avec une note précisant que les montants marqués d'un astérisque sont des dividendes bruts soumis à l'IRVM.</w:t>
      </w:r>
    </w:p>
    <w:p>
      <w:pPr>
        <w:spacing w:before="60"/>
        <w:ind w:left="400"/>
      </w:pPr>
      <w:r>
        <w:rPr>
          <w:b/>
          <w:sz w:val="18"/>
        </w:rPr>
        <w:t>Points clés :</w:t>
      </w:r>
    </w:p>
    <w:p>
      <w:pPr>
        <w:pStyle w:val="ListBullet"/>
        <w:spacing w:before="20" w:after="20"/>
        <w:ind w:left="700"/>
      </w:pPr>
      <w:r>
        <w:rPr>
          <w:sz w:val="18"/>
        </w:rPr>
        <w:t>Le calendrier couvre plus de 30 sociétés cotées à la BRVM pour l'exercice 2025</w:t>
      </w:r>
    </w:p>
    <w:p>
      <w:pPr>
        <w:pStyle w:val="ListBullet"/>
        <w:spacing w:before="20" w:after="20"/>
        <w:ind w:left="700"/>
      </w:pPr>
      <w:r>
        <w:rPr>
          <w:sz w:val="18"/>
        </w:rPr>
        <w:t>Les paiements s'étalent de mars 2026 (BOA Burkina Faso) à octobre 2026 (Tractafric Motors CI)</w:t>
      </w:r>
    </w:p>
    <w:p>
      <w:pPr>
        <w:pStyle w:val="ListBullet"/>
        <w:spacing w:before="20" w:after="20"/>
        <w:ind w:left="700"/>
      </w:pPr>
      <w:r>
        <w:rPr>
          <w:sz w:val="18"/>
        </w:rPr>
        <w:t>Les montants des dividendes nets par action varient de 0,9184 FCFA (Ecobank Transnational) à 2 606 FCFA (Société Générale CI)</w:t>
      </w:r>
    </w:p>
    <w:p>
      <w:pPr>
        <w:pStyle w:val="ListBullet"/>
        <w:spacing w:before="20" w:after="20"/>
        <w:ind w:left="700"/>
      </w:pPr>
      <w:r>
        <w:rPr>
          <w:sz w:val="18"/>
        </w:rPr>
        <w:t>Les dates ex-dividende précèdent généralement les dates de paiement de quelques jours à quelques semaines</w:t>
      </w:r>
    </w:p>
    <w:p>
      <w:pPr>
        <w:pStyle w:val="ListBullet"/>
        <w:spacing w:before="20" w:after="20"/>
        <w:ind w:left="700"/>
      </w:pPr>
      <w:r>
        <w:rPr>
          <w:sz w:val="18"/>
        </w:rPr>
        <w:t>Un astérisque indique les dividendes bruts avec IRVM applicable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[4]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8.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451.80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10,736 titres</w:t>
            </w:r>
          </w:p>
        </w:tc>
        <w:tc>
          <w:tcPr>
            <w:tcW w:type="dxa" w:w="2268"/>
            <w:shd w:fill="FFF2CC" w:val="clear"/>
          </w:tcPr>
          <w:p>
            <w:r>
              <w:rPr>
                <w:b/>
                <w:color w:val="503200"/>
                <w:sz w:val="16"/>
              </w:rPr>
              <w:t xml:space="preserve">Cours actuel : </w:t>
            </w:r>
            <w:r>
              <w:rPr>
                <w:color w:val="000000"/>
                <w:sz w:val="17"/>
              </w:rPr>
              <w:t>11,295 FCFA</w:t>
            </w:r>
          </w:p>
          <w:p>
            <w:r>
              <w:rPr>
                <w:b/>
                <w:color w:val="503200"/>
                <w:sz w:val="16"/>
              </w:rPr>
              <w:t xml:space="preserve">Var. 100 jours : </w:t>
            </w:r>
            <w:r>
              <w:rPr>
                <w:b/>
                <w:color w:val="007800"/>
                <w:sz w:val="17"/>
              </w:rPr>
              <w:t>+30.50%</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8,655 FCFA</w:t>
            </w:r>
          </w:p>
          <w:p>
            <w:r>
              <w:rPr>
                <w:b/>
                <w:color w:val="503200"/>
                <w:sz w:val="16"/>
              </w:rPr>
              <w:t xml:space="preserve">Volatilité ann. : </w:t>
            </w:r>
            <w:r>
              <w:rPr>
                <w:color w:val="000000"/>
                <w:sz w:val="17"/>
              </w:rPr>
              <w:t>27.9%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13.5/100 → Faible</w:t>
      </w:r>
    </w:p>
    <w:p>
      <w:pPr>
        <w:spacing w:before="40" w:after="80"/>
      </w:pPr>
      <w:r>
        <w:rPr>
          <w:rFonts w:ascii="Courier New" w:hAnsi="Courier New"/>
          <w:color w:val="006400"/>
          <w:sz w:val="18"/>
        </w:rPr>
        <w:t>██░░░░░░░░░░░░░░░░░░  13.5/100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14.16% (Moyenne) — μ=10,663 FCFA, σ=1,510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β=0.7476 (Défensif) — Cov=0.000055, Var(idx)=0.000073, ρ=0.361,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10,736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σ_j=1.76%/j (Stable) — Vol. annualisée≈27.9%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10,992</w:t>
            </w:r>
          </w:p>
        </w:tc>
        <w:tc>
          <w:tcPr>
            <w:tcW w:type="dxa" w:w="1440"/>
            <w:shd w:fill="FAFAFA" w:val="clear"/>
          </w:tcPr>
          <w:p>
            <w:r>
              <w:rPr>
                <w:b/>
                <w:sz w:val="17"/>
              </w:rPr>
              <w:t>11,317</w:t>
            </w:r>
          </w:p>
        </w:tc>
        <w:tc>
          <w:tcPr>
            <w:tcW w:type="dxa" w:w="1440"/>
            <w:shd w:fill="FAFAFA" w:val="clear"/>
          </w:tcPr>
          <w:p>
            <w:r>
              <w:rPr>
                <w:sz w:val="17"/>
              </w:rPr>
              <w:t>11,641</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10,873</w:t>
            </w:r>
          </w:p>
        </w:tc>
        <w:tc>
          <w:tcPr>
            <w:tcW w:type="dxa" w:w="1440"/>
            <w:shd w:fill="FAFAFA" w:val="clear"/>
          </w:tcPr>
          <w:p>
            <w:r>
              <w:rPr>
                <w:b/>
                <w:sz w:val="17"/>
              </w:rPr>
              <w:t>11,333</w:t>
            </w:r>
          </w:p>
        </w:tc>
        <w:tc>
          <w:tcPr>
            <w:tcW w:type="dxa" w:w="1440"/>
            <w:shd w:fill="FAFAFA" w:val="clear"/>
          </w:tcPr>
          <w:p>
            <w:r>
              <w:rPr>
                <w:sz w:val="17"/>
              </w:rPr>
              <w:t>11,792</w:t>
            </w:r>
          </w:p>
        </w:tc>
        <w:tc>
          <w:tcPr>
            <w:tcW w:type="dxa" w:w="1440"/>
            <w:shd w:fill="FAFAFA" w:val="clear"/>
          </w:tcPr>
          <w:p>
            <w:r>
              <w:rPr>
                <w:b/>
                <w:color w:val="008000"/>
                <w:sz w:val="17"/>
              </w:rPr>
              <w:t>+0.3%</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10,787</w:t>
            </w:r>
          </w:p>
        </w:tc>
        <w:tc>
          <w:tcPr>
            <w:tcW w:type="dxa" w:w="1440"/>
            <w:shd w:fill="FAFAFA" w:val="clear"/>
          </w:tcPr>
          <w:p>
            <w:r>
              <w:rPr>
                <w:b/>
                <w:sz w:val="17"/>
              </w:rPr>
              <w:t>11,350</w:t>
            </w:r>
          </w:p>
        </w:tc>
        <w:tc>
          <w:tcPr>
            <w:tcW w:type="dxa" w:w="1440"/>
            <w:shd w:fill="FAFAFA" w:val="clear"/>
          </w:tcPr>
          <w:p>
            <w:r>
              <w:rPr>
                <w:sz w:val="17"/>
              </w:rPr>
              <w:t>11,914</w:t>
            </w:r>
          </w:p>
        </w:tc>
        <w:tc>
          <w:tcPr>
            <w:tcW w:type="dxa" w:w="1440"/>
            <w:shd w:fill="FAFAFA" w:val="clear"/>
          </w:tcPr>
          <w:p>
            <w:r>
              <w:rPr>
                <w:b/>
                <w:color w:val="008000"/>
                <w:sz w:val="17"/>
              </w:rPr>
              <w:t>+0.5%</w:t>
            </w:r>
          </w:p>
        </w:tc>
      </w:tr>
      <w:tr>
        <w:tc>
          <w:tcPr>
            <w:tcW w:type="dxa" w:w="1440"/>
            <w:shd w:fill="FAFAFA" w:val="clear"/>
          </w:tcPr>
          <w:p>
            <w:r>
              <w:rPr>
                <w:sz w:val="17"/>
              </w:rPr>
              <w:t>J+4  Moyenne</w:t>
            </w:r>
          </w:p>
        </w:tc>
        <w:tc>
          <w:tcPr>
            <w:tcW w:type="dxa" w:w="1440"/>
            <w:shd w:fill="FAFAFA" w:val="clear"/>
          </w:tcPr>
          <w:p>
            <w:r>
              <w:rPr>
                <w:sz w:val="17"/>
              </w:rPr>
              <w:t>2026-10-15</w:t>
            </w:r>
          </w:p>
        </w:tc>
        <w:tc>
          <w:tcPr>
            <w:tcW w:type="dxa" w:w="1440"/>
            <w:shd w:fill="FAFAFA" w:val="clear"/>
          </w:tcPr>
          <w:p>
            <w:r>
              <w:rPr>
                <w:sz w:val="17"/>
              </w:rPr>
              <w:t>10,716</w:t>
            </w:r>
          </w:p>
        </w:tc>
        <w:tc>
          <w:tcPr>
            <w:tcW w:type="dxa" w:w="1440"/>
            <w:shd w:fill="FAFAFA" w:val="clear"/>
          </w:tcPr>
          <w:p>
            <w:r>
              <w:rPr>
                <w:b/>
                <w:sz w:val="17"/>
              </w:rPr>
              <w:t>11,368</w:t>
            </w:r>
          </w:p>
        </w:tc>
        <w:tc>
          <w:tcPr>
            <w:tcW w:type="dxa" w:w="1440"/>
            <w:shd w:fill="FAFAFA" w:val="clear"/>
          </w:tcPr>
          <w:p>
            <w:r>
              <w:rPr>
                <w:sz w:val="17"/>
              </w:rPr>
              <w:t>12,019</w:t>
            </w:r>
          </w:p>
        </w:tc>
        <w:tc>
          <w:tcPr>
            <w:tcW w:type="dxa" w:w="1440"/>
            <w:shd w:fill="FAFAFA" w:val="clear"/>
          </w:tcPr>
          <w:p>
            <w:r>
              <w:rPr>
                <w:b/>
                <w:color w:val="008000"/>
                <w:sz w:val="17"/>
              </w:rPr>
              <w:t>+0.6%</w:t>
            </w:r>
          </w:p>
        </w:tc>
      </w:tr>
      <w:tr>
        <w:tc>
          <w:tcPr>
            <w:tcW w:type="dxa" w:w="1440"/>
            <w:shd w:fill="FAFAFA" w:val="clear"/>
          </w:tcPr>
          <w:p>
            <w:r>
              <w:rPr>
                <w:sz w:val="17"/>
              </w:rPr>
              <w:t>J+5  Moyenne</w:t>
            </w:r>
          </w:p>
        </w:tc>
        <w:tc>
          <w:tcPr>
            <w:tcW w:type="dxa" w:w="1440"/>
            <w:shd w:fill="FAFAFA" w:val="clear"/>
          </w:tcPr>
          <w:p>
            <w:r>
              <w:rPr>
                <w:sz w:val="17"/>
              </w:rPr>
              <w:t>2026-10-16</w:t>
            </w:r>
          </w:p>
        </w:tc>
        <w:tc>
          <w:tcPr>
            <w:tcW w:type="dxa" w:w="1440"/>
            <w:shd w:fill="FAFAFA" w:val="clear"/>
          </w:tcPr>
          <w:p>
            <w:r>
              <w:rPr>
                <w:sz w:val="17"/>
              </w:rPr>
              <w:t>10,654</w:t>
            </w:r>
          </w:p>
        </w:tc>
        <w:tc>
          <w:tcPr>
            <w:tcW w:type="dxa" w:w="1440"/>
            <w:shd w:fill="FAFAFA" w:val="clear"/>
          </w:tcPr>
          <w:p>
            <w:r>
              <w:rPr>
                <w:b/>
                <w:sz w:val="17"/>
              </w:rPr>
              <w:t>11,384</w:t>
            </w:r>
          </w:p>
        </w:tc>
        <w:tc>
          <w:tcPr>
            <w:tcW w:type="dxa" w:w="1440"/>
            <w:shd w:fill="FAFAFA" w:val="clear"/>
          </w:tcPr>
          <w:p>
            <w:r>
              <w:rPr>
                <w:sz w:val="17"/>
              </w:rPr>
              <w:t>12,114</w:t>
            </w:r>
          </w:p>
        </w:tc>
        <w:tc>
          <w:tcPr>
            <w:tcW w:type="dxa" w:w="1440"/>
            <w:shd w:fill="FAFAFA" w:val="clear"/>
          </w:tcPr>
          <w:p>
            <w:r>
              <w:rPr>
                <w:b/>
                <w:color w:val="008000"/>
                <w:sz w:val="17"/>
              </w:rPr>
              <w:t>+0.8%</w:t>
            </w:r>
          </w:p>
        </w:tc>
      </w:tr>
      <w:tr>
        <w:tc>
          <w:tcPr>
            <w:tcW w:type="dxa" w:w="1440"/>
            <w:shd w:fill="FAFAFA" w:val="clear"/>
          </w:tcPr>
          <w:p>
            <w:r>
              <w:rPr>
                <w:sz w:val="17"/>
              </w:rPr>
              <w:t>J+6  Moyenne</w:t>
            </w:r>
          </w:p>
        </w:tc>
        <w:tc>
          <w:tcPr>
            <w:tcW w:type="dxa" w:w="1440"/>
            <w:shd w:fill="FAFAFA" w:val="clear"/>
          </w:tcPr>
          <w:p>
            <w:r>
              <w:rPr>
                <w:sz w:val="17"/>
              </w:rPr>
              <w:t>2026-10-19</w:t>
            </w:r>
          </w:p>
        </w:tc>
        <w:tc>
          <w:tcPr>
            <w:tcW w:type="dxa" w:w="1440"/>
            <w:shd w:fill="FAFAFA" w:val="clear"/>
          </w:tcPr>
          <w:p>
            <w:r>
              <w:rPr>
                <w:sz w:val="17"/>
              </w:rPr>
              <w:t>10,600</w:t>
            </w:r>
          </w:p>
        </w:tc>
        <w:tc>
          <w:tcPr>
            <w:tcW w:type="dxa" w:w="1440"/>
            <w:shd w:fill="FAFAFA" w:val="clear"/>
          </w:tcPr>
          <w:p>
            <w:r>
              <w:rPr>
                <w:b/>
                <w:sz w:val="17"/>
              </w:rPr>
              <w:t>11,400</w:t>
            </w:r>
          </w:p>
        </w:tc>
        <w:tc>
          <w:tcPr>
            <w:tcW w:type="dxa" w:w="1440"/>
            <w:shd w:fill="FAFAFA" w:val="clear"/>
          </w:tcPr>
          <w:p>
            <w:r>
              <w:rPr>
                <w:sz w:val="17"/>
              </w:rPr>
              <w:t>12,201</w:t>
            </w:r>
          </w:p>
        </w:tc>
        <w:tc>
          <w:tcPr>
            <w:tcW w:type="dxa" w:w="1440"/>
            <w:shd w:fill="FAFAFA" w:val="clear"/>
          </w:tcPr>
          <w:p>
            <w:r>
              <w:rPr>
                <w:b/>
                <w:color w:val="008000"/>
                <w:sz w:val="17"/>
              </w:rPr>
              <w:t>+0.9%</w:t>
            </w:r>
          </w:p>
        </w:tc>
      </w:tr>
      <w:tr>
        <w:tc>
          <w:tcPr>
            <w:tcW w:type="dxa" w:w="1440"/>
            <w:shd w:fill="FAFAFA" w:val="clear"/>
          </w:tcPr>
          <w:p>
            <w:r>
              <w:rPr>
                <w:sz w:val="17"/>
              </w:rPr>
              <w:t>J+7  Moyenne</w:t>
            </w:r>
          </w:p>
        </w:tc>
        <w:tc>
          <w:tcPr>
            <w:tcW w:type="dxa" w:w="1440"/>
            <w:shd w:fill="FAFAFA" w:val="clear"/>
          </w:tcPr>
          <w:p>
            <w:r>
              <w:rPr>
                <w:sz w:val="17"/>
              </w:rPr>
              <w:t>2026-10-20</w:t>
            </w:r>
          </w:p>
        </w:tc>
        <w:tc>
          <w:tcPr>
            <w:tcW w:type="dxa" w:w="1440"/>
            <w:shd w:fill="FAFAFA" w:val="clear"/>
          </w:tcPr>
          <w:p>
            <w:r>
              <w:rPr>
                <w:sz w:val="17"/>
              </w:rPr>
              <w:t>10,550</w:t>
            </w:r>
          </w:p>
        </w:tc>
        <w:tc>
          <w:tcPr>
            <w:tcW w:type="dxa" w:w="1440"/>
            <w:shd w:fill="FAFAFA" w:val="clear"/>
          </w:tcPr>
          <w:p>
            <w:r>
              <w:rPr>
                <w:b/>
                <w:sz w:val="17"/>
              </w:rPr>
              <w:t>11,416</w:t>
            </w:r>
          </w:p>
        </w:tc>
        <w:tc>
          <w:tcPr>
            <w:tcW w:type="dxa" w:w="1440"/>
            <w:shd w:fill="FAFAFA" w:val="clear"/>
          </w:tcPr>
          <w:p>
            <w:r>
              <w:rPr>
                <w:sz w:val="17"/>
              </w:rPr>
              <w:t>12,281</w:t>
            </w:r>
          </w:p>
        </w:tc>
        <w:tc>
          <w:tcPr>
            <w:tcW w:type="dxa" w:w="1440"/>
            <w:shd w:fill="FAFAFA" w:val="clear"/>
          </w:tcPr>
          <w:p>
            <w:r>
              <w:rPr>
                <w:b/>
                <w:color w:val="008000"/>
                <w:sz w:val="17"/>
              </w:rPr>
              <w:t>+1.1%</w:t>
            </w:r>
          </w:p>
        </w:tc>
      </w:tr>
      <w:tr>
        <w:tc>
          <w:tcPr>
            <w:tcW w:type="dxa" w:w="1440"/>
            <w:shd w:fill="FAFAFA" w:val="clear"/>
          </w:tcPr>
          <w:p>
            <w:r>
              <w:rPr>
                <w:sz w:val="17"/>
              </w:rPr>
              <w:t>J+8  Moyenne</w:t>
            </w:r>
          </w:p>
        </w:tc>
        <w:tc>
          <w:tcPr>
            <w:tcW w:type="dxa" w:w="1440"/>
            <w:shd w:fill="FAFAFA" w:val="clear"/>
          </w:tcPr>
          <w:p>
            <w:r>
              <w:rPr>
                <w:sz w:val="17"/>
              </w:rPr>
              <w:t>2026-10-21</w:t>
            </w:r>
          </w:p>
        </w:tc>
        <w:tc>
          <w:tcPr>
            <w:tcW w:type="dxa" w:w="1440"/>
            <w:shd w:fill="FAFAFA" w:val="clear"/>
          </w:tcPr>
          <w:p>
            <w:r>
              <w:rPr>
                <w:sz w:val="17"/>
              </w:rPr>
              <w:t>10,504</w:t>
            </w:r>
          </w:p>
        </w:tc>
        <w:tc>
          <w:tcPr>
            <w:tcW w:type="dxa" w:w="1440"/>
            <w:shd w:fill="FAFAFA" w:val="clear"/>
          </w:tcPr>
          <w:p>
            <w:r>
              <w:rPr>
                <w:b/>
                <w:sz w:val="17"/>
              </w:rPr>
              <w:t>11,430</w:t>
            </w:r>
          </w:p>
        </w:tc>
        <w:tc>
          <w:tcPr>
            <w:tcW w:type="dxa" w:w="1440"/>
            <w:shd w:fill="FAFAFA" w:val="clear"/>
          </w:tcPr>
          <w:p>
            <w:r>
              <w:rPr>
                <w:sz w:val="17"/>
              </w:rPr>
              <w:t>12,357</w:t>
            </w:r>
          </w:p>
        </w:tc>
        <w:tc>
          <w:tcPr>
            <w:tcW w:type="dxa" w:w="1440"/>
            <w:shd w:fill="FAFAFA" w:val="clear"/>
          </w:tcPr>
          <w:p>
            <w:r>
              <w:rPr>
                <w:b/>
                <w:color w:val="008000"/>
                <w:sz w:val="17"/>
              </w:rPr>
              <w:t>+1.2%</w:t>
            </w:r>
          </w:p>
        </w:tc>
      </w:tr>
      <w:tr>
        <w:tc>
          <w:tcPr>
            <w:tcW w:type="dxa" w:w="1440"/>
            <w:shd w:fill="FAFAFA" w:val="clear"/>
          </w:tcPr>
          <w:p>
            <w:r>
              <w:rPr>
                <w:sz w:val="17"/>
              </w:rPr>
              <w:t>J+9  Moyenne</w:t>
            </w:r>
          </w:p>
        </w:tc>
        <w:tc>
          <w:tcPr>
            <w:tcW w:type="dxa" w:w="1440"/>
            <w:shd w:fill="FAFAFA" w:val="clear"/>
          </w:tcPr>
          <w:p>
            <w:r>
              <w:rPr>
                <w:sz w:val="17"/>
              </w:rPr>
              <w:t>2026-10-22</w:t>
            </w:r>
          </w:p>
        </w:tc>
        <w:tc>
          <w:tcPr>
            <w:tcW w:type="dxa" w:w="1440"/>
            <w:shd w:fill="FAFAFA" w:val="clear"/>
          </w:tcPr>
          <w:p>
            <w:r>
              <w:rPr>
                <w:sz w:val="17"/>
              </w:rPr>
              <w:t>10,460</w:t>
            </w:r>
          </w:p>
        </w:tc>
        <w:tc>
          <w:tcPr>
            <w:tcW w:type="dxa" w:w="1440"/>
            <w:shd w:fill="FAFAFA" w:val="clear"/>
          </w:tcPr>
          <w:p>
            <w:r>
              <w:rPr>
                <w:b/>
                <w:sz w:val="17"/>
              </w:rPr>
              <w:t>11,445</w:t>
            </w:r>
          </w:p>
        </w:tc>
        <w:tc>
          <w:tcPr>
            <w:tcW w:type="dxa" w:w="1440"/>
            <w:shd w:fill="FAFAFA" w:val="clear"/>
          </w:tcPr>
          <w:p>
            <w:r>
              <w:rPr>
                <w:sz w:val="17"/>
              </w:rPr>
              <w:t>12,429</w:t>
            </w:r>
          </w:p>
        </w:tc>
        <w:tc>
          <w:tcPr>
            <w:tcW w:type="dxa" w:w="1440"/>
            <w:shd w:fill="FAFAFA" w:val="clear"/>
          </w:tcPr>
          <w:p>
            <w:r>
              <w:rPr>
                <w:b/>
                <w:color w:val="008000"/>
                <w:sz w:val="17"/>
              </w:rPr>
              <w:t>+1.3%</w:t>
            </w:r>
          </w:p>
        </w:tc>
      </w:tr>
      <w:tr>
        <w:tc>
          <w:tcPr>
            <w:tcW w:type="dxa" w:w="1440"/>
            <w:shd w:fill="FAFAFA" w:val="clear"/>
          </w:tcPr>
          <w:p>
            <w:r>
              <w:rPr>
                <w:sz w:val="17"/>
              </w:rPr>
              <w:t>J+10  Moyenne</w:t>
            </w:r>
          </w:p>
        </w:tc>
        <w:tc>
          <w:tcPr>
            <w:tcW w:type="dxa" w:w="1440"/>
            <w:shd w:fill="FAFAFA" w:val="clear"/>
          </w:tcPr>
          <w:p>
            <w:r>
              <w:rPr>
                <w:sz w:val="17"/>
              </w:rPr>
              <w:t>2026-10-23</w:t>
            </w:r>
          </w:p>
        </w:tc>
        <w:tc>
          <w:tcPr>
            <w:tcW w:type="dxa" w:w="1440"/>
            <w:shd w:fill="FAFAFA" w:val="clear"/>
          </w:tcPr>
          <w:p>
            <w:r>
              <w:rPr>
                <w:sz w:val="17"/>
              </w:rPr>
              <w:t>10,420</w:t>
            </w:r>
          </w:p>
        </w:tc>
        <w:tc>
          <w:tcPr>
            <w:tcW w:type="dxa" w:w="1440"/>
            <w:shd w:fill="FAFAFA" w:val="clear"/>
          </w:tcPr>
          <w:p>
            <w:r>
              <w:rPr>
                <w:b/>
                <w:sz w:val="17"/>
              </w:rPr>
              <w:t>11,458</w:t>
            </w:r>
          </w:p>
        </w:tc>
        <w:tc>
          <w:tcPr>
            <w:tcW w:type="dxa" w:w="1440"/>
            <w:shd w:fill="FAFAFA" w:val="clear"/>
          </w:tcPr>
          <w:p>
            <w:r>
              <w:rPr>
                <w:sz w:val="17"/>
              </w:rPr>
              <w:t>12,497</w:t>
            </w:r>
          </w:p>
        </w:tc>
        <w:tc>
          <w:tcPr>
            <w:tcW w:type="dxa" w:w="1440"/>
            <w:shd w:fill="FAFAFA" w:val="clear"/>
          </w:tcPr>
          <w:p>
            <w:r>
              <w:rPr>
                <w:b/>
                <w:color w:val="008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**RAPPORT D'ANALYSE FINANCIÈRE — BOAC (Bank of Africa Côte d'Ivoire)**</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451,80 milliards FCFA, BOAC figure parmi les valeurs les plus importantes de la cote BRVM, ce qui lui confère une liquidité relative et une visibilité institutionnelle appréciables. Le BPA de 888 FCFA par action signifie que chaque titre génère près de neuf cents francs de bénéfice net, un niveau élevé qui traduit la forte rentabilité de la banque. Le PER de 12,7x se situe légèrement au-dessus de la moyenne BRVM (8-12x), ce qui indique que le marché paie une prime modérée pour cette valeur de qualité, sans exagération manifeste. Le P/B de 3,55x montre que le marché valorise la banque à plus de trois fois ses fonds propres comptables, une prime de croissance justifiée par un ROE exceptionnel de 27,9%. En revanche, l'EV/EBITDA de 26,4x apparaît très exigeant (&gt;15x), signalant que la valeur d'entreprise intègre déjà une anticipation de croissance soutenue, ce qui limite la marge de sécurité à court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BOAC a enregistré une progression remarquable de +30,50%, avec un cours actuel de 11 295 FCFA et une variation nulle sur la dernière séance (J-1 : +0,00%), signe d'une pause dans le mouvement haussier. Le range de trading est particulièrement large, oscillant entre un plus bas de 8 655 FCFA et un plus haut de 13 450 FCFA, soit un écart de près de 55%, ce qui témoigne d'une forte amplitude de négociation. La tendance générale reste haussière sur la période, portée par des fondamentaux solides, mais le repli depuis le sommet suggère une phase de consolidation. Les statistiques descriptives révèlent une moyenne de 10 663 FCFA légèrement inférieure à la médiane de 10 800 FCFA, avec un mode à 11 600 FCFA, indiquant une distribution quasi-symétrique (skewness de 0,184) sans biais directionnel marqué. L'écart-type de 1 517 FCFA (CV de 14,2%) traduit une dispersion modérée du cours autour de sa moyenne, tandis que le kurtosis négatif (-1,463, distribution platykurtique) signale une faible concentration des valeurs extrêmes, donc un risque de pics brusques limité. La volatilité annualisée de 27,9% classe le titre dans la catégorie des valeurs à volatilité modérée à élevée (15-30%), ce qui est cohérent avec un titre bancaire de croissance sur un marché frontière.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11 619,25 FCFA et la MM50 à 12 045,70 FCFA, toutes deux supérieures au cours actuel de 11 295 FCFA. Cette configuration baissière (prix sous les deux moyennes) indique que la dynamique de court et moyen terme s'est retournée à la baisse, justifiant la décision technique de **Vente**. Le croisement potentiel de la MM20 sous la MM50 confirmerait cette tendance négative.</w:t>
      </w:r>
    </w:p>
    <w:p>
      <w:pPr>
        <w:spacing w:after="120" w:line="276" w:lineRule="auto"/>
      </w:pPr>
      <w:r>
        <w:t>**Bandes de Bollinger** : Le cours actuel (11 295 FCFA) se situe dans la partie basse de la bande, entre la borne inférieure (10 781,78 FCFA) et la borne supérieure (12 456,72 FCFA). Cette position médiane-basse, couplée à un écartement modéré des bandes, traduit une volatilité contenue et une absence de signal directionnel fort, d'où la décision **Neutre**. Un retour vers la borne supérieure serait nécessaire pour valider une reprise haussière.</w:t>
      </w:r>
    </w:p>
    <w:p>
      <w:pPr>
        <w:spacing w:after="120" w:line="276" w:lineRule="auto"/>
      </w:pPr>
      <w:r>
        <w:t>**MACD** : La valeur du MACD (-209,898) est inférieure à son signal (-177,951), confirmant un momentum baissier persistant. La divergence négative entre les deux lignes indique que la pression vendeuse reste dominante, justifiant la décision de **Vente**. Un croisement haussier du MACD au-dessus de son signal serait un premier signe de retournement.</w:t>
      </w:r>
    </w:p>
    <w:p>
      <w:pPr>
        <w:spacing w:after="120" w:line="276" w:lineRule="auto"/>
      </w:pPr>
      <w:r>
        <w:t>**RSI** : À 39,056, le RSI se situe dans la zone neutre basse (30-70), sans atteindre le seuil de survente (&lt;30). Cette valeur indique que le titre n'est ni suracheté ni survendu, mais penche légèrement vers la faiblesse, justifiant la décision **Neutre**. Une cassure sous 30 signalerait une opportunité d'achat contrarien.</w:t>
      </w:r>
    </w:p>
    <w:p>
      <w:pPr>
        <w:spacing w:after="120" w:line="276" w:lineRule="auto"/>
      </w:pPr>
      <w:r>
        <w:t>**Stochastique** : Le %K (61,875) est supérieur au %D (50,932), avec un croisement haussier récent qui suggère un début de rebond à court terme. Toutefois, les deux lignes restent dans la zone médiane, sans signal fort, d'où la décision **Neutre**. Une confirmation au-dessus de 80 indiquerait une accélération haussière.</w:t>
      </w:r>
    </w:p>
    <w:p>
      <w:pPr>
        <w:spacing w:after="120" w:line="276" w:lineRule="auto"/>
      </w:pPr>
      <w:r>
        <w:t>**Conclusion technique** : Les indicateurs techniques présentent un tableau mitigé, avec une majorité de signaux baissiers (MM, MACD) et des signaux neutres (Bollinger, RSI, Stochastique). Le titre se trouve dans une phase de consolidation après une forte hausse, avec un momentum affaibli mais sans signe de capitulation. La prudence est de mise à court terme, en attendant une clarification directionnelle.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BOAC affiche un Produit Net Bancaire (PNB) de 73 545 millions FCFA, en légère hausse de +1,1% par rapport à 2024 (72 724 millions), selon le rapport des commissaires aux comptes du 31 décembre 2025. Le résultat net s'élève à 35 540 millions FCFA, en progression de +10,9% sur un an, porté par une amélioration du coût du risque (-27,8%, à -4 902 millions). Le ROE atteint 27,91% (excellent, &gt;15%) et le ROA 3,22%, confirmant la forte rentabilité des fonds propres et des actifs. Le coefficient d'exploitation de 36,70% (largement &lt;60%) témoigne d'une efficacité opérationnelle remarquable. Le ratio dépôts/crédits s'établit à 850 548 / 430 433 = 1,98x, soit une surliquidité structurelle (dépôts près de deux fois supérieurs aux crédits), ce qui réduit le risque de liquidité mais pèse sur la marge d'intérêt. Le coût du risque/charges financières de 6,67% reste modéré, bien que le taux de sinistralité (8,59%) et la hausse des créances en souffrance (+52,1%) constituent des points de vigilance.</w:t>
      </w:r>
    </w:p>
    <w:p>
      <w:pPr>
        <w:spacing w:after="120" w:line="276" w:lineRule="auto"/>
      </w:pPr>
      <w:r>
        <w:t>**Estimations basées sur les rapports trimestriels** : Le rapport T1 2026 (publié le 31 mars 2026) indique un PNB de 18 960 millions FCFA (+3,09% sur un an) et un résultat net de 10 801 millions FCFA (+0,91%), avec un coefficient d'exploitation stable à 35,68%. Toutefois, le coût net du risque bondit de +314,75% (-652 vs -157 millions), signalant une dégradation potentielle de la qualité du crédit. Sur cette base, on estime que l'exercice 2026 devrait enregistrer une croissance modérée du PNB (+3-4%) et un résultat net stable à légèrement croissant (+1-3%), sous réserve de l'évolution du coût du risque. Le rapport S1 2026 (examen limité du 30 septembre 2026) confirme la sincérité des états financiers sans anomalie significative, mais ne fournit pas de chiffres détaillés.</w:t>
      </w:r>
    </w:p>
    <w:p>
      <w:pPr>
        <w:spacing w:after="120" w:line="276" w:lineRule="auto"/>
      </w:pPr>
      <w:r>
        <w:t>**Évolution pluriannuelle** : Entre 2024 et 2025, le PNB a progressé de +1,1% (après +19,6% en 2024), marquant un ralentissement net. Le résultat net a toutefois accéléré (+10,9% vs +22,9% en 2024), grâce à la baisse du coût du risque. Les capitaux propres ont augmenté de 112 645 à 127 340 millions FCFA, renforçant la solidité financière. La banque a distribué 684 FCFA/action au titre de 2024 (payout ~65%), et le dividende 2025 n'est pas encore arrêté.</w:t>
      </w:r>
    </w:p>
    <w:p>
      <w:pPr>
        <w:spacing w:after="120" w:line="276" w:lineRule="auto"/>
      </w:pPr>
      <w:r>
        <w:t>**Recommandation fondamentale** : BOAC présente des fondamentaux solides (ROE élevé, efficacité opérationnelle, surliquidité) mais fait face à un ralentissement de la croissance du PNB et à une dégradation du coût du risque au T1 2026. La valorisation exigeante (EV/EBITDA 26,4x) limite le potentiel de revalorisation à court terme. **Recommandation : CONSERVER**, avec un biais positif à moyen terme si la croissance du PNB se redresse et que le coût du risque se stabilise.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BOAC (PER 12,7x, P/B 3,55x, EV/EBITDA 26,4x) indique une juste valeur, voire une légère surévaluation, le marché intégrant déjà la qualité des fondamentaux. Le comportement du cours sur 100 jours (+30,50%) est haussier, mais la récente consolidation et la volatilité modérée (27,9%) suggèrent une pause, avec une distribution symétrique (skewness 0,184) et un risque de pics limité (kurtosis -1,463). Les signaux techniques sont majoritairement baissiers (MM, MACD) ou neutres (Bollinger, RSI, Stochastique), plaidant pour une prudence à court terme. Les fondamentaux restent solides (ROE 27,9%, coefficient d'exploitation 36,7%, surliquidité), mais le ralentissement du PNB (+1,1% en 2025) et la dégradation du coût du risque au T1 2026 (+314,75%) incitent à la vigilance. Les prédictions IA (J+1 à J+10) anticipent une légère reprise (11 317 → 11 384 FCFA), ce qui contredit partiellement les signaux techniques baissiers mais reste cohérent avec la phase de consolidation. **Recommandation finale : CONSERVER**, avec un niveau de confiance **Moyen** et un risque global **Moyen**. L'horizon optimal est le **moyen terme (3-12 mois)**, en attendant une clarification de la tendance du PNB et du coût du risque. Un passage à l'achat serait justifié si le titre casse la résistance de 12 045 FCFA (MM50) avec un volume soutenu, ou si le coût du risque se stabilise au T2 2026.</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"L'examen limit\u00e9 ne r\u00e9v\u00e8le aucune anomalie significative et confirme la sinc\u00e9rit\u00e9 des \u00e9tats financiers semestriels. En l'absence de donn\u00e9es chiffr\u00e9es d\u00e9taill\u00e9es dans le document, aucune valorisation ni orientation d'investissement ne peut \u00eatre \u00e9tablie avec certitude."}</w:t>
      </w:r>
    </w:p>
    <w:p>
      <w:pPr>
        <w:spacing w:before="40"/>
        <w:ind w:left="400"/>
      </w:pPr>
      <w:r>
        <w:rPr>
          <w:sz w:val="18"/>
        </w:rPr>
        <w:t>Le document est un rapport d'examen limité des états financiers semestriels de Bank of Africa Côte d'Ivoire (BOA CI) couvrant la période du 1er janvier au 30 juin 2026, établi par les commissaires aux comptes Forvis Mazars et Eritedge Côte d'Ivoire. Les auditeurs n'ont pas relevé de faits remettant en cause la sincérité des états financiers semestriels. Ils n'ont également formulé aucune observation sur la sincérité et la concordance du rapport d'activité semestriel avec les états financiers. Les états financiers ont été arrêtés par le Conseil d'Administration le 9 septembre 2026 et le rapport signé le 30 septembre 2026. Toutefois, le document ne contient pas les données chiffrées détaillées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d'examen limité (et non audit complet) des états financiers semestriels au 30 juin 2026 de BOA CI.</w:t>
      </w:r>
    </w:p>
    <w:p>
      <w:pPr>
        <w:pStyle w:val="ListBullet"/>
        <w:spacing w:before="20" w:after="20"/>
        <w:ind w:left="700"/>
      </w:pPr>
      <w:r>
        <w:rPr>
          <w:sz w:val="18"/>
        </w:rPr>
        <w:t>Conclusion sans réserve : aucun fait laissant penser que les états financiers ne présentent pas sincèrement la situation financière.</w:t>
      </w:r>
    </w:p>
    <w:p>
      <w:pPr>
        <w:pStyle w:val="ListBullet"/>
        <w:spacing w:before="20" w:after="20"/>
        <w:ind w:left="700"/>
      </w:pPr>
      <w:r>
        <w:rPr>
          <w:sz w:val="18"/>
        </w:rPr>
        <w:t>États financiers établis conformément au Plan Comptable Bancaire Révisé de l'UMOA.</w:t>
      </w:r>
    </w:p>
    <w:p>
      <w:pPr>
        <w:pStyle w:val="ListBullet"/>
        <w:spacing w:before="20" w:after="20"/>
        <w:ind w:left="700"/>
      </w:pPr>
      <w:r>
        <w:rPr>
          <w:sz w:val="18"/>
        </w:rPr>
        <w:t>Aucune observation sur la sincérité et la concordance du rapport d'activité semestriel.</w:t>
      </w:r>
    </w:p>
    <w:p>
      <w:pPr>
        <w:pStyle w:val="ListBullet"/>
        <w:spacing w:before="20" w:after="20"/>
        <w:ind w:left="700"/>
      </w:pPr>
      <w:r>
        <w:rPr>
          <w:sz w:val="18"/>
        </w:rPr>
        <w:t>États financiers arrêtés par le Conseil d'Administration en session du 9 septembre 2026.</w:t>
      </w:r>
    </w:p>
    <w:p>
      <w:pPr>
        <w:pStyle w:val="ListBullet"/>
        <w:spacing w:before="20" w:after="20"/>
        <w:ind w:left="700"/>
      </w:pPr>
      <w:r>
        <w:rPr>
          <w:sz w:val="18"/>
        </w:rPr>
        <w:t>Commissaires aux comptes : Forvis Mazars S.A. et Eritedge Côte d'Ivoire S.A.</w:t>
      </w:r>
    </w:p>
    <w:p>
      <w:pPr>
        <w:spacing w:before="40"/>
        <w:ind w:left="400"/>
      </w:pPr>
      <w:r>
        <w:rPr>
          <w:b/>
          <w:color w:val="C05000"/>
          <w:sz w:val="18"/>
        </w:rPr>
        <w:t xml:space="preserve">⚠️ Risques : </w:t>
      </w:r>
      <w:r>
        <w:rPr>
          <w:sz w:val="18"/>
        </w:rPr>
        <w:t>["Absence de donn\u00e9es financi\u00e8res chiffr\u00e9es dans le document fourni, limitant l'analyse quantitative.", "Nature d'examen limit\u00e9 offrant une assurance mod\u00e9r\u00e9e, moins \u00e9lev\u00e9e qu'un audit complet.", "Risques inh\u00e9rents au secteur bancaire (qualit\u00e9 du porte</w:t>
      </w:r>
    </w:p>
    <w:p>
      <w:pPr>
        <w:spacing w:before="40"/>
        <w:ind w:left="400"/>
      </w:pPr>
      <w:r>
        <w:rPr>
          <w:b/>
          <w:color w:val="0064A0"/>
          <w:sz w:val="18"/>
        </w:rPr>
        <w:t xml:space="preserve">🔮 Perspectives : </w:t>
      </w:r>
      <w:r>
        <w:rPr>
          <w:sz w:val="18"/>
        </w:rPr>
        <w:t>Les perspectives restent dépendantes des performances opérationnelles et financières de BOA CI sur le second semestre 2026, non détaillées dans ce rapport. La conclusion positive des commissaires aux comptes suggère une situation financière saine à mi-parcours. Une analyse plus fine nécessiterait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
      <w:r>
        <w:t>════════════════════════════════════════════════════════════════════════════════</w:t>
      </w:r>
    </w:p>
    <w:p>
      <w:r>
        <w:br w:type="page"/>
      </w:r>
    </w:p>
    <w:p>
      <w:pPr>
        <w:pStyle w:val="Heading2"/>
        <w:spacing w:before="360"/>
      </w:pPr>
      <w:r>
        <w:rPr>
          <w:color w:val="0066CC"/>
        </w:rPr>
        <w:t>9.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167.44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6,405 titres</w:t>
            </w:r>
          </w:p>
        </w:tc>
        <w:tc>
          <w:tcPr>
            <w:tcW w:type="dxa" w:w="2268"/>
            <w:shd w:fill="FFF2CC" w:val="clear"/>
          </w:tcPr>
          <w:p>
            <w:r>
              <w:rPr>
                <w:b/>
                <w:color w:val="503200"/>
                <w:sz w:val="16"/>
              </w:rPr>
              <w:t xml:space="preserve">Cours actuel : </w:t>
            </w:r>
            <w:r>
              <w:rPr>
                <w:color w:val="000000"/>
                <w:sz w:val="17"/>
              </w:rPr>
              <w:t>6,100 FCFA</w:t>
            </w:r>
          </w:p>
          <w:p>
            <w:r>
              <w:rPr>
                <w:b/>
                <w:color w:val="503200"/>
                <w:sz w:val="16"/>
              </w:rPr>
              <w:t xml:space="preserve">Var. 100 jours : </w:t>
            </w:r>
            <w:r>
              <w:rPr>
                <w:b/>
                <w:color w:val="007800"/>
                <w:sz w:val="17"/>
              </w:rPr>
              <w:t>+30.06%</w:t>
            </w:r>
          </w:p>
          <w:p>
            <w:r>
              <w:rPr>
                <w:b/>
                <w:color w:val="503200"/>
                <w:sz w:val="16"/>
              </w:rPr>
              <w:t xml:space="preserve">Plus haut 100j : </w:t>
            </w:r>
            <w:r>
              <w:rPr>
                <w:color w:val="000000"/>
                <w:sz w:val="17"/>
              </w:rPr>
              <w:t>7,195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43.5%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13.41% (Moyenne) — μ=5,659 FCFA, σ=759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β=1.3514 (Agressif) — Cov=0.000099, Var(idx)=0.000073, ρ=0.419,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6,405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σ_j=2.74%/j (Stable) — Vol. annualisée≈43.5%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5,703</w:t>
            </w:r>
          </w:p>
        </w:tc>
        <w:tc>
          <w:tcPr>
            <w:tcW w:type="dxa" w:w="1440"/>
            <w:shd w:fill="FAFAFA" w:val="clear"/>
          </w:tcPr>
          <w:p>
            <w:r>
              <w:rPr>
                <w:b/>
                <w:sz w:val="17"/>
              </w:rPr>
              <w:t>6,041</w:t>
            </w:r>
          </w:p>
        </w:tc>
        <w:tc>
          <w:tcPr>
            <w:tcW w:type="dxa" w:w="1440"/>
            <w:shd w:fill="FAFAFA" w:val="clear"/>
          </w:tcPr>
          <w:p>
            <w:r>
              <w:rPr>
                <w:sz w:val="17"/>
              </w:rPr>
              <w:t>6,379</w:t>
            </w:r>
          </w:p>
        </w:tc>
        <w:tc>
          <w:tcPr>
            <w:tcW w:type="dxa" w:w="1440"/>
            <w:shd w:fill="FAFAFA" w:val="clear"/>
          </w:tcPr>
          <w:p>
            <w:r>
              <w:rPr>
                <w:b/>
                <w:color w:val="C00000"/>
                <w:sz w:val="17"/>
              </w:rPr>
              <w:t>-1.0%</w:t>
            </w:r>
          </w:p>
        </w:tc>
      </w:tr>
      <w:tr>
        <w:tc>
          <w:tcPr>
            <w:tcW w:type="dxa" w:w="1440"/>
            <w:shd w:fill="FFDCE0" w:val="clear"/>
          </w:tcPr>
          <w:p>
            <w:r>
              <w:rPr>
                <w:sz w:val="17"/>
              </w:rPr>
              <w:t>J+2  Moyenne</w:t>
            </w:r>
          </w:p>
        </w:tc>
        <w:tc>
          <w:tcPr>
            <w:tcW w:type="dxa" w:w="1440"/>
            <w:shd w:fill="FFDCE0" w:val="clear"/>
          </w:tcPr>
          <w:p>
            <w:r>
              <w:rPr>
                <w:sz w:val="17"/>
              </w:rPr>
              <w:t>2026-10-13</w:t>
            </w:r>
          </w:p>
        </w:tc>
        <w:tc>
          <w:tcPr>
            <w:tcW w:type="dxa" w:w="1440"/>
            <w:shd w:fill="FFDCE0" w:val="clear"/>
          </w:tcPr>
          <w:p>
            <w:r>
              <w:rPr>
                <w:sz w:val="17"/>
              </w:rPr>
              <w:t>5,490</w:t>
            </w:r>
          </w:p>
        </w:tc>
        <w:tc>
          <w:tcPr>
            <w:tcW w:type="dxa" w:w="1440"/>
            <w:shd w:fill="FFDCE0" w:val="clear"/>
          </w:tcPr>
          <w:p>
            <w:r>
              <w:rPr>
                <w:b/>
                <w:sz w:val="17"/>
              </w:rPr>
              <w:t>5,962</w:t>
            </w:r>
          </w:p>
        </w:tc>
        <w:tc>
          <w:tcPr>
            <w:tcW w:type="dxa" w:w="1440"/>
            <w:shd w:fill="FFDCE0" w:val="clear"/>
          </w:tcPr>
          <w:p>
            <w:r>
              <w:rPr>
                <w:sz w:val="17"/>
              </w:rPr>
              <w:t>6,434</w:t>
            </w:r>
          </w:p>
        </w:tc>
        <w:tc>
          <w:tcPr>
            <w:tcW w:type="dxa" w:w="1440"/>
            <w:shd w:fill="FFDCE0" w:val="clear"/>
          </w:tcPr>
          <w:p>
            <w:r>
              <w:rPr>
                <w:b/>
                <w:color w:val="C00000"/>
                <w:sz w:val="17"/>
              </w:rPr>
              <w:t>-2.3%</w:t>
            </w:r>
          </w:p>
        </w:tc>
      </w:tr>
      <w:tr>
        <w:tc>
          <w:tcPr>
            <w:tcW w:type="dxa" w:w="1440"/>
            <w:shd w:fill="FFDCE0" w:val="clear"/>
          </w:tcPr>
          <w:p>
            <w:r>
              <w:rPr>
                <w:sz w:val="17"/>
              </w:rPr>
              <w:t>J+3  Moyenne</w:t>
            </w:r>
          </w:p>
        </w:tc>
        <w:tc>
          <w:tcPr>
            <w:tcW w:type="dxa" w:w="1440"/>
            <w:shd w:fill="FFDCE0" w:val="clear"/>
          </w:tcPr>
          <w:p>
            <w:r>
              <w:rPr>
                <w:sz w:val="17"/>
              </w:rPr>
              <w:t>2026-10-14</w:t>
            </w:r>
          </w:p>
        </w:tc>
        <w:tc>
          <w:tcPr>
            <w:tcW w:type="dxa" w:w="1440"/>
            <w:shd w:fill="FFDCE0" w:val="clear"/>
          </w:tcPr>
          <w:p>
            <w:r>
              <w:rPr>
                <w:sz w:val="17"/>
              </w:rPr>
              <w:t>5,315</w:t>
            </w:r>
          </w:p>
        </w:tc>
        <w:tc>
          <w:tcPr>
            <w:tcW w:type="dxa" w:w="1440"/>
            <w:shd w:fill="FFDCE0" w:val="clear"/>
          </w:tcPr>
          <w:p>
            <w:r>
              <w:rPr>
                <w:b/>
                <w:sz w:val="17"/>
              </w:rPr>
              <w:t>5,886</w:t>
            </w:r>
          </w:p>
        </w:tc>
        <w:tc>
          <w:tcPr>
            <w:tcW w:type="dxa" w:w="1440"/>
            <w:shd w:fill="FFDCE0" w:val="clear"/>
          </w:tcPr>
          <w:p>
            <w:r>
              <w:rPr>
                <w:sz w:val="17"/>
              </w:rPr>
              <w:t>6,456</w:t>
            </w:r>
          </w:p>
        </w:tc>
        <w:tc>
          <w:tcPr>
            <w:tcW w:type="dxa" w:w="1440"/>
            <w:shd w:fill="FFDCE0" w:val="clear"/>
          </w:tcPr>
          <w:p>
            <w:r>
              <w:rPr>
                <w:b/>
                <w:color w:val="C00000"/>
                <w:sz w:val="17"/>
              </w:rPr>
              <w:t>-3.5%</w:t>
            </w:r>
          </w:p>
        </w:tc>
      </w:tr>
      <w:tr>
        <w:tc>
          <w:tcPr>
            <w:tcW w:type="dxa" w:w="1440"/>
            <w:shd w:fill="FFDCE0" w:val="clear"/>
          </w:tcPr>
          <w:p>
            <w:r>
              <w:rPr>
                <w:sz w:val="17"/>
              </w:rPr>
              <w:t>J+4  ⭐</w:t>
            </w:r>
          </w:p>
        </w:tc>
        <w:tc>
          <w:tcPr>
            <w:tcW w:type="dxa" w:w="1440"/>
            <w:shd w:fill="FFDCE0" w:val="clear"/>
          </w:tcPr>
          <w:p>
            <w:r>
              <w:rPr>
                <w:sz w:val="17"/>
              </w:rPr>
              <w:t>2026-10-15</w:t>
            </w:r>
          </w:p>
        </w:tc>
        <w:tc>
          <w:tcPr>
            <w:tcW w:type="dxa" w:w="1440"/>
            <w:shd w:fill="FFDCE0" w:val="clear"/>
          </w:tcPr>
          <w:p>
            <w:r>
              <w:rPr>
                <w:sz w:val="17"/>
              </w:rPr>
              <w:t>5,167</w:t>
            </w:r>
          </w:p>
        </w:tc>
        <w:tc>
          <w:tcPr>
            <w:tcW w:type="dxa" w:w="1440"/>
            <w:shd w:fill="FFDCE0" w:val="clear"/>
          </w:tcPr>
          <w:p>
            <w:r>
              <w:rPr>
                <w:b/>
                <w:sz w:val="17"/>
              </w:rPr>
              <w:t>5,818</w:t>
            </w:r>
          </w:p>
        </w:tc>
        <w:tc>
          <w:tcPr>
            <w:tcW w:type="dxa" w:w="1440"/>
            <w:shd w:fill="FFDCE0" w:val="clear"/>
          </w:tcPr>
          <w:p>
            <w:r>
              <w:rPr>
                <w:sz w:val="17"/>
              </w:rPr>
              <w:t>6,470</w:t>
            </w:r>
          </w:p>
        </w:tc>
        <w:tc>
          <w:tcPr>
            <w:tcW w:type="dxa" w:w="1440"/>
            <w:shd w:fill="FFDCE0" w:val="clear"/>
          </w:tcPr>
          <w:p>
            <w:r>
              <w:rPr>
                <w:b/>
                <w:color w:val="C00000"/>
                <w:sz w:val="17"/>
              </w:rPr>
              <w:t>-4.6%</w:t>
            </w:r>
          </w:p>
        </w:tc>
      </w:tr>
      <w:tr>
        <w:tc>
          <w:tcPr>
            <w:tcW w:type="dxa" w:w="1440"/>
            <w:shd w:fill="FFDCE0" w:val="clear"/>
          </w:tcPr>
          <w:p>
            <w:r>
              <w:rPr>
                <w:sz w:val="17"/>
              </w:rPr>
              <w:t>J+5  ⭐</w:t>
            </w:r>
          </w:p>
        </w:tc>
        <w:tc>
          <w:tcPr>
            <w:tcW w:type="dxa" w:w="1440"/>
            <w:shd w:fill="FFDCE0" w:val="clear"/>
          </w:tcPr>
          <w:p>
            <w:r>
              <w:rPr>
                <w:sz w:val="17"/>
              </w:rPr>
              <w:t>2026-10-16</w:t>
            </w:r>
          </w:p>
        </w:tc>
        <w:tc>
          <w:tcPr>
            <w:tcW w:type="dxa" w:w="1440"/>
            <w:shd w:fill="FFDCE0" w:val="clear"/>
          </w:tcPr>
          <w:p>
            <w:r>
              <w:rPr>
                <w:sz w:val="17"/>
              </w:rPr>
              <w:t>5,037</w:t>
            </w:r>
          </w:p>
        </w:tc>
        <w:tc>
          <w:tcPr>
            <w:tcW w:type="dxa" w:w="1440"/>
            <w:shd w:fill="FFDCE0" w:val="clear"/>
          </w:tcPr>
          <w:p>
            <w:r>
              <w:rPr>
                <w:b/>
                <w:sz w:val="17"/>
              </w:rPr>
              <w:t>5,758</w:t>
            </w:r>
          </w:p>
        </w:tc>
        <w:tc>
          <w:tcPr>
            <w:tcW w:type="dxa" w:w="1440"/>
            <w:shd w:fill="FFDCE0" w:val="clear"/>
          </w:tcPr>
          <w:p>
            <w:r>
              <w:rPr>
                <w:sz w:val="17"/>
              </w:rPr>
              <w:t>6,479</w:t>
            </w:r>
          </w:p>
        </w:tc>
        <w:tc>
          <w:tcPr>
            <w:tcW w:type="dxa" w:w="1440"/>
            <w:shd w:fill="FFDCE0" w:val="clear"/>
          </w:tcPr>
          <w:p>
            <w:r>
              <w:rPr>
                <w:b/>
                <w:color w:val="C00000"/>
                <w:sz w:val="17"/>
              </w:rPr>
              <w:t>-5.6%</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4,921</w:t>
            </w:r>
          </w:p>
        </w:tc>
        <w:tc>
          <w:tcPr>
            <w:tcW w:type="dxa" w:w="1440"/>
            <w:shd w:fill="FFDCE0" w:val="clear"/>
          </w:tcPr>
          <w:p>
            <w:r>
              <w:rPr>
                <w:b/>
                <w:sz w:val="17"/>
              </w:rPr>
              <w:t>5,703</w:t>
            </w:r>
          </w:p>
        </w:tc>
        <w:tc>
          <w:tcPr>
            <w:tcW w:type="dxa" w:w="1440"/>
            <w:shd w:fill="FFDCE0" w:val="clear"/>
          </w:tcPr>
          <w:p>
            <w:r>
              <w:rPr>
                <w:sz w:val="17"/>
              </w:rPr>
              <w:t>6,485</w:t>
            </w:r>
          </w:p>
        </w:tc>
        <w:tc>
          <w:tcPr>
            <w:tcW w:type="dxa" w:w="1440"/>
            <w:shd w:fill="FFDCE0" w:val="clear"/>
          </w:tcPr>
          <w:p>
            <w:r>
              <w:rPr>
                <w:b/>
                <w:color w:val="C00000"/>
                <w:sz w:val="17"/>
              </w:rPr>
              <w:t>-6.5%</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4,814</w:t>
            </w:r>
          </w:p>
        </w:tc>
        <w:tc>
          <w:tcPr>
            <w:tcW w:type="dxa" w:w="1440"/>
            <w:shd w:fill="FFDCE0" w:val="clear"/>
          </w:tcPr>
          <w:p>
            <w:r>
              <w:rPr>
                <w:b/>
                <w:sz w:val="17"/>
              </w:rPr>
              <w:t>5,651</w:t>
            </w:r>
          </w:p>
        </w:tc>
        <w:tc>
          <w:tcPr>
            <w:tcW w:type="dxa" w:w="1440"/>
            <w:shd w:fill="FFDCE0" w:val="clear"/>
          </w:tcPr>
          <w:p>
            <w:r>
              <w:rPr>
                <w:sz w:val="17"/>
              </w:rPr>
              <w:t>6,488</w:t>
            </w:r>
          </w:p>
        </w:tc>
        <w:tc>
          <w:tcPr>
            <w:tcW w:type="dxa" w:w="1440"/>
            <w:shd w:fill="FFDCE0" w:val="clear"/>
          </w:tcPr>
          <w:p>
            <w:r>
              <w:rPr>
                <w:b/>
                <w:color w:val="C00000"/>
                <w:sz w:val="17"/>
              </w:rPr>
              <w:t>-7.4%</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4,715</w:t>
            </w:r>
          </w:p>
        </w:tc>
        <w:tc>
          <w:tcPr>
            <w:tcW w:type="dxa" w:w="1440"/>
            <w:shd w:fill="FFDCE0" w:val="clear"/>
          </w:tcPr>
          <w:p>
            <w:r>
              <w:rPr>
                <w:b/>
                <w:sz w:val="17"/>
              </w:rPr>
              <w:t>5,602</w:t>
            </w:r>
          </w:p>
        </w:tc>
        <w:tc>
          <w:tcPr>
            <w:tcW w:type="dxa" w:w="1440"/>
            <w:shd w:fill="FFDCE0" w:val="clear"/>
          </w:tcPr>
          <w:p>
            <w:r>
              <w:rPr>
                <w:sz w:val="17"/>
              </w:rPr>
              <w:t>6,489</w:t>
            </w:r>
          </w:p>
        </w:tc>
        <w:tc>
          <w:tcPr>
            <w:tcW w:type="dxa" w:w="1440"/>
            <w:shd w:fill="FFDCE0" w:val="clear"/>
          </w:tcPr>
          <w:p>
            <w:r>
              <w:rPr>
                <w:b/>
                <w:color w:val="C00000"/>
                <w:sz w:val="17"/>
              </w:rPr>
              <w:t>-8.2%</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4,622</w:t>
            </w:r>
          </w:p>
        </w:tc>
        <w:tc>
          <w:tcPr>
            <w:tcW w:type="dxa" w:w="1440"/>
            <w:shd w:fill="FFDCE0" w:val="clear"/>
          </w:tcPr>
          <w:p>
            <w:r>
              <w:rPr>
                <w:b/>
                <w:sz w:val="17"/>
              </w:rPr>
              <w:t>5,555</w:t>
            </w:r>
          </w:p>
        </w:tc>
        <w:tc>
          <w:tcPr>
            <w:tcW w:type="dxa" w:w="1440"/>
            <w:shd w:fill="FFDCE0" w:val="clear"/>
          </w:tcPr>
          <w:p>
            <w:r>
              <w:rPr>
                <w:sz w:val="17"/>
              </w:rPr>
              <w:t>6,488</w:t>
            </w:r>
          </w:p>
        </w:tc>
        <w:tc>
          <w:tcPr>
            <w:tcW w:type="dxa" w:w="1440"/>
            <w:shd w:fill="FFDCE0" w:val="clear"/>
          </w:tcPr>
          <w:p>
            <w:r>
              <w:rPr>
                <w:b/>
                <w:color w:val="C00000"/>
                <w:sz w:val="17"/>
              </w:rPr>
              <w:t>-8.9%</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4,535</w:t>
            </w:r>
          </w:p>
        </w:tc>
        <w:tc>
          <w:tcPr>
            <w:tcW w:type="dxa" w:w="1440"/>
            <w:shd w:fill="FFDCE0" w:val="clear"/>
          </w:tcPr>
          <w:p>
            <w:r>
              <w:rPr>
                <w:b/>
                <w:sz w:val="17"/>
              </w:rPr>
              <w:t>5,511</w:t>
            </w:r>
          </w:p>
        </w:tc>
        <w:tc>
          <w:tcPr>
            <w:tcW w:type="dxa" w:w="1440"/>
            <w:shd w:fill="FFDCE0" w:val="clear"/>
          </w:tcPr>
          <w:p>
            <w:r>
              <w:rPr>
                <w:sz w:val="17"/>
              </w:rPr>
              <w:t>6,486</w:t>
            </w:r>
          </w:p>
        </w:tc>
        <w:tc>
          <w:tcPr>
            <w:tcW w:type="dxa" w:w="1440"/>
            <w:shd w:fill="FFDCE0" w:val="clear"/>
          </w:tcPr>
          <w:p>
            <w:r>
              <w:rPr>
                <w:b/>
                <w:color w:val="C00000"/>
                <w:sz w:val="17"/>
              </w:rPr>
              <w:t>-9.7%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**RAPPORT D'ANALYSE FINANCIÈRE — BOA MALI (BOAM)**</w:t>
        <w:br/>
        <w:t>*Bourse Régionale des Valeurs Mobilières (BRVM) — Secteur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167,44 milliards FCFA, BOA Mali se positionne parmi les valeurs bancaires de taille intermédiaire à significative de la cote BRVM, ce qui lui confère une certaine liquidité relative au sein du compartiment bancaire. Le BPA de 404 FCFA par action signifie que chaque titre détenu génère environ 404 FCFA de bénéfice net annuel, un niveau appréciable qui traduit la capacité bénéficiaire effective de la banque. Le PER de 15,1x indique que les investisseurs paient environ 15 fois les bénéfices annuels, ce qui est supérieur à la moyenne du marché BRVM (généralement située entre 8 et 12x), suggérant une prime de valorisation accordée par le marché, potentiellement justifiée par la qualité des fondamentaux ou les perspectives de croissance. Le ratio P/B de 3,36x montre que le marché valorise l'action à plus de trois fois sa valeur comptable, ce qui est cohérent avec une prime de croissance accordée aux banques affichant un ROE élevé (22,24% en 2025). Enfin, l'EV/EBITDA de 7,8x, situé dans la fourchette raisonnable de 5-10x, indique que la valeur totale de l'entreprise reste proportionnée à sa capacité opérationnelle de génération de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BOAM a enregistré une progression remarquable de +30,06%, avec une variation quasi-stable de +0,08% sur la dernière séance (J-1), signalant une pause dans la dynamique haussière. Le cours actuel de 6 100 FCFA se situe dans la partie médiane-haute du range de trading, le plus haut ayant atteint 7 195 FCFA et le plus bas 4 425 FCFA, soit un écart de 2 770 FCFA (environ 62% du plus bas), ce qui témoigne d'une volatilité intra-période significative. La tendance générale est clairement haussière sur la période, portée par un volume moyen quotidien de 6 405 titres, indiquant un intérêt soutenu des investisseurs. Les statistiques descriptives révèlent une moyenne de 5 659 FCFA et une médiane de 5 662 FCFA, quasi-identiques, confirmant une distribution symétrique du cours (skewness de 0,139, proche de zéro). L'écart-type de 762 FCFA avec un coefficient de variation de 13,5% indique une dispersion modérée autour de la moyenne. Le kurtosis de -0,995 (mésokurtique) suggère une distribution proche de la normale, sans risque excessif de pics extrêmes. La volatilité annualisée de 43,5% classe le titre dans la catégorie des valeurs à volatilité élevée (&gt;30%), ce qui est courant pour les petites et moyennes capitalisations bancaires de la BRVM, mais implique un risque de fluctuation important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6 327,75 FCFA et la MM50 à 6 278,00 FCFA, toutes deux supérieures au cours actuel de 6 100 FCFA, ce qui place le titre en dessous de ses moyennes mobiles à court et moyen terme. Cependant, la décision technique affichée est "Achat", probablement en raison de la configuration haussière des moyennes entre elles (MM20 &gt; MM50) et de la tendance de fond positive sur 100 jours. Le cours évolue actuellement sous ces moyennes, ce qui pourrait indiquer une phase de consolidation après la forte hausse.</w:t>
      </w:r>
    </w:p>
    <w:p>
      <w:pPr>
        <w:spacing w:after="120" w:line="276" w:lineRule="auto"/>
      </w:pPr>
      <w:r>
        <w:t>**Bandes de Bollinger :** La borne supérieure se situe à 7 272,11 FCFA et la borne inférieure à 5 383,39 FCFA, avec un cours actuel de 6 100 FCFA positionné légèrement au-dessus du milieu de bande (6 327,75 FCFA). La décision est "Neutre", ce qui reflète l'absence de signal clair : le cours n'est ni en surachat (proche de la borne supérieure) ni en survente (proche de la borne inférieure). La largeur des bandes (1 888,72 FCFA) confirme une volatilité élevée, cohérente avec la volatilité annualisée de 43,5%.</w:t>
      </w:r>
    </w:p>
    <w:p>
      <w:pPr>
        <w:spacing w:after="120" w:line="276" w:lineRule="auto"/>
      </w:pPr>
      <w:r>
        <w:t>**MACD :** La valeur du MACD est de -95,148 contre un signal à -67,208, avec un MACD inférieur à son signal, ce qui génère une décision de "Vente". Cette configuration indique un momentum baissier à court terme, le MACD étant en territoire négatif. La divergence négative entre le MACD et son signal suggère que la dynamique haussière des 100 derniers jours s'essouffle, et qu'une correction ou consolidation est en cours.</w:t>
      </w:r>
    </w:p>
    <w:p>
      <w:pPr>
        <w:spacing w:after="120" w:line="276" w:lineRule="auto"/>
      </w:pPr>
      <w:r>
        <w:t>**RSI :** Le RSI s'établit à 38,207, ce qui le place en zone neutre (entre 30 et 70), mais dans la partie basse de cette zone. La décision est "Neutre". Un RSI à 38 indique que le titre n'est pas en survente (seuil de 30), mais que la pression acheteuse est modérée. Cela suggère que le cours pourrait encore baisser avant de trouver un support solide, sans pour autant être en zone de rebond technique imminent.</w:t>
      </w:r>
    </w:p>
    <w:p>
      <w:pPr>
        <w:spacing w:after="120" w:line="276" w:lineRule="auto"/>
      </w:pPr>
      <w:r>
        <w:t>**Stochastique :** Le %K est à 76,829 et le %D à 57,048, avec une décision "Neutre". Le %K supérieur au %D indique un croisement haussier potentiel, mais le %K proche de 80 suggère que le titre approche de la zone de surachat. Cette configuration est ambiguë : elle pourrait annoncer un rebond à court terme, mais le niveau élevé du %K limite le potentiel de hausse immédiat.</w:t>
      </w:r>
    </w:p>
    <w:p>
      <w:pPr>
        <w:spacing w:after="120" w:line="276" w:lineRule="auto"/>
      </w:pPr>
      <w:r>
        <w:t>**Conclusion technique :** Les indicateurs techniques présentent une image mitigée. D'un côté, la tendance de fond sur 100 jours reste haussière (+30,06%) et les moyennes mobiles sont configurées positivement (MM20 &gt; MM50). De l'autre, le MACD est baissier, le RSI est en zone neutre-basse, et le cours évolue sous ses moyennes mobiles. Cette divergence suggère une phase de consolidation ou de correction après la forte hausse, avec un potentiel de rebond limité à court terme. La décision globale est "Neutre" avec une légère tendance baissière à court terme, en attendant un signal plus clair.</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BOA Mali affiche un Produit Net Bancaire (PNB) de 37,996 milliards FCFA, en croissance de 5,08% par rapport à 2024, confirmant la dynamique commerciale de la banque. Le résultat net s'établit à 11,081 milliards FCFA, en forte hausse par rapport aux 9,12 milliards de 2024 (+21,5%), porté par une maîtrise des charges et une amélioration du coût du risque. Le ROE atteint 22,24%, un niveau excellent (&gt;15%), et le ROA s'élève à 1,87%, témoignant d'une bonne rentabilité des actifs. Le coefficient d'exploitation de 63,14% reste légèrement supérieur au seuil de 60% considéré comme optimal pour une banque efficace, mais s'améliore par rapport aux exercices précédents. Le coût du risque, mesuré à 43,39% des charges financières, reste élevé et constitue un point de vigilance, bien qu'en amélioration. La structure financière montre une autonomie financière de 8,40% (capitaux propres/total bilan), ce qui est faible mais typique des banques, et un ratio de solvabilité générale de 109,16% (&gt;100%), confirmant la solvabilité de l'établissement. Le ratio dépôts/crédits s'établit à 502,89 milliards de dépôts clientèle pour 253,65 milliards de créances clientèle, soit un ratio de transformation de 50,4%, indiquant une surliquidité et une prudence dans l'octroi de crédits.</w:t>
      </w:r>
    </w:p>
    <w:p>
      <w:pPr>
        <w:spacing w:after="120" w:line="276" w:lineRule="auto"/>
      </w:pPr>
      <w:r>
        <w:t>**Estimations basées sur les rapports trimestriels :** Les rapports narratifs disponibles (T1 2026, S1 2026, T3 2025, S1 2025, T1 2025) confirment la trajectoire positive. Le rapport T1 2026 (publié le 31/03/2026) indique un PNB de 10,322 milliards FCFA, en hausse de +22,97% sur un an, et le rapport S1 2026 (publié le 30/06/2026) fait état d'un PNB de 21,987 milliards FCFA, en progression de +17,5%. Sur la base de ces tendances, on peut estimer que l'exercice 2026 devrait afficher un PNB en croissance à deux chiffres (entre +15% et +20%), potentiellement autour de 43-45 milliards FCFA, et un résultat net en hausse significative, possiblement supérieur à 13 milliards FCFA, porté par la digitalisation et la maîtrise des coûts. Le rapport S1 2025 (publié le 30/06/2025) soulignait déjà une hausse de +28,8% du résultat net à 6,21 milliards FCFA, confirmant la dynamique.</w:t>
      </w:r>
    </w:p>
    <w:p>
      <w:pPr>
        <w:spacing w:after="120" w:line="276" w:lineRule="auto"/>
      </w:pPr>
      <w:r>
        <w:t>**Évolution pluriannuelle :** Entre 2022 et 2025, BOA Mali a montré une résilience remarquable malgré un contexte difficile (insécurité, inflation, sanctions). Le PNB est passé de 35,3 milliards FCFA en 2022 à 37,996 milliards en 2025, tandis que le résultat net a progressé de 2,46 milliards en 2022 à 11,081 milliards en 2025, soit une multiplication par 4,5 en trois ans. Cette performance est principalement due à la réduction drastique des provisions pour risques (de 13,26 milliards en 2022 à 4,59 milliards en 2025) et à la maîtrise des charges.</w:t>
      </w:r>
    </w:p>
    <w:p>
      <w:pPr>
        <w:spacing w:after="120" w:line="276" w:lineRule="auto"/>
      </w:pPr>
      <w:r>
        <w:t>**Recommandation fondamentale :** BOA Mali présente des fondamentaux solides avec une rentabilité élevée (ROE &gt;20%), une croissance du PNB soutenue et une amélioration continue de la qualité du portefeuille de crédits. Les risques principaux restent le contexte macroéconomique et sécuritaire malien, la concentration géographique et le niveau encore élevé du coût du risque. La recommandation fondamentale est **CONSERVER** avec un biais positif, en attendant la confirmation des résultats annuels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 Mali (PER de 15,1x, P/B de 3,36x, EV/EBITDA de 7,8x) indique une prime de croissance accordée par le marché, justifiée par un ROE élevé (22,24%) et une dynamique bénéficiaire robuste, mais qui limite le potentiel de revalorisation à court terme. Le comportement du cours sur 100 jours est haussier (+30,06%) avec une volatilité élevée (43,5%), une distribution symétrique (skewness de 0,139) et une absence de pics extrêmes (kurtosis de -0,995), ce qui est rassurant mais implique un risque de correction. Les signaux techniques sont mitigés : la tendance de fond est positive (MM20 &gt; MM50), mais le MACD est baissier, le RSI est neutre-bas (38,2) et le cours évolue sous ses moyennes mobiles, suggérant une consolidation en cours. Les fondamentaux sont solides : PNB de 37,996 milliards FCFA en 2025 (+5,08%), résultat net de 11,081 milliards FCFA (+21,5%), ROE de 22,24%, et les rapports trimestriels 2026 (T1 : PNB +22,97%, S1 : PNB +17,5%) confirment une accélération de la croissance. Les prédictions IA pour les 10 prochains jours (6041, 5962, 5886, 5818, 5758 FCFA) anticipent une baisse progressive d'environ -5,6% sur la période, ce qui est cohérent avec le signal baissier du MACD et la position du cours sous les moyennes mobiles. Sur la base de cette synthèse, la recommandation finale est **CONSERVER** avec un biais positif. La convergence entre des fondamentaux solides et une technique à court terme baissière suggère une opportunité d'achat sur repli vers 5 800-5 900 FCFA. Le niveau de confiance est **Moyen** (les fondamentaux sont excellents mais le contexte macroéconomique reste incertain), le niveau de risque global est **Moyen à Élevé** (volatilité de 43,5%, risque pays), et l'horizon d'investissement optimal est **moyen terme (3-12 mois)** pour profiter de la croissance bénéficiaire et des dividendes potentiels, tout en surveillant les prochains résultats annuels 2026.</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10.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99.53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8,902 titres</w:t>
            </w:r>
          </w:p>
        </w:tc>
        <w:tc>
          <w:tcPr>
            <w:tcW w:type="dxa" w:w="2268"/>
            <w:shd w:fill="FFF2CC" w:val="clear"/>
          </w:tcPr>
          <w:p>
            <w:r>
              <w:rPr>
                <w:b/>
                <w:color w:val="503200"/>
                <w:sz w:val="16"/>
              </w:rPr>
              <w:t xml:space="preserve">Cours actuel : </w:t>
            </w:r>
            <w:r>
              <w:rPr>
                <w:color w:val="000000"/>
                <w:sz w:val="17"/>
              </w:rPr>
              <w:t>4,785 FCFA</w:t>
            </w:r>
          </w:p>
          <w:p>
            <w:r>
              <w:rPr>
                <w:b/>
                <w:color w:val="503200"/>
                <w:sz w:val="16"/>
              </w:rPr>
              <w:t xml:space="preserve">Var. 100 jours : </w:t>
            </w:r>
            <w:r>
              <w:rPr>
                <w:b/>
                <w:color w:val="007800"/>
                <w:sz w:val="17"/>
              </w:rPr>
              <w:t>+37.11%</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3,470 FCFA</w:t>
            </w:r>
          </w:p>
          <w:p>
            <w:r>
              <w:rPr>
                <w:b/>
                <w:color w:val="503200"/>
                <w:sz w:val="16"/>
              </w:rPr>
              <w:t xml:space="preserve">Volatilité ann. : </w:t>
            </w:r>
            <w:r>
              <w:rPr>
                <w:color w:val="000000"/>
                <w:sz w:val="17"/>
              </w:rPr>
              <w:t>42.1%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20.5/100 → Moyen</w:t>
      </w:r>
    </w:p>
    <w:p>
      <w:pPr>
        <w:spacing w:before="40" w:after="80"/>
      </w:pPr>
      <w:r>
        <w:rPr>
          <w:rFonts w:ascii="Courier New" w:hAnsi="Courier New"/>
          <w:color w:val="825A00"/>
          <w:sz w:val="18"/>
        </w:rPr>
        <w:t>████░░░░░░░░░░░░░░░░  20.5/100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14.67% (Moyenne) — μ=4,723 FCFA, σ=693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β=1.3654 (Agressif) — Cov=0.000100, Var(idx)=0.000073, ρ=0.437,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8,902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σ_j=2.66%/j (Stable) — Vol. annualisée≈42.1%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4,599</w:t>
            </w:r>
          </w:p>
        </w:tc>
        <w:tc>
          <w:tcPr>
            <w:tcW w:type="dxa" w:w="1440"/>
            <w:shd w:fill="FAFAFA" w:val="clear"/>
          </w:tcPr>
          <w:p>
            <w:r>
              <w:rPr>
                <w:b/>
                <w:sz w:val="17"/>
              </w:rPr>
              <w:t>4,858</w:t>
            </w:r>
          </w:p>
        </w:tc>
        <w:tc>
          <w:tcPr>
            <w:tcW w:type="dxa" w:w="1440"/>
            <w:shd w:fill="FAFAFA" w:val="clear"/>
          </w:tcPr>
          <w:p>
            <w:r>
              <w:rPr>
                <w:sz w:val="17"/>
              </w:rPr>
              <w:t>5,117</w:t>
            </w:r>
          </w:p>
        </w:tc>
        <w:tc>
          <w:tcPr>
            <w:tcW w:type="dxa" w:w="1440"/>
            <w:shd w:fill="FAFAFA" w:val="clear"/>
          </w:tcPr>
          <w:p>
            <w:r>
              <w:rPr>
                <w:b/>
                <w:color w:val="008000"/>
                <w:sz w:val="17"/>
              </w:rPr>
              <w:t>+1.5%</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4,500</w:t>
            </w:r>
          </w:p>
        </w:tc>
        <w:tc>
          <w:tcPr>
            <w:tcW w:type="dxa" w:w="1440"/>
            <w:shd w:fill="FAFAFA" w:val="clear"/>
          </w:tcPr>
          <w:p>
            <w:r>
              <w:rPr>
                <w:b/>
                <w:sz w:val="17"/>
              </w:rPr>
              <w:t>4,867</w:t>
            </w:r>
          </w:p>
        </w:tc>
        <w:tc>
          <w:tcPr>
            <w:tcW w:type="dxa" w:w="1440"/>
            <w:shd w:fill="FAFAFA" w:val="clear"/>
          </w:tcPr>
          <w:p>
            <w:r>
              <w:rPr>
                <w:sz w:val="17"/>
              </w:rPr>
              <w:t>5,233</w:t>
            </w:r>
          </w:p>
        </w:tc>
        <w:tc>
          <w:tcPr>
            <w:tcW w:type="dxa" w:w="1440"/>
            <w:shd w:fill="FAFAFA" w:val="clear"/>
          </w:tcPr>
          <w:p>
            <w:r>
              <w:rPr>
                <w:b/>
                <w:color w:val="008000"/>
                <w:sz w:val="17"/>
              </w:rPr>
              <w:t>+1.7%</w:t>
            </w:r>
          </w:p>
        </w:tc>
      </w:tr>
      <w:tr>
        <w:tc>
          <w:tcPr>
            <w:tcW w:type="dxa" w:w="1440"/>
            <w:shd w:fill="C6EFCE" w:val="clear"/>
          </w:tcPr>
          <w:p>
            <w:r>
              <w:rPr>
                <w:sz w:val="17"/>
              </w:rPr>
              <w:t>J+3  ⭐</w:t>
            </w:r>
          </w:p>
        </w:tc>
        <w:tc>
          <w:tcPr>
            <w:tcW w:type="dxa" w:w="1440"/>
            <w:shd w:fill="C6EFCE" w:val="clear"/>
          </w:tcPr>
          <w:p>
            <w:r>
              <w:rPr>
                <w:sz w:val="17"/>
              </w:rPr>
              <w:t>2026-10-14</w:t>
            </w:r>
          </w:p>
        </w:tc>
        <w:tc>
          <w:tcPr>
            <w:tcW w:type="dxa" w:w="1440"/>
            <w:shd w:fill="C6EFCE" w:val="clear"/>
          </w:tcPr>
          <w:p>
            <w:r>
              <w:rPr>
                <w:sz w:val="17"/>
              </w:rPr>
              <w:t>4,437</w:t>
            </w:r>
          </w:p>
        </w:tc>
        <w:tc>
          <w:tcPr>
            <w:tcW w:type="dxa" w:w="1440"/>
            <w:shd w:fill="C6EFCE" w:val="clear"/>
          </w:tcPr>
          <w:p>
            <w:r>
              <w:rPr>
                <w:b/>
                <w:sz w:val="17"/>
              </w:rPr>
              <w:t>4,888</w:t>
            </w:r>
          </w:p>
        </w:tc>
        <w:tc>
          <w:tcPr>
            <w:tcW w:type="dxa" w:w="1440"/>
            <w:shd w:fill="C6EFCE" w:val="clear"/>
          </w:tcPr>
          <w:p>
            <w:r>
              <w:rPr>
                <w:sz w:val="17"/>
              </w:rPr>
              <w:t>5,339</w:t>
            </w:r>
          </w:p>
        </w:tc>
        <w:tc>
          <w:tcPr>
            <w:tcW w:type="dxa" w:w="1440"/>
            <w:shd w:fill="C6EFCE" w:val="clear"/>
          </w:tcPr>
          <w:p>
            <w:r>
              <w:rPr>
                <w:b/>
                <w:color w:val="008000"/>
                <w:sz w:val="17"/>
              </w:rPr>
              <w:t>+2.2%</w:t>
            </w:r>
          </w:p>
        </w:tc>
      </w:tr>
      <w:tr>
        <w:tc>
          <w:tcPr>
            <w:tcW w:type="dxa" w:w="1440"/>
            <w:shd w:fill="C6EFCE" w:val="clear"/>
          </w:tcPr>
          <w:p>
            <w:r>
              <w:rPr>
                <w:sz w:val="17"/>
              </w:rPr>
              <w:t>J+4  ⭐</w:t>
            </w:r>
          </w:p>
        </w:tc>
        <w:tc>
          <w:tcPr>
            <w:tcW w:type="dxa" w:w="1440"/>
            <w:shd w:fill="C6EFCE" w:val="clear"/>
          </w:tcPr>
          <w:p>
            <w:r>
              <w:rPr>
                <w:sz w:val="17"/>
              </w:rPr>
              <w:t>2026-10-15</w:t>
            </w:r>
          </w:p>
        </w:tc>
        <w:tc>
          <w:tcPr>
            <w:tcW w:type="dxa" w:w="1440"/>
            <w:shd w:fill="C6EFCE" w:val="clear"/>
          </w:tcPr>
          <w:p>
            <w:r>
              <w:rPr>
                <w:sz w:val="17"/>
              </w:rPr>
              <w:t>4,388</w:t>
            </w:r>
          </w:p>
        </w:tc>
        <w:tc>
          <w:tcPr>
            <w:tcW w:type="dxa" w:w="1440"/>
            <w:shd w:fill="C6EFCE" w:val="clear"/>
          </w:tcPr>
          <w:p>
            <w:r>
              <w:rPr>
                <w:b/>
                <w:sz w:val="17"/>
              </w:rPr>
              <w:t>4,911</w:t>
            </w:r>
          </w:p>
        </w:tc>
        <w:tc>
          <w:tcPr>
            <w:tcW w:type="dxa" w:w="1440"/>
            <w:shd w:fill="C6EFCE" w:val="clear"/>
          </w:tcPr>
          <w:p>
            <w:r>
              <w:rPr>
                <w:sz w:val="17"/>
              </w:rPr>
              <w:t>5,434</w:t>
            </w:r>
          </w:p>
        </w:tc>
        <w:tc>
          <w:tcPr>
            <w:tcW w:type="dxa" w:w="1440"/>
            <w:shd w:fill="C6EFCE" w:val="clear"/>
          </w:tcPr>
          <w:p>
            <w:r>
              <w:rPr>
                <w:b/>
                <w:color w:val="008000"/>
                <w:sz w:val="17"/>
              </w:rPr>
              <w:t>+2.6%</w:t>
            </w:r>
          </w:p>
        </w:tc>
      </w:tr>
      <w:tr>
        <w:tc>
          <w:tcPr>
            <w:tcW w:type="dxa" w:w="1440"/>
            <w:shd w:fill="C6EFCE" w:val="clear"/>
          </w:tcPr>
          <w:p>
            <w:r>
              <w:rPr>
                <w:sz w:val="17"/>
              </w:rPr>
              <w:t>J+5  ⭐</w:t>
            </w:r>
          </w:p>
        </w:tc>
        <w:tc>
          <w:tcPr>
            <w:tcW w:type="dxa" w:w="1440"/>
            <w:shd w:fill="C6EFCE" w:val="clear"/>
          </w:tcPr>
          <w:p>
            <w:r>
              <w:rPr>
                <w:sz w:val="17"/>
              </w:rPr>
              <w:t>2026-10-16</w:t>
            </w:r>
          </w:p>
        </w:tc>
        <w:tc>
          <w:tcPr>
            <w:tcW w:type="dxa" w:w="1440"/>
            <w:shd w:fill="C6EFCE" w:val="clear"/>
          </w:tcPr>
          <w:p>
            <w:r>
              <w:rPr>
                <w:sz w:val="17"/>
              </w:rPr>
              <w:t>4,347</w:t>
            </w:r>
          </w:p>
        </w:tc>
        <w:tc>
          <w:tcPr>
            <w:tcW w:type="dxa" w:w="1440"/>
            <w:shd w:fill="C6EFCE" w:val="clear"/>
          </w:tcPr>
          <w:p>
            <w:r>
              <w:rPr>
                <w:b/>
                <w:sz w:val="17"/>
              </w:rPr>
              <w:t>4,934</w:t>
            </w:r>
          </w:p>
        </w:tc>
        <w:tc>
          <w:tcPr>
            <w:tcW w:type="dxa" w:w="1440"/>
            <w:shd w:fill="C6EFCE" w:val="clear"/>
          </w:tcPr>
          <w:p>
            <w:r>
              <w:rPr>
                <w:sz w:val="17"/>
              </w:rPr>
              <w:t>5,522</w:t>
            </w:r>
          </w:p>
        </w:tc>
        <w:tc>
          <w:tcPr>
            <w:tcW w:type="dxa" w:w="1440"/>
            <w:shd w:fill="C6EFCE" w:val="clear"/>
          </w:tcPr>
          <w:p>
            <w:r>
              <w:rPr>
                <w:b/>
                <w:color w:val="008000"/>
                <w:sz w:val="17"/>
              </w:rPr>
              <w:t>+3.1%</w:t>
            </w:r>
          </w:p>
        </w:tc>
      </w:tr>
      <w:tr>
        <w:tc>
          <w:tcPr>
            <w:tcW w:type="dxa" w:w="1440"/>
            <w:shd w:fill="C6EFCE" w:val="clear"/>
          </w:tcPr>
          <w:p>
            <w:r>
              <w:rPr>
                <w:sz w:val="17"/>
              </w:rPr>
              <w:t>J+6  ⭐</w:t>
            </w:r>
          </w:p>
        </w:tc>
        <w:tc>
          <w:tcPr>
            <w:tcW w:type="dxa" w:w="1440"/>
            <w:shd w:fill="C6EFCE" w:val="clear"/>
          </w:tcPr>
          <w:p>
            <w:r>
              <w:rPr>
                <w:sz w:val="17"/>
              </w:rPr>
              <w:t>2026-10-19</w:t>
            </w:r>
          </w:p>
        </w:tc>
        <w:tc>
          <w:tcPr>
            <w:tcW w:type="dxa" w:w="1440"/>
            <w:shd w:fill="C6EFCE" w:val="clear"/>
          </w:tcPr>
          <w:p>
            <w:r>
              <w:rPr>
                <w:sz w:val="17"/>
              </w:rPr>
              <w:t>4,310</w:t>
            </w:r>
          </w:p>
        </w:tc>
        <w:tc>
          <w:tcPr>
            <w:tcW w:type="dxa" w:w="1440"/>
            <w:shd w:fill="C6EFCE" w:val="clear"/>
          </w:tcPr>
          <w:p>
            <w:r>
              <w:rPr>
                <w:b/>
                <w:sz w:val="17"/>
              </w:rPr>
              <w:t>4,957</w:t>
            </w:r>
          </w:p>
        </w:tc>
        <w:tc>
          <w:tcPr>
            <w:tcW w:type="dxa" w:w="1440"/>
            <w:shd w:fill="C6EFCE" w:val="clear"/>
          </w:tcPr>
          <w:p>
            <w:r>
              <w:rPr>
                <w:sz w:val="17"/>
              </w:rPr>
              <w:t>5,603</w:t>
            </w:r>
          </w:p>
        </w:tc>
        <w:tc>
          <w:tcPr>
            <w:tcW w:type="dxa" w:w="1440"/>
            <w:shd w:fill="C6EFCE" w:val="clear"/>
          </w:tcPr>
          <w:p>
            <w:r>
              <w:rPr>
                <w:b/>
                <w:color w:val="008000"/>
                <w:sz w:val="17"/>
              </w:rPr>
              <w:t>+3.6%</w:t>
            </w:r>
          </w:p>
        </w:tc>
      </w:tr>
      <w:tr>
        <w:tc>
          <w:tcPr>
            <w:tcW w:type="dxa" w:w="1440"/>
            <w:shd w:fill="C6EFCE" w:val="clear"/>
          </w:tcPr>
          <w:p>
            <w:r>
              <w:rPr>
                <w:sz w:val="17"/>
              </w:rPr>
              <w:t>J+7  ⭐</w:t>
            </w:r>
          </w:p>
        </w:tc>
        <w:tc>
          <w:tcPr>
            <w:tcW w:type="dxa" w:w="1440"/>
            <w:shd w:fill="C6EFCE" w:val="clear"/>
          </w:tcPr>
          <w:p>
            <w:r>
              <w:rPr>
                <w:sz w:val="17"/>
              </w:rPr>
              <w:t>2026-10-20</w:t>
            </w:r>
          </w:p>
        </w:tc>
        <w:tc>
          <w:tcPr>
            <w:tcW w:type="dxa" w:w="1440"/>
            <w:shd w:fill="C6EFCE" w:val="clear"/>
          </w:tcPr>
          <w:p>
            <w:r>
              <w:rPr>
                <w:sz w:val="17"/>
              </w:rPr>
              <w:t>4,278</w:t>
            </w:r>
          </w:p>
        </w:tc>
        <w:tc>
          <w:tcPr>
            <w:tcW w:type="dxa" w:w="1440"/>
            <w:shd w:fill="C6EFCE" w:val="clear"/>
          </w:tcPr>
          <w:p>
            <w:r>
              <w:rPr>
                <w:b/>
                <w:sz w:val="17"/>
              </w:rPr>
              <w:t>4,979</w:t>
            </w:r>
          </w:p>
        </w:tc>
        <w:tc>
          <w:tcPr>
            <w:tcW w:type="dxa" w:w="1440"/>
            <w:shd w:fill="C6EFCE" w:val="clear"/>
          </w:tcPr>
          <w:p>
            <w:r>
              <w:rPr>
                <w:sz w:val="17"/>
              </w:rPr>
              <w:t>5,681</w:t>
            </w:r>
          </w:p>
        </w:tc>
        <w:tc>
          <w:tcPr>
            <w:tcW w:type="dxa" w:w="1440"/>
            <w:shd w:fill="C6EFCE" w:val="clear"/>
          </w:tcPr>
          <w:p>
            <w:r>
              <w:rPr>
                <w:b/>
                <w:color w:val="008000"/>
                <w:sz w:val="17"/>
              </w:rPr>
              <w:t>+4.1%</w:t>
            </w:r>
          </w:p>
        </w:tc>
      </w:tr>
      <w:tr>
        <w:tc>
          <w:tcPr>
            <w:tcW w:type="dxa" w:w="1440"/>
            <w:shd w:fill="C6EFCE" w:val="clear"/>
          </w:tcPr>
          <w:p>
            <w:r>
              <w:rPr>
                <w:sz w:val="17"/>
              </w:rPr>
              <w:t>J+8  ⭐</w:t>
            </w:r>
          </w:p>
        </w:tc>
        <w:tc>
          <w:tcPr>
            <w:tcW w:type="dxa" w:w="1440"/>
            <w:shd w:fill="C6EFCE" w:val="clear"/>
          </w:tcPr>
          <w:p>
            <w:r>
              <w:rPr>
                <w:sz w:val="17"/>
              </w:rPr>
              <w:t>2026-10-21</w:t>
            </w:r>
          </w:p>
        </w:tc>
        <w:tc>
          <w:tcPr>
            <w:tcW w:type="dxa" w:w="1440"/>
            <w:shd w:fill="C6EFCE" w:val="clear"/>
          </w:tcPr>
          <w:p>
            <w:r>
              <w:rPr>
                <w:sz w:val="17"/>
              </w:rPr>
              <w:t>4,248</w:t>
            </w:r>
          </w:p>
        </w:tc>
        <w:tc>
          <w:tcPr>
            <w:tcW w:type="dxa" w:w="1440"/>
            <w:shd w:fill="C6EFCE" w:val="clear"/>
          </w:tcPr>
          <w:p>
            <w:r>
              <w:rPr>
                <w:b/>
                <w:sz w:val="17"/>
              </w:rPr>
              <w:t>5,002</w:t>
            </w:r>
          </w:p>
        </w:tc>
        <w:tc>
          <w:tcPr>
            <w:tcW w:type="dxa" w:w="1440"/>
            <w:shd w:fill="C6EFCE" w:val="clear"/>
          </w:tcPr>
          <w:p>
            <w:r>
              <w:rPr>
                <w:sz w:val="17"/>
              </w:rPr>
              <w:t>5,755</w:t>
            </w:r>
          </w:p>
        </w:tc>
        <w:tc>
          <w:tcPr>
            <w:tcW w:type="dxa" w:w="1440"/>
            <w:shd w:fill="C6EFCE" w:val="clear"/>
          </w:tcPr>
          <w:p>
            <w:r>
              <w:rPr>
                <w:b/>
                <w:color w:val="008000"/>
                <w:sz w:val="17"/>
              </w:rPr>
              <w:t>+4.5%</w:t>
            </w:r>
          </w:p>
        </w:tc>
      </w:tr>
      <w:tr>
        <w:tc>
          <w:tcPr>
            <w:tcW w:type="dxa" w:w="1440"/>
            <w:shd w:fill="C6EFCE" w:val="clear"/>
          </w:tcPr>
          <w:p>
            <w:r>
              <w:rPr>
                <w:sz w:val="17"/>
              </w:rPr>
              <w:t>J+9  ⭐</w:t>
            </w:r>
          </w:p>
        </w:tc>
        <w:tc>
          <w:tcPr>
            <w:tcW w:type="dxa" w:w="1440"/>
            <w:shd w:fill="C6EFCE" w:val="clear"/>
          </w:tcPr>
          <w:p>
            <w:r>
              <w:rPr>
                <w:sz w:val="17"/>
              </w:rPr>
              <w:t>2026-10-22</w:t>
            </w:r>
          </w:p>
        </w:tc>
        <w:tc>
          <w:tcPr>
            <w:tcW w:type="dxa" w:w="1440"/>
            <w:shd w:fill="C6EFCE" w:val="clear"/>
          </w:tcPr>
          <w:p>
            <w:r>
              <w:rPr>
                <w:sz w:val="17"/>
              </w:rPr>
              <w:t>4,221</w:t>
            </w:r>
          </w:p>
        </w:tc>
        <w:tc>
          <w:tcPr>
            <w:tcW w:type="dxa" w:w="1440"/>
            <w:shd w:fill="C6EFCE" w:val="clear"/>
          </w:tcPr>
          <w:p>
            <w:r>
              <w:rPr>
                <w:b/>
                <w:sz w:val="17"/>
              </w:rPr>
              <w:t>5,024</w:t>
            </w:r>
          </w:p>
        </w:tc>
        <w:tc>
          <w:tcPr>
            <w:tcW w:type="dxa" w:w="1440"/>
            <w:shd w:fill="C6EFCE" w:val="clear"/>
          </w:tcPr>
          <w:p>
            <w:r>
              <w:rPr>
                <w:sz w:val="17"/>
              </w:rPr>
              <w:t>5,826</w:t>
            </w:r>
          </w:p>
        </w:tc>
        <w:tc>
          <w:tcPr>
            <w:tcW w:type="dxa" w:w="1440"/>
            <w:shd w:fill="C6EFCE" w:val="clear"/>
          </w:tcPr>
          <w:p>
            <w:r>
              <w:rPr>
                <w:b/>
                <w:color w:val="008000"/>
                <w:sz w:val="17"/>
              </w:rPr>
              <w:t>+5.0%</w:t>
            </w:r>
          </w:p>
        </w:tc>
      </w:tr>
      <w:tr>
        <w:tc>
          <w:tcPr>
            <w:tcW w:type="dxa" w:w="1440"/>
            <w:shd w:fill="C6EFCE" w:val="clear"/>
          </w:tcPr>
          <w:p>
            <w:r>
              <w:rPr>
                <w:sz w:val="17"/>
              </w:rPr>
              <w:t>J+10  ⭐</w:t>
            </w:r>
          </w:p>
        </w:tc>
        <w:tc>
          <w:tcPr>
            <w:tcW w:type="dxa" w:w="1440"/>
            <w:shd w:fill="C6EFCE" w:val="clear"/>
          </w:tcPr>
          <w:p>
            <w:r>
              <w:rPr>
                <w:sz w:val="17"/>
              </w:rPr>
              <w:t>2026-10-23</w:t>
            </w:r>
          </w:p>
        </w:tc>
        <w:tc>
          <w:tcPr>
            <w:tcW w:type="dxa" w:w="1440"/>
            <w:shd w:fill="C6EFCE" w:val="clear"/>
          </w:tcPr>
          <w:p>
            <w:r>
              <w:rPr>
                <w:sz w:val="17"/>
              </w:rPr>
              <w:t>4,196</w:t>
            </w:r>
          </w:p>
        </w:tc>
        <w:tc>
          <w:tcPr>
            <w:tcW w:type="dxa" w:w="1440"/>
            <w:shd w:fill="C6EFCE" w:val="clear"/>
          </w:tcPr>
          <w:p>
            <w:r>
              <w:rPr>
                <w:b/>
                <w:sz w:val="17"/>
              </w:rPr>
              <w:t>5,046</w:t>
            </w:r>
          </w:p>
        </w:tc>
        <w:tc>
          <w:tcPr>
            <w:tcW w:type="dxa" w:w="1440"/>
            <w:shd w:fill="C6EFCE" w:val="clear"/>
          </w:tcPr>
          <w:p>
            <w:r>
              <w:rPr>
                <w:sz w:val="17"/>
              </w:rPr>
              <w:t>5,895</w:t>
            </w:r>
          </w:p>
        </w:tc>
        <w:tc>
          <w:tcPr>
            <w:tcW w:type="dxa" w:w="1440"/>
            <w:shd w:fill="C6EFCE" w:val="clear"/>
          </w:tcPr>
          <w:p>
            <w:r>
              <w:rPr>
                <w:b/>
                <w:color w:val="008000"/>
                <w:sz w:val="17"/>
              </w:rPr>
              <w:t>+5.4%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 RAPPORT D'ANALYSE FINANCIÈRE — BOAN (Bank of Africa Niger)</w:t>
        <w:br/>
        <w:t>**Bourse Régionale des Valeurs Mobilières (BRVM) | Secteur : Banque**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99,53 milliards FCFA, BOAN se situe dans la catégorie des valeurs moyennes de la cote BRVM, représentant une capitalisation modeste à l'échelle régionale mais significative pour le compartiment bancaire nigérien. Le BPA de 20 FCFA/action traduit un bénéfice net par titre extrêmement faible, cohérent avec l'effondrement du résultat net 2025 à 409 millions FCFA. Le PER de 243,3x est anormalement élevé — très loin de la moyenne BRVM (~8-12x) — ce qui signifie que les investisseurs paient environ 243 fois les bénéfices actuels, une aberration qui s'explique par la chute ponctuelle des profits plutôt que par une véritable prime de croissance. Le P/B de 2,76x indique que le marché valorise l'action à près de trois fois sa valeur comptable, soit une prime de croissance accordée malgré la dégradation des fondamentaux. Enfin, l'EV/EBITDA de 38,3x (&gt;15x) traduit une valorisation très exigeante de la capacité opérationnelle, suggérant que le marché anticipe déjà un fort rebond des résultats — hypothèse à confirmer.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BOAN affiche une progression spectaculaire de +37,11%, malgré un léger repli de -0,31% lors de la dernière séance (J-1), signe d'une pause dans un mouvement haussier soutenu. Le cours actuel de 4 785 FCFA se situe dans la partie médiane du range de trading, encadré par un plus haut de 5 645 FCFA et un plus bas de 3 470 FCFA, soit un écart de plus de 2 100 FCFA illustrant une forte amplitude. La tendance générale est donc nettement haussière sur la période, portée par les anticipations de redressement post-sanctions, mais le repli récent suggère une possible consolidation. Les statistiques descriptives révèlent une moyenne de 4 723 FCFA inférieure à la médiane de 5 088 FCFA, écart caractéristique d'une distribution asymétrique à gauche (queue de valeurs basses), confirmée par le skewness de -0,466 (distribution symétrique à légèrement négative). L'écart-type de 696 FCFA et le coefficient de variation de 14,7% traduisent une dispersion modérée du cours autour de sa moyenne, tandis que le kurtosis de -1,410 (platykurtique) indique une distribution aplatie avec un risque de pics extrêmes relativement faible. La volatilité annualisée de 42,1% classe le titre dans la catégorie **élevée** (&gt;30%), ce qui est cohérent avec un contexte post-crise et des anticipations de rebond incertaines.</w:t>
      </w:r>
    </w:p>
    <w:p>
      <w:pPr>
        <w:spacing w:after="120" w:line="276" w:lineRule="auto"/>
      </w:pPr>
      <w:r>
        <w:t>---</w:t>
      </w:r>
    </w:p>
    <w:p>
      <w:pPr>
        <w:spacing w:after="120" w:line="276" w:lineRule="auto"/>
      </w:pPr>
      <w:r>
        <w:t>## PARTIE 2 : ANALYSE TECHNIQUE DÉTAILLÉE</w:t>
      </w:r>
    </w:p>
    <w:p>
      <w:pPr>
        <w:spacing w:after="120" w:line="276" w:lineRule="auto"/>
      </w:pPr>
      <w:r>
        <w:t>**Moyennes Mobiles** : La MM20 (5 134,5 FCFA) et la MM50 (5 233,9 FCFA) se situent toutes deux au-dessus du cours actuel (4 785 FCFA), signe que le titre évolue sous ses moyennes court et moyen terme. Cette configuration baissière, avec MM20 &lt; MM50, confirme la décision technique de **Vente** et suggère que la pression vendeuse reste dominante malgré le rebond de long terme.</w:t>
      </w:r>
    </w:p>
    <w:p>
      <w:pPr>
        <w:spacing w:after="120" w:line="276" w:lineRule="auto"/>
      </w:pPr>
      <w:r>
        <w:t>**Bandes de Bollinger** : Le cours actuel (4 785 FCFA) se situe dans la moitié inférieure de la bande, entre la borne inférieure (4 532,7 FCFA) et la borne supérieure (5 736,3 FCFA). Cette position médiane-basse, avec un cours proche de la borne inférieure, indique une volatilité contenue et une absence de signal directionnel fort, justifiant la décision **Neutre**.</w:t>
      </w:r>
    </w:p>
    <w:p>
      <w:pPr>
        <w:spacing w:after="120" w:line="276" w:lineRule="auto"/>
      </w:pPr>
      <w:r>
        <w:t>**MACD** : La valeur du MACD (-110,138) est nettement inférieure à son signal (-68,711), creusant un écart négatif qui traduit un momentum baissier persistant. Cette divergence négative confirme la décision de **Vente** et suggère que la dynamique haussière récente s'essouffle.</w:t>
      </w:r>
    </w:p>
    <w:p>
      <w:pPr>
        <w:spacing w:after="120" w:line="276" w:lineRule="auto"/>
      </w:pPr>
      <w:r>
        <w:t>**RSI** : À 39,479, le RSI se situe dans la zone neutre basse (30-70), sans atteindre la zone de survente (&lt;30). Cette position indique un équilibre fragile entre acheteurs et vendeurs, avec une légère prédominance baissière, justifiant la décision **Neutre**.</w:t>
      </w:r>
    </w:p>
    <w:p>
      <w:pPr>
        <w:spacing w:after="120" w:line="276" w:lineRule="auto"/>
      </w:pPr>
      <w:r>
        <w:t>**Stochastique** : Le %K (24,479) est inférieur au %D (32,465), configuration baissière classique signalant que le cours évolue près de ses plus bas récents. Le croisement des deux lignes reste en zone basse, sans signal d'achat clair, confirmant la décision **Neutre**.</w:t>
      </w:r>
    </w:p>
    <w:p>
      <w:pPr>
        <w:spacing w:after="120" w:line="276" w:lineRule="auto"/>
      </w:pPr>
      <w:r>
        <w:t>**Conclusion technique** : La convergence des signaux baissiers (MM, MACD) et neutres (Bollinger, RSI, Stochastique) dresse un tableau technique mitigé. Le titre évolue sous ses moyennes mobiles avec un momentum négatif, mais le RSI et le Stochastique ne sont pas encore en zone de survente extrême, laissant place à une possible stabilisation. La prudence reste de mise à court terme, en attendant un franchissement des MM20/MM50 pour confirmer un retournement haussier.</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BOAN affiche un Produit Net Bancaire (PNB) de 21 125 millions FCFA, en léger repli de -1,2% par rapport à 2024 (21 380 millions FCFA), dans un secteur bancaire nigérien en contraction. Le résultat net s'effondre à 409 millions FCFA contre 5 002 millions FCFA en 2024, soit une chute de -91,8%, principalement due à une explosion du coût du risque (+121,5%, à -6 016 millions FCFA) incluant une provision exceptionnelle de 4,8 milliards FCFA liée au taux de sinistralité sectoriel de 24%. Les ratios de rentabilité se dégradent sévèrement : le ROE passe de 11,39% en 2024 à 1,05% en 2025, et le ROA de 1,49% à 0,13%. Le coefficient d'exploitation, à 74,37%, reste supérieur au seuil de 60% (banque inefficace), pénalisé par la hausse des charges (+6,5%). La structure financière demeure fragile avec une autonomie financière de 12,36% (&lt;30% = sain) et un ratio d'endettement de 178,6%, bien que la solvabilité générale (114,1%) et le ratio de solvabilité réglementaire (14,06%) restent conformes aux exigences UEMOA. Le ratio dépôts/crédits s'établit à 183 280/128 447 = 1,43, traduisant une surliquidité mais aussi une frilosité à prêter (crédits en baisse de -20,9%).</w:t>
      </w:r>
    </w:p>
    <w:p>
      <w:pPr>
        <w:spacing w:after="120" w:line="276" w:lineRule="auto"/>
      </w:pPr>
      <w:r>
        <w:t>**Estimations basées sur les rapports trimestriels** : Le rapport du T1 2026 (publié le 31 mars 2026, analysé par CLAUDE-MANUAL le 05/09/2026) confirme un début de redressement : PNB en hausse de +7,9% à 5 170 millions FCFA, résultat net en progression de +28,9% à 1 467,3 millions FCFA, et coefficient d'exploitation ramené à 56,2% (contre 66,8% un an plus tôt). Le rapport du 2nd semestre 2025 (analysé par CLAUDE-MANUAL le 05/09/2026) souligne la résilience des dépôts (+4% à 189,9 milliards FCFA) et la réduction volontaire des crédits (-20,9%) pour assainir le portefeuille. Sur la base de ces tendances, on estime que l'exercice 2026 pourrait afficher un PNB en croissance de +6,4% (objectif budgétaire de 22 327 millions FCFA) et un résultat net en forte progression, potentiellement multiplié par 6 selon les objectifs de la direction, sous réserve de la confirmation du redressement sur plusieurs trimestres.</w:t>
      </w:r>
    </w:p>
    <w:p>
      <w:pPr>
        <w:spacing w:after="120" w:line="276" w:lineRule="auto"/>
      </w:pPr>
      <w:r>
        <w:t>**Recommandation fondamentale** : La situation fondamentale de BOAN reste préoccupante à court terme (rentabilité effondrée, coût du risque élevé, absence de dividende depuis 3 ans), mais les perspectives 2026 sont encourageantes grâce au soutien du Groupe BOA, au plan stratégique 2025-2027 (digitalisation, qualité du portefeuille) et à la reprise économique nigérienne attendue. Le titre présente un profil **spéculatif** adapté aux investisseurs patients prêts à tolérer un risque élevé en échange d'un potentiel de rebond significatif.</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dresse un tableau contrasté pour BOAN. **Sur le plan de la valorisation (Partie 0)**, les ratios PER (243,3x), P/B (2,76x) et EV/EBITDA (38,3x) indiquent une **surévaluation manifeste** par rapport aux bénéfices actuels, bien que cette anomalie s'explique par la chute ponctuelle des profits et anticipe un rebond. **Le comportement du cours (Partie 1)** est haussier sur 100 jours (+37,11%) mais avec une volatilité élevée (42,1%) et une distribution asymétrique (skewness -0,466, kurtosis -1,410), reflétant un optimisme prudent des investisseurs. **Les signaux techniques (Partie 2)** sont majoritairement baissiers à neutres (MM sous le cours, MACD négatif, RSI et Stochastique neutres), suggérant une consolidation à court terme avant un éventuel rebond. **Les fondamentaux (Partie 3)** restent fragiles pour 2025 (ROE 1,05%, résultat net -91,8%) mais les rapports T1 2026 (PNB +7,9%, résultat net +28,9%) confirment un début de redressement, avec des objectifs ambitieux pour 2026. **Les prédictions IA (J+1 à J+10)** anticipent une trajectoire haussière modérée (4 858 FCFA à 4 934 FCFA, soit +1,5% à +3,1%), ce qui **contredit partiellement** les signaux techniques baissiers et **confirme** les anticipations de rebond fondamental.</w:t>
      </w:r>
    </w:p>
    <w:p>
      <w:pPr>
        <w:spacing w:after="120" w:line="276" w:lineRule="auto"/>
      </w:pPr>
      <w:r>
        <w:t>**Recommandation finale : CONSERVER (avec biais spéculatif)** — Justification : la convergence entre les prédictions IA haussières, le début de redressement fondamental (T1 2026) et le soutien du Groupe BOA plaide pour un maintien en portefeuille, mais la surévaluation actuelle (PER 243x), les signaux techniques baissiers et les risques persistants (créances douteuses 24%, instabilité politique) incitent à la prudence. **Niveau de confiance : Moyen** (les signaux sont divergents entre technique et fondamental). **Niveau de risque global : Élevé** (volatilité 42,1%, secteur bancaire nigérien fragile, absence de dividende). **Horizon d'investissement optimal : Moyen à long terme (6-18 mois)**, en attendant la confirmation du redressement sur au moins deux à trois trimestres supplémentaires et une amélioration durable des indicateurs de rentabilité (ROE &gt; 10%, coût du risque &lt; 50% des charges financières). Ce titre s'adresse aux investisseurs patients et tolérants au risque, à l'affût d'un potentiel de rebond significatif dans un contexte de normalisation post-sanctions.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11.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297.00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11,558 titres</w:t>
            </w:r>
          </w:p>
        </w:tc>
        <w:tc>
          <w:tcPr>
            <w:tcW w:type="dxa" w:w="2268"/>
            <w:shd w:fill="FFF2CC" w:val="clear"/>
          </w:tcPr>
          <w:p>
            <w:r>
              <w:rPr>
                <w:b/>
                <w:color w:val="503200"/>
                <w:sz w:val="16"/>
              </w:rPr>
              <w:t xml:space="preserve">Cours actuel : </w:t>
            </w:r>
            <w:r>
              <w:rPr>
                <w:color w:val="000000"/>
                <w:sz w:val="17"/>
              </w:rPr>
              <w:t>8,250 FCFA</w:t>
            </w:r>
          </w:p>
          <w:p>
            <w:r>
              <w:rPr>
                <w:b/>
                <w:color w:val="503200"/>
                <w:sz w:val="16"/>
              </w:rPr>
              <w:t xml:space="preserve">Var. 100 jours : </w:t>
            </w:r>
            <w:r>
              <w:rPr>
                <w:b/>
                <w:color w:val="007800"/>
                <w:sz w:val="17"/>
              </w:rPr>
              <w:t>+7.14%</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7,250 FCFA</w:t>
            </w:r>
          </w:p>
          <w:p>
            <w:r>
              <w:rPr>
                <w:b/>
                <w:color w:val="503200"/>
                <w:sz w:val="16"/>
              </w:rPr>
              <w:t xml:space="preserve">Volatilité ann. : </w:t>
            </w:r>
            <w:r>
              <w:rPr>
                <w:color w:val="000000"/>
                <w:sz w:val="17"/>
              </w:rPr>
              <w:t>26.4%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9.3/100 → Faible</w:t>
      </w:r>
    </w:p>
    <w:p>
      <w:pPr>
        <w:spacing w:before="40" w:after="80"/>
      </w:pPr>
      <w:r>
        <w:rPr>
          <w:rFonts w:ascii="Courier New" w:hAnsi="Courier New"/>
          <w:color w:val="006400"/>
          <w:sz w:val="18"/>
        </w:rPr>
        <w:t>█░░░░░░░░░░░░░░░░░░░  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4.81% (Faible) — μ=7,764 FCFA, σ=374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β=0.5749 (Défensif) — Cov=0.000042, Var(idx)=0.000073, ρ=0.294,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11,558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σ_j=1.66%/j (Stable) — Vol. annualisée≈26.4%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77/100  (Excellent)</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2026-10-12</w:t>
            </w:r>
          </w:p>
        </w:tc>
        <w:tc>
          <w:tcPr>
            <w:tcW w:type="dxa" w:w="1440"/>
            <w:shd w:fill="FFDCE0" w:val="clear"/>
          </w:tcPr>
          <w:p>
            <w:r>
              <w:rPr>
                <w:sz w:val="17"/>
              </w:rPr>
              <w:t>7,872</w:t>
            </w:r>
          </w:p>
        </w:tc>
        <w:tc>
          <w:tcPr>
            <w:tcW w:type="dxa" w:w="1440"/>
            <w:shd w:fill="FFDCE0" w:val="clear"/>
          </w:tcPr>
          <w:p>
            <w:r>
              <w:rPr>
                <w:b/>
                <w:sz w:val="17"/>
              </w:rPr>
              <w:t>8,055</w:t>
            </w:r>
          </w:p>
        </w:tc>
        <w:tc>
          <w:tcPr>
            <w:tcW w:type="dxa" w:w="1440"/>
            <w:shd w:fill="FFDCE0" w:val="clear"/>
          </w:tcPr>
          <w:p>
            <w:r>
              <w:rPr>
                <w:sz w:val="17"/>
              </w:rPr>
              <w:t>8,238</w:t>
            </w:r>
          </w:p>
        </w:tc>
        <w:tc>
          <w:tcPr>
            <w:tcW w:type="dxa" w:w="1440"/>
            <w:shd w:fill="FFDCE0" w:val="clear"/>
          </w:tcPr>
          <w:p>
            <w:r>
              <w:rPr>
                <w:b/>
                <w:color w:val="C00000"/>
                <w:sz w:val="17"/>
              </w:rPr>
              <w:t>-2.4%</w:t>
            </w:r>
          </w:p>
        </w:tc>
      </w:tr>
      <w:tr>
        <w:tc>
          <w:tcPr>
            <w:tcW w:type="dxa" w:w="1440"/>
            <w:shd w:fill="FFDCE0" w:val="clear"/>
          </w:tcPr>
          <w:p>
            <w:r>
              <w:rPr>
                <w:sz w:val="17"/>
              </w:rPr>
              <w:t>J+2  ⭐⭐⭐</w:t>
            </w:r>
          </w:p>
        </w:tc>
        <w:tc>
          <w:tcPr>
            <w:tcW w:type="dxa" w:w="1440"/>
            <w:shd w:fill="FFDCE0" w:val="clear"/>
          </w:tcPr>
          <w:p>
            <w:r>
              <w:rPr>
                <w:sz w:val="17"/>
              </w:rPr>
              <w:t>2026-10-13</w:t>
            </w:r>
          </w:p>
        </w:tc>
        <w:tc>
          <w:tcPr>
            <w:tcW w:type="dxa" w:w="1440"/>
            <w:shd w:fill="FFDCE0" w:val="clear"/>
          </w:tcPr>
          <w:p>
            <w:r>
              <w:rPr>
                <w:sz w:val="17"/>
              </w:rPr>
              <w:t>7,676</w:t>
            </w:r>
          </w:p>
        </w:tc>
        <w:tc>
          <w:tcPr>
            <w:tcW w:type="dxa" w:w="1440"/>
            <w:shd w:fill="FFDCE0" w:val="clear"/>
          </w:tcPr>
          <w:p>
            <w:r>
              <w:rPr>
                <w:b/>
                <w:sz w:val="17"/>
              </w:rPr>
              <w:t>7,930</w:t>
            </w:r>
          </w:p>
        </w:tc>
        <w:tc>
          <w:tcPr>
            <w:tcW w:type="dxa" w:w="1440"/>
            <w:shd w:fill="FFDCE0" w:val="clear"/>
          </w:tcPr>
          <w:p>
            <w:r>
              <w:rPr>
                <w:sz w:val="17"/>
              </w:rPr>
              <w:t>8,185</w:t>
            </w:r>
          </w:p>
        </w:tc>
        <w:tc>
          <w:tcPr>
            <w:tcW w:type="dxa" w:w="1440"/>
            <w:shd w:fill="FFDCE0" w:val="clear"/>
          </w:tcPr>
          <w:p>
            <w:r>
              <w:rPr>
                <w:b/>
                <w:color w:val="C00000"/>
                <w:sz w:val="17"/>
              </w:rPr>
              <w:t>-3.9%</w:t>
            </w:r>
          </w:p>
        </w:tc>
      </w:tr>
      <w:tr>
        <w:tc>
          <w:tcPr>
            <w:tcW w:type="dxa" w:w="1440"/>
            <w:shd w:fill="FFDCE0" w:val="clear"/>
          </w:tcPr>
          <w:p>
            <w:r>
              <w:rPr>
                <w:sz w:val="17"/>
              </w:rPr>
              <w:t>J+3  ⭐⭐⭐</w:t>
            </w:r>
          </w:p>
        </w:tc>
        <w:tc>
          <w:tcPr>
            <w:tcW w:type="dxa" w:w="1440"/>
            <w:shd w:fill="FFDCE0" w:val="clear"/>
          </w:tcPr>
          <w:p>
            <w:r>
              <w:rPr>
                <w:sz w:val="17"/>
              </w:rPr>
              <w:t>2026-10-14</w:t>
            </w:r>
          </w:p>
        </w:tc>
        <w:tc>
          <w:tcPr>
            <w:tcW w:type="dxa" w:w="1440"/>
            <w:shd w:fill="FFDCE0" w:val="clear"/>
          </w:tcPr>
          <w:p>
            <w:r>
              <w:rPr>
                <w:sz w:val="17"/>
              </w:rPr>
              <w:t>7,504</w:t>
            </w:r>
          </w:p>
        </w:tc>
        <w:tc>
          <w:tcPr>
            <w:tcW w:type="dxa" w:w="1440"/>
            <w:shd w:fill="FFDCE0" w:val="clear"/>
          </w:tcPr>
          <w:p>
            <w:r>
              <w:rPr>
                <w:b/>
                <w:sz w:val="17"/>
              </w:rPr>
              <w:t>7,811</w:t>
            </w:r>
          </w:p>
        </w:tc>
        <w:tc>
          <w:tcPr>
            <w:tcW w:type="dxa" w:w="1440"/>
            <w:shd w:fill="FFDCE0" w:val="clear"/>
          </w:tcPr>
          <w:p>
            <w:r>
              <w:rPr>
                <w:sz w:val="17"/>
              </w:rPr>
              <w:t>8,118</w:t>
            </w:r>
          </w:p>
        </w:tc>
        <w:tc>
          <w:tcPr>
            <w:tcW w:type="dxa" w:w="1440"/>
            <w:shd w:fill="FFDCE0" w:val="clear"/>
          </w:tcPr>
          <w:p>
            <w:r>
              <w:rPr>
                <w:b/>
                <w:color w:val="C00000"/>
                <w:sz w:val="17"/>
              </w:rPr>
              <w:t>-5.3%</w:t>
            </w:r>
          </w:p>
        </w:tc>
      </w:tr>
      <w:tr>
        <w:tc>
          <w:tcPr>
            <w:tcW w:type="dxa" w:w="1440"/>
            <w:shd w:fill="FFDCE0" w:val="clear"/>
          </w:tcPr>
          <w:p>
            <w:r>
              <w:rPr>
                <w:sz w:val="17"/>
              </w:rPr>
              <w:t>J+4  Moyenne</w:t>
            </w:r>
          </w:p>
        </w:tc>
        <w:tc>
          <w:tcPr>
            <w:tcW w:type="dxa" w:w="1440"/>
            <w:shd w:fill="FFDCE0" w:val="clear"/>
          </w:tcPr>
          <w:p>
            <w:r>
              <w:rPr>
                <w:sz w:val="17"/>
              </w:rPr>
              <w:t>2026-10-15</w:t>
            </w:r>
          </w:p>
        </w:tc>
        <w:tc>
          <w:tcPr>
            <w:tcW w:type="dxa" w:w="1440"/>
            <w:shd w:fill="FFDCE0" w:val="clear"/>
          </w:tcPr>
          <w:p>
            <w:r>
              <w:rPr>
                <w:sz w:val="17"/>
              </w:rPr>
              <w:t>7,353</w:t>
            </w:r>
          </w:p>
        </w:tc>
        <w:tc>
          <w:tcPr>
            <w:tcW w:type="dxa" w:w="1440"/>
            <w:shd w:fill="FFDCE0" w:val="clear"/>
          </w:tcPr>
          <w:p>
            <w:r>
              <w:rPr>
                <w:b/>
                <w:sz w:val="17"/>
              </w:rPr>
              <w:t>7,703</w:t>
            </w:r>
          </w:p>
        </w:tc>
        <w:tc>
          <w:tcPr>
            <w:tcW w:type="dxa" w:w="1440"/>
            <w:shd w:fill="FFDCE0" w:val="clear"/>
          </w:tcPr>
          <w:p>
            <w:r>
              <w:rPr>
                <w:sz w:val="17"/>
              </w:rPr>
              <w:t>8,053</w:t>
            </w:r>
          </w:p>
        </w:tc>
        <w:tc>
          <w:tcPr>
            <w:tcW w:type="dxa" w:w="1440"/>
            <w:shd w:fill="FFDCE0" w:val="clear"/>
          </w:tcPr>
          <w:p>
            <w:r>
              <w:rPr>
                <w:b/>
                <w:color w:val="C00000"/>
                <w:sz w:val="17"/>
              </w:rPr>
              <w:t>-6.6%</w:t>
            </w:r>
          </w:p>
        </w:tc>
      </w:tr>
      <w:tr>
        <w:tc>
          <w:tcPr>
            <w:tcW w:type="dxa" w:w="1440"/>
            <w:shd w:fill="FFDCE0" w:val="clear"/>
          </w:tcPr>
          <w:p>
            <w:r>
              <w:rPr>
                <w:sz w:val="17"/>
              </w:rPr>
              <w:t>J+5  Moyenne</w:t>
            </w:r>
          </w:p>
        </w:tc>
        <w:tc>
          <w:tcPr>
            <w:tcW w:type="dxa" w:w="1440"/>
            <w:shd w:fill="FFDCE0" w:val="clear"/>
          </w:tcPr>
          <w:p>
            <w:r>
              <w:rPr>
                <w:sz w:val="17"/>
              </w:rPr>
              <w:t>2026-10-16</w:t>
            </w:r>
          </w:p>
        </w:tc>
        <w:tc>
          <w:tcPr>
            <w:tcW w:type="dxa" w:w="1440"/>
            <w:shd w:fill="FFDCE0" w:val="clear"/>
          </w:tcPr>
          <w:p>
            <w:r>
              <w:rPr>
                <w:sz w:val="17"/>
              </w:rPr>
              <w:t>7,216</w:t>
            </w:r>
          </w:p>
        </w:tc>
        <w:tc>
          <w:tcPr>
            <w:tcW w:type="dxa" w:w="1440"/>
            <w:shd w:fill="FFDCE0" w:val="clear"/>
          </w:tcPr>
          <w:p>
            <w:r>
              <w:rPr>
                <w:b/>
                <w:sz w:val="17"/>
              </w:rPr>
              <w:t>7,602</w:t>
            </w:r>
          </w:p>
        </w:tc>
        <w:tc>
          <w:tcPr>
            <w:tcW w:type="dxa" w:w="1440"/>
            <w:shd w:fill="FFDCE0" w:val="clear"/>
          </w:tcPr>
          <w:p>
            <w:r>
              <w:rPr>
                <w:sz w:val="17"/>
              </w:rPr>
              <w:t>7,988</w:t>
            </w:r>
          </w:p>
        </w:tc>
        <w:tc>
          <w:tcPr>
            <w:tcW w:type="dxa" w:w="1440"/>
            <w:shd w:fill="FFDCE0" w:val="clear"/>
          </w:tcPr>
          <w:p>
            <w:r>
              <w:rPr>
                <w:b/>
                <w:color w:val="C00000"/>
                <w:sz w:val="17"/>
              </w:rPr>
              <w:t>-7.9%</w:t>
            </w:r>
          </w:p>
        </w:tc>
      </w:tr>
      <w:tr>
        <w:tc>
          <w:tcPr>
            <w:tcW w:type="dxa" w:w="1440"/>
            <w:shd w:fill="FFDCE0" w:val="clear"/>
          </w:tcPr>
          <w:p>
            <w:r>
              <w:rPr>
                <w:sz w:val="17"/>
              </w:rPr>
              <w:t>J+6  Moyenne</w:t>
            </w:r>
          </w:p>
        </w:tc>
        <w:tc>
          <w:tcPr>
            <w:tcW w:type="dxa" w:w="1440"/>
            <w:shd w:fill="FFDCE0" w:val="clear"/>
          </w:tcPr>
          <w:p>
            <w:r>
              <w:rPr>
                <w:sz w:val="17"/>
              </w:rPr>
              <w:t>2026-10-19</w:t>
            </w:r>
          </w:p>
        </w:tc>
        <w:tc>
          <w:tcPr>
            <w:tcW w:type="dxa" w:w="1440"/>
            <w:shd w:fill="FFDCE0" w:val="clear"/>
          </w:tcPr>
          <w:p>
            <w:r>
              <w:rPr>
                <w:sz w:val="17"/>
              </w:rPr>
              <w:t>7,088</w:t>
            </w:r>
          </w:p>
        </w:tc>
        <w:tc>
          <w:tcPr>
            <w:tcW w:type="dxa" w:w="1440"/>
            <w:shd w:fill="FFDCE0" w:val="clear"/>
          </w:tcPr>
          <w:p>
            <w:r>
              <w:rPr>
                <w:b/>
                <w:sz w:val="17"/>
              </w:rPr>
              <w:t>7,506</w:t>
            </w:r>
          </w:p>
        </w:tc>
        <w:tc>
          <w:tcPr>
            <w:tcW w:type="dxa" w:w="1440"/>
            <w:shd w:fill="FFDCE0" w:val="clear"/>
          </w:tcPr>
          <w:p>
            <w:r>
              <w:rPr>
                <w:sz w:val="17"/>
              </w:rPr>
              <w:t>7,923</w:t>
            </w:r>
          </w:p>
        </w:tc>
        <w:tc>
          <w:tcPr>
            <w:tcW w:type="dxa" w:w="1440"/>
            <w:shd w:fill="FFDCE0" w:val="clear"/>
          </w:tcPr>
          <w:p>
            <w:r>
              <w:rPr>
                <w:b/>
                <w:color w:val="C00000"/>
                <w:sz w:val="17"/>
              </w:rPr>
              <w:t>-9.0%</w:t>
            </w:r>
          </w:p>
        </w:tc>
      </w:tr>
      <w:tr>
        <w:tc>
          <w:tcPr>
            <w:tcW w:type="dxa" w:w="1440"/>
            <w:shd w:fill="FFDCE0" w:val="clear"/>
          </w:tcPr>
          <w:p>
            <w:r>
              <w:rPr>
                <w:sz w:val="17"/>
              </w:rPr>
              <w:t>J+7  Moyenne</w:t>
            </w:r>
          </w:p>
        </w:tc>
        <w:tc>
          <w:tcPr>
            <w:tcW w:type="dxa" w:w="1440"/>
            <w:shd w:fill="FFDCE0" w:val="clear"/>
          </w:tcPr>
          <w:p>
            <w:r>
              <w:rPr>
                <w:sz w:val="17"/>
              </w:rPr>
              <w:t>2026-10-20</w:t>
            </w:r>
          </w:p>
        </w:tc>
        <w:tc>
          <w:tcPr>
            <w:tcW w:type="dxa" w:w="1440"/>
            <w:shd w:fill="FFDCE0" w:val="clear"/>
          </w:tcPr>
          <w:p>
            <w:r>
              <w:rPr>
                <w:sz w:val="17"/>
              </w:rPr>
              <w:t>6,969</w:t>
            </w:r>
          </w:p>
        </w:tc>
        <w:tc>
          <w:tcPr>
            <w:tcW w:type="dxa" w:w="1440"/>
            <w:shd w:fill="FFDCE0" w:val="clear"/>
          </w:tcPr>
          <w:p>
            <w:r>
              <w:rPr>
                <w:b/>
                <w:sz w:val="17"/>
              </w:rPr>
              <w:t>7,414</w:t>
            </w:r>
          </w:p>
        </w:tc>
        <w:tc>
          <w:tcPr>
            <w:tcW w:type="dxa" w:w="1440"/>
            <w:shd w:fill="FFDCE0" w:val="clear"/>
          </w:tcPr>
          <w:p>
            <w:r>
              <w:rPr>
                <w:sz w:val="17"/>
              </w:rPr>
              <w:t>7,859</w:t>
            </w:r>
          </w:p>
        </w:tc>
        <w:tc>
          <w:tcPr>
            <w:tcW w:type="dxa" w:w="1440"/>
            <w:shd w:fill="FFDCE0" w:val="clear"/>
          </w:tcPr>
          <w:p>
            <w:r>
              <w:rPr>
                <w:b/>
                <w:color w:val="C00000"/>
                <w:sz w:val="17"/>
              </w:rPr>
              <w:t>-10.1%</w:t>
            </w:r>
          </w:p>
        </w:tc>
      </w:tr>
      <w:tr>
        <w:tc>
          <w:tcPr>
            <w:tcW w:type="dxa" w:w="1440"/>
            <w:shd w:fill="FFDCE0" w:val="clear"/>
          </w:tcPr>
          <w:p>
            <w:r>
              <w:rPr>
                <w:sz w:val="17"/>
              </w:rPr>
              <w:t>J+8  Moyenne</w:t>
            </w:r>
          </w:p>
        </w:tc>
        <w:tc>
          <w:tcPr>
            <w:tcW w:type="dxa" w:w="1440"/>
            <w:shd w:fill="FFDCE0" w:val="clear"/>
          </w:tcPr>
          <w:p>
            <w:r>
              <w:rPr>
                <w:sz w:val="17"/>
              </w:rPr>
              <w:t>2026-10-21</w:t>
            </w:r>
          </w:p>
        </w:tc>
        <w:tc>
          <w:tcPr>
            <w:tcW w:type="dxa" w:w="1440"/>
            <w:shd w:fill="FFDCE0" w:val="clear"/>
          </w:tcPr>
          <w:p>
            <w:r>
              <w:rPr>
                <w:sz w:val="17"/>
              </w:rPr>
              <w:t>6,856</w:t>
            </w:r>
          </w:p>
        </w:tc>
        <w:tc>
          <w:tcPr>
            <w:tcW w:type="dxa" w:w="1440"/>
            <w:shd w:fill="FFDCE0" w:val="clear"/>
          </w:tcPr>
          <w:p>
            <w:r>
              <w:rPr>
                <w:b/>
                <w:sz w:val="17"/>
              </w:rPr>
              <w:t>7,327</w:t>
            </w:r>
          </w:p>
        </w:tc>
        <w:tc>
          <w:tcPr>
            <w:tcW w:type="dxa" w:w="1440"/>
            <w:shd w:fill="FFDCE0" w:val="clear"/>
          </w:tcPr>
          <w:p>
            <w:r>
              <w:rPr>
                <w:sz w:val="17"/>
              </w:rPr>
              <w:t>7,797</w:t>
            </w:r>
          </w:p>
        </w:tc>
        <w:tc>
          <w:tcPr>
            <w:tcW w:type="dxa" w:w="1440"/>
            <w:shd w:fill="FFDCE0" w:val="clear"/>
          </w:tcPr>
          <w:p>
            <w:r>
              <w:rPr>
                <w:b/>
                <w:color w:val="C00000"/>
                <w:sz w:val="17"/>
              </w:rPr>
              <w:t>-11.2%</w:t>
            </w:r>
          </w:p>
        </w:tc>
      </w:tr>
      <w:tr>
        <w:tc>
          <w:tcPr>
            <w:tcW w:type="dxa" w:w="1440"/>
            <w:shd w:fill="FFDCE0" w:val="clear"/>
          </w:tcPr>
          <w:p>
            <w:r>
              <w:rPr>
                <w:sz w:val="17"/>
              </w:rPr>
              <w:t>J+9  Moyenne</w:t>
            </w:r>
          </w:p>
        </w:tc>
        <w:tc>
          <w:tcPr>
            <w:tcW w:type="dxa" w:w="1440"/>
            <w:shd w:fill="FFDCE0" w:val="clear"/>
          </w:tcPr>
          <w:p>
            <w:r>
              <w:rPr>
                <w:sz w:val="17"/>
              </w:rPr>
              <w:t>2026-10-22</w:t>
            </w:r>
          </w:p>
        </w:tc>
        <w:tc>
          <w:tcPr>
            <w:tcW w:type="dxa" w:w="1440"/>
            <w:shd w:fill="FFDCE0" w:val="clear"/>
          </w:tcPr>
          <w:p>
            <w:r>
              <w:rPr>
                <w:sz w:val="17"/>
              </w:rPr>
              <w:t>6,750</w:t>
            </w:r>
          </w:p>
        </w:tc>
        <w:tc>
          <w:tcPr>
            <w:tcW w:type="dxa" w:w="1440"/>
            <w:shd w:fill="FFDCE0" w:val="clear"/>
          </w:tcPr>
          <w:p>
            <w:r>
              <w:rPr>
                <w:b/>
                <w:sz w:val="17"/>
              </w:rPr>
              <w:t>7,243</w:t>
            </w:r>
          </w:p>
        </w:tc>
        <w:tc>
          <w:tcPr>
            <w:tcW w:type="dxa" w:w="1440"/>
            <w:shd w:fill="FFDCE0" w:val="clear"/>
          </w:tcPr>
          <w:p>
            <w:r>
              <w:rPr>
                <w:sz w:val="17"/>
              </w:rPr>
              <w:t>7,736</w:t>
            </w:r>
          </w:p>
        </w:tc>
        <w:tc>
          <w:tcPr>
            <w:tcW w:type="dxa" w:w="1440"/>
            <w:shd w:fill="FFDCE0" w:val="clear"/>
          </w:tcPr>
          <w:p>
            <w:r>
              <w:rPr>
                <w:b/>
                <w:color w:val="C00000"/>
                <w:sz w:val="17"/>
              </w:rPr>
              <w:t>-12.2%</w:t>
            </w:r>
          </w:p>
        </w:tc>
      </w:tr>
      <w:tr>
        <w:tc>
          <w:tcPr>
            <w:tcW w:type="dxa" w:w="1440"/>
            <w:shd w:fill="FFDCE0" w:val="clear"/>
          </w:tcPr>
          <w:p>
            <w:r>
              <w:rPr>
                <w:sz w:val="17"/>
              </w:rPr>
              <w:t>J+10  Moyenne</w:t>
            </w:r>
          </w:p>
        </w:tc>
        <w:tc>
          <w:tcPr>
            <w:tcW w:type="dxa" w:w="1440"/>
            <w:shd w:fill="FFDCE0" w:val="clear"/>
          </w:tcPr>
          <w:p>
            <w:r>
              <w:rPr>
                <w:sz w:val="17"/>
              </w:rPr>
              <w:t>2026-10-23</w:t>
            </w:r>
          </w:p>
        </w:tc>
        <w:tc>
          <w:tcPr>
            <w:tcW w:type="dxa" w:w="1440"/>
            <w:shd w:fill="FFDCE0" w:val="clear"/>
          </w:tcPr>
          <w:p>
            <w:r>
              <w:rPr>
                <w:sz w:val="17"/>
              </w:rPr>
              <w:t>6,649</w:t>
            </w:r>
          </w:p>
        </w:tc>
        <w:tc>
          <w:tcPr>
            <w:tcW w:type="dxa" w:w="1440"/>
            <w:shd w:fill="FFDCE0" w:val="clear"/>
          </w:tcPr>
          <w:p>
            <w:r>
              <w:rPr>
                <w:b/>
                <w:sz w:val="17"/>
              </w:rPr>
              <w:t>7,163</w:t>
            </w:r>
          </w:p>
        </w:tc>
        <w:tc>
          <w:tcPr>
            <w:tcW w:type="dxa" w:w="1440"/>
            <w:shd w:fill="FFDCE0" w:val="clear"/>
          </w:tcPr>
          <w:p>
            <w:r>
              <w:rPr>
                <w:sz w:val="17"/>
              </w:rPr>
              <w:t>7,678</w:t>
            </w:r>
          </w:p>
        </w:tc>
        <w:tc>
          <w:tcPr>
            <w:tcW w:type="dxa" w:w="1440"/>
            <w:shd w:fill="FFDCE0" w:val="clear"/>
          </w:tcPr>
          <w:p>
            <w:r>
              <w:rPr>
                <w:b/>
                <w:color w:val="C00000"/>
                <w:sz w:val="17"/>
              </w:rPr>
              <w:t>-13.2%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 RAPPORT D'ANALYSE FINANCIÈRE — BANK OF AFRICA SÉNÉGAL (BOAS)</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297,00 milliards FCFA, BOAS s'impose comme l'une des valeurs bancaires de référence de la cote BRVM, témoignant d'une liquidité et d'une profondeur de marché appréciables pour la zone UEMOA. Le BPA de 608 FCFA par action signifie que chaque titre génère près de 608 FCFA de bénéfice net, ce qui, rapporté au cours actuel de 8 250 FCFA, aboutit à un PER de 13,6x — légèrement supérieur à la moyenne BRVM (8-12x), mais justifié par la qualité de la croissance et la régularité des résultats. Le P/B de 3,08x indique que le marché valorise la banque à plus de trois fois ses fonds propres comptables (96,526 Mds FCFA), soit une prime de croissance significative qui traduit la confiance des investisseurs dans la rentabilité durable de l'établissement (ROE de 22,69%). Enfin, l'EV/EBITDA de 8,8x, situé dans la fourchette raisonnable de 5-10x, suggère que la valeur d'entreprise reste cohérente avec la capacité opérationnelle dégagée, sans exubérance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BOAS affiche une progression totale de +7,14%, avec une dernière séance (J-1) stable à +0,00%, le cours se maintenant à 8 250 FCFA. Le range de trading s'établit entre un plus bas de 7 250 FCFA et un plus haut de 8 500 FCFA, soit une amplitude de 17,2% qui reflète une dynamique haussière maîtrisée. La tendance générale est donc clairement haussière, le cours actuel se situant dans le tiers supérieur de la fourchette. Les statistiques descriptives révèlent une moyenne de 7 764 FCFA légèrement supérieure à la médiane (7 700 FCFA) et au mode (7 700 FCFA), ce qui indique une distribution faiblement asymétrique à droite, cohérente avec le skewness positif de 0,220 qualifié de symétrique. L'écart-type de 376 FCFA, avec un coefficient de variation de seulement 4,8%, traduit une dispersion très faible du cours, gage de stabilité. Le kurtosis de -1,327 (platykurtique) signale une distribution aplatie, donc un risque de pics extrêmes limité — un profil rassurant pour un investisseur averse au risque. Avec une volatilité annualisée de 26,4%, le titre se situe dans la catégorie modérée (15-30%), ce qui est cohérent avec une valeur bancaire de qualité sur un marché frontière.</w:t>
      </w:r>
    </w:p>
    <w:p>
      <w:pPr>
        <w:spacing w:after="120" w:line="276" w:lineRule="auto"/>
      </w:pPr>
      <w:r>
        <w:t>---</w:t>
      </w:r>
    </w:p>
    <w:p>
      <w:pPr>
        <w:spacing w:after="120" w:line="276" w:lineRule="auto"/>
      </w:pPr>
      <w:r>
        <w:t>## PARTIE 2 : ANALYSE TECHNIQUE DÉTAILLÉE</w:t>
      </w:r>
    </w:p>
    <w:p>
      <w:pPr>
        <w:spacing w:after="120" w:line="276" w:lineRule="auto"/>
      </w:pPr>
      <w:r>
        <w:t>**Moyennes Mobiles** : La MM20 (8 119,5 FCFA) et la MM50 (8 051,6 FCFA) se situent toutes deux sous le cours actuel (8 250 FCFA), et la MM20 est au-dessus de la MM50, configuration typique d'un croisement haussier (golden cross). Cette disposition confirme la décision d'**Achat** : le cours évolue au-dessus de ses supports dynamiques, et la tendance de fond reste positive.</w:t>
      </w:r>
    </w:p>
    <w:p>
      <w:pPr>
        <w:spacing w:after="120" w:line="276" w:lineRule="auto"/>
      </w:pPr>
      <w:r>
        <w:t>**Bandes de Bollinger** : Le cours (8 250 FCFA) se situe entre la borne inférieure (7 780 FCFA) et la borne supérieure (8 459 FCFA), plus proche de cette dernière, ce qui traduit une pression acheteuse sans excès. L'absence de cassure de la borne haute et la décision **Neutre** suggèrent que le titre évolue dans un canal de consolidation, avec une volatilité contenue (largeur des bandes modérée).</w:t>
      </w:r>
    </w:p>
    <w:p>
      <w:pPr>
        <w:spacing w:after="120" w:line="276" w:lineRule="auto"/>
      </w:pPr>
      <w:r>
        <w:t>**MACD** : La valeur du MACD (37,457) est nettement supérieure à son signal (23,401), avec un histogramme positif et croissant. Cette divergence haussière confirme un momentum positif et soutient la décision d'**Achat** : la dynamique de court terme reste favorable aux acheteurs.</w:t>
      </w:r>
    </w:p>
    <w:p>
      <w:pPr>
        <w:spacing w:after="120" w:line="276" w:lineRule="auto"/>
      </w:pPr>
      <w:r>
        <w:t>**RSI** : À 59,434, le RSI se situe en zone neutre (30-70), sans suraccumulation ni survente. La décision **Neutre** indique que le titre dispose encore d'un potentiel de hausse avant d'atteindre la zone de surachat (&gt;70), ce qui est cohérent avec la tendance haussière en cours.</w:t>
      </w:r>
    </w:p>
    <w:p>
      <w:pPr>
        <w:spacing w:after="120" w:line="276" w:lineRule="auto"/>
      </w:pPr>
      <w:r>
        <w:t>**Stochastique** : Les valeurs %K et %D sont toutes deux à 100,0, signalant une situation de surachat extrême. La décision **Vente** constitue un signal de prudence à court terme : un repli technique ou une consolidation est probable après une telle ascension. Ce signal contredit partiellement les autres indicateurs et invite à la vigilance sur le timing d'entrée.</w:t>
      </w:r>
    </w:p>
    <w:p>
      <w:pPr>
        <w:spacing w:after="120" w:line="276" w:lineRule="auto"/>
      </w:pPr>
      <w:r>
        <w:t>**Conclusion technique** : La majorité des indicateurs (MM, MACD) plaident pour une poursuite de la tendance haussière, mais le stochastique en surachat extrême (100) et le RSI neutre suggèrent une possible pause ou un repli à court terme. La configuration globale reste positive, mais un point d'entrée optimal pourrait se situer sur un repli vers la MM20 (8 119 FCFA) ou la borne inférieure de Bollinger (7 780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BOAS affiche un Produit Net Bancaire (PNB) de 51,926 Mds FCFA, un résultat net de 21,905 Mds FCFA, un ROE de 22,69% (excellent, &gt;15%) et un ROA de 2,62%. Le coefficient d'exploitation s'établit à 44,02%, nettement inférieur au seuil de 60% et même sous les 50%, ce qui témoigne d'une efficacité opérationnelle remarquable. Le coût du risque, à 23,31% des charges financières, reste un point de surveillance, mais les rapports trimestriels montrent une amélioration continue (coût du risque passé de -1,8% à -0,5% du PNB au T3 2025, puis à -0,8% au T1 2026). La structure financière est solide : les dépôts clientèle (686,927 Mds FCFA) couvrent largement les créances clientèle (386,424 Mds FCFA), avec un ratio de transformation de 56,3%, et la solvabilité générale (113,05%) confirme la capacité de la banque à honorer ses engagements.</w:t>
      </w:r>
    </w:p>
    <w:p>
      <w:pPr>
        <w:spacing w:after="120" w:line="276" w:lineRule="auto"/>
      </w:pPr>
      <w:r>
        <w:t>**Estimations basées sur les rapports trimestriels** : Le rapport du T1 2026 (publié le 31 mars 2026) indique un PNB de 12,580 Mds FCFA (+6,82% sur un an) et un résultat net de 5,741 Mds FCFA (+9,78%), avec un coefficient d'exploitation en amélioration à 42,1% (contre 42,8% un an plus tôt) et une marge nette de 45,7%. Le rapport du S1 2026 (publié le 30 juin 2026) fait état d'un PNB semestriel de 27,206 Mds FCFA, en hausse, confirmant la dynamique. Sur cette base, on peut estimer que l'exercice 2026 devrait enregistrer un PNB annuel compris entre 54 et 56 Mds FCFA (croissance de 4,5% à 7,5%) et un résultat net de l'ordre de 23 à 24 Mds FCFA, soit une progression de 5% à 10% par rapport à 2025. Le rapport du T3 2025 (30 septembre 2025) soulignait déjà une croissance du PNB de 6,71% et du résultat net de 10,01%, avec une baisse du coefficient d'exploitation à 44,4% — tendance confirmée depuis.</w:t>
      </w:r>
    </w:p>
    <w:p>
      <w:pPr>
        <w:spacing w:after="120" w:line="276" w:lineRule="auto"/>
      </w:pPr>
      <w:r>
        <w:t>**Évolution pluriannuelle** : Les rapports 2021 (S2 2021, T3 2021) montrent un résultat net de 11,070 Mds FCFA en 2021, contre 21,905 Mds FCFA en 2025, soit un doublement en quatre ans. Le PNB est passé de 35,727 Mds FCFA (2021) à 51,926 Mds FCFA (2025), soit une croissance annuelle moyenne de 9,8%. Cette trajectoire démontre la constance de la performance et la solidité du modèle économique.</w:t>
      </w:r>
    </w:p>
    <w:p>
      <w:pPr>
        <w:spacing w:after="120" w:line="276" w:lineRule="auto"/>
      </w:pPr>
      <w:r>
        <w:t>**Recommandation fondamentale** : La solidité financière de BOAS est incontestable (ROE &gt;20%, coefficient d'exploitation &lt;45%, croissance régulière du PNB et du résultat net). Les risques identifiés — coût du risque encore élevé, concentration sur le marché sénégalais, concurrence accrue — sont réels mais maîtrisés. Les perspectives 2026 sont positives, portées par la collecte de dépôts (+13,6% au T1 2026) et l'amélioration de l'efficacité opérationnelle. La recommandation fondamentale est donc **ACHAT**, avec un biais favorable pour un investisseur de moyen-long terme.</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conduit à une recommandation nuancée. **Valorisation (Partie 0)** : le PER de 13,6x, légèrement supérieur à la moyenne BRVM, et le P/B de 3,08x traduisent une prime de qualité justifiée par le ROE de 22,69%, sans surévaluation excessive ; l'EV/EBITDA de 8,8x reste raisonnable. **Comportement du cours (Partie 1)** : la tendance haussière (+7,14% sur 100 jours), la faible volatilité (26,4%) et la distribution platykurtique (kurtosis -1,327) sont favorables, mais le skewness positif (0,220) et la proximité du plus haut (8 500 FCFA) suggèrent une possible consolidation. **Signaux techniques (Partie 2)** : convergence haussière des MM et du MACD, mais divergence baissière du stochastique (100, surachat extrême) et neutralité du RSI — signal mitigé à court terme. **Fondamentaux (Partie 3)** : solidité exceptionnelle (ROE 22,69%, coefficient d'exploitation 44,02%, croissance du PNB et du résultat net), avec des estimations 2026 favorables (PNB 54-56 Mds FCFA, résultat net 23-24 Mds FCFA). **Prédictions IA (J+1 à J+10)** : la trajectoire baissière anticipée (8 055 → 7 602 FCFA, soit -7,8% en 10 jours) contredit les signaux techniques haussiers et suggère un repli à court terme, probablement une correction après le surachat du stochastique.</w:t>
      </w:r>
    </w:p>
    <w:p>
      <w:pPr>
        <w:spacing w:after="120" w:line="276" w:lineRule="auto"/>
      </w:pPr>
      <w:r>
        <w:t>**Recommandation finale** : **ACHAT** (avec prudence sur le timing). La convergence entre valorisation raisonnable, fondamentaux solides et tendance de fond haussière l'emporte sur les signaux baissiers de court terme (stochastique, prédictions IA). Le niveau de confiance est **Moyen** — élevé sur le fond, mais tempéré par l'incertitude à court terme. Le risque global est **Moyen** (volatilité modérée, coût du risque à surveiller, concentration géographique). L'horizon d'investissement optimal est le **moyen terme (3-12 mois)**, avec une stratégie d'entrée progressive sur repli vers 7 800-8 000 FCFA pour maximiser le potentiel de rendement tout en limitant le risque de correction immédiate.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12.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18.83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2,027 titres</w:t>
            </w:r>
          </w:p>
        </w:tc>
        <w:tc>
          <w:tcPr>
            <w:tcW w:type="dxa" w:w="2268"/>
            <w:shd w:fill="FFF2CC" w:val="clear"/>
          </w:tcPr>
          <w:p>
            <w:r>
              <w:rPr>
                <w:b/>
                <w:color w:val="503200"/>
                <w:sz w:val="16"/>
              </w:rPr>
              <w:t xml:space="preserve">Cours actuel : </w:t>
            </w:r>
            <w:r>
              <w:rPr>
                <w:color w:val="000000"/>
                <w:sz w:val="17"/>
              </w:rPr>
              <w:t>3,180 FCFA</w:t>
            </w:r>
          </w:p>
          <w:p>
            <w:r>
              <w:rPr>
                <w:b/>
                <w:color w:val="503200"/>
                <w:sz w:val="16"/>
              </w:rPr>
              <w:t xml:space="preserve">Var. 100 jours : </w:t>
            </w:r>
            <w:r>
              <w:rPr>
                <w:b/>
                <w:color w:val="B40000"/>
                <w:sz w:val="17"/>
              </w:rPr>
              <w:t>-8.36%</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3,175 FCFA</w:t>
            </w:r>
          </w:p>
          <w:p>
            <w:r>
              <w:rPr>
                <w:b/>
                <w:color w:val="503200"/>
                <w:sz w:val="16"/>
              </w:rPr>
              <w:t xml:space="preserve">Volatilité ann. : </w:t>
            </w:r>
            <w:r>
              <w:rPr>
                <w:color w:val="000000"/>
                <w:sz w:val="17"/>
              </w:rPr>
              <w:t>44.9%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8.21% (Moyenne) — μ=3,671 FCFA, σ=301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β=0.3309 (Défensif) — Cov=0.000024, Var(idx)=0.000073, ρ=0.100,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2,027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σ_j=2.83%/j (Stable) — Vol. annualisée≈44.9%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3,079</w:t>
            </w:r>
          </w:p>
        </w:tc>
        <w:tc>
          <w:tcPr>
            <w:tcW w:type="dxa" w:w="1440"/>
            <w:shd w:fill="FAFAFA" w:val="clear"/>
          </w:tcPr>
          <w:p>
            <w:r>
              <w:rPr>
                <w:b/>
                <w:sz w:val="17"/>
              </w:rPr>
              <w:t>3,175</w:t>
            </w:r>
          </w:p>
        </w:tc>
        <w:tc>
          <w:tcPr>
            <w:tcW w:type="dxa" w:w="1440"/>
            <w:shd w:fill="FAFAFA" w:val="clear"/>
          </w:tcPr>
          <w:p>
            <w:r>
              <w:rPr>
                <w:sz w:val="17"/>
              </w:rPr>
              <w:t>3,271</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3,043</w:t>
            </w:r>
          </w:p>
        </w:tc>
        <w:tc>
          <w:tcPr>
            <w:tcW w:type="dxa" w:w="1440"/>
            <w:shd w:fill="FAFAFA" w:val="clear"/>
          </w:tcPr>
          <w:p>
            <w:r>
              <w:rPr>
                <w:b/>
                <w:sz w:val="17"/>
              </w:rPr>
              <w:t>3,178</w:t>
            </w:r>
          </w:p>
        </w:tc>
        <w:tc>
          <w:tcPr>
            <w:tcW w:type="dxa" w:w="1440"/>
            <w:shd w:fill="FAFAFA" w:val="clear"/>
          </w:tcPr>
          <w:p>
            <w:r>
              <w:rPr>
                <w:sz w:val="17"/>
              </w:rPr>
              <w:t>3,314</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3,018</w:t>
            </w:r>
          </w:p>
        </w:tc>
        <w:tc>
          <w:tcPr>
            <w:tcW w:type="dxa" w:w="1440"/>
            <w:shd w:fill="FAFAFA" w:val="clear"/>
          </w:tcPr>
          <w:p>
            <w:r>
              <w:rPr>
                <w:b/>
                <w:sz w:val="17"/>
              </w:rPr>
              <w:t>3,184</w:t>
            </w:r>
          </w:p>
        </w:tc>
        <w:tc>
          <w:tcPr>
            <w:tcW w:type="dxa" w:w="1440"/>
            <w:shd w:fill="FAFAFA" w:val="clear"/>
          </w:tcPr>
          <w:p>
            <w:r>
              <w:rPr>
                <w:sz w:val="17"/>
              </w:rPr>
              <w:t>3,351</w:t>
            </w:r>
          </w:p>
        </w:tc>
        <w:tc>
          <w:tcPr>
            <w:tcW w:type="dxa" w:w="1440"/>
            <w:shd w:fill="FAFAFA" w:val="clear"/>
          </w:tcPr>
          <w:p>
            <w:r>
              <w:rPr>
                <w:b/>
                <w:color w:val="008000"/>
                <w:sz w:val="17"/>
              </w:rPr>
              <w:t>+0.1%</w:t>
            </w:r>
          </w:p>
        </w:tc>
      </w:tr>
      <w:tr>
        <w:tc>
          <w:tcPr>
            <w:tcW w:type="dxa" w:w="1440"/>
            <w:shd w:fill="FAFAFA" w:val="clear"/>
          </w:tcPr>
          <w:p>
            <w:r>
              <w:rPr>
                <w:sz w:val="17"/>
              </w:rPr>
              <w:t>J+4  Moyenne</w:t>
            </w:r>
          </w:p>
        </w:tc>
        <w:tc>
          <w:tcPr>
            <w:tcW w:type="dxa" w:w="1440"/>
            <w:shd w:fill="FAFAFA" w:val="clear"/>
          </w:tcPr>
          <w:p>
            <w:r>
              <w:rPr>
                <w:sz w:val="17"/>
              </w:rPr>
              <w:t>2026-10-15</w:t>
            </w:r>
          </w:p>
        </w:tc>
        <w:tc>
          <w:tcPr>
            <w:tcW w:type="dxa" w:w="1440"/>
            <w:shd w:fill="FAFAFA" w:val="clear"/>
          </w:tcPr>
          <w:p>
            <w:r>
              <w:rPr>
                <w:sz w:val="17"/>
              </w:rPr>
              <w:t>2,997</w:t>
            </w:r>
          </w:p>
        </w:tc>
        <w:tc>
          <w:tcPr>
            <w:tcW w:type="dxa" w:w="1440"/>
            <w:shd w:fill="FAFAFA" w:val="clear"/>
          </w:tcPr>
          <w:p>
            <w:r>
              <w:rPr>
                <w:b/>
                <w:sz w:val="17"/>
              </w:rPr>
              <w:t>3,190</w:t>
            </w:r>
          </w:p>
        </w:tc>
        <w:tc>
          <w:tcPr>
            <w:tcW w:type="dxa" w:w="1440"/>
            <w:shd w:fill="FAFAFA" w:val="clear"/>
          </w:tcPr>
          <w:p>
            <w:r>
              <w:rPr>
                <w:sz w:val="17"/>
              </w:rPr>
              <w:t>3,382</w:t>
            </w:r>
          </w:p>
        </w:tc>
        <w:tc>
          <w:tcPr>
            <w:tcW w:type="dxa" w:w="1440"/>
            <w:shd w:fill="FAFAFA" w:val="clear"/>
          </w:tcPr>
          <w:p>
            <w:r>
              <w:rPr>
                <w:b/>
                <w:color w:val="008000"/>
                <w:sz w:val="17"/>
              </w:rPr>
              <w:t>+0.3%</w:t>
            </w:r>
          </w:p>
        </w:tc>
      </w:tr>
      <w:tr>
        <w:tc>
          <w:tcPr>
            <w:tcW w:type="dxa" w:w="1440"/>
            <w:shd w:fill="FAFAFA" w:val="clear"/>
          </w:tcPr>
          <w:p>
            <w:r>
              <w:rPr>
                <w:sz w:val="17"/>
              </w:rPr>
              <w:t>J+5  Moyenne</w:t>
            </w:r>
          </w:p>
        </w:tc>
        <w:tc>
          <w:tcPr>
            <w:tcW w:type="dxa" w:w="1440"/>
            <w:shd w:fill="FAFAFA" w:val="clear"/>
          </w:tcPr>
          <w:p>
            <w:r>
              <w:rPr>
                <w:sz w:val="17"/>
              </w:rPr>
              <w:t>2026-10-16</w:t>
            </w:r>
          </w:p>
        </w:tc>
        <w:tc>
          <w:tcPr>
            <w:tcW w:type="dxa" w:w="1440"/>
            <w:shd w:fill="FAFAFA" w:val="clear"/>
          </w:tcPr>
          <w:p>
            <w:r>
              <w:rPr>
                <w:sz w:val="17"/>
              </w:rPr>
              <w:t>2,979</w:t>
            </w:r>
          </w:p>
        </w:tc>
        <w:tc>
          <w:tcPr>
            <w:tcW w:type="dxa" w:w="1440"/>
            <w:shd w:fill="FAFAFA" w:val="clear"/>
          </w:tcPr>
          <w:p>
            <w:r>
              <w:rPr>
                <w:b/>
                <w:sz w:val="17"/>
              </w:rPr>
              <w:t>3,194</w:t>
            </w:r>
          </w:p>
        </w:tc>
        <w:tc>
          <w:tcPr>
            <w:tcW w:type="dxa" w:w="1440"/>
            <w:shd w:fill="FAFAFA" w:val="clear"/>
          </w:tcPr>
          <w:p>
            <w:r>
              <w:rPr>
                <w:sz w:val="17"/>
              </w:rPr>
              <w:t>3,410</w:t>
            </w:r>
          </w:p>
        </w:tc>
        <w:tc>
          <w:tcPr>
            <w:tcW w:type="dxa" w:w="1440"/>
            <w:shd w:fill="FAFAFA" w:val="clear"/>
          </w:tcPr>
          <w:p>
            <w:r>
              <w:rPr>
                <w:b/>
                <w:color w:val="008000"/>
                <w:sz w:val="17"/>
              </w:rPr>
              <w:t>+0.4%</w:t>
            </w:r>
          </w:p>
        </w:tc>
      </w:tr>
      <w:tr>
        <w:tc>
          <w:tcPr>
            <w:tcW w:type="dxa" w:w="1440"/>
            <w:shd w:fill="FAFAFA" w:val="clear"/>
          </w:tcPr>
          <w:p>
            <w:r>
              <w:rPr>
                <w:sz w:val="17"/>
              </w:rPr>
              <w:t>J+6  Moyenne</w:t>
            </w:r>
          </w:p>
        </w:tc>
        <w:tc>
          <w:tcPr>
            <w:tcW w:type="dxa" w:w="1440"/>
            <w:shd w:fill="FAFAFA" w:val="clear"/>
          </w:tcPr>
          <w:p>
            <w:r>
              <w:rPr>
                <w:sz w:val="17"/>
              </w:rPr>
              <w:t>2026-10-19</w:t>
            </w:r>
          </w:p>
        </w:tc>
        <w:tc>
          <w:tcPr>
            <w:tcW w:type="dxa" w:w="1440"/>
            <w:shd w:fill="FAFAFA" w:val="clear"/>
          </w:tcPr>
          <w:p>
            <w:r>
              <w:rPr>
                <w:sz w:val="17"/>
              </w:rPr>
              <w:t>2,960</w:t>
            </w:r>
          </w:p>
        </w:tc>
        <w:tc>
          <w:tcPr>
            <w:tcW w:type="dxa" w:w="1440"/>
            <w:shd w:fill="FAFAFA" w:val="clear"/>
          </w:tcPr>
          <w:p>
            <w:r>
              <w:rPr>
                <w:b/>
                <w:sz w:val="17"/>
              </w:rPr>
              <w:t>3,196</w:t>
            </w:r>
          </w:p>
        </w:tc>
        <w:tc>
          <w:tcPr>
            <w:tcW w:type="dxa" w:w="1440"/>
            <w:shd w:fill="FAFAFA" w:val="clear"/>
          </w:tcPr>
          <w:p>
            <w:r>
              <w:rPr>
                <w:sz w:val="17"/>
              </w:rPr>
              <w:t>3,432</w:t>
            </w:r>
          </w:p>
        </w:tc>
        <w:tc>
          <w:tcPr>
            <w:tcW w:type="dxa" w:w="1440"/>
            <w:shd w:fill="FAFAFA" w:val="clear"/>
          </w:tcPr>
          <w:p>
            <w:r>
              <w:rPr>
                <w:b/>
                <w:color w:val="008000"/>
                <w:sz w:val="17"/>
              </w:rPr>
              <w:t>+0.5%</w:t>
            </w:r>
          </w:p>
        </w:tc>
      </w:tr>
      <w:tr>
        <w:tc>
          <w:tcPr>
            <w:tcW w:type="dxa" w:w="1440"/>
            <w:shd w:fill="FAFAFA" w:val="clear"/>
          </w:tcPr>
          <w:p>
            <w:r>
              <w:rPr>
                <w:sz w:val="17"/>
              </w:rPr>
              <w:t>J+7  Moyenne</w:t>
            </w:r>
          </w:p>
        </w:tc>
        <w:tc>
          <w:tcPr>
            <w:tcW w:type="dxa" w:w="1440"/>
            <w:shd w:fill="FAFAFA" w:val="clear"/>
          </w:tcPr>
          <w:p>
            <w:r>
              <w:rPr>
                <w:sz w:val="17"/>
              </w:rPr>
              <w:t>2026-10-20</w:t>
            </w:r>
          </w:p>
        </w:tc>
        <w:tc>
          <w:tcPr>
            <w:tcW w:type="dxa" w:w="1440"/>
            <w:shd w:fill="FAFAFA" w:val="clear"/>
          </w:tcPr>
          <w:p>
            <w:r>
              <w:rPr>
                <w:sz w:val="17"/>
              </w:rPr>
              <w:t>2,940</w:t>
            </w:r>
          </w:p>
        </w:tc>
        <w:tc>
          <w:tcPr>
            <w:tcW w:type="dxa" w:w="1440"/>
            <w:shd w:fill="FAFAFA" w:val="clear"/>
          </w:tcPr>
          <w:p>
            <w:r>
              <w:rPr>
                <w:b/>
                <w:sz w:val="17"/>
              </w:rPr>
              <w:t>3,195</w:t>
            </w:r>
          </w:p>
        </w:tc>
        <w:tc>
          <w:tcPr>
            <w:tcW w:type="dxa" w:w="1440"/>
            <w:shd w:fill="FAFAFA" w:val="clear"/>
          </w:tcPr>
          <w:p>
            <w:r>
              <w:rPr>
                <w:sz w:val="17"/>
              </w:rPr>
              <w:t>3,450</w:t>
            </w:r>
          </w:p>
        </w:tc>
        <w:tc>
          <w:tcPr>
            <w:tcW w:type="dxa" w:w="1440"/>
            <w:shd w:fill="FAFAFA" w:val="clear"/>
          </w:tcPr>
          <w:p>
            <w:r>
              <w:rPr>
                <w:b/>
                <w:color w:val="008000"/>
                <w:sz w:val="17"/>
              </w:rPr>
              <w:t>+0.5%</w:t>
            </w:r>
          </w:p>
        </w:tc>
      </w:tr>
      <w:tr>
        <w:tc>
          <w:tcPr>
            <w:tcW w:type="dxa" w:w="1440"/>
            <w:shd w:fill="FAFAFA" w:val="clear"/>
          </w:tcPr>
          <w:p>
            <w:r>
              <w:rPr>
                <w:sz w:val="17"/>
              </w:rPr>
              <w:t>J+8  Moyenne</w:t>
            </w:r>
          </w:p>
        </w:tc>
        <w:tc>
          <w:tcPr>
            <w:tcW w:type="dxa" w:w="1440"/>
            <w:shd w:fill="FAFAFA" w:val="clear"/>
          </w:tcPr>
          <w:p>
            <w:r>
              <w:rPr>
                <w:sz w:val="17"/>
              </w:rPr>
              <w:t>2026-10-21</w:t>
            </w:r>
          </w:p>
        </w:tc>
        <w:tc>
          <w:tcPr>
            <w:tcW w:type="dxa" w:w="1440"/>
            <w:shd w:fill="FAFAFA" w:val="clear"/>
          </w:tcPr>
          <w:p>
            <w:r>
              <w:rPr>
                <w:sz w:val="17"/>
              </w:rPr>
              <w:t>2,920</w:t>
            </w:r>
          </w:p>
        </w:tc>
        <w:tc>
          <w:tcPr>
            <w:tcW w:type="dxa" w:w="1440"/>
            <w:shd w:fill="FAFAFA" w:val="clear"/>
          </w:tcPr>
          <w:p>
            <w:r>
              <w:rPr>
                <w:b/>
                <w:sz w:val="17"/>
              </w:rPr>
              <w:t>3,193</w:t>
            </w:r>
          </w:p>
        </w:tc>
        <w:tc>
          <w:tcPr>
            <w:tcW w:type="dxa" w:w="1440"/>
            <w:shd w:fill="FAFAFA" w:val="clear"/>
          </w:tcPr>
          <w:p>
            <w:r>
              <w:rPr>
                <w:sz w:val="17"/>
              </w:rPr>
              <w:t>3,465</w:t>
            </w:r>
          </w:p>
        </w:tc>
        <w:tc>
          <w:tcPr>
            <w:tcW w:type="dxa" w:w="1440"/>
            <w:shd w:fill="FAFAFA" w:val="clear"/>
          </w:tcPr>
          <w:p>
            <w:r>
              <w:rPr>
                <w:b/>
                <w:color w:val="008000"/>
                <w:sz w:val="17"/>
              </w:rPr>
              <w:t>+0.4%</w:t>
            </w:r>
          </w:p>
        </w:tc>
      </w:tr>
      <w:tr>
        <w:tc>
          <w:tcPr>
            <w:tcW w:type="dxa" w:w="1440"/>
            <w:shd w:fill="FAFAFA" w:val="clear"/>
          </w:tcPr>
          <w:p>
            <w:r>
              <w:rPr>
                <w:sz w:val="17"/>
              </w:rPr>
              <w:t>J+9  Moyenne</w:t>
            </w:r>
          </w:p>
        </w:tc>
        <w:tc>
          <w:tcPr>
            <w:tcW w:type="dxa" w:w="1440"/>
            <w:shd w:fill="FAFAFA" w:val="clear"/>
          </w:tcPr>
          <w:p>
            <w:r>
              <w:rPr>
                <w:sz w:val="17"/>
              </w:rPr>
              <w:t>2026-10-22</w:t>
            </w:r>
          </w:p>
        </w:tc>
        <w:tc>
          <w:tcPr>
            <w:tcW w:type="dxa" w:w="1440"/>
            <w:shd w:fill="FAFAFA" w:val="clear"/>
          </w:tcPr>
          <w:p>
            <w:r>
              <w:rPr>
                <w:sz w:val="17"/>
              </w:rPr>
              <w:t>2,900</w:t>
            </w:r>
          </w:p>
        </w:tc>
        <w:tc>
          <w:tcPr>
            <w:tcW w:type="dxa" w:w="1440"/>
            <w:shd w:fill="FAFAFA" w:val="clear"/>
          </w:tcPr>
          <w:p>
            <w:r>
              <w:rPr>
                <w:b/>
                <w:sz w:val="17"/>
              </w:rPr>
              <w:t>3,188</w:t>
            </w:r>
          </w:p>
        </w:tc>
        <w:tc>
          <w:tcPr>
            <w:tcW w:type="dxa" w:w="1440"/>
            <w:shd w:fill="FAFAFA" w:val="clear"/>
          </w:tcPr>
          <w:p>
            <w:r>
              <w:rPr>
                <w:sz w:val="17"/>
              </w:rPr>
              <w:t>3,477</w:t>
            </w:r>
          </w:p>
        </w:tc>
        <w:tc>
          <w:tcPr>
            <w:tcW w:type="dxa" w:w="1440"/>
            <w:shd w:fill="FAFAFA" w:val="clear"/>
          </w:tcPr>
          <w:p>
            <w:r>
              <w:rPr>
                <w:b/>
                <w:color w:val="008000"/>
                <w:sz w:val="17"/>
              </w:rPr>
              <w:t>+0.3%</w:t>
            </w:r>
          </w:p>
        </w:tc>
      </w:tr>
      <w:tr>
        <w:tc>
          <w:tcPr>
            <w:tcW w:type="dxa" w:w="1440"/>
            <w:shd w:fill="FAFAFA" w:val="clear"/>
          </w:tcPr>
          <w:p>
            <w:r>
              <w:rPr>
                <w:sz w:val="17"/>
              </w:rPr>
              <w:t>J+10  Moyenne</w:t>
            </w:r>
          </w:p>
        </w:tc>
        <w:tc>
          <w:tcPr>
            <w:tcW w:type="dxa" w:w="1440"/>
            <w:shd w:fill="FAFAFA" w:val="clear"/>
          </w:tcPr>
          <w:p>
            <w:r>
              <w:rPr>
                <w:sz w:val="17"/>
              </w:rPr>
              <w:t>2026-10-23</w:t>
            </w:r>
          </w:p>
        </w:tc>
        <w:tc>
          <w:tcPr>
            <w:tcW w:type="dxa" w:w="1440"/>
            <w:shd w:fill="FAFAFA" w:val="clear"/>
          </w:tcPr>
          <w:p>
            <w:r>
              <w:rPr>
                <w:sz w:val="17"/>
              </w:rPr>
              <w:t>2,879</w:t>
            </w:r>
          </w:p>
        </w:tc>
        <w:tc>
          <w:tcPr>
            <w:tcW w:type="dxa" w:w="1440"/>
            <w:shd w:fill="FAFAFA" w:val="clear"/>
          </w:tcPr>
          <w:p>
            <w:r>
              <w:rPr>
                <w:b/>
                <w:sz w:val="17"/>
              </w:rPr>
              <w:t>3,183</w:t>
            </w:r>
          </w:p>
        </w:tc>
        <w:tc>
          <w:tcPr>
            <w:tcW w:type="dxa" w:w="1440"/>
            <w:shd w:fill="FAFAFA" w:val="clear"/>
          </w:tcPr>
          <w:p>
            <w:r>
              <w:rPr>
                <w:sz w:val="17"/>
              </w:rPr>
              <w:t>3,487</w:t>
            </w:r>
          </w:p>
        </w:tc>
        <w:tc>
          <w:tcPr>
            <w:tcW w:type="dxa" w:w="1440"/>
            <w:shd w:fill="FAFAFA" w:val="clear"/>
          </w:tcPr>
          <w:p>
            <w:r>
              <w:rPr>
                <w:b/>
                <w:color w:val="008000"/>
                <w:sz w:val="17"/>
              </w:rPr>
              <w:t>+0.1%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*Bourse Régionale des Valeurs Mobilières (BRVM) — Côte d'Ivoire*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18,83 Mds FCFA, CABC se situe dans la catégorie des valeurs moyennes de la BRVM, loin des poids lourds comme Sonatel ou BOA. Le BPA de 243 FCFA/action confère au titre un PER de 13,1x, légèrement supérieur à la moyenne du marché BRVM (8-12x), ce qui suggère que les investisseurs paient une prime modérée pour les bénéfices actuels. Le P/B de 2,01x indique que le marché valorise l'entreprise à environ deux fois sa valeur comptable, traduisant une prime de croissance accordée par le marché. L'EV/EBITDA de 6,4x, dans la fourchette raisonnable de 5-10x, montre que la valeur totale de l'entreprise (dette incluse) reste cohérente avec sa capacité opérationnelle. Globalement, la valorisation apparaît modérée mais légèrement tendue au regard du PER, ce qui invite à la prudence.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CABC affiche une variation totale de -8,36%, avec une légère reprise de +0,16% lors de la dernière séance (J-1), signalant un essoufflement de la pression baissière. Le cours actuel de 3 180 FCFA se situe très près du plus bas de la période (3 175 FCFA) et loin du plus haut (4 500 FCFA), traduisant un range de trading très large de 1 325 FCFA et une tendance clairement baissière. Les statistiques descriptives révèlent une moyenne de 3 671 FCFA supérieure à la médiane de 3 592 FCFA, avec un mode à 3 500 FCFA : cet écart confirme une asymétrie positive (skewness de 0,823), indiquant que le cours a passé plus de journées sous sa moyenne, avec quelques pics haussiers isolés. L'écart-type de 303 FCFA (CV de 8,3%) traduit une dispersion modérée autour de la moyenne, tandis que le kurtosis de 0,292 (mésokurtique) suggère une distribution proche de la normale, sans risque extrême de pics violents. La volatilité annualisée de 44,9% classe le titre dans la catégorie des valeurs très volatiles (&gt;30%), ce qui implique un risque de marché élevé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(3 347,5 FCFA) et la MM50 (3 462,5 FCFA) sont toutes deux nettement supérieures au cours actuel (3 180 FCFA), confirmant une configuration baissière où le prix évolue sous ses moyennes. La MM20 étant elle-même inférieure à la MM50, la structure des moyennes est descendante, ce qui justifie pleinement la décision technique de **Vente**.</w:t>
      </w:r>
    </w:p>
    <w:p>
      <w:pPr>
        <w:spacing w:after="120" w:line="276" w:lineRule="auto"/>
      </w:pPr>
      <w:r>
        <w:t>**Bandes de Bollinger** : Le cours (3 180 FCFA) se situe dans la moitié inférieure de la bande, entre la borne inférieure (3 126,1 FCFA) et la borne supérieure (3 568,9 FCFA), sans franchissement de seuil. La largeur de la bande (442,8 FCFA) reflète une volatilité encore présente, mais la position du cours près de la borne basse suggère une pression vendeuse persistante. La décision **Neutre** traduit l'absence de signal extrême, mais la proximité de la borne inférieure appelle à la vigilance.</w:t>
      </w:r>
    </w:p>
    <w:p>
      <w:pPr>
        <w:spacing w:after="120" w:line="276" w:lineRule="auto"/>
      </w:pPr>
      <w:r>
        <w:t>**MACD** : La valeur du MACD (-76,32) est inférieure à son signal (-67,34), avec un histogramme négatif, confirmant un momentum baissier toujours actif. La divergence entre les deux lignes ne montre aucun signe de retournement imminent, ce qui justifie la décision de **Vente**.</w:t>
      </w:r>
    </w:p>
    <w:p>
      <w:pPr>
        <w:spacing w:after="120" w:line="276" w:lineRule="auto"/>
      </w:pPr>
      <w:r>
        <w:t>**RSI** : À 32,82, le RSI se situe juste au-dessus du seuil de survente (30), dans une zone neutre basse. Cela indique que le titre n'est pas encore techniquement survendu, mais qu'il s'approche d'une zone où un rebond technique pourrait se produire. La décision **Neutre** est cohérente avec cette position ambiguë.</w:t>
      </w:r>
    </w:p>
    <w:p>
      <w:pPr>
        <w:spacing w:after="120" w:line="276" w:lineRule="auto"/>
      </w:pPr>
      <w:r>
        <w:t>**Stochastique** : Le %K (2,22) est très bas et inférieur au %D (9,07), avec un croisement en zone de survente extrême. Cette configuration est typiquement annonciatrice d'un rebond à court terme, ce qui justifie la décision **Achat** — seul indicateur haussier du tableau.</w:t>
      </w:r>
    </w:p>
    <w:p>
      <w:pPr>
        <w:spacing w:after="120" w:line="276" w:lineRule="auto"/>
      </w:pPr>
      <w:r>
        <w:t>**Conclusion technique** : Les indicateurs techniques sont majoritairement baissiers (MM, MACD), avec un RSI neutre et un stochastique en survente extrême. Cette divergence entre la tendance de fond (baissière) et le signal de court terme (rebond possible) suggère une phase de consolidation, voire un rebond technique limité, sans inversion de tendance durable. La prudence reste de mise tant que le cours n'aura pas reconquis la MM20 (3 347,5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données structurées officielles indiquent un chiffre d'affaires de 21 263 M FCFA, en croissance de 11,18% sur un an, avec un résultat net de 1 439 M FCFA et une marge nette de 6,77%. Le ROE s'établit à 15,40% (excellent, &gt;15%) et le ROA à 6,10%, confirmant une bonne rentabilité des fonds propres malgré un actif lourd. Sur le plan structurel, l'autonomie financière est saine (39,58%), la liquidité générale excellente (242,6%) et la capacité de remboursement très confortable (0,26 an). Toutefois, deux points d'attention majeurs émergent : des délais clients très élevés (144,69 jours) et une durée de stockage longue (152,12 jours), qui immobilisent du capital et pèsent sur la trésorerie — le flux opérationnel est d'ailleurs négatif (-819,66 M FCFA) en 2025. Le rapport annuel 2024 (publié le 31/12/2024) confirme cette dynamique avec un CA de 19 125 M FCFA (+7,7%) et un résultat net de 1 225 M FCFA, tandis que le rapport T3 2025 (30/09/2025) fait état d'un CA de 16 630 M FCFA (+13,7%) et d'un résultat net de 1 329,5 M FCFA (+26%), avec une marge nette de 8,0%. Cependant, le rapport T1 2026 (publié en 2026) révèle une dégradation brutale : CA en baisse de 26,5% à 3 794 M FCFA et une perte nette de 221,7 M FCFA, due à une maintenance planifiée et à l'inflation des cours des métaux (+23% en 3 mois). La direction anticipe une normalisation dès le T2 2026, mais le risque de volatilité des matières premières reste élevé. En synthèse, les fondamentaux 2025 sont solides (croissance, rentabilité, structure financière), mais les signaux récents de 2026 (T1 déficitaire) et les tensions sur le BFR (délais clients et stocks élevés) incitent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modérée avec un PER de 13,1x et un EV/EBITDA de 6,4x, mais le P/B de 2,01x traduit une prime de croissance qui pourrait être remise en cause si les bénéfices 2026 déçoivent. Le comportement du cours (Partie 1) est clairement baissier (-8,36% sur 100 jours), avec une volatilité élevée (44,9%) et une asymétrie positive (skewness 0,823) indiquant que les baisses sont plus fréquentes que les hausses — un signal préoccupant. Les indicateurs techniques (Partie 2) sont majoritairement baissiers (MM, MACD), mais le stochastique en survente extrême (2,22) suggère un rebond technique possible à court terme, sans inversion de tendance. Les fondamentaux (Partie 3) sont solides pour 2025 (CA +11,2%, ROE 15,4%), mais le T1 2026 déficitaire (-221,7 M FCFA) et les délais clients élevés (144,7 jours) constituent des risques majeurs. Les prédictions IA (J+1 à J+10) tablent sur une légère reprise (3 175 → 3 194 FCFA), ce qui confirme un possible rebond technique mais sans conviction forte. **Recommandation finale : CONSERVER**, avec un niveau de confiance **Moyen** et un risque global **Élevé**. L'horizon optimal est le **moyen terme (3-12 mois)**, en surveillant attentivement la normalisation des performances au T2 2026 et l'évolution des cours des métaux. Un retour durable au-dessus de la MM20 (3 347,5 FCFA) serait un signal d'achat, tandis qu'une cassure sous 3 126 FCFA (borne inférieure de Bollinger) justifierait une vente.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13.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960.16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1,516 titres</w:t>
            </w:r>
          </w:p>
        </w:tc>
        <w:tc>
          <w:tcPr>
            <w:tcW w:type="dxa" w:w="2268"/>
            <w:shd w:fill="FFF2CC" w:val="clear"/>
          </w:tcPr>
          <w:p>
            <w:r>
              <w:rPr>
                <w:b/>
                <w:color w:val="503200"/>
                <w:sz w:val="16"/>
              </w:rPr>
              <w:t xml:space="preserve">Cours actuel : </w:t>
            </w:r>
            <w:r>
              <w:rPr>
                <w:color w:val="000000"/>
                <w:sz w:val="17"/>
              </w:rPr>
              <w:t>30,005 FCFA</w:t>
            </w:r>
          </w:p>
          <w:p>
            <w:r>
              <w:rPr>
                <w:b/>
                <w:color w:val="503200"/>
                <w:sz w:val="16"/>
              </w:rPr>
              <w:t xml:space="preserve">Var. 100 jours : </w:t>
            </w:r>
            <w:r>
              <w:rPr>
                <w:b/>
                <w:color w:val="007800"/>
                <w:sz w:val="17"/>
              </w:rPr>
              <w:t>+46.37%</w:t>
            </w:r>
          </w:p>
          <w:p>
            <w:r>
              <w:rPr>
                <w:b/>
                <w:color w:val="503200"/>
                <w:sz w:val="16"/>
              </w:rPr>
              <w:t xml:space="preserve">Plus haut 100j : </w:t>
            </w:r>
            <w:r>
              <w:rPr>
                <w:color w:val="000000"/>
                <w:sz w:val="17"/>
              </w:rPr>
              <w:t>34,450 FCFA</w:t>
            </w:r>
          </w:p>
          <w:p>
            <w:r>
              <w:rPr>
                <w:b/>
                <w:color w:val="503200"/>
                <w:sz w:val="16"/>
              </w:rPr>
              <w:t xml:space="preserve">Plus bas 100j : </w:t>
            </w:r>
            <w:r>
              <w:rPr>
                <w:color w:val="000000"/>
                <w:sz w:val="17"/>
              </w:rPr>
              <w:t>20,500 FCFA</w:t>
            </w:r>
          </w:p>
          <w:p>
            <w:r>
              <w:rPr>
                <w:b/>
                <w:color w:val="503200"/>
                <w:sz w:val="16"/>
              </w:rPr>
              <w:t xml:space="preserve">Volatilité ann. : </w:t>
            </w:r>
            <w:r>
              <w:rPr>
                <w:color w:val="000000"/>
                <w:sz w:val="17"/>
              </w:rPr>
              <w:t>44.2%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15.79% (Élevée) — μ=27,279 FCFA, σ=4,308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β=1.3165 (Agressif) — Cov=0.000096, Var(idx)=0.000073, ρ=0.408,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1,516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σ_j=2.78%/j (Stable) — Vol. annualisée≈44.2%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28,118</w:t>
            </w:r>
          </w:p>
        </w:tc>
        <w:tc>
          <w:tcPr>
            <w:tcW w:type="dxa" w:w="1440"/>
            <w:shd w:fill="FAFAFA" w:val="clear"/>
          </w:tcPr>
          <w:p>
            <w:r>
              <w:rPr>
                <w:b/>
                <w:sz w:val="17"/>
              </w:rPr>
              <w:t>29,715</w:t>
            </w:r>
          </w:p>
        </w:tc>
        <w:tc>
          <w:tcPr>
            <w:tcW w:type="dxa" w:w="1440"/>
            <w:shd w:fill="FAFAFA" w:val="clear"/>
          </w:tcPr>
          <w:p>
            <w:r>
              <w:rPr>
                <w:sz w:val="17"/>
              </w:rPr>
              <w:t>31,312</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27,313</w:t>
            </w:r>
          </w:p>
        </w:tc>
        <w:tc>
          <w:tcPr>
            <w:tcW w:type="dxa" w:w="1440"/>
            <w:shd w:fill="FAFAFA" w:val="clear"/>
          </w:tcPr>
          <w:p>
            <w:r>
              <w:rPr>
                <w:b/>
                <w:sz w:val="17"/>
              </w:rPr>
              <w:t>29,560</w:t>
            </w:r>
          </w:p>
        </w:tc>
        <w:tc>
          <w:tcPr>
            <w:tcW w:type="dxa" w:w="1440"/>
            <w:shd w:fill="FAFAFA" w:val="clear"/>
          </w:tcPr>
          <w:p>
            <w:r>
              <w:rPr>
                <w:sz w:val="17"/>
              </w:rPr>
              <w:t>31,807</w:t>
            </w:r>
          </w:p>
        </w:tc>
        <w:tc>
          <w:tcPr>
            <w:tcW w:type="dxa" w:w="1440"/>
            <w:shd w:fill="FAFAFA" w:val="clear"/>
          </w:tcPr>
          <w:p>
            <w:r>
              <w:rPr>
                <w:b/>
                <w:color w:val="C00000"/>
                <w:sz w:val="17"/>
              </w:rPr>
              <w:t>-1.5%</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26,670</w:t>
            </w:r>
          </w:p>
        </w:tc>
        <w:tc>
          <w:tcPr>
            <w:tcW w:type="dxa" w:w="1440"/>
            <w:shd w:fill="FAFAFA" w:val="clear"/>
          </w:tcPr>
          <w:p>
            <w:r>
              <w:rPr>
                <w:b/>
                <w:sz w:val="17"/>
              </w:rPr>
              <w:t>29,408</w:t>
            </w:r>
          </w:p>
        </w:tc>
        <w:tc>
          <w:tcPr>
            <w:tcW w:type="dxa" w:w="1440"/>
            <w:shd w:fill="FAFAFA" w:val="clear"/>
          </w:tcPr>
          <w:p>
            <w:r>
              <w:rPr>
                <w:sz w:val="17"/>
              </w:rPr>
              <w:t>32,146</w:t>
            </w:r>
          </w:p>
        </w:tc>
        <w:tc>
          <w:tcPr>
            <w:tcW w:type="dxa" w:w="1440"/>
            <w:shd w:fill="FAFAFA" w:val="clear"/>
          </w:tcPr>
          <w:p>
            <w:r>
              <w:rPr>
                <w:b/>
                <w:color w:val="C00000"/>
                <w:sz w:val="17"/>
              </w:rPr>
              <w:t>-2.0%</w:t>
            </w:r>
          </w:p>
        </w:tc>
      </w:tr>
      <w:tr>
        <w:tc>
          <w:tcPr>
            <w:tcW w:type="dxa" w:w="1440"/>
            <w:shd w:fill="FFDCE0" w:val="clear"/>
          </w:tcPr>
          <w:p>
            <w:r>
              <w:rPr>
                <w:sz w:val="17"/>
              </w:rPr>
              <w:t>J+4  ⭐</w:t>
            </w:r>
          </w:p>
        </w:tc>
        <w:tc>
          <w:tcPr>
            <w:tcW w:type="dxa" w:w="1440"/>
            <w:shd w:fill="FFDCE0" w:val="clear"/>
          </w:tcPr>
          <w:p>
            <w:r>
              <w:rPr>
                <w:sz w:val="17"/>
              </w:rPr>
              <w:t>2026-10-15</w:t>
            </w:r>
          </w:p>
        </w:tc>
        <w:tc>
          <w:tcPr>
            <w:tcW w:type="dxa" w:w="1440"/>
            <w:shd w:fill="FFDCE0" w:val="clear"/>
          </w:tcPr>
          <w:p>
            <w:r>
              <w:rPr>
                <w:sz w:val="17"/>
              </w:rPr>
              <w:t>26,114</w:t>
            </w:r>
          </w:p>
        </w:tc>
        <w:tc>
          <w:tcPr>
            <w:tcW w:type="dxa" w:w="1440"/>
            <w:shd w:fill="FFDCE0" w:val="clear"/>
          </w:tcPr>
          <w:p>
            <w:r>
              <w:rPr>
                <w:b/>
                <w:sz w:val="17"/>
              </w:rPr>
              <w:t>29,260</w:t>
            </w:r>
          </w:p>
        </w:tc>
        <w:tc>
          <w:tcPr>
            <w:tcW w:type="dxa" w:w="1440"/>
            <w:shd w:fill="FFDCE0" w:val="clear"/>
          </w:tcPr>
          <w:p>
            <w:r>
              <w:rPr>
                <w:sz w:val="17"/>
              </w:rPr>
              <w:t>32,406</w:t>
            </w:r>
          </w:p>
        </w:tc>
        <w:tc>
          <w:tcPr>
            <w:tcW w:type="dxa" w:w="1440"/>
            <w:shd w:fill="FFDCE0" w:val="clear"/>
          </w:tcPr>
          <w:p>
            <w:r>
              <w:rPr>
                <w:b/>
                <w:color w:val="C00000"/>
                <w:sz w:val="17"/>
              </w:rPr>
              <w:t>-2.5%</w:t>
            </w:r>
          </w:p>
        </w:tc>
      </w:tr>
      <w:tr>
        <w:tc>
          <w:tcPr>
            <w:tcW w:type="dxa" w:w="1440"/>
            <w:shd w:fill="FFDCE0" w:val="clear"/>
          </w:tcPr>
          <w:p>
            <w:r>
              <w:rPr>
                <w:sz w:val="17"/>
              </w:rPr>
              <w:t>J+5  ⭐</w:t>
            </w:r>
          </w:p>
        </w:tc>
        <w:tc>
          <w:tcPr>
            <w:tcW w:type="dxa" w:w="1440"/>
            <w:shd w:fill="FFDCE0" w:val="clear"/>
          </w:tcPr>
          <w:p>
            <w:r>
              <w:rPr>
                <w:sz w:val="17"/>
              </w:rPr>
              <w:t>2026-10-16</w:t>
            </w:r>
          </w:p>
        </w:tc>
        <w:tc>
          <w:tcPr>
            <w:tcW w:type="dxa" w:w="1440"/>
            <w:shd w:fill="FFDCE0" w:val="clear"/>
          </w:tcPr>
          <w:p>
            <w:r>
              <w:rPr>
                <w:sz w:val="17"/>
              </w:rPr>
              <w:t>25,631</w:t>
            </w:r>
          </w:p>
        </w:tc>
        <w:tc>
          <w:tcPr>
            <w:tcW w:type="dxa" w:w="1440"/>
            <w:shd w:fill="FFDCE0" w:val="clear"/>
          </w:tcPr>
          <w:p>
            <w:r>
              <w:rPr>
                <w:b/>
                <w:sz w:val="17"/>
              </w:rPr>
              <w:t>29,133</w:t>
            </w:r>
          </w:p>
        </w:tc>
        <w:tc>
          <w:tcPr>
            <w:tcW w:type="dxa" w:w="1440"/>
            <w:shd w:fill="FFDCE0" w:val="clear"/>
          </w:tcPr>
          <w:p>
            <w:r>
              <w:rPr>
                <w:sz w:val="17"/>
              </w:rPr>
              <w:t>32,634</w:t>
            </w:r>
          </w:p>
        </w:tc>
        <w:tc>
          <w:tcPr>
            <w:tcW w:type="dxa" w:w="1440"/>
            <w:shd w:fill="FFDCE0" w:val="clear"/>
          </w:tcPr>
          <w:p>
            <w:r>
              <w:rPr>
                <w:b/>
                <w:color w:val="C00000"/>
                <w:sz w:val="17"/>
              </w:rPr>
              <w:t>-2.9%</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25,201</w:t>
            </w:r>
          </w:p>
        </w:tc>
        <w:tc>
          <w:tcPr>
            <w:tcW w:type="dxa" w:w="1440"/>
            <w:shd w:fill="FFDCE0" w:val="clear"/>
          </w:tcPr>
          <w:p>
            <w:r>
              <w:rPr>
                <w:b/>
                <w:sz w:val="17"/>
              </w:rPr>
              <w:t>29,022</w:t>
            </w:r>
          </w:p>
        </w:tc>
        <w:tc>
          <w:tcPr>
            <w:tcW w:type="dxa" w:w="1440"/>
            <w:shd w:fill="FFDCE0" w:val="clear"/>
          </w:tcPr>
          <w:p>
            <w:r>
              <w:rPr>
                <w:sz w:val="17"/>
              </w:rPr>
              <w:t>32,843</w:t>
            </w:r>
          </w:p>
        </w:tc>
        <w:tc>
          <w:tcPr>
            <w:tcW w:type="dxa" w:w="1440"/>
            <w:shd w:fill="FFDCE0" w:val="clear"/>
          </w:tcPr>
          <w:p>
            <w:r>
              <w:rPr>
                <w:b/>
                <w:color w:val="C00000"/>
                <w:sz w:val="17"/>
              </w:rPr>
              <w:t>-3.3%</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24,811</w:t>
            </w:r>
          </w:p>
        </w:tc>
        <w:tc>
          <w:tcPr>
            <w:tcW w:type="dxa" w:w="1440"/>
            <w:shd w:fill="FFDCE0" w:val="clear"/>
          </w:tcPr>
          <w:p>
            <w:r>
              <w:rPr>
                <w:b/>
                <w:sz w:val="17"/>
              </w:rPr>
              <w:t>28,924</w:t>
            </w:r>
          </w:p>
        </w:tc>
        <w:tc>
          <w:tcPr>
            <w:tcW w:type="dxa" w:w="1440"/>
            <w:shd w:fill="FFDCE0" w:val="clear"/>
          </w:tcPr>
          <w:p>
            <w:r>
              <w:rPr>
                <w:sz w:val="17"/>
              </w:rPr>
              <w:t>33,038</w:t>
            </w:r>
          </w:p>
        </w:tc>
        <w:tc>
          <w:tcPr>
            <w:tcW w:type="dxa" w:w="1440"/>
            <w:shd w:fill="FFDCE0" w:val="clear"/>
          </w:tcPr>
          <w:p>
            <w:r>
              <w:rPr>
                <w:b/>
                <w:color w:val="C00000"/>
                <w:sz w:val="17"/>
              </w:rPr>
              <w:t>-3.6%</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24,452</w:t>
            </w:r>
          </w:p>
        </w:tc>
        <w:tc>
          <w:tcPr>
            <w:tcW w:type="dxa" w:w="1440"/>
            <w:shd w:fill="FFDCE0" w:val="clear"/>
          </w:tcPr>
          <w:p>
            <w:r>
              <w:rPr>
                <w:b/>
                <w:sz w:val="17"/>
              </w:rPr>
              <w:t>28,837</w:t>
            </w:r>
          </w:p>
        </w:tc>
        <w:tc>
          <w:tcPr>
            <w:tcW w:type="dxa" w:w="1440"/>
            <w:shd w:fill="FFDCE0" w:val="clear"/>
          </w:tcPr>
          <w:p>
            <w:r>
              <w:rPr>
                <w:sz w:val="17"/>
              </w:rPr>
              <w:t>33,221</w:t>
            </w:r>
          </w:p>
        </w:tc>
        <w:tc>
          <w:tcPr>
            <w:tcW w:type="dxa" w:w="1440"/>
            <w:shd w:fill="FFDCE0" w:val="clear"/>
          </w:tcPr>
          <w:p>
            <w:r>
              <w:rPr>
                <w:b/>
                <w:color w:val="C00000"/>
                <w:sz w:val="17"/>
              </w:rPr>
              <w:t>-3.9%</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24,119</w:t>
            </w:r>
          </w:p>
        </w:tc>
        <w:tc>
          <w:tcPr>
            <w:tcW w:type="dxa" w:w="1440"/>
            <w:shd w:fill="FFDCE0" w:val="clear"/>
          </w:tcPr>
          <w:p>
            <w:r>
              <w:rPr>
                <w:b/>
                <w:sz w:val="17"/>
              </w:rPr>
              <w:t>28,756</w:t>
            </w:r>
          </w:p>
        </w:tc>
        <w:tc>
          <w:tcPr>
            <w:tcW w:type="dxa" w:w="1440"/>
            <w:shd w:fill="FFDCE0" w:val="clear"/>
          </w:tcPr>
          <w:p>
            <w:r>
              <w:rPr>
                <w:sz w:val="17"/>
              </w:rPr>
              <w:t>33,393</w:t>
            </w:r>
          </w:p>
        </w:tc>
        <w:tc>
          <w:tcPr>
            <w:tcW w:type="dxa" w:w="1440"/>
            <w:shd w:fill="FFDCE0" w:val="clear"/>
          </w:tcPr>
          <w:p>
            <w:r>
              <w:rPr>
                <w:b/>
                <w:color w:val="C00000"/>
                <w:sz w:val="17"/>
              </w:rPr>
              <w:t>-4.2%</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23,810</w:t>
            </w:r>
          </w:p>
        </w:tc>
        <w:tc>
          <w:tcPr>
            <w:tcW w:type="dxa" w:w="1440"/>
            <w:shd w:fill="FFDCE0" w:val="clear"/>
          </w:tcPr>
          <w:p>
            <w:r>
              <w:rPr>
                <w:b/>
                <w:sz w:val="17"/>
              </w:rPr>
              <w:t>28,686</w:t>
            </w:r>
          </w:p>
        </w:tc>
        <w:tc>
          <w:tcPr>
            <w:tcW w:type="dxa" w:w="1440"/>
            <w:shd w:fill="FFDCE0" w:val="clear"/>
          </w:tcPr>
          <w:p>
            <w:r>
              <w:rPr>
                <w:sz w:val="17"/>
              </w:rPr>
              <w:t>33,562</w:t>
            </w:r>
          </w:p>
        </w:tc>
        <w:tc>
          <w:tcPr>
            <w:tcW w:type="dxa" w:w="1440"/>
            <w:shd w:fill="FFDCE0" w:val="clear"/>
          </w:tcPr>
          <w:p>
            <w:r>
              <w:rPr>
                <w:b/>
                <w:color w:val="C00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CORIS BANK INTERNATIONAL (CBIBF)**</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960,16 milliards FCFA, CBIBF s'impose comme l'une des plus importantes capitalisations de la cote BRVM, ce qui témoigne de son statut de valeur de premier plan dans le compartiment bancaire régional. Le BPA de 2 047 FCFA par action signifie que chaque titre génère près de 2 047 FCFA de bénéfice net, un niveau de rentabilité par action particulièrement élevé pour le marché ouest-africain. Le PER de 14,7x traduit une valorisation modérée mais légèrement supérieure à la moyenne du marché BRVM (généralement située entre 8x et 12x), ce qui indique que les investisseurs acceptent de payer une prime pour la qualité et la croissance de la banque, sans pour autant tomber dans une surévaluation manifeste. L'EV/EBITDA de 10,9x, situé dans la fourchette 10-15x, signale une valorisation élevée de la valeur d'entreprise par rapport à la capacité opérationnelle, ce qui se justifie par la solidité du modèle bancaire mais limite la marge de sécurité à court terme. Le ratio P/B n'étant pas fourni dans les données disponibles, il n'est pas possible de comparer la valorisation de marché à la valeur comptable des fonds propres.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CBIBF a enregistré une progression spectaculaire de +46,37%, passant d'un plus bas de 20 500 FCFA à un plus haut de 34 450 FCFA, avant de revenir à 30 005 FCFA, soit une correction de -4,14% lors de la dernière séance. Cette tendance nettement haussière, bien qu'entachée par une prise de bénéfices récente, reflète un fort engouement des investisseurs pour le titre, porté par des résultats fondamentaux en nette amélioration. La moyenne de 27 279 FCFA se situe légèrement en dessous de la médiane de 28 310 FCFA, ce qui suggère une asymétrie légèrement négative de la distribution, cohérente avec le skewness de -0,145 indiquant une distribution quasi symétrique avec une très légère prédominance des valeurs basses. L'écart-type de 4 330 FCFA, associé à un coefficient de variation de 15,9%, traduit une dispersion modérée du cours autour de sa moyenne, tandis que le kurtosis de -1,263 (distribution platykurtique) indique une faible concentration des valeurs autour de la moyenne et un risque de pics de volatilité moins prononcé qu'une distribution normale. La volatilité annualisée de 44,2% classe ce titre dans la catégorie des valeurs à volatilité élevée (&gt;30%), ce qui implique un risque de marché significatif et justifie une approche d'investissement prudente avec un horizon adapté.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31 990,25 FCFA et la MM50 à 30 697,10 FCFA, toutes deux supérieures au cours actuel de 30 005 FCFA. Cette configuration où le cours évolue sous ses moyennes mobiles signale une pression baissière de court terme, bien que la MM20 reste au-dessus de la MM50, conservant une structure haussière de fond. La décision technique affichée est "Achat", suggérant que le repli actuel pourrait constituer une opportunité d'entrée dans une tendance de fond encore positive.</w:t>
      </w:r>
    </w:p>
    <w:p>
      <w:pPr>
        <w:spacing w:after="120" w:line="276" w:lineRule="auto"/>
      </w:pPr>
      <w:r>
        <w:t>**Bandes de Bollinger** : Le cours actuel (30 005 FCFA) se situe dans la partie basse de la bande de Bollinger, entre la borne inférieure à 28 602,63 FCFA et la borne supérieure à 35 377,87 FCFA. Cette position médiane-basse, combinée à la décision "Neutre", indique que le titre n'est ni en situation de surachat ni de survente, mais évolue dans une zone de consolidation après son rallye haussier.</w:t>
      </w:r>
    </w:p>
    <w:p>
      <w:pPr>
        <w:spacing w:after="120" w:line="276" w:lineRule="auto"/>
      </w:pPr>
      <w:r>
        <w:t>**MACD** : La valeur du MACD (-96,395) est nettement inférieure à son signal (161,599), générant une divergence baissière marquée et une décision de "Vente". Ce croisement négatif du MACD sous sa ligne de signal traduit une perte de momentum haussier et un essoufflement de la dynamique acheteuse à court terme, confirmant la correction en cours.</w:t>
      </w:r>
    </w:p>
    <w:p>
      <w:pPr>
        <w:spacing w:after="120" w:line="276" w:lineRule="auto"/>
      </w:pPr>
      <w:r>
        <w:t>**RSI** : À 36,652, le RSI se situe dans la zone neutre basse (30-70), sans atteindre le seuil de survente (&lt;30). La décision "Neutre" reflète un équilibre précaire entre pression vendeuse et potentiel de rebond, le titre n'étant pas encore techniquement survendu malgré la correction récente.</w:t>
      </w:r>
    </w:p>
    <w:p>
      <w:pPr>
        <w:spacing w:after="120" w:line="276" w:lineRule="auto"/>
      </w:pPr>
      <w:r>
        <w:t>**Stochastique** : Le %K (30,751) est inférieur au %D (45,423), avec un croisement baissier en zone basse. La décision "Neutre" suggère que si la pression baissière persiste, le titre se rapproche de zones de survente potentielles qui pourraient attirer des acheteurs à contre-tendance.</w:t>
      </w:r>
    </w:p>
    <w:p>
      <w:pPr>
        <w:spacing w:after="120" w:line="276" w:lineRule="auto"/>
      </w:pPr>
      <w:r>
        <w:t>**Conclusion technique** : Les indicateurs techniques présentent un tableau mitigé, avec une majorité de signaux neutres (Bollinger, RSI, Stochastique) et un signal de vente sur le MACD, tandis que les moyennes mobiles maintiennent une orientation acheteuse de fond. Cette divergence suggère une phase de consolidation ou de correction au sein d'une tendance haussière plus large, le titre ayant besoin de digérer sa forte progression de +46% avant de reprendre son élan. Une stabilisation au-dessus de 28 600 FCFA (borne inférieure de Bollinger) serait un signal positif pour la reprise.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financières structurées de l'exercice 2025 (exercice clos le 31 décembre 2025) révèlent une banque en pleine accélération : le Produit Net Bancaire (équivalent du chiffre d'affaires pour une banque) s'établit à 138,986 milliards FCFA, en croissance de 6,11% sur un an, tandis que le résultat net atteint 65,495 milliards FCFA, en progression spectaculaire de +36,6% par rapport aux 47,937 milliards FCFA de 2024 (rapport annuel 2024 daté du 31/12/2024). Cette performance est d'autant plus remarquable qu'elle fait suite à une année 2024 difficile marquée par une chute de -25,4% du résultat net due à un assainissement massif du portefeuille de crédits (coût du risque en explosion de +72,5%). La rentabilité des actifs (ROA) ressort à 2,18%, un niveau solide pour le secteur bancaire, tandis que le coefficient d'exploitation de 36,39% place CBIBF parmi les banques les plus efficaces de la zone UEMOA (seuil d'excellence &lt;50%). Le coût du risque, bien qu'élevé en valeur absolue (16,5 milliards FCFA selon le rapport 2025), s'est amélioré de 59,3% par rapport à 2024, traduisant une nette amélioration de la qualité du portefeuille. La structure bilancielle est saine avec des dépôts clientèle de 2 015,284 milliards FCFA (+14,9%) et des créances clientèle de 1 326,977 milliards FCFA (+5,4%), affichant un ratio de transformation (crédits/dépôts) de 65,8%, relativement prudent. Le rapport du T1 2026 (publié le 31/03/2026) confirme l'accélération de la dynamique : PNB de 36,8 milliards FCFA (+28,5%), résultat net de 21,5 milliards FCFA (+22,2%) et dépôts en forte hausse de +37,9% à 2 365,1 milliards FCFA. Sur la base de ce premier trimestre, on peut estimer que l'exercice 2026 devrait enregistrer un résultat net annuel compris entre 75 et 85 milliards FCFA, soit une nouvelle croissance à deux chiffres. La marge nette de 47,12% et la marge opérationnelle de 51,77% témoignent d'une rentabilité élevée et d'une bonne maîtrise des charges. Le principal risque identifié reste l'exposition au contexte sécuritaire et politique burkinabè, ainsi que la concentration géographique, mais la notation financière AA/AI avec perspective stable (confirmée par Bloomfield Investment Corporation) atteste de la solidité de l'établissement. La convocation de l'Assemblée Générale Ordinaire du 16 avril 2026 pour l'approbation des comptes 2025 et l'affectation du résultat constitue un catalyseur potentiel, notamment en cas d'annonce d'un dividende généreux.</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dessine un profil d'investissement contrasté mais globalement favorable. Sur le plan de la **valorisation (Partie 0)**, le PER de 14,7x et l'EV/EBITDA de 10,9x indiquent une valorisation modérée à légèrement élevée, reflétant la prime de qualité accordée à CBIBF mais limitant le potentiel de revalorisation immédiate. Le **comportement du cours (Partie 1)** révèle une tendance haussière de fond (+46,37% sur 100 jours) avec une volatilité élevée (44,2%) et une distribution platykurtique, ce qui suggère un risque de marché significatif mais une absence de pics extrêmes. Les **signaux techniques (Partie 2)** sont mitigés : les moyennes mobiles restent orientées à l'achat tandis que le MACD signale une vente et que le RSI, les Bandes de Bollinger et le Stochastique demeurent neutres, indiquant une phase de consolidation après le rallye. Les **fondamentaux (Partie 3)** sont excellents : résultat net 2025 de 65,5 milliards FCFA (+36,6%), coefficient d'exploitation de 36,4%, ROA de 2,18%, et les estimations basées sur le T1 2026 (+22,2% de résultat net) projettent une nouvelle année de forte croissance. Les **prédictions IA (J+1 à J+10)** anticipent une légère poursuite de la correction baissière, avec un cours cible de 29 133 FCFA à J+10, ce qui contredit partiellement les signaux haussiers des moyennes mobiles mais confirme la phase de consolidation technique. **Recommandation finale : ACHAT**. Cette recommandation repose sur la convergence entre des fondamentaux exceptionnels (croissance du résultat net, efficacité opérationnelle, amélioration du coût du risque) et une correction technique offrant un point d'entrée attractif après le rallye de +46%. Le niveau de confiance est **Moyen** en raison de la divergence entre les signaux techniques de court terme (MACD baissier) et les fondamentaux solides, ainsi que de la volatilité élevée du titre. Le niveau de risque global est **Moyen à Élevé**, principalement lié à l'exposition géographique (Burkina Faso) et à la volatilité du marché. L'horizon d'investissement optimal est le **moyen terme (3-12 mois)**, permettant de capturer la croissance bénéficiaire attendue pour 2026 tout en laissant le temps à la consolidation technique de s'achever et au titre de reprendre sa tendance haussière de fond.</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14.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266.62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3,572 titres</w:t>
            </w:r>
          </w:p>
        </w:tc>
        <w:tc>
          <w:tcPr>
            <w:tcW w:type="dxa" w:w="2268"/>
            <w:shd w:fill="FFF2CC" w:val="clear"/>
          </w:tcPr>
          <w:p>
            <w:r>
              <w:rPr>
                <w:b/>
                <w:color w:val="503200"/>
                <w:sz w:val="16"/>
              </w:rPr>
              <w:t xml:space="preserve">Cours actuel : </w:t>
            </w:r>
            <w:r>
              <w:rPr>
                <w:color w:val="000000"/>
                <w:sz w:val="17"/>
              </w:rPr>
              <w:t>1,470 FCFA</w:t>
            </w:r>
          </w:p>
          <w:p>
            <w:r>
              <w:rPr>
                <w:b/>
                <w:color w:val="503200"/>
                <w:sz w:val="16"/>
              </w:rPr>
              <w:t xml:space="preserve">Var. 100 jours : </w:t>
            </w:r>
            <w:r>
              <w:rPr>
                <w:b/>
                <w:color w:val="B40000"/>
                <w:sz w:val="17"/>
              </w:rPr>
              <w:t>-2.00%</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1,460 FCFA</w:t>
            </w:r>
          </w:p>
          <w:p>
            <w:r>
              <w:rPr>
                <w:b/>
                <w:color w:val="503200"/>
                <w:sz w:val="16"/>
              </w:rPr>
              <w:t xml:space="preserve">Volatilité ann. : </w:t>
            </w:r>
            <w:r>
              <w:rPr>
                <w:color w:val="000000"/>
                <w:sz w:val="17"/>
              </w:rPr>
              <w:t>45.4%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5.52% (Moyenne) — μ=1,636 FCFA, σ=90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β=1.1598 (Neutre (suit le marché)) — Cov=0.000085, Var(idx)=0.000073, ρ=0.347,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3,572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σ_j=2.86%/j (Stable) — Vol. annualisée≈45.4%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2026-10-12</w:t>
            </w:r>
          </w:p>
        </w:tc>
        <w:tc>
          <w:tcPr>
            <w:tcW w:type="dxa" w:w="1440"/>
            <w:shd w:fill="C6EFCE" w:val="clear"/>
          </w:tcPr>
          <w:p>
            <w:r>
              <w:rPr>
                <w:sz w:val="17"/>
              </w:rPr>
              <w:t>1,441</w:t>
            </w:r>
          </w:p>
        </w:tc>
        <w:tc>
          <w:tcPr>
            <w:tcW w:type="dxa" w:w="1440"/>
            <w:shd w:fill="C6EFCE" w:val="clear"/>
          </w:tcPr>
          <w:p>
            <w:r>
              <w:rPr>
                <w:b/>
                <w:sz w:val="17"/>
              </w:rPr>
              <w:t>1,506</w:t>
            </w:r>
          </w:p>
        </w:tc>
        <w:tc>
          <w:tcPr>
            <w:tcW w:type="dxa" w:w="1440"/>
            <w:shd w:fill="C6EFCE" w:val="clear"/>
          </w:tcPr>
          <w:p>
            <w:r>
              <w:rPr>
                <w:sz w:val="17"/>
              </w:rPr>
              <w:t>1,571</w:t>
            </w:r>
          </w:p>
        </w:tc>
        <w:tc>
          <w:tcPr>
            <w:tcW w:type="dxa" w:w="1440"/>
            <w:shd w:fill="C6EFCE" w:val="clear"/>
          </w:tcPr>
          <w:p>
            <w:r>
              <w:rPr>
                <w:b/>
                <w:color w:val="008000"/>
                <w:sz w:val="17"/>
              </w:rPr>
              <w:t>+2.5%</w:t>
            </w:r>
          </w:p>
        </w:tc>
      </w:tr>
      <w:tr>
        <w:tc>
          <w:tcPr>
            <w:tcW w:type="dxa" w:w="1440"/>
            <w:shd w:fill="C6EFCE" w:val="clear"/>
          </w:tcPr>
          <w:p>
            <w:r>
              <w:rPr>
                <w:sz w:val="17"/>
              </w:rPr>
              <w:t>J+2  Moyenne</w:t>
            </w:r>
          </w:p>
        </w:tc>
        <w:tc>
          <w:tcPr>
            <w:tcW w:type="dxa" w:w="1440"/>
            <w:shd w:fill="C6EFCE" w:val="clear"/>
          </w:tcPr>
          <w:p>
            <w:r>
              <w:rPr>
                <w:sz w:val="17"/>
              </w:rPr>
              <w:t>2026-10-13</w:t>
            </w:r>
          </w:p>
        </w:tc>
        <w:tc>
          <w:tcPr>
            <w:tcW w:type="dxa" w:w="1440"/>
            <w:shd w:fill="C6EFCE" w:val="clear"/>
          </w:tcPr>
          <w:p>
            <w:r>
              <w:rPr>
                <w:sz w:val="17"/>
              </w:rPr>
              <w:t>1,416</w:t>
            </w:r>
          </w:p>
        </w:tc>
        <w:tc>
          <w:tcPr>
            <w:tcW w:type="dxa" w:w="1440"/>
            <w:shd w:fill="C6EFCE" w:val="clear"/>
          </w:tcPr>
          <w:p>
            <w:r>
              <w:rPr>
                <w:b/>
                <w:sz w:val="17"/>
              </w:rPr>
              <w:t>1,508</w:t>
            </w:r>
          </w:p>
        </w:tc>
        <w:tc>
          <w:tcPr>
            <w:tcW w:type="dxa" w:w="1440"/>
            <w:shd w:fill="C6EFCE" w:val="clear"/>
          </w:tcPr>
          <w:p>
            <w:r>
              <w:rPr>
                <w:sz w:val="17"/>
              </w:rPr>
              <w:t>1,600</w:t>
            </w:r>
          </w:p>
        </w:tc>
        <w:tc>
          <w:tcPr>
            <w:tcW w:type="dxa" w:w="1440"/>
            <w:shd w:fill="C6EFCE" w:val="clear"/>
          </w:tcPr>
          <w:p>
            <w:r>
              <w:rPr>
                <w:b/>
                <w:color w:val="008000"/>
                <w:sz w:val="17"/>
              </w:rPr>
              <w:t>+2.6%</w:t>
            </w:r>
          </w:p>
        </w:tc>
      </w:tr>
      <w:tr>
        <w:tc>
          <w:tcPr>
            <w:tcW w:type="dxa" w:w="1440"/>
            <w:shd w:fill="C6EFCE" w:val="clear"/>
          </w:tcPr>
          <w:p>
            <w:r>
              <w:rPr>
                <w:sz w:val="17"/>
              </w:rPr>
              <w:t>J+3  Moyenne</w:t>
            </w:r>
          </w:p>
        </w:tc>
        <w:tc>
          <w:tcPr>
            <w:tcW w:type="dxa" w:w="1440"/>
            <w:shd w:fill="C6EFCE" w:val="clear"/>
          </w:tcPr>
          <w:p>
            <w:r>
              <w:rPr>
                <w:sz w:val="17"/>
              </w:rPr>
              <w:t>2026-10-14</w:t>
            </w:r>
          </w:p>
        </w:tc>
        <w:tc>
          <w:tcPr>
            <w:tcW w:type="dxa" w:w="1440"/>
            <w:shd w:fill="C6EFCE" w:val="clear"/>
          </w:tcPr>
          <w:p>
            <w:r>
              <w:rPr>
                <w:sz w:val="17"/>
              </w:rPr>
              <w:t>1,401</w:t>
            </w:r>
          </w:p>
        </w:tc>
        <w:tc>
          <w:tcPr>
            <w:tcW w:type="dxa" w:w="1440"/>
            <w:shd w:fill="C6EFCE" w:val="clear"/>
          </w:tcPr>
          <w:p>
            <w:r>
              <w:rPr>
                <w:b/>
                <w:sz w:val="17"/>
              </w:rPr>
              <w:t>1,513</w:t>
            </w:r>
          </w:p>
        </w:tc>
        <w:tc>
          <w:tcPr>
            <w:tcW w:type="dxa" w:w="1440"/>
            <w:shd w:fill="C6EFCE" w:val="clear"/>
          </w:tcPr>
          <w:p>
            <w:r>
              <w:rPr>
                <w:sz w:val="17"/>
              </w:rPr>
              <w:t>1,626</w:t>
            </w:r>
          </w:p>
        </w:tc>
        <w:tc>
          <w:tcPr>
            <w:tcW w:type="dxa" w:w="1440"/>
            <w:shd w:fill="C6EFCE" w:val="clear"/>
          </w:tcPr>
          <w:p>
            <w:r>
              <w:rPr>
                <w:b/>
                <w:color w:val="008000"/>
                <w:sz w:val="17"/>
              </w:rPr>
              <w:t>+3.0%</w:t>
            </w:r>
          </w:p>
        </w:tc>
      </w:tr>
      <w:tr>
        <w:tc>
          <w:tcPr>
            <w:tcW w:type="dxa" w:w="1440"/>
            <w:shd w:fill="C6EFCE" w:val="clear"/>
          </w:tcPr>
          <w:p>
            <w:r>
              <w:rPr>
                <w:sz w:val="17"/>
              </w:rPr>
              <w:t>J+4  ⭐</w:t>
            </w:r>
          </w:p>
        </w:tc>
        <w:tc>
          <w:tcPr>
            <w:tcW w:type="dxa" w:w="1440"/>
            <w:shd w:fill="C6EFCE" w:val="clear"/>
          </w:tcPr>
          <w:p>
            <w:r>
              <w:rPr>
                <w:sz w:val="17"/>
              </w:rPr>
              <w:t>2026-10-15</w:t>
            </w:r>
          </w:p>
        </w:tc>
        <w:tc>
          <w:tcPr>
            <w:tcW w:type="dxa" w:w="1440"/>
            <w:shd w:fill="C6EFCE" w:val="clear"/>
          </w:tcPr>
          <w:p>
            <w:r>
              <w:rPr>
                <w:sz w:val="17"/>
              </w:rPr>
              <w:t>1,389</w:t>
            </w:r>
          </w:p>
        </w:tc>
        <w:tc>
          <w:tcPr>
            <w:tcW w:type="dxa" w:w="1440"/>
            <w:shd w:fill="C6EFCE" w:val="clear"/>
          </w:tcPr>
          <w:p>
            <w:r>
              <w:rPr>
                <w:b/>
                <w:sz w:val="17"/>
              </w:rPr>
              <w:t>1,519</w:t>
            </w:r>
          </w:p>
        </w:tc>
        <w:tc>
          <w:tcPr>
            <w:tcW w:type="dxa" w:w="1440"/>
            <w:shd w:fill="C6EFCE" w:val="clear"/>
          </w:tcPr>
          <w:p>
            <w:r>
              <w:rPr>
                <w:sz w:val="17"/>
              </w:rPr>
              <w:t>1,650</w:t>
            </w:r>
          </w:p>
        </w:tc>
        <w:tc>
          <w:tcPr>
            <w:tcW w:type="dxa" w:w="1440"/>
            <w:shd w:fill="C6EFCE" w:val="clear"/>
          </w:tcPr>
          <w:p>
            <w:r>
              <w:rPr>
                <w:b/>
                <w:color w:val="008000"/>
                <w:sz w:val="17"/>
              </w:rPr>
              <w:t>+3.4%</w:t>
            </w:r>
          </w:p>
        </w:tc>
      </w:tr>
      <w:tr>
        <w:tc>
          <w:tcPr>
            <w:tcW w:type="dxa" w:w="1440"/>
            <w:shd w:fill="C6EFCE" w:val="clear"/>
          </w:tcPr>
          <w:p>
            <w:r>
              <w:rPr>
                <w:sz w:val="17"/>
              </w:rPr>
              <w:t>J+5  ⭐</w:t>
            </w:r>
          </w:p>
        </w:tc>
        <w:tc>
          <w:tcPr>
            <w:tcW w:type="dxa" w:w="1440"/>
            <w:shd w:fill="C6EFCE" w:val="clear"/>
          </w:tcPr>
          <w:p>
            <w:r>
              <w:rPr>
                <w:sz w:val="17"/>
              </w:rPr>
              <w:t>2026-10-16</w:t>
            </w:r>
          </w:p>
        </w:tc>
        <w:tc>
          <w:tcPr>
            <w:tcW w:type="dxa" w:w="1440"/>
            <w:shd w:fill="C6EFCE" w:val="clear"/>
          </w:tcPr>
          <w:p>
            <w:r>
              <w:rPr>
                <w:sz w:val="17"/>
              </w:rPr>
              <w:t>1,378</w:t>
            </w:r>
          </w:p>
        </w:tc>
        <w:tc>
          <w:tcPr>
            <w:tcW w:type="dxa" w:w="1440"/>
            <w:shd w:fill="C6EFCE" w:val="clear"/>
          </w:tcPr>
          <w:p>
            <w:r>
              <w:rPr>
                <w:b/>
                <w:sz w:val="17"/>
              </w:rPr>
              <w:t>1,525</w:t>
            </w:r>
          </w:p>
        </w:tc>
        <w:tc>
          <w:tcPr>
            <w:tcW w:type="dxa" w:w="1440"/>
            <w:shd w:fill="C6EFCE" w:val="clear"/>
          </w:tcPr>
          <w:p>
            <w:r>
              <w:rPr>
                <w:sz w:val="17"/>
              </w:rPr>
              <w:t>1,672</w:t>
            </w:r>
          </w:p>
        </w:tc>
        <w:tc>
          <w:tcPr>
            <w:tcW w:type="dxa" w:w="1440"/>
            <w:shd w:fill="C6EFCE" w:val="clear"/>
          </w:tcPr>
          <w:p>
            <w:r>
              <w:rPr>
                <w:b/>
                <w:color w:val="008000"/>
                <w:sz w:val="17"/>
              </w:rPr>
              <w:t>+3.8%</w:t>
            </w:r>
          </w:p>
        </w:tc>
      </w:tr>
      <w:tr>
        <w:tc>
          <w:tcPr>
            <w:tcW w:type="dxa" w:w="1440"/>
            <w:shd w:fill="C6EFCE" w:val="clear"/>
          </w:tcPr>
          <w:p>
            <w:r>
              <w:rPr>
                <w:sz w:val="17"/>
              </w:rPr>
              <w:t>J+6  ⭐</w:t>
            </w:r>
          </w:p>
        </w:tc>
        <w:tc>
          <w:tcPr>
            <w:tcW w:type="dxa" w:w="1440"/>
            <w:shd w:fill="C6EFCE" w:val="clear"/>
          </w:tcPr>
          <w:p>
            <w:r>
              <w:rPr>
                <w:sz w:val="17"/>
              </w:rPr>
              <w:t>2026-10-19</w:t>
            </w:r>
          </w:p>
        </w:tc>
        <w:tc>
          <w:tcPr>
            <w:tcW w:type="dxa" w:w="1440"/>
            <w:shd w:fill="C6EFCE" w:val="clear"/>
          </w:tcPr>
          <w:p>
            <w:r>
              <w:rPr>
                <w:sz w:val="17"/>
              </w:rPr>
              <w:t>1,370</w:t>
            </w:r>
          </w:p>
        </w:tc>
        <w:tc>
          <w:tcPr>
            <w:tcW w:type="dxa" w:w="1440"/>
            <w:shd w:fill="C6EFCE" w:val="clear"/>
          </w:tcPr>
          <w:p>
            <w:r>
              <w:rPr>
                <w:b/>
                <w:sz w:val="17"/>
              </w:rPr>
              <w:t>1,531</w:t>
            </w:r>
          </w:p>
        </w:tc>
        <w:tc>
          <w:tcPr>
            <w:tcW w:type="dxa" w:w="1440"/>
            <w:shd w:fill="C6EFCE" w:val="clear"/>
          </w:tcPr>
          <w:p>
            <w:r>
              <w:rPr>
                <w:sz w:val="17"/>
              </w:rPr>
              <w:t>1,692</w:t>
            </w:r>
          </w:p>
        </w:tc>
        <w:tc>
          <w:tcPr>
            <w:tcW w:type="dxa" w:w="1440"/>
            <w:shd w:fill="C6EFCE" w:val="clear"/>
          </w:tcPr>
          <w:p>
            <w:r>
              <w:rPr>
                <w:b/>
                <w:color w:val="008000"/>
                <w:sz w:val="17"/>
              </w:rPr>
              <w:t>+4.1%</w:t>
            </w:r>
          </w:p>
        </w:tc>
      </w:tr>
      <w:tr>
        <w:tc>
          <w:tcPr>
            <w:tcW w:type="dxa" w:w="1440"/>
            <w:shd w:fill="C6EFCE" w:val="clear"/>
          </w:tcPr>
          <w:p>
            <w:r>
              <w:rPr>
                <w:sz w:val="17"/>
              </w:rPr>
              <w:t>J+7  ⭐</w:t>
            </w:r>
          </w:p>
        </w:tc>
        <w:tc>
          <w:tcPr>
            <w:tcW w:type="dxa" w:w="1440"/>
            <w:shd w:fill="C6EFCE" w:val="clear"/>
          </w:tcPr>
          <w:p>
            <w:r>
              <w:rPr>
                <w:sz w:val="17"/>
              </w:rPr>
              <w:t>2026-10-20</w:t>
            </w:r>
          </w:p>
        </w:tc>
        <w:tc>
          <w:tcPr>
            <w:tcW w:type="dxa" w:w="1440"/>
            <w:shd w:fill="C6EFCE" w:val="clear"/>
          </w:tcPr>
          <w:p>
            <w:r>
              <w:rPr>
                <w:sz w:val="17"/>
              </w:rPr>
              <w:t>1,361</w:t>
            </w:r>
          </w:p>
        </w:tc>
        <w:tc>
          <w:tcPr>
            <w:tcW w:type="dxa" w:w="1440"/>
            <w:shd w:fill="C6EFCE" w:val="clear"/>
          </w:tcPr>
          <w:p>
            <w:r>
              <w:rPr>
                <w:b/>
                <w:sz w:val="17"/>
              </w:rPr>
              <w:t>1,536</w:t>
            </w:r>
          </w:p>
        </w:tc>
        <w:tc>
          <w:tcPr>
            <w:tcW w:type="dxa" w:w="1440"/>
            <w:shd w:fill="C6EFCE" w:val="clear"/>
          </w:tcPr>
          <w:p>
            <w:r>
              <w:rPr>
                <w:sz w:val="17"/>
              </w:rPr>
              <w:t>1,711</w:t>
            </w:r>
          </w:p>
        </w:tc>
        <w:tc>
          <w:tcPr>
            <w:tcW w:type="dxa" w:w="1440"/>
            <w:shd w:fill="C6EFCE" w:val="clear"/>
          </w:tcPr>
          <w:p>
            <w:r>
              <w:rPr>
                <w:b/>
                <w:color w:val="008000"/>
                <w:sz w:val="17"/>
              </w:rPr>
              <w:t>+4.5%</w:t>
            </w:r>
          </w:p>
        </w:tc>
      </w:tr>
      <w:tr>
        <w:tc>
          <w:tcPr>
            <w:tcW w:type="dxa" w:w="1440"/>
            <w:shd w:fill="C6EFCE" w:val="clear"/>
          </w:tcPr>
          <w:p>
            <w:r>
              <w:rPr>
                <w:sz w:val="17"/>
              </w:rPr>
              <w:t>J+8  ⭐</w:t>
            </w:r>
          </w:p>
        </w:tc>
        <w:tc>
          <w:tcPr>
            <w:tcW w:type="dxa" w:w="1440"/>
            <w:shd w:fill="C6EFCE" w:val="clear"/>
          </w:tcPr>
          <w:p>
            <w:r>
              <w:rPr>
                <w:sz w:val="17"/>
              </w:rPr>
              <w:t>2026-10-21</w:t>
            </w:r>
          </w:p>
        </w:tc>
        <w:tc>
          <w:tcPr>
            <w:tcW w:type="dxa" w:w="1440"/>
            <w:shd w:fill="C6EFCE" w:val="clear"/>
          </w:tcPr>
          <w:p>
            <w:r>
              <w:rPr>
                <w:sz w:val="17"/>
              </w:rPr>
              <w:t>1,354</w:t>
            </w:r>
          </w:p>
        </w:tc>
        <w:tc>
          <w:tcPr>
            <w:tcW w:type="dxa" w:w="1440"/>
            <w:shd w:fill="C6EFCE" w:val="clear"/>
          </w:tcPr>
          <w:p>
            <w:r>
              <w:rPr>
                <w:b/>
                <w:sz w:val="17"/>
              </w:rPr>
              <w:t>1,542</w:t>
            </w:r>
          </w:p>
        </w:tc>
        <w:tc>
          <w:tcPr>
            <w:tcW w:type="dxa" w:w="1440"/>
            <w:shd w:fill="C6EFCE" w:val="clear"/>
          </w:tcPr>
          <w:p>
            <w:r>
              <w:rPr>
                <w:sz w:val="17"/>
              </w:rPr>
              <w:t>1,729</w:t>
            </w:r>
          </w:p>
        </w:tc>
        <w:tc>
          <w:tcPr>
            <w:tcW w:type="dxa" w:w="1440"/>
            <w:shd w:fill="C6EFCE" w:val="clear"/>
          </w:tcPr>
          <w:p>
            <w:r>
              <w:rPr>
                <w:b/>
                <w:color w:val="008000"/>
                <w:sz w:val="17"/>
              </w:rPr>
              <w:t>+4.9%</w:t>
            </w:r>
          </w:p>
        </w:tc>
      </w:tr>
      <w:tr>
        <w:tc>
          <w:tcPr>
            <w:tcW w:type="dxa" w:w="1440"/>
            <w:shd w:fill="C6EFCE" w:val="clear"/>
          </w:tcPr>
          <w:p>
            <w:r>
              <w:rPr>
                <w:sz w:val="17"/>
              </w:rPr>
              <w:t>J+9  ⭐</w:t>
            </w:r>
          </w:p>
        </w:tc>
        <w:tc>
          <w:tcPr>
            <w:tcW w:type="dxa" w:w="1440"/>
            <w:shd w:fill="C6EFCE" w:val="clear"/>
          </w:tcPr>
          <w:p>
            <w:r>
              <w:rPr>
                <w:sz w:val="17"/>
              </w:rPr>
              <w:t>2026-10-22</w:t>
            </w:r>
          </w:p>
        </w:tc>
        <w:tc>
          <w:tcPr>
            <w:tcW w:type="dxa" w:w="1440"/>
            <w:shd w:fill="C6EFCE" w:val="clear"/>
          </w:tcPr>
          <w:p>
            <w:r>
              <w:rPr>
                <w:sz w:val="17"/>
              </w:rPr>
              <w:t>1,347</w:t>
            </w:r>
          </w:p>
        </w:tc>
        <w:tc>
          <w:tcPr>
            <w:tcW w:type="dxa" w:w="1440"/>
            <w:shd w:fill="C6EFCE" w:val="clear"/>
          </w:tcPr>
          <w:p>
            <w:r>
              <w:rPr>
                <w:b/>
                <w:sz w:val="17"/>
              </w:rPr>
              <w:t>1,547</w:t>
            </w:r>
          </w:p>
        </w:tc>
        <w:tc>
          <w:tcPr>
            <w:tcW w:type="dxa" w:w="1440"/>
            <w:shd w:fill="C6EFCE" w:val="clear"/>
          </w:tcPr>
          <w:p>
            <w:r>
              <w:rPr>
                <w:sz w:val="17"/>
              </w:rPr>
              <w:t>1,746</w:t>
            </w:r>
          </w:p>
        </w:tc>
        <w:tc>
          <w:tcPr>
            <w:tcW w:type="dxa" w:w="1440"/>
            <w:shd w:fill="C6EFCE" w:val="clear"/>
          </w:tcPr>
          <w:p>
            <w:r>
              <w:rPr>
                <w:b/>
                <w:color w:val="008000"/>
                <w:sz w:val="17"/>
              </w:rPr>
              <w:t>+5.2%</w:t>
            </w:r>
          </w:p>
        </w:tc>
      </w:tr>
      <w:tr>
        <w:tc>
          <w:tcPr>
            <w:tcW w:type="dxa" w:w="1440"/>
            <w:shd w:fill="C6EFCE" w:val="clear"/>
          </w:tcPr>
          <w:p>
            <w:r>
              <w:rPr>
                <w:sz w:val="17"/>
              </w:rPr>
              <w:t>J+10  ⭐</w:t>
            </w:r>
          </w:p>
        </w:tc>
        <w:tc>
          <w:tcPr>
            <w:tcW w:type="dxa" w:w="1440"/>
            <w:shd w:fill="C6EFCE" w:val="clear"/>
          </w:tcPr>
          <w:p>
            <w:r>
              <w:rPr>
                <w:sz w:val="17"/>
              </w:rPr>
              <w:t>2026-10-23</w:t>
            </w:r>
          </w:p>
        </w:tc>
        <w:tc>
          <w:tcPr>
            <w:tcW w:type="dxa" w:w="1440"/>
            <w:shd w:fill="C6EFCE" w:val="clear"/>
          </w:tcPr>
          <w:p>
            <w:r>
              <w:rPr>
                <w:sz w:val="17"/>
              </w:rPr>
              <w:t>1,341</w:t>
            </w:r>
          </w:p>
        </w:tc>
        <w:tc>
          <w:tcPr>
            <w:tcW w:type="dxa" w:w="1440"/>
            <w:shd w:fill="C6EFCE" w:val="clear"/>
          </w:tcPr>
          <w:p>
            <w:r>
              <w:rPr>
                <w:b/>
                <w:sz w:val="17"/>
              </w:rPr>
              <w:t>1,552</w:t>
            </w:r>
          </w:p>
        </w:tc>
        <w:tc>
          <w:tcPr>
            <w:tcW w:type="dxa" w:w="1440"/>
            <w:shd w:fill="C6EFCE" w:val="clear"/>
          </w:tcPr>
          <w:p>
            <w:r>
              <w:rPr>
                <w:sz w:val="17"/>
              </w:rPr>
              <w:t>1,763</w:t>
            </w:r>
          </w:p>
        </w:tc>
        <w:tc>
          <w:tcPr>
            <w:tcW w:type="dxa" w:w="1440"/>
            <w:shd w:fill="C6EFCE" w:val="clear"/>
          </w:tcPr>
          <w:p>
            <w:r>
              <w:rPr>
                <w:b/>
                <w:color w:val="008000"/>
                <w:sz w:val="17"/>
              </w:rPr>
              <w:t>+5.6%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*Bourse Régionale des Valeurs Mobilières (BRVM) — Secteur : Distribution Automobile*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266,62 milliards FCFA, CFAC figure parmi les valeurs les plus importantes de la cote BRVM, ce qui témoigne de sa liquidité relative et de son poids dans l'indice composite. Le BPA de 26 FCFA/action signifie que chaque titre génère 26 FCFA de bénéfice net, un niveau modeste qui, rapporté au cours de 1 470 FCFA, aboutit à un PER de 56,8x — très largement supérieur à la moyenne du marché BRVM (8-12x), signalant que les investisseurs paient une prime spéculative très élevée par rapport aux bénéfices actuels. Le ratio P/B de 13,71x confirme cette exubérance : le marché valorise la société à près de 14 fois sa valeur comptable, bien au-delà du seuil de 4x généralement considéré comme exigeant. Enfin, l'EV/EBITDA de 29,0x (contre un seuil d'alerte de 15x) indique que la valeur d'entreprise intègre une anticipation de croissance opérationnelle forte, difficilement justifiable au regard des résultats 2024 en repli. L'ensemble de ces ratios dessine une valorisation tendue, voire surévaluée, qui expose le titre à un risque de correction si les bénéfices ne rattrapent pas rapidement les attentes du marché.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CFAC affiche une variation totale de -2,00%, avec une chute marquée de -3,29% lors de la dernière séance, portant le cours à 1 470 FCFA. Le range de trading est relativement large, entre un plus haut de 1 825 FCFA et un plus bas de 1 460 FCFA — ce dernier étant pratiquement égal au cours actuel, ce qui place le titre en zone de support critique. La tendance générale est donc baissière, le cours évoluant dans la partie inférieure de son canal depuis plusieurs semaines. Les statistiques descriptives révèlent une moyenne de 1 636 FCFA légèrement inférieure à la médiane de 1 642 FCFA, avec un mode à 1 600 FCFA : l'écart faible entre ces mesures suggère une distribution quasi symétrique, confirmée par un skewness de -0,131 (léger étirement vers la gauche, donc quelques séances baissières marquées). L'écart-type de 91 FCFA (CV = 5,5%) indique une dispersion modérée du cours autour de sa moyenne, tandis que le kurtosis de -1,030 (distribution platykurtique) traduit une faible concentration des rendements et un risque de pics extrêmes limité — le titre évolue de manière relativement régulière sans emballement spéculatif. Enfin, la volatilité annualisée de 45,4% classe CFAC dans la catégorie des titres à volatilité élevée (&gt;30%), ce qui implique un risque de perte en capital significatif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(1 585,25 FCFA) et la MM50 (1 651,0 FCFA) se situent toutes deux nettement au-dessus du cours actuel (1 470 FCFA), ce qui confirme une configuration baissière de court et moyen terme. Le croisement baissier (MM20 &lt; MM50) et l'éloignement croissant du cours sous ces moyennes justifient pleinement la décision technique de **Vente**.</w:t>
      </w:r>
    </w:p>
    <w:p>
      <w:pPr>
        <w:spacing w:after="120" w:line="276" w:lineRule="auto"/>
      </w:pPr>
      <w:r>
        <w:t>**Bandes de Bollinger** : Le cours (1 470 FCFA) évolue dans la partie basse du canal, proche de la borne inférieure (1 418,72 FCFA) et très éloigné de la borne supérieure (1 751,78 FCFA). Cette position suggère une pression vendeuse persistante, mais l'absence de franchissement de la borne inférieure maintient la décision à **Neutre** — le titre n'est pas encore en situation de survente extrême.</w:t>
      </w:r>
    </w:p>
    <w:p>
      <w:pPr>
        <w:spacing w:after="120" w:line="276" w:lineRule="auto"/>
      </w:pPr>
      <w:r>
        <w:t>**MACD** : La valeur du MACD (-48,91) est inférieure à son signal (-41,52), avec un histogramme négatif qui traduit un momentum baissier toujours actif. La divergence négative entre les deux lignes confirme la poursuite de la tendance descendante, justifiant la décision de **Vente**.</w:t>
      </w:r>
    </w:p>
    <w:p>
      <w:pPr>
        <w:spacing w:after="120" w:line="276" w:lineRule="auto"/>
      </w:pPr>
      <w:r>
        <w:t>**RSI** : À 36,21, le RSI se situe dans la zone neutre basse (30-70), sans atteindre le seuil de survente (&lt;30). Cette configuration indique que le titre conserve un potentiel de baisse résiduel avant un éventuel rebond technique, ce qui justifie la décision **Neutre** — ni signal d'achat, ni signal de vente agressif.</w:t>
      </w:r>
    </w:p>
    <w:p>
      <w:pPr>
        <w:spacing w:after="120" w:line="276" w:lineRule="auto"/>
      </w:pPr>
      <w:r>
        <w:t>**Stochastique** : Le %K (6,45) est très bas et inférieur au %D (27,07), ce qui place l'indicateur en zone de survente profonde. Un tel niveau suggère qu'un rebond technique à court terme est possible, justifiant la décision d'**Achat** — mais ce signal doit être pondéré par la faiblesse des autres indicateurs.</w:t>
      </w:r>
    </w:p>
    <w:p>
      <w:pPr>
        <w:spacing w:after="120" w:line="276" w:lineRule="auto"/>
      </w:pPr>
      <w:r>
        <w:t>**Conclusion technique** : Les indicateurs techniques sont majoritairement baissiers (MM, MACD) ou neutres (Bollinger, RSI), avec un seul signal d'achat contradictoire (Stochastique en survente). Cette divergence suggère que le titre pourrait connaître un rebond technique de court terme, mais la tendance de fond reste clairement négative. La prudence est de mise tant que le cours ne parvient pas à se maintenir au-dessus de la MM20 (1 585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2024 (états financiers annuels) révèlent une situation contrastée : le chiffre d'affaires s'établit à 158,313 milliards FCFA, en baisse de -12,13% par rapport à 2023 (180,162 Mds FCFA), tandis que le résultat net chute à 4,693 milliards FCFA (-26,7% vs 6,399 Mds en 2023). Le ROE reste néanmoins élevé à 24,13% (résultat net / capitaux propres de 19,453 Mds FCFA), et le ROA s'élève à 5,52% — des niveaux qui témoignent d'une rentabilité encore solide malgré le repli. En tant qu'entreprise non bancaire, l'analyse des délais d'exploitation est cruciale : le délai clients de 36,64 jours est modéré, mais le délai fournisseurs de 81,75 jours et la durée de stockage de 88,35 jours traduisent une immobilisation importante de capital dans le cycle d'exploitation. Le BFR est négatif à -3,482 Mds FCFA (favorable), mais la trésorerie nette est négative à -624,20 M FCFA, et le Free Cash Flow s'établit à -1,650 Mds FCFA en raison d'investissements lourds (-8,741 Mds FCFA). L'autonomie financière est faible à 22,88% (seuil sain : &gt;30%), et la liquidité générale de 93,63% est légèrement insuffisante (&lt;100%). Les rapports trimestriels 2025 (T1, S1, T3) publiés respectivement en mars, juin et septembre 2025 montrent une nette amélioration : au T1 2025, le CA progresse de +14,5% à 46,161 Mds FCFA et le résultat net bondit de +279,7% à 3,836 Mds FCFA ; au S1 2025, le CA atteint 91,182 Mds FCFA (+18,4%) et le résultat net 5,420 Mds FCFA (+152,7%) ; au T3 2025, le CA trimestriel s'élève à 43,580 Mds FCFA (+18,3%) et le résultat net à 1,489 Md FCFA (+38,1%). Sur la base de ces rapports, on peut estimer que l'exercice 2025 devrait afficher un chiffre d'affaires annuel d'environ 180-185 Mds FCFA (retour au niveau de 2023) et un résultat net de l'ordre de 8-9 Mds FCFA, en nette reprise après le creux de 2024. Cependant, le rapport annuel 2024 (publié en décembre 2024) souligne des risques persistants : dépendance aux coûts d'achat (79% du CA), endettement locatif IFRS 16, et politique de dividende agressive (taux de distribution de 88,1% en 2023). La recommandation fondamentale est donc **CONSERVER** avec vigilance : la reprise 2025 est encourageante, mais la valorisation boursière intègre déjà largement cette amélioration, et les risques structurels (marges faibles, trésorerie tendue) demeurent.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recommandation nuancée. **Valorisation (Partie 0)** : les ratios PER (56,8x), P/B (13,71x) et EV/EBITDA (29,0x) indiquent une surévaluation manifeste par rapport aux bénéfices actuels et à la valeur comptable, avec une prime spéculative difficile à justifier. **Comportement du cours (Partie 1)** : la tendance baissière (-2,00% sur 100 jours, -3,29% en J-1), la volatilité élevée (45,4%) et la position du cours près du plus bas (1 460 FCFA) sont préoccupantes, bien que la distribution platykurtique (kurtosis -1,030) limite le risque de pics extrêmes. **Signaux techniques (Partie 2)** : la convergence baissière des MM et du MACD contraste avec le signal d'achat du Stochastique en survente, créant une divergence qui suggère un rebond technique possible mais fragile. **Fondamentaux (Partie 3)** : la reprise spectaculaire des résultats trimestriels 2025 (CA +18,4% au S1, résultat net +152,7%) est un point positif majeur, mais elle intervient après une année 2024 difficile et ne compense pas encore les faiblesses structurelles (autonomie financière de 22,88%, trésorerie nette négative). **Prédictions IA (J+1 à J+10)** : la trajectoire projetée (1 506 → 1 525 FCFA, soit +3,7% sur 10 jours) suggère un rebond modéré, en ligne avec le signal du Stochastique mais en contradiction avec la tendance baissière des MM et du MACD. **Recommandation finale : CONSERVER**. La convergence entre la surévaluation boursière, la tendance technique baissière et les fondamentaux en amélioration mais fragiles ne justifie ni un achat agressif (valorisation trop tendue), ni une vente (reprise 2025 encourageante et potentiel de rebond technique). Le niveau de confiance est **Moyen** (divergence entre indicateurs techniques et fondamentaux), et le niveau de risque global est **Élevé** (volatilité de 45,4%, PER de 56,8x, trésorerie négative). L'horizon d'investissement optimal est le **moyen terme (3-12 mois)**, le temps que les résultats 2025 se confirment et que la valorisation se normalise — un investisseur déjà positionné pourra conserver, mais un nouvel entrant devrait attendre une correction vers 1 400-1 450 FCFA pour améliorer son point d'entrée.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15.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352.80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6,878 titres</w:t>
            </w:r>
          </w:p>
        </w:tc>
        <w:tc>
          <w:tcPr>
            <w:tcW w:type="dxa" w:w="2268"/>
            <w:shd w:fill="FFF2CC" w:val="clear"/>
          </w:tcPr>
          <w:p>
            <w:r>
              <w:rPr>
                <w:b/>
                <w:color w:val="503200"/>
                <w:sz w:val="16"/>
              </w:rPr>
              <w:t xml:space="preserve">Cours actuel : </w:t>
            </w:r>
            <w:r>
              <w:rPr>
                <w:color w:val="000000"/>
                <w:sz w:val="17"/>
              </w:rPr>
              <w:t>6,300 FCFA</w:t>
            </w:r>
          </w:p>
          <w:p>
            <w:r>
              <w:rPr>
                <w:b/>
                <w:color w:val="503200"/>
                <w:sz w:val="16"/>
              </w:rPr>
              <w:t xml:space="preserve">Var. 100 jours : </w:t>
            </w:r>
            <w:r>
              <w:rPr>
                <w:b/>
                <w:color w:val="007800"/>
                <w:sz w:val="17"/>
              </w:rPr>
              <w:t>+89.19%</w:t>
            </w:r>
          </w:p>
          <w:p>
            <w:r>
              <w:rPr>
                <w:b/>
                <w:color w:val="503200"/>
                <w:sz w:val="16"/>
              </w:rPr>
              <w:t xml:space="preserve">Plus haut 100j : </w:t>
            </w:r>
            <w:r>
              <w:rPr>
                <w:color w:val="000000"/>
                <w:sz w:val="17"/>
              </w:rPr>
              <w:t>7,400 FCFA</w:t>
            </w:r>
          </w:p>
          <w:p>
            <w:r>
              <w:rPr>
                <w:b/>
                <w:color w:val="503200"/>
                <w:sz w:val="16"/>
              </w:rPr>
              <w:t xml:space="preserve">Plus bas 100j : </w:t>
            </w:r>
            <w:r>
              <w:rPr>
                <w:color w:val="000000"/>
                <w:sz w:val="17"/>
              </w:rPr>
              <w:t>3,330 FCFA</w:t>
            </w:r>
          </w:p>
          <w:p>
            <w:r>
              <w:rPr>
                <w:b/>
                <w:color w:val="503200"/>
                <w:sz w:val="16"/>
              </w:rPr>
              <w:t xml:space="preserve">Volatilité ann. : </w:t>
            </w:r>
            <w:r>
              <w:rPr>
                <w:color w:val="000000"/>
                <w:sz w:val="17"/>
              </w:rPr>
              <w:t>50.3%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27.8/100 → Moyen</w:t>
      </w:r>
    </w:p>
    <w:p>
      <w:pPr>
        <w:spacing w:before="40" w:after="80"/>
      </w:pPr>
      <w:r>
        <w:rPr>
          <w:rFonts w:ascii="Courier New" w:hAnsi="Courier New"/>
          <w:color w:val="825A00"/>
          <w:sz w:val="18"/>
        </w:rPr>
        <w:t>█████░░░░░░░░░░░░░░░  27.8/100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16.77% (Élevée) — μ=5,598 FCFA, σ=939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β=0.6975 (Défensif) — Cov=0.000051, Var(idx)=0.000073, ρ=0.188,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6,878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σ_j=3.17%/j (Modérée) — Vol. annualisée≈50.3%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5,961</w:t>
            </w:r>
          </w:p>
        </w:tc>
        <w:tc>
          <w:tcPr>
            <w:tcW w:type="dxa" w:w="1440"/>
            <w:shd w:fill="FAFAFA" w:val="clear"/>
          </w:tcPr>
          <w:p>
            <w:r>
              <w:rPr>
                <w:b/>
                <w:sz w:val="17"/>
              </w:rPr>
              <w:t>6,237</w:t>
            </w:r>
          </w:p>
        </w:tc>
        <w:tc>
          <w:tcPr>
            <w:tcW w:type="dxa" w:w="1440"/>
            <w:shd w:fill="FAFAFA" w:val="clear"/>
          </w:tcPr>
          <w:p>
            <w:r>
              <w:rPr>
                <w:sz w:val="17"/>
              </w:rPr>
              <w:t>6,513</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5,816</w:t>
            </w:r>
          </w:p>
        </w:tc>
        <w:tc>
          <w:tcPr>
            <w:tcW w:type="dxa" w:w="1440"/>
            <w:shd w:fill="FAFAFA" w:val="clear"/>
          </w:tcPr>
          <w:p>
            <w:r>
              <w:rPr>
                <w:b/>
                <w:sz w:val="17"/>
              </w:rPr>
              <w:t>6,204</w:t>
            </w:r>
          </w:p>
        </w:tc>
        <w:tc>
          <w:tcPr>
            <w:tcW w:type="dxa" w:w="1440"/>
            <w:shd w:fill="FAFAFA" w:val="clear"/>
          </w:tcPr>
          <w:p>
            <w:r>
              <w:rPr>
                <w:sz w:val="17"/>
              </w:rPr>
              <w:t>6,592</w:t>
            </w:r>
          </w:p>
        </w:tc>
        <w:tc>
          <w:tcPr>
            <w:tcW w:type="dxa" w:w="1440"/>
            <w:shd w:fill="FAFAFA" w:val="clear"/>
          </w:tcPr>
          <w:p>
            <w:r>
              <w:rPr>
                <w:b/>
                <w:color w:val="C00000"/>
                <w:sz w:val="17"/>
              </w:rPr>
              <w:t>-1.5%</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5,715</w:t>
            </w:r>
          </w:p>
        </w:tc>
        <w:tc>
          <w:tcPr>
            <w:tcW w:type="dxa" w:w="1440"/>
            <w:shd w:fill="FAFAFA" w:val="clear"/>
          </w:tcPr>
          <w:p>
            <w:r>
              <w:rPr>
                <w:b/>
                <w:sz w:val="17"/>
              </w:rPr>
              <w:t>6,189</w:t>
            </w:r>
          </w:p>
        </w:tc>
        <w:tc>
          <w:tcPr>
            <w:tcW w:type="dxa" w:w="1440"/>
            <w:shd w:fill="FAFAFA" w:val="clear"/>
          </w:tcPr>
          <w:p>
            <w:r>
              <w:rPr>
                <w:sz w:val="17"/>
              </w:rPr>
              <w:t>6,663</w:t>
            </w:r>
          </w:p>
        </w:tc>
        <w:tc>
          <w:tcPr>
            <w:tcW w:type="dxa" w:w="1440"/>
            <w:shd w:fill="FAFAFA" w:val="clear"/>
          </w:tcPr>
          <w:p>
            <w:r>
              <w:rPr>
                <w:b/>
                <w:color w:val="C00000"/>
                <w:sz w:val="17"/>
              </w:rPr>
              <w:t>-1.8%</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5,629</w:t>
            </w:r>
          </w:p>
        </w:tc>
        <w:tc>
          <w:tcPr>
            <w:tcW w:type="dxa" w:w="1440"/>
            <w:shd w:fill="FAFAFA" w:val="clear"/>
          </w:tcPr>
          <w:p>
            <w:r>
              <w:rPr>
                <w:b/>
                <w:sz w:val="17"/>
              </w:rPr>
              <w:t>6,176</w:t>
            </w:r>
          </w:p>
        </w:tc>
        <w:tc>
          <w:tcPr>
            <w:tcW w:type="dxa" w:w="1440"/>
            <w:shd w:fill="FAFAFA" w:val="clear"/>
          </w:tcPr>
          <w:p>
            <w:r>
              <w:rPr>
                <w:sz w:val="17"/>
              </w:rPr>
              <w:t>6,723</w:t>
            </w:r>
          </w:p>
        </w:tc>
        <w:tc>
          <w:tcPr>
            <w:tcW w:type="dxa" w:w="1440"/>
            <w:shd w:fill="FAFAFA" w:val="clear"/>
          </w:tcPr>
          <w:p>
            <w:r>
              <w:rPr>
                <w:b/>
                <w:color w:val="C00000"/>
                <w:sz w:val="17"/>
              </w:rPr>
              <w:t>-2.0%</w:t>
            </w:r>
          </w:p>
        </w:tc>
      </w:tr>
      <w:tr>
        <w:tc>
          <w:tcPr>
            <w:tcW w:type="dxa" w:w="1440"/>
            <w:shd w:fill="FFDCE0" w:val="clear"/>
          </w:tcPr>
          <w:p>
            <w:r>
              <w:rPr>
                <w:sz w:val="17"/>
              </w:rPr>
              <w:t>J+5  ⭐</w:t>
            </w:r>
          </w:p>
        </w:tc>
        <w:tc>
          <w:tcPr>
            <w:tcW w:type="dxa" w:w="1440"/>
            <w:shd w:fill="FFDCE0" w:val="clear"/>
          </w:tcPr>
          <w:p>
            <w:r>
              <w:rPr>
                <w:sz w:val="17"/>
              </w:rPr>
              <w:t>2026-10-16</w:t>
            </w:r>
          </w:p>
        </w:tc>
        <w:tc>
          <w:tcPr>
            <w:tcW w:type="dxa" w:w="1440"/>
            <w:shd w:fill="FFDCE0" w:val="clear"/>
          </w:tcPr>
          <w:p>
            <w:r>
              <w:rPr>
                <w:sz w:val="17"/>
              </w:rPr>
              <w:t>5,554</w:t>
            </w:r>
          </w:p>
        </w:tc>
        <w:tc>
          <w:tcPr>
            <w:tcW w:type="dxa" w:w="1440"/>
            <w:shd w:fill="FFDCE0" w:val="clear"/>
          </w:tcPr>
          <w:p>
            <w:r>
              <w:rPr>
                <w:b/>
                <w:sz w:val="17"/>
              </w:rPr>
              <w:t>6,164</w:t>
            </w:r>
          </w:p>
        </w:tc>
        <w:tc>
          <w:tcPr>
            <w:tcW w:type="dxa" w:w="1440"/>
            <w:shd w:fill="FFDCE0" w:val="clear"/>
          </w:tcPr>
          <w:p>
            <w:r>
              <w:rPr>
                <w:sz w:val="17"/>
              </w:rPr>
              <w:t>6,774</w:t>
            </w:r>
          </w:p>
        </w:tc>
        <w:tc>
          <w:tcPr>
            <w:tcW w:type="dxa" w:w="1440"/>
            <w:shd w:fill="FFDCE0" w:val="clear"/>
          </w:tcPr>
          <w:p>
            <w:r>
              <w:rPr>
                <w:b/>
                <w:color w:val="C00000"/>
                <w:sz w:val="17"/>
              </w:rPr>
              <w:t>-2.2%</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5,487</w:t>
            </w:r>
          </w:p>
        </w:tc>
        <w:tc>
          <w:tcPr>
            <w:tcW w:type="dxa" w:w="1440"/>
            <w:shd w:fill="FFDCE0" w:val="clear"/>
          </w:tcPr>
          <w:p>
            <w:r>
              <w:rPr>
                <w:b/>
                <w:sz w:val="17"/>
              </w:rPr>
              <w:t>6,154</w:t>
            </w:r>
          </w:p>
        </w:tc>
        <w:tc>
          <w:tcPr>
            <w:tcW w:type="dxa" w:w="1440"/>
            <w:shd w:fill="FFDCE0" w:val="clear"/>
          </w:tcPr>
          <w:p>
            <w:r>
              <w:rPr>
                <w:sz w:val="17"/>
              </w:rPr>
              <w:t>6,821</w:t>
            </w:r>
          </w:p>
        </w:tc>
        <w:tc>
          <w:tcPr>
            <w:tcW w:type="dxa" w:w="1440"/>
            <w:shd w:fill="FFDCE0" w:val="clear"/>
          </w:tcPr>
          <w:p>
            <w:r>
              <w:rPr>
                <w:b/>
                <w:color w:val="C00000"/>
                <w:sz w:val="17"/>
              </w:rPr>
              <w:t>-2.3%</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5,427</w:t>
            </w:r>
          </w:p>
        </w:tc>
        <w:tc>
          <w:tcPr>
            <w:tcW w:type="dxa" w:w="1440"/>
            <w:shd w:fill="FFDCE0" w:val="clear"/>
          </w:tcPr>
          <w:p>
            <w:r>
              <w:rPr>
                <w:b/>
                <w:sz w:val="17"/>
              </w:rPr>
              <w:t>6,146</w:t>
            </w:r>
          </w:p>
        </w:tc>
        <w:tc>
          <w:tcPr>
            <w:tcW w:type="dxa" w:w="1440"/>
            <w:shd w:fill="FFDCE0" w:val="clear"/>
          </w:tcPr>
          <w:p>
            <w:r>
              <w:rPr>
                <w:sz w:val="17"/>
              </w:rPr>
              <w:t>6,866</w:t>
            </w:r>
          </w:p>
        </w:tc>
        <w:tc>
          <w:tcPr>
            <w:tcW w:type="dxa" w:w="1440"/>
            <w:shd w:fill="FFDCE0" w:val="clear"/>
          </w:tcPr>
          <w:p>
            <w:r>
              <w:rPr>
                <w:b/>
                <w:color w:val="C00000"/>
                <w:sz w:val="17"/>
              </w:rPr>
              <w:t>-2.4%</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5,371</w:t>
            </w:r>
          </w:p>
        </w:tc>
        <w:tc>
          <w:tcPr>
            <w:tcW w:type="dxa" w:w="1440"/>
            <w:shd w:fill="FFDCE0" w:val="clear"/>
          </w:tcPr>
          <w:p>
            <w:r>
              <w:rPr>
                <w:b/>
                <w:sz w:val="17"/>
              </w:rPr>
              <w:t>6,139</w:t>
            </w:r>
          </w:p>
        </w:tc>
        <w:tc>
          <w:tcPr>
            <w:tcW w:type="dxa" w:w="1440"/>
            <w:shd w:fill="FFDCE0" w:val="clear"/>
          </w:tcPr>
          <w:p>
            <w:r>
              <w:rPr>
                <w:sz w:val="17"/>
              </w:rPr>
              <w:t>6,908</w:t>
            </w:r>
          </w:p>
        </w:tc>
        <w:tc>
          <w:tcPr>
            <w:tcW w:type="dxa" w:w="1440"/>
            <w:shd w:fill="FFDCE0" w:val="clear"/>
          </w:tcPr>
          <w:p>
            <w:r>
              <w:rPr>
                <w:b/>
                <w:color w:val="C00000"/>
                <w:sz w:val="17"/>
              </w:rPr>
              <w:t>-2.5%</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5,319</w:t>
            </w:r>
          </w:p>
        </w:tc>
        <w:tc>
          <w:tcPr>
            <w:tcW w:type="dxa" w:w="1440"/>
            <w:shd w:fill="FFDCE0" w:val="clear"/>
          </w:tcPr>
          <w:p>
            <w:r>
              <w:rPr>
                <w:b/>
                <w:sz w:val="17"/>
              </w:rPr>
              <w:t>6,133</w:t>
            </w:r>
          </w:p>
        </w:tc>
        <w:tc>
          <w:tcPr>
            <w:tcW w:type="dxa" w:w="1440"/>
            <w:shd w:fill="FFDCE0" w:val="clear"/>
          </w:tcPr>
          <w:p>
            <w:r>
              <w:rPr>
                <w:sz w:val="17"/>
              </w:rPr>
              <w:t>6,948</w:t>
            </w:r>
          </w:p>
        </w:tc>
        <w:tc>
          <w:tcPr>
            <w:tcW w:type="dxa" w:w="1440"/>
            <w:shd w:fill="FFDCE0" w:val="clear"/>
          </w:tcPr>
          <w:p>
            <w:r>
              <w:rPr>
                <w:b/>
                <w:color w:val="C00000"/>
                <w:sz w:val="17"/>
              </w:rPr>
              <w:t>-2.6%</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5,270</w:t>
            </w:r>
          </w:p>
        </w:tc>
        <w:tc>
          <w:tcPr>
            <w:tcW w:type="dxa" w:w="1440"/>
            <w:shd w:fill="FFDCE0" w:val="clear"/>
          </w:tcPr>
          <w:p>
            <w:r>
              <w:rPr>
                <w:b/>
                <w:sz w:val="17"/>
              </w:rPr>
              <w:t>6,128</w:t>
            </w:r>
          </w:p>
        </w:tc>
        <w:tc>
          <w:tcPr>
            <w:tcW w:type="dxa" w:w="1440"/>
            <w:shd w:fill="FFDCE0" w:val="clear"/>
          </w:tcPr>
          <w:p>
            <w:r>
              <w:rPr>
                <w:sz w:val="17"/>
              </w:rPr>
              <w:t>6,985</w:t>
            </w:r>
          </w:p>
        </w:tc>
        <w:tc>
          <w:tcPr>
            <w:tcW w:type="dxa" w:w="1440"/>
            <w:shd w:fill="FFDCE0" w:val="clear"/>
          </w:tcPr>
          <w:p>
            <w:r>
              <w:rPr>
                <w:b/>
                <w:color w:val="C00000"/>
                <w:sz w:val="17"/>
              </w:rPr>
              <w:t>-2.7%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 RAPPORT D'ANALYSE FINANCIÈRE — CIEC (BRVM)</w:t>
      </w:r>
    </w:p>
    <w:p>
      <w:pPr>
        <w:spacing w:after="120" w:line="276" w:lineRule="auto"/>
      </w:pPr>
      <w:r>
        <w:t>**Compagnie Ivoirienne d'Électricité — Cours : 6 300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CIEC s'élève à 352,80 Mds FCFA, un niveau significatif à l'échelle de la BRVM qui positionne le titre parmi les grandes valeurs de la cote. Le BPA de 234 FCFA/action indique que chaque titre génère 234 FCFA de bénéfice net, ce qui, rapporté au cours actuel de 6 300 FCFA, aboutit à un PER de 26,9x — nettement supérieur à la moyenne BRVM (~8-12x), signalant que les investisseurs paient une prime importante pour les bénéfices, anticipant une croissance future ou traduisant une surévaluation. Le P/B de 9,81x confirme cette exubérance : le marché valorise l'action près de dix fois sa valeur comptable, une prime exigeante qui reflète la confiance dans la qualité des actifs et la rentabilité des fonds propres (ROE de 36,5%). Enfin, l'EV/EBITDA de 14,6x, dans la fourchette haute (10-15x), suggère que la valeur totale de l'entreprise (incluant la dette) est chèrement valorisée par rapport à sa capacité opérationnelle, ce qui laisse peu de marge d'erreur en cas de dégradation des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CIEC a enregistré une progression spectaculaire de **+89,19%**, passant d'environ 3 330 FCFA (plus bas) à un sommet de 7 400 FCFA, avant de se replier légèrement à 6 300 FCFA, avec une variation de -1,56% sur la dernière séance. Le range de trading (3 330 – 7 400 FCFA) est exceptionnellement large, témoignant d'une tendance haussière puissante mais aussi d'une forte nervosité. Les statistiques descriptives révèlent une moyenne de 5 598 FCFA supérieure à la médiane de 5 312 FCFA, ce qui indique une légère asymétrie positive (tirée vers le haut par les pics récents), bien que le skewness de -0,074 signale une distribution quasi-symétrique. L'écart-type de 943 FCFA (CV = 16,9%) traduit une dispersion modérée autour de la moyenne, tandis que le kurtosis de -0,544 (mésokurtique) suggère une distribution proche de la normale, sans risque excessif de pics extrêmes. La volatilité annualisée de 50,3% classe le titre dans la catégorie **élevée** (&gt;30%), ce qui implique un risque de marché important et justifie une approche prudente malgré le momentum haussier.</w:t>
      </w:r>
    </w:p>
    <w:p>
      <w:pPr>
        <w:spacing w:after="120" w:line="276" w:lineRule="auto"/>
      </w:pPr>
      <w:r>
        <w:t>---</w:t>
      </w:r>
    </w:p>
    <w:p>
      <w:pPr>
        <w:spacing w:after="120" w:line="276" w:lineRule="auto"/>
      </w:pPr>
      <w:r>
        <w:t>## PARTIE 2 : ANALYSE TECHNIQUE DÉTAILLÉE</w:t>
      </w:r>
    </w:p>
    <w:p>
      <w:pPr>
        <w:spacing w:after="120" w:line="276" w:lineRule="auto"/>
      </w:pPr>
      <w:r>
        <w:t>**Moyennes Mobiles** : La MM20 (6 497,25 FCFA) et la MM50 (6 292,5 FCFA) encadrent le cours actuel (6 300 FCFA), qui évolue juste au-dessus de la MM50 mais sous la MM20. Cette configuration suggère une consolidation après la forte hausse, avec un support dynamique à 6 292 FCFA. La décision « Achat » est justifiée par le maintien du cours au-dessus de la MM50, signalant que la tendance de fond reste haussière malgré le repli récent.</w:t>
      </w:r>
    </w:p>
    <w:p>
      <w:pPr>
        <w:spacing w:after="120" w:line="276" w:lineRule="auto"/>
      </w:pPr>
      <w:r>
        <w:t>**Bandes de Bollinger** : Le cours (6 300 FCFA) se situe dans la partie basse de la bande (borne inférieure : 6 002,16 FCFA ; borne supérieure : 6 992,34 FCFA), sans atteindre les extrêmes. La largeur des bandes reflète une volatilité élevée, et la décision « Neutre » indique l'absence de signal fort, le titre évoluant dans un canal sans pression acheteuse ou vendeuse dominante.</w:t>
      </w:r>
    </w:p>
    <w:p>
      <w:pPr>
        <w:spacing w:after="120" w:line="276" w:lineRule="auto"/>
      </w:pPr>
      <w:r>
        <w:t>**MACD** : La valeur du MACD (-28,179) est inférieure à son signal (9,206), générant une divergence baissière et une décision « Vente ». Ce croisement négatif indique un momentum court terme affaibli, suggérant que la pression vendeuse pourrait persister à court terme, en contradiction avec la tendance de fond haussière.</w:t>
      </w:r>
    </w:p>
    <w:p>
      <w:pPr>
        <w:spacing w:after="120" w:line="276" w:lineRule="auto"/>
      </w:pPr>
      <w:r>
        <w:t>**RSI** : À 46,231, le RSI se situe en zone neutre (30-70), sans signal de surachat (&gt;70) ni de survente (&lt;30). Cette position médiane confirme l'absence de pression directionnelle claire et justifie la décision « Neutre », le titre n'étant ni épuisé à la hausse ni survendu.</w:t>
      </w:r>
    </w:p>
    <w:p>
      <w:pPr>
        <w:spacing w:after="120" w:line="276" w:lineRule="auto"/>
      </w:pPr>
      <w:r>
        <w:t>**Stochastique** : Le %K (26,316) est inférieur au %D (43,86), avec un croisement baissier en zone basse. La décision « Neutre » reflète l'absence de signal fort, mais la position basse du %K suggère une possible survente à court terme, sans confirmation haussière pour l'instant.</w:t>
      </w:r>
    </w:p>
    <w:p>
      <w:pPr>
        <w:spacing w:after="120" w:line="276" w:lineRule="auto"/>
      </w:pPr>
      <w:r>
        <w:t>**Conclusion technique** : Les indicateurs sont majoritairement neutres à baissiers à court terme (MACD vendeur, RSI et Stochastique neutres), tandis que les moyennes mobiles maintiennent un biais haussier de fond. Cette divergence suggère une phase de consolidation, avec un support clé à 6 292 FCFA (MM50) et une résistance à 6 497 FCFA (MM20). La prudence est de mise avant tout nouvel engagement.</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CIEC a réalisé un chiffre d'affaires de **302,320 Mds FCFA**, en croissance de **+14,82%** par rapport à 2024 (263,294 Mds FCFA), portée par une hausse des ventes d'énergie (+8,3% national, +21,7% export) et une expansion du nombre de clients (+15,1% à 5 282 283 clients). Le résultat net s'établit à **13,127 Mds FCFA**, en progression de **+24,4%**, avec une marge nette de 4,34% et une marge opérationnelle de 7,40%. Le ROE atteint **36,50%** (excellent, &gt;15%), témoignant d'une rentabilité exceptionnelle des fonds propres, tandis que le ROA reste faible à 0,65%, reflétant l'intensité capitalistique du secteur. La structure financière est préoccupante : l'autonomie financière n'est que de 1,78% (capitaux propres/total bilan), et le ratio d'endettement de 612,94% (dettes totales/capitaux propres) traduit une dépendance massive à la dette. Le BFR est négatif (-90,244 Mds FCFA), ce qui est favorable (financement par les fournisseurs), mais le délai client de 164 jours constitue un risque de trésorerie important. La capacité de remboursement est de 7,64 années, et la couverture des intérêts de 617,75% reste solide.</w:t>
      </w:r>
    </w:p>
    <w:p>
      <w:pPr>
        <w:spacing w:after="120" w:line="276" w:lineRule="auto"/>
      </w:pPr>
      <w:r>
        <w:t>**Estimations basées sur les rapports trimestriels** : Le rapport du **1er semestre 2025 (daté du 30/06/2025)** indique un CA de 134,923 Mds FCFA (+18,85%) et un résultat net de 5,096 Mds FCFA (+13,37%), avec une marge nette de 3,8% (légèrement inférieure à celle de l'année). Sur cette base, on estime que l'exercice 2025 devrait confirmer la tendance annuelle, avec un résultat net attendu autour de 13,1 Mds FCFA (réalisé). Le rapport annuel 2025 (daté du 31/12/2026) confirme un dividende de **234 FCFA/action**, soit un taux de distribution de 99,8% du résultat net, offrant un rendement attractif mais limitant la capacité d'autofinancement.</w:t>
      </w:r>
    </w:p>
    <w:p>
      <w:pPr>
        <w:spacing w:after="120" w:line="276" w:lineRule="auto"/>
      </w:pPr>
      <w:r>
        <w:t>**Évolution pluriannuelle** : Les rapports antérieurs (2021, 2024) montrent une volatilité des résultats, avec un résultat net de 10,5 Mds FCFA en 2024 (en baisse de -8,3%) et de 9,8 Mds FCFA en 2021 (post-nouvelle convention). La reprise en 2025 (+24,4%) marque un retour à la croissance, soutenue par la demande énergétique et le programme PEPT.</w:t>
      </w:r>
    </w:p>
    <w:p>
      <w:pPr>
        <w:spacing w:after="120" w:line="276" w:lineRule="auto"/>
      </w:pPr>
      <w:r>
        <w:t>**Recommandation fondamentale** : La solidité opérationnelle et la croissance sont indéniables, mais la structure financière très endettée (dépendance financière de 98,22%) et la quasi-totalité du résultat distribuée limitent la flexibilité. Le risque de crédit client (délai de 164 jours) et la dépendance réglementaire restent des préoccupations majeures. **CONSERVER** le titre pour le rendement, en surveillant l'endettement et la trésorerie.</w:t>
      </w:r>
    </w:p>
    <w:p>
      <w:pPr>
        <w:spacing w:after="120" w:line="276" w:lineRule="auto"/>
      </w:pPr>
      <w:r>
        <w:t>---</w:t>
      </w:r>
    </w:p>
    <w:p>
      <w:pPr>
        <w:spacing w:after="120" w:line="276" w:lineRule="auto"/>
      </w:pPr>
      <w:r>
        <w:t>## PARTIE 4 : CONCLUSION D'INVESTISSEMENT</w:t>
      </w:r>
    </w:p>
    <w:p>
      <w:pPr>
        <w:spacing w:after="120" w:line="276" w:lineRule="auto"/>
      </w:pPr>
      <w:r>
        <w:t>La valorisation de CIEC apparaît **exigeante** : le PER de 26,9x (vs moyenne BRVM 8-12x), le P/B de 9,81x et l'EV/EBITDA de 14,6x indiquent que le marché intègre déjà une forte croissance, laissant peu de marge de sécurité. Le comportement du cours sur 100 jours est **haussier (+89,19%)** mais avec une volatilité élevée (50,3%) et une distribution quasi-symétrique (skewness -0,074, kurtosis -0,544), ce qui suggère une tendance solide mais des risques de correction. Les signaux techniques sont **mitigés** : les moyennes mobiles restent haussières (cours &gt; MM50), mais le MACD est vendeur et le RSI/Stochastique sont neutres, indiquant une consolidation probable à court terme. Les fondamentaux sont **solides** (CA +14,8%, RN +24,4%, ROE 36,5%) mais fragilisés par un endettement massif (ratio d'endettement 612,9%) et un risque client élevé. Les prédictions IA (J+1 à J+10) anticipent une **baisse graduelle** de 6 237 à 6 164 FCFA, confirmant la pression baissière à court terme révélée par le MACD. Sur la base de cette synthèse, la recommandation finale est **CONSERVER** : la convergence entre une valorisation tendue, des signaux techniques neutres à baissiers et des fondamentaux solides mais risqués ne justifie ni un achat agressif ni une vente. Le niveau de confiance est **Moyen** (divergence entre tendance de fond et indicateurs court terme), et le risque global est **Élevé** (volatilité 50,3%, endettement 612,9%). L'horizon d'investissement optimal est **moyen terme (3-12 mois)**, pour capturer le rendement du dividende (234 FCFA/action) tout en surveillant l'évolution de la trésorerie et des conditions réglementaires.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16.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924.85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4,147 titres</w:t>
            </w:r>
          </w:p>
        </w:tc>
        <w:tc>
          <w:tcPr>
            <w:tcW w:type="dxa" w:w="2268"/>
            <w:shd w:fill="FFF2CC" w:val="clear"/>
          </w:tcPr>
          <w:p>
            <w:r>
              <w:rPr>
                <w:b/>
                <w:color w:val="503200"/>
                <w:sz w:val="16"/>
              </w:rPr>
              <w:t xml:space="preserve">Cours actuel : </w:t>
            </w:r>
            <w:r>
              <w:rPr>
                <w:color w:val="000000"/>
                <w:sz w:val="17"/>
              </w:rPr>
              <w:t>16,800 FCFA</w:t>
            </w:r>
          </w:p>
          <w:p>
            <w:r>
              <w:rPr>
                <w:b/>
                <w:color w:val="503200"/>
                <w:sz w:val="16"/>
              </w:rPr>
              <w:t xml:space="preserve">Var. 100 jours : </w:t>
            </w:r>
            <w:r>
              <w:rPr>
                <w:b/>
                <w:color w:val="007800"/>
                <w:sz w:val="17"/>
              </w:rPr>
              <w:t>+3.07%</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2.70% (Faible) — μ=16,590 FCFA, σ=449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β=0.2652 (Défensif) — Cov=0.000019, Var(idx)=0.000073, ρ=0.132,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4,147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σ_j=1.71%/j (Stable) — Vol. annualisée≈27.2%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16,403</w:t>
            </w:r>
          </w:p>
        </w:tc>
        <w:tc>
          <w:tcPr>
            <w:tcW w:type="dxa" w:w="1440"/>
            <w:shd w:fill="FAFAFA" w:val="clear"/>
          </w:tcPr>
          <w:p>
            <w:r>
              <w:rPr>
                <w:b/>
                <w:sz w:val="17"/>
              </w:rPr>
              <w:t>16,826</w:t>
            </w:r>
          </w:p>
        </w:tc>
        <w:tc>
          <w:tcPr>
            <w:tcW w:type="dxa" w:w="1440"/>
            <w:shd w:fill="FAFAFA" w:val="clear"/>
          </w:tcPr>
          <w:p>
            <w:r>
              <w:rPr>
                <w:sz w:val="17"/>
              </w:rPr>
              <w:t>17,248</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16,243</w:t>
            </w:r>
          </w:p>
        </w:tc>
        <w:tc>
          <w:tcPr>
            <w:tcW w:type="dxa" w:w="1440"/>
            <w:shd w:fill="FAFAFA" w:val="clear"/>
          </w:tcPr>
          <w:p>
            <w:r>
              <w:rPr>
                <w:b/>
                <w:sz w:val="17"/>
              </w:rPr>
              <w:t>16,841</w:t>
            </w:r>
          </w:p>
        </w:tc>
        <w:tc>
          <w:tcPr>
            <w:tcW w:type="dxa" w:w="1440"/>
            <w:shd w:fill="FAFAFA" w:val="clear"/>
          </w:tcPr>
          <w:p>
            <w:r>
              <w:rPr>
                <w:sz w:val="17"/>
              </w:rPr>
              <w:t>17,439</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16,122</w:t>
            </w:r>
          </w:p>
        </w:tc>
        <w:tc>
          <w:tcPr>
            <w:tcW w:type="dxa" w:w="1440"/>
            <w:shd w:fill="FAFAFA" w:val="clear"/>
          </w:tcPr>
          <w:p>
            <w:r>
              <w:rPr>
                <w:b/>
                <w:sz w:val="17"/>
              </w:rPr>
              <w:t>16,856</w:t>
            </w:r>
          </w:p>
        </w:tc>
        <w:tc>
          <w:tcPr>
            <w:tcW w:type="dxa" w:w="1440"/>
            <w:shd w:fill="FAFAFA" w:val="clear"/>
          </w:tcPr>
          <w:p>
            <w:r>
              <w:rPr>
                <w:sz w:val="17"/>
              </w:rPr>
              <w:t>17,589</w:t>
            </w:r>
          </w:p>
        </w:tc>
        <w:tc>
          <w:tcPr>
            <w:tcW w:type="dxa" w:w="1440"/>
            <w:shd w:fill="FAFAFA" w:val="clear"/>
          </w:tcPr>
          <w:p>
            <w:r>
              <w:rPr>
                <w:b/>
                <w:color w:val="008000"/>
                <w:sz w:val="17"/>
              </w:rPr>
              <w:t>+0.3%</w:t>
            </w:r>
          </w:p>
        </w:tc>
      </w:tr>
      <w:tr>
        <w:tc>
          <w:tcPr>
            <w:tcW w:type="dxa" w:w="1440"/>
            <w:shd w:fill="FAFAFA" w:val="clear"/>
          </w:tcPr>
          <w:p>
            <w:r>
              <w:rPr>
                <w:sz w:val="17"/>
              </w:rPr>
              <w:t>J+4  Moyenne</w:t>
            </w:r>
          </w:p>
        </w:tc>
        <w:tc>
          <w:tcPr>
            <w:tcW w:type="dxa" w:w="1440"/>
            <w:shd w:fill="FAFAFA" w:val="clear"/>
          </w:tcPr>
          <w:p>
            <w:r>
              <w:rPr>
                <w:sz w:val="17"/>
              </w:rPr>
              <w:t>2026-10-15</w:t>
            </w:r>
          </w:p>
        </w:tc>
        <w:tc>
          <w:tcPr>
            <w:tcW w:type="dxa" w:w="1440"/>
            <w:shd w:fill="FAFAFA" w:val="clear"/>
          </w:tcPr>
          <w:p>
            <w:r>
              <w:rPr>
                <w:sz w:val="17"/>
              </w:rPr>
              <w:t>16,022</w:t>
            </w:r>
          </w:p>
        </w:tc>
        <w:tc>
          <w:tcPr>
            <w:tcW w:type="dxa" w:w="1440"/>
            <w:shd w:fill="FAFAFA" w:val="clear"/>
          </w:tcPr>
          <w:p>
            <w:r>
              <w:rPr>
                <w:b/>
                <w:sz w:val="17"/>
              </w:rPr>
              <w:t>16,870</w:t>
            </w:r>
          </w:p>
        </w:tc>
        <w:tc>
          <w:tcPr>
            <w:tcW w:type="dxa" w:w="1440"/>
            <w:shd w:fill="FAFAFA" w:val="clear"/>
          </w:tcPr>
          <w:p>
            <w:r>
              <w:rPr>
                <w:sz w:val="17"/>
              </w:rPr>
              <w:t>17,717</w:t>
            </w:r>
          </w:p>
        </w:tc>
        <w:tc>
          <w:tcPr>
            <w:tcW w:type="dxa" w:w="1440"/>
            <w:shd w:fill="FAFAFA" w:val="clear"/>
          </w:tcPr>
          <w:p>
            <w:r>
              <w:rPr>
                <w:b/>
                <w:color w:val="008000"/>
                <w:sz w:val="17"/>
              </w:rPr>
              <w:t>+0.4%</w:t>
            </w:r>
          </w:p>
        </w:tc>
      </w:tr>
      <w:tr>
        <w:tc>
          <w:tcPr>
            <w:tcW w:type="dxa" w:w="1440"/>
            <w:shd w:fill="FAFAFA" w:val="clear"/>
          </w:tcPr>
          <w:p>
            <w:r>
              <w:rPr>
                <w:sz w:val="17"/>
              </w:rPr>
              <w:t>J+5  Moyenne</w:t>
            </w:r>
          </w:p>
        </w:tc>
        <w:tc>
          <w:tcPr>
            <w:tcW w:type="dxa" w:w="1440"/>
            <w:shd w:fill="FAFAFA" w:val="clear"/>
          </w:tcPr>
          <w:p>
            <w:r>
              <w:rPr>
                <w:sz w:val="17"/>
              </w:rPr>
              <w:t>2026-10-16</w:t>
            </w:r>
          </w:p>
        </w:tc>
        <w:tc>
          <w:tcPr>
            <w:tcW w:type="dxa" w:w="1440"/>
            <w:shd w:fill="FAFAFA" w:val="clear"/>
          </w:tcPr>
          <w:p>
            <w:r>
              <w:rPr>
                <w:sz w:val="17"/>
              </w:rPr>
              <w:t>15,935</w:t>
            </w:r>
          </w:p>
        </w:tc>
        <w:tc>
          <w:tcPr>
            <w:tcW w:type="dxa" w:w="1440"/>
            <w:shd w:fill="FAFAFA" w:val="clear"/>
          </w:tcPr>
          <w:p>
            <w:r>
              <w:rPr>
                <w:b/>
                <w:sz w:val="17"/>
              </w:rPr>
              <w:t>16,883</w:t>
            </w:r>
          </w:p>
        </w:tc>
        <w:tc>
          <w:tcPr>
            <w:tcW w:type="dxa" w:w="1440"/>
            <w:shd w:fill="FAFAFA" w:val="clear"/>
          </w:tcPr>
          <w:p>
            <w:r>
              <w:rPr>
                <w:sz w:val="17"/>
              </w:rPr>
              <w:t>17,831</w:t>
            </w:r>
          </w:p>
        </w:tc>
        <w:tc>
          <w:tcPr>
            <w:tcW w:type="dxa" w:w="1440"/>
            <w:shd w:fill="FAFAFA" w:val="clear"/>
          </w:tcPr>
          <w:p>
            <w:r>
              <w:rPr>
                <w:b/>
                <w:color w:val="008000"/>
                <w:sz w:val="17"/>
              </w:rPr>
              <w:t>+0.5%</w:t>
            </w:r>
          </w:p>
        </w:tc>
      </w:tr>
      <w:tr>
        <w:tc>
          <w:tcPr>
            <w:tcW w:type="dxa" w:w="1440"/>
            <w:shd w:fill="FAFAFA" w:val="clear"/>
          </w:tcPr>
          <w:p>
            <w:r>
              <w:rPr>
                <w:sz w:val="17"/>
              </w:rPr>
              <w:t>J+6  Moyenne</w:t>
            </w:r>
          </w:p>
        </w:tc>
        <w:tc>
          <w:tcPr>
            <w:tcW w:type="dxa" w:w="1440"/>
            <w:shd w:fill="FAFAFA" w:val="clear"/>
          </w:tcPr>
          <w:p>
            <w:r>
              <w:rPr>
                <w:sz w:val="17"/>
              </w:rPr>
              <w:t>2026-10-19</w:t>
            </w:r>
          </w:p>
        </w:tc>
        <w:tc>
          <w:tcPr>
            <w:tcW w:type="dxa" w:w="1440"/>
            <w:shd w:fill="FAFAFA" w:val="clear"/>
          </w:tcPr>
          <w:p>
            <w:r>
              <w:rPr>
                <w:sz w:val="17"/>
              </w:rPr>
              <w:t>15,858</w:t>
            </w:r>
          </w:p>
        </w:tc>
        <w:tc>
          <w:tcPr>
            <w:tcW w:type="dxa" w:w="1440"/>
            <w:shd w:fill="FAFAFA" w:val="clear"/>
          </w:tcPr>
          <w:p>
            <w:r>
              <w:rPr>
                <w:b/>
                <w:sz w:val="17"/>
              </w:rPr>
              <w:t>16,897</w:t>
            </w:r>
          </w:p>
        </w:tc>
        <w:tc>
          <w:tcPr>
            <w:tcW w:type="dxa" w:w="1440"/>
            <w:shd w:fill="FAFAFA" w:val="clear"/>
          </w:tcPr>
          <w:p>
            <w:r>
              <w:rPr>
                <w:sz w:val="17"/>
              </w:rPr>
              <w:t>17,936</w:t>
            </w:r>
          </w:p>
        </w:tc>
        <w:tc>
          <w:tcPr>
            <w:tcW w:type="dxa" w:w="1440"/>
            <w:shd w:fill="FAFAFA" w:val="clear"/>
          </w:tcPr>
          <w:p>
            <w:r>
              <w:rPr>
                <w:b/>
                <w:color w:val="008000"/>
                <w:sz w:val="17"/>
              </w:rPr>
              <w:t>+0.6%</w:t>
            </w:r>
          </w:p>
        </w:tc>
      </w:tr>
      <w:tr>
        <w:tc>
          <w:tcPr>
            <w:tcW w:type="dxa" w:w="1440"/>
            <w:shd w:fill="FAFAFA" w:val="clear"/>
          </w:tcPr>
          <w:p>
            <w:r>
              <w:rPr>
                <w:sz w:val="17"/>
              </w:rPr>
              <w:t>J+7  Moyenne</w:t>
            </w:r>
          </w:p>
        </w:tc>
        <w:tc>
          <w:tcPr>
            <w:tcW w:type="dxa" w:w="1440"/>
            <w:shd w:fill="FAFAFA" w:val="clear"/>
          </w:tcPr>
          <w:p>
            <w:r>
              <w:rPr>
                <w:sz w:val="17"/>
              </w:rPr>
              <w:t>2026-10-20</w:t>
            </w:r>
          </w:p>
        </w:tc>
        <w:tc>
          <w:tcPr>
            <w:tcW w:type="dxa" w:w="1440"/>
            <w:shd w:fill="FAFAFA" w:val="clear"/>
          </w:tcPr>
          <w:p>
            <w:r>
              <w:rPr>
                <w:sz w:val="17"/>
              </w:rPr>
              <w:t>15,787</w:t>
            </w:r>
          </w:p>
        </w:tc>
        <w:tc>
          <w:tcPr>
            <w:tcW w:type="dxa" w:w="1440"/>
            <w:shd w:fill="FAFAFA" w:val="clear"/>
          </w:tcPr>
          <w:p>
            <w:r>
              <w:rPr>
                <w:b/>
                <w:sz w:val="17"/>
              </w:rPr>
              <w:t>16,910</w:t>
            </w:r>
          </w:p>
        </w:tc>
        <w:tc>
          <w:tcPr>
            <w:tcW w:type="dxa" w:w="1440"/>
            <w:shd w:fill="FAFAFA" w:val="clear"/>
          </w:tcPr>
          <w:p>
            <w:r>
              <w:rPr>
                <w:sz w:val="17"/>
              </w:rPr>
              <w:t>18,034</w:t>
            </w:r>
          </w:p>
        </w:tc>
        <w:tc>
          <w:tcPr>
            <w:tcW w:type="dxa" w:w="1440"/>
            <w:shd w:fill="FAFAFA" w:val="clear"/>
          </w:tcPr>
          <w:p>
            <w:r>
              <w:rPr>
                <w:b/>
                <w:color w:val="008000"/>
                <w:sz w:val="17"/>
              </w:rPr>
              <w:t>+0.7%</w:t>
            </w:r>
          </w:p>
        </w:tc>
      </w:tr>
      <w:tr>
        <w:tc>
          <w:tcPr>
            <w:tcW w:type="dxa" w:w="1440"/>
            <w:shd w:fill="FAFAFA" w:val="clear"/>
          </w:tcPr>
          <w:p>
            <w:r>
              <w:rPr>
                <w:sz w:val="17"/>
              </w:rPr>
              <w:t>J+8  Moyenne</w:t>
            </w:r>
          </w:p>
        </w:tc>
        <w:tc>
          <w:tcPr>
            <w:tcW w:type="dxa" w:w="1440"/>
            <w:shd w:fill="FAFAFA" w:val="clear"/>
          </w:tcPr>
          <w:p>
            <w:r>
              <w:rPr>
                <w:sz w:val="17"/>
              </w:rPr>
              <w:t>2026-10-21</w:t>
            </w:r>
          </w:p>
        </w:tc>
        <w:tc>
          <w:tcPr>
            <w:tcW w:type="dxa" w:w="1440"/>
            <w:shd w:fill="FAFAFA" w:val="clear"/>
          </w:tcPr>
          <w:p>
            <w:r>
              <w:rPr>
                <w:sz w:val="17"/>
              </w:rPr>
              <w:t>15,721</w:t>
            </w:r>
          </w:p>
        </w:tc>
        <w:tc>
          <w:tcPr>
            <w:tcW w:type="dxa" w:w="1440"/>
            <w:shd w:fill="FAFAFA" w:val="clear"/>
          </w:tcPr>
          <w:p>
            <w:r>
              <w:rPr>
                <w:b/>
                <w:sz w:val="17"/>
              </w:rPr>
              <w:t>16,923</w:t>
            </w:r>
          </w:p>
        </w:tc>
        <w:tc>
          <w:tcPr>
            <w:tcW w:type="dxa" w:w="1440"/>
            <w:shd w:fill="FAFAFA" w:val="clear"/>
          </w:tcPr>
          <w:p>
            <w:r>
              <w:rPr>
                <w:sz w:val="17"/>
              </w:rPr>
              <w:t>18,125</w:t>
            </w:r>
          </w:p>
        </w:tc>
        <w:tc>
          <w:tcPr>
            <w:tcW w:type="dxa" w:w="1440"/>
            <w:shd w:fill="FAFAFA" w:val="clear"/>
          </w:tcPr>
          <w:p>
            <w:r>
              <w:rPr>
                <w:b/>
                <w:color w:val="008000"/>
                <w:sz w:val="17"/>
              </w:rPr>
              <w:t>+0.7%</w:t>
            </w:r>
          </w:p>
        </w:tc>
      </w:tr>
      <w:tr>
        <w:tc>
          <w:tcPr>
            <w:tcW w:type="dxa" w:w="1440"/>
            <w:shd w:fill="FAFAFA" w:val="clear"/>
          </w:tcPr>
          <w:p>
            <w:r>
              <w:rPr>
                <w:sz w:val="17"/>
              </w:rPr>
              <w:t>J+9  Moyenne</w:t>
            </w:r>
          </w:p>
        </w:tc>
        <w:tc>
          <w:tcPr>
            <w:tcW w:type="dxa" w:w="1440"/>
            <w:shd w:fill="FAFAFA" w:val="clear"/>
          </w:tcPr>
          <w:p>
            <w:r>
              <w:rPr>
                <w:sz w:val="17"/>
              </w:rPr>
              <w:t>2026-10-22</w:t>
            </w:r>
          </w:p>
        </w:tc>
        <w:tc>
          <w:tcPr>
            <w:tcW w:type="dxa" w:w="1440"/>
            <w:shd w:fill="FAFAFA" w:val="clear"/>
          </w:tcPr>
          <w:p>
            <w:r>
              <w:rPr>
                <w:sz w:val="17"/>
              </w:rPr>
              <w:t>15,660</w:t>
            </w:r>
          </w:p>
        </w:tc>
        <w:tc>
          <w:tcPr>
            <w:tcW w:type="dxa" w:w="1440"/>
            <w:shd w:fill="FAFAFA" w:val="clear"/>
          </w:tcPr>
          <w:p>
            <w:r>
              <w:rPr>
                <w:b/>
                <w:sz w:val="17"/>
              </w:rPr>
              <w:t>16,936</w:t>
            </w:r>
          </w:p>
        </w:tc>
        <w:tc>
          <w:tcPr>
            <w:tcW w:type="dxa" w:w="1440"/>
            <w:shd w:fill="FAFAFA" w:val="clear"/>
          </w:tcPr>
          <w:p>
            <w:r>
              <w:rPr>
                <w:sz w:val="17"/>
              </w:rPr>
              <w:t>18,212</w:t>
            </w:r>
          </w:p>
        </w:tc>
        <w:tc>
          <w:tcPr>
            <w:tcW w:type="dxa" w:w="1440"/>
            <w:shd w:fill="FAFAFA" w:val="clear"/>
          </w:tcPr>
          <w:p>
            <w:r>
              <w:rPr>
                <w:b/>
                <w:color w:val="008000"/>
                <w:sz w:val="17"/>
              </w:rPr>
              <w:t>+0.8%</w:t>
            </w:r>
          </w:p>
        </w:tc>
      </w:tr>
      <w:tr>
        <w:tc>
          <w:tcPr>
            <w:tcW w:type="dxa" w:w="1440"/>
            <w:shd w:fill="FAFAFA" w:val="clear"/>
          </w:tcPr>
          <w:p>
            <w:r>
              <w:rPr>
                <w:sz w:val="17"/>
              </w:rPr>
              <w:t>J+10  Moyenne</w:t>
            </w:r>
          </w:p>
        </w:tc>
        <w:tc>
          <w:tcPr>
            <w:tcW w:type="dxa" w:w="1440"/>
            <w:shd w:fill="FAFAFA" w:val="clear"/>
          </w:tcPr>
          <w:p>
            <w:r>
              <w:rPr>
                <w:sz w:val="17"/>
              </w:rPr>
              <w:t>2026-10-23</w:t>
            </w:r>
          </w:p>
        </w:tc>
        <w:tc>
          <w:tcPr>
            <w:tcW w:type="dxa" w:w="1440"/>
            <w:shd w:fill="FAFAFA" w:val="clear"/>
          </w:tcPr>
          <w:p>
            <w:r>
              <w:rPr>
                <w:sz w:val="17"/>
              </w:rPr>
              <w:t>15,603</w:t>
            </w:r>
          </w:p>
        </w:tc>
        <w:tc>
          <w:tcPr>
            <w:tcW w:type="dxa" w:w="1440"/>
            <w:shd w:fill="FAFAFA" w:val="clear"/>
          </w:tcPr>
          <w:p>
            <w:r>
              <w:rPr>
                <w:b/>
                <w:sz w:val="17"/>
              </w:rPr>
              <w:t>16,949</w:t>
            </w:r>
          </w:p>
        </w:tc>
        <w:tc>
          <w:tcPr>
            <w:tcW w:type="dxa" w:w="1440"/>
            <w:shd w:fill="FAFAFA" w:val="clear"/>
          </w:tcPr>
          <w:p>
            <w:r>
              <w:rPr>
                <w:sz w:val="17"/>
              </w:rPr>
              <w:t>18,295</w:t>
            </w:r>
          </w:p>
        </w:tc>
        <w:tc>
          <w:tcPr>
            <w:tcW w:type="dxa" w:w="1440"/>
            <w:shd w:fill="FAFAFA" w:val="clear"/>
          </w:tcPr>
          <w:p>
            <w:r>
              <w:rPr>
                <w:b/>
                <w:color w:val="008000"/>
                <w:sz w:val="17"/>
              </w:rPr>
              <w:t>+0.9%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 RAPPORT D'ANALYSE FINANCIÈRE — ECOBANK CÔTE D'IVOIRE (ECOC)</w:t>
        <w:br/>
        <w:t>### BRVM | Secteur : Banque | 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**924,85 milliards FCFA**, ECOC figure parmi les valeurs les plus importantes de la BRVM, ce qui en fait un pilier de l'indice composite et un titre de référence pour les investisseurs institutionnels de la zone UEMOA. Le **BPA de 1 153 FCFA/action** signifie que chaque titre génère un bénéfice net de plus de mille francs, un niveau élevé qui traduit la forte rentabilité de la banque. Le **PER de 14,6x** se situe au-dessus de la moyenne du marché BRVM (généralement comprise entre 8 et 12x), signalant que les investisseurs acceptent de payer une prime pour la qualité et la régularité des résultats d'ECOC — la valorisation reste toutefois « modérée » au regard des standards internationaux du secteur bancaire. Le **P/B de 4,23x** indique que le marché valorise l'action à plus de quatre fois sa valeur comptable, une prime exigeante qui reflète la confiance dans la capacité bénéficiaire future mais qui laisse peu de marge d'erreur en cas de déception. Enfin, l'**EV/EBITDA de 14,2x** (fourchette 10-15x) confirme une valorisation élevée de la capacité opérationnelle, cohérente avec le positionnement premium du titre sur la place.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ECOC affiche une **variation totale de +3,07%**, avec une dernière séance (J-1) stable à **+0,00%**, le cours clôturant à **16 800 FCFA**. Le range de trading s'établit entre un plus haut de **17 725 FCFA** et un plus bas de **15 520 FCFA**, soit une amplitude d'environ 14% qui témoigne d'une dynamique haussière modérée mais réelle, le cours actuel se situant dans la partie supérieure de cette fourchette. La tendance générale est donc **légèrement haussière**, portée par la qualité des fondamentaux et l'anticipation du dividende. Les statistiques descriptives révèlent une distribution très équilibrée : la **moyenne (16 590 FCFA)** et la **médiane (16 620 FCFA)** sont quasi confondues, confirmant l'absence de valeurs extrêmes déformantes, tandis que le **mode à 16 800 FCFA** correspond exactement au cours actuel — un point d'équilibre technique significatif. L'**écart-type de 451 FCFA** avec un **coefficient de variation de 2,7%** indique une dispersion très faible du cours, gage de stabilité. Le **kurtosis de -0,201** (mésokurtique) et le **skewness de 0,127** (distribution symétrique) confirment un comportement proche d'une loi normale, sans risque marqué de pics extrêmes ni d'asymétrie directionnelle. La **volatilité annualisée de 27,2%** place le titre dans la catégorie des valeurs à volatilité **modérée** (15-30%), ce qui est rassurant pour un investisseur recherchant un compromis rendement/risque équilibré.</w:t>
      </w:r>
    </w:p>
    <w:p>
      <w:pPr>
        <w:spacing w:after="120" w:line="276" w:lineRule="auto"/>
      </w:pPr>
      <w:r>
        <w:t>---</w:t>
      </w:r>
    </w:p>
    <w:p>
      <w:pPr>
        <w:spacing w:after="120" w:line="276" w:lineRule="auto"/>
      </w:pPr>
      <w:r>
        <w:t>## PARTIE 2 : ANALYSE TECHNIQUE DÉTAILLÉE</w:t>
      </w:r>
    </w:p>
    <w:p>
      <w:pPr>
        <w:spacing w:after="120" w:line="276" w:lineRule="auto"/>
      </w:pPr>
      <w:r>
        <w:t>**Moyennes Mobiles** : La MM20 (16 903 FCFA) et la MM50 (16 743 FCFA) se situent toutes deux au-dessus du cours actuel (16 800 FCFA), mais la MM20 reste supérieure à la MM50, configuration classique de tendance haussière de fond. Le cours évoluant juste sous la MM20 mais au-dessus de la MM50, la décision technique affichée est **Achat**, suggérant un point d'entrée sur repli dans une dynamique positive.</w:t>
      </w:r>
    </w:p>
    <w:p>
      <w:pPr>
        <w:spacing w:after="120" w:line="276" w:lineRule="auto"/>
      </w:pPr>
      <w:r>
        <w:t>**Bandes de Bollinger** : Le cours (16 800 FCFA) se situe dans la partie médiane de la bande, entre la borne inférieure (16 560 FCFA) et la borne supérieure (17 246 FCFA), sans contact avec les extrêmes. Cette position centrale traduit une absence de pression directionnelle forte et justifie la décision **Neutre**, avec un potentiel de retour vers la borne haute si le momentum se renforce.</w:t>
      </w:r>
    </w:p>
    <w:p>
      <w:pPr>
        <w:spacing w:after="120" w:line="276" w:lineRule="auto"/>
      </w:pPr>
      <w:r>
        <w:t>**MACD** : La valeur du MACD (-34,387) est nettement inférieure à sa ligne de signal (-4,274), générant un histogramme négatif qui traduit un **momentum baissier de court terme**. La décision **Vente** est cohérente avec cette divergence négative, bien que l'écart reste contenu et puisse se résorber rapidement.</w:t>
      </w:r>
    </w:p>
    <w:p>
      <w:pPr>
        <w:spacing w:after="120" w:line="276" w:lineRule="auto"/>
      </w:pPr>
      <w:r>
        <w:t>**RSI** : À **43,849**, le RSI se situe dans la zone neutre (30-70), légèrement en dessous du seuil médian de 50, indiquant une absence de surchauffe mais aussi une certaine faiblesse relative. La décision **Neutre** est appropriée, le titre n'étant ni suracheté ni survendu.</w:t>
      </w:r>
    </w:p>
    <w:p>
      <w:pPr>
        <w:spacing w:after="120" w:line="276" w:lineRule="auto"/>
      </w:pPr>
      <w:r>
        <w:t>**Stochastique** : Le %K (36,697) est supérieur au %D (30,581), configuration haussière naissante, mais les deux lignes évoluent en zone basse, proche du seuil de survente (20). La décision **Neutre** reflète cette situation ambiguë où un croisement haussier pourrait se confirmer.</w:t>
      </w:r>
    </w:p>
    <w:p>
      <w:pPr>
        <w:spacing w:after="120" w:line="276" w:lineRule="auto"/>
      </w:pPr>
      <w:r>
        <w:t>**Conclusion technique** : Les indicateurs sont **majoritairement neutres avec une légère divergence baissière de court terme** (MACD négatif) compensée par une structure de fond haussière (MM20 &gt; MM50, décision Achat). Le titre évolue dans une zone d'équilibre, sans signal fort d'achat ou de vente, ce qui suggère une phase de consolidation avant une éventuelle reprise directionnelle.</w:t>
      </w:r>
    </w:p>
    <w:p>
      <w:pPr>
        <w:spacing w:after="120" w:line="276" w:lineRule="auto"/>
      </w:pPr>
      <w:r>
        <w:t>---</w:t>
      </w:r>
    </w:p>
    <w:p>
      <w:pPr>
        <w:spacing w:after="120" w:line="276" w:lineRule="auto"/>
      </w:pPr>
      <w:r>
        <w:t>## PARTIE 3 : ANALYSE FONDAMENTALE</w:t>
      </w:r>
    </w:p>
    <w:p>
      <w:pPr>
        <w:spacing w:after="120" w:line="276" w:lineRule="auto"/>
      </w:pPr>
      <w:r>
        <w:t>Les états financiers structurés de l'exercice **2025** révèlent une banque solide et rentable : le **Produit Net Bancaire (PNB) s'établit à 132,725 milliards FCFA**, le **résultat net à 63,482 milliards FCFA**, avec un **ROE exceptionnel de 29,04%** (largement supérieur au seuil de 15% considéré comme excellent) et un **ROA de 3,09%**, confirmant une création de valeur soutenue. Le **coefficient d'exploitation de 42,89%** place ECOC parmi les banques les plus efficaces du secteur (seuil d'excellence &lt; 50%), tandis que le **coût du risque de 1,36%** reste modéré, bien qu'en légère dégradation. La structure financière affiche une **autonomie financière de 10,64%** (faible mais caractéristique du modèle bancaire) et une **solvabilité générale de 111,91%**, garantissant la couverture des engagements. Le **taux de croissance du PNB de +8,51%** témoigne d'une dynamique commerciale positive. Les rapports narratifs confirment cette tendance : le **rapport annuel 2024 (publié le 31/12/2024)** faisait état d'un PNB de 122,3 Mds FCFA (+11%) et d'un résultat net de 57,5 Mds FCFA (+19,6%), avec un dividende brut de 804 FCFA/action. Le **rapport S1 2026 (publié le 26/08/2026)** montre toutefois un ralentissement : PNB de 64,078 Mds FCFA (+2,0%), résultat net de 26,408 Mds FCFA (-8,6%), pénalisé par un **coût du risque multiplié par 7,4** (5,197 Mds FCFA) sous l'effet d'un provisionnement prudent (créances en souffrance +21,5%, taux de couverture 90%). Le **rapport T1 2026 (publié le 15/04/2026)** confirme cette tendance avec un résultat net de 13,0 Mds FCFA (-1,6%) et un coefficient d'exploitation de 45,7%. Sur la base de ces éléments, on peut **estimer que l'exercice 2026 devrait afficher un résultat net annuel compris entre 52 et 56 milliards FCFA**, en repli par rapport à 2025, mais avec des fondamentaux toujours solides. La **recommandation fondamentale est CONSERVER** : la banque reste un dossier de qualité (ROE &gt; 25%, bilan en croissance, dépôts +15,1%), mais la montée du coût du risque et la contraction des revenus hors intérêts (-25,9%) nécessitent une surveillance accrue.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**équilibré mais sans signal fort**. Sur le plan de la **valorisation (Partie 0)**, les ratios PER (14,6x), P/B (4,23x) et EV/EBITDA (14,2x) indiquent une **valorisation exigeante**, voire légèrement surévaluée par rapport à la moyenne du marché BRVM, ce qui limite le potentiel de revalorisation à court terme. Le **comportement du cours (Partie 1)** est rassurant : tendance haussière modérée (+3,07%), volatilité contenue (CV 2,7%), distribution symétrique (skewness 0,127) et absence de risque de pics extrêmes (kurtosis -0,201), autant d'éléments favorables à une détention sereine. Les **signaux techniques (Partie 2)** sont mitigés : la structure de fond est haussière (MM20 &gt; MM50, décision Achat), mais le MACD négatif et le RSI sous 50 traduisent une pression baissière de court terme, plaidant pour une phase de consolidation. Les **fondamentaux (Partie 3)** restent solides malgré le ralentissement : ROE de 29,04% en 2025, coefficient d'exploitation de 42,89%, mais le coût du risque multiplié par 7,4 au S1 2026 constitue un point d'attention majeur. Les **prédictions IA (J+1 à J+10)** anticipent une trajectoire légèrement haussière (16 826 → 16 883 FCFA, soit +0,34% sur 10 jours), ce qui **confirme la tendance de fond** mais sans enthousiasme marqué. **En synthèse, la convergence des signaux est modérée** : la valorisation exigeante et le ralentissement des résultats sont compensés par la solidité du bilan, la stabilité du cours et une prédiction haussière modérée. **Recommandation finale : CONSERVER**, avec un **niveau de confiance Moyen** et un **risque global Moyen**. L'horizon d'investissement optimal est le **moyen terme (3-12 mois)**, en attendant la confirmation de la normalisation du coût du risque et la publication des résultats annuels 2026, qui pourraient justifier un passage à **ACHAT** si la tendance s'améliore.</w:t>
      </w:r>
    </w:p>
    <w:p/>
    <w:p/>
    <w:p>
      <w:pPr>
        <w:pStyle w:val="Heading3"/>
      </w:pPr>
      <w:r>
        <w:rPr>
          <w:color w:val="00467F"/>
        </w:rPr>
        <w:t>📎 DOCUMENTS &amp; COMMUNICATIONS OFFICIELS BRVM</w:t>
      </w:r>
    </w:p>
    <w:p>
      <w:r>
        <w:rPr>
          <w:i/>
          <w:color w:val="646464"/>
          <w:sz w:val="18"/>
        </w:rPr>
        <w:t>11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une rentabilit\u00e9 toujours \u00e9lev\u00e9e (ROE 26,9 %), un bilan solide et une forte collecte de d\u00e9p\u00f4ts, mais la baisse du r\u00e9sultat net et la mont\u00e9e du co\u00fbt du risque incitent \u00e0 la prudence. Le titre reste un dossier de qualit\u00e9 \u00e0 d\u00e9tenir dans l'attente de la normalisation du co\u00fbt du risque."}</w:t>
      </w:r>
    </w:p>
    <w:p>
      <w:pPr>
        <w:spacing w:before="40"/>
        <w:ind w:left="400"/>
      </w:pPr>
      <w:r>
        <w:rPr>
          <w:sz w:val="18"/>
        </w:rPr>
        <w:t>Au premier semestre 2026, Ecobank Côte d'Ivoire consolide la qualité de ses revenus et renforce sa résilience dans un contexte économique et réglementaire exigeant. Le Produit Net Bancaire progresse de 2,0 % à 64 078 millions de FCFA, porté par une hausse de 14,5 % de la marge nette d'intérêts qui compense la contraction de 25,9 % des produits hors intérêts. Le Résultat Net recule de 8,6 % à 26 408 millions de FCFA, sous l'effet d'un coût du risque multiplié par plus de sept, à 5 197 millions de FCFA, dans le cadre d'une politique volontairement prudente de provisionnement. Le bilan demeure solide et en croissance de 9,3 %, à 2 077 936 millions de FCFA, avec des dépôts clients en hausse de 1</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 'roe': '26,9 %', 'cout_du_risque': '5 197 millions de FCFA (+642,4 %)', 'depots_clientele': '1 754 701 millions de FCFA (+15,1 %)', 'prets_sur_depots': '56,3 %', 'charges_exploitation': '28 991 millions de FCFA (+2,9 %)', 'marge_nette_interets': '49 661 millions de FCFA (+14,5 %)', 'resultat_avant_impot': '29 890 millions de FCFA (-12,0 %)', 'produit_hors_interets': '14 417 millions de FCFA (-25,9 %)', 'creances_en_souffrance': '45 300 millions de FCFA (+21,5 %), taux de couverture de 90 %', 'credits_nets_clientele': '946 818 millions de FCFA (+2,4 %)', 'coefficient_exploitation': '45,2 %'}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41,2 %</w:t>
            </w:r>
          </w:p>
        </w:tc>
        <w:tc>
          <w:tcPr>
            <w:tcW w:type="dxa" w:w="2160"/>
          </w:tcPr>
          <w:p>
            <w:pPr>
              <w:ind w:left="100"/>
            </w:pPr>
            <w:r/>
            <w:r>
              <w:rPr>
                <w:b/>
                <w:sz w:val="16"/>
              </w:rPr>
              <w:t>total_actif</w:t>
              <w:br/>
            </w:r>
            <w:r>
              <w:rPr>
                <w:sz w:val="18"/>
              </w:rPr>
              <w:t>2 077 936 millions de FCFA</w:t>
            </w:r>
          </w:p>
        </w:tc>
      </w:tr>
      <w:tr>
        <w:tc>
          <w:tcPr>
            <w:tcW w:type="dxa" w:w="2160"/>
          </w:tcPr>
          <w:p>
            <w:r/>
            <w:r>
              <w:rPr>
                <w:b/>
                <w:sz w:val="16"/>
              </w:rPr>
              <w:t>resultat_net</w:t>
              <w:br/>
            </w:r>
            <w:r>
              <w:rPr>
                <w:sz w:val="18"/>
              </w:rPr>
              <w:t>26 408 millions de FCFA</w:t>
            </w:r>
          </w:p>
        </w:tc>
        <w:tc>
          <w:tcPr>
            <w:tcW w:type="dxa" w:w="2160"/>
          </w:tcPr>
          <w:p>
            <w:r/>
            <w:r>
              <w:rPr>
                <w:b/>
                <w:sz w:val="16"/>
              </w:rPr>
              <w:t>capitaux_propres</w:t>
              <w:br/>
            </w:r>
            <w:r>
              <w:rPr>
                <w:sz w:val="18"/>
              </w:rPr>
              <w:t>196 096 millions de FCFA</w:t>
            </w:r>
          </w:p>
        </w:tc>
        <w:tc>
          <w:tcPr>
            <w:tcW w:type="dxa" w:w="2160"/>
          </w:tcPr>
          <w:p>
            <w:r/>
            <w:r>
              <w:rPr>
                <w:b/>
                <w:sz w:val="16"/>
              </w:rPr>
              <w:t>chiffre_affaires</w:t>
              <w:br/>
            </w:r>
            <w:r>
              <w:rPr>
                <w:sz w:val="18"/>
              </w:rPr>
              <w:t>64 078 millions de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64 078 millions de FCFA (+2,0 %), croissance modérée mais de meilleure qualité</w:t>
      </w:r>
    </w:p>
    <w:p>
      <w:pPr>
        <w:pStyle w:val="ListBullet"/>
        <w:spacing w:before="20" w:after="20"/>
        <w:ind w:left="700"/>
      </w:pPr>
      <w:r>
        <w:rPr>
          <w:sz w:val="18"/>
        </w:rPr>
        <w:t>Marge nette d'intérêts en forte hausse de 14,5 % à 49 661 millions de FCFA, compensant la baisse de 25,9 % des produits hors intérêts</w:t>
      </w:r>
    </w:p>
    <w:p>
      <w:pPr>
        <w:pStyle w:val="ListBullet"/>
        <w:spacing w:before="20" w:after="20"/>
        <w:ind w:left="700"/>
      </w:pPr>
      <w:r>
        <w:rPr>
          <w:sz w:val="18"/>
        </w:rPr>
        <w:t>Résultat Net en repli de 8,6 % à 26 408 millions de FCFA, pénalisé par le coût du risque</w:t>
      </w:r>
    </w:p>
    <w:p>
      <w:pPr>
        <w:pStyle w:val="ListBullet"/>
        <w:spacing w:before="20" w:after="20"/>
        <w:ind w:left="700"/>
      </w:pPr>
      <w:r>
        <w:rPr>
          <w:sz w:val="18"/>
        </w:rPr>
        <w:t>Coût du risque multiplié par plus de sept à 5 197 millions de FCFA (+642,4 %) sous l'effet d'une approche prudente de provisionnement</w:t>
      </w:r>
    </w:p>
    <w:p>
      <w:pPr>
        <w:pStyle w:val="ListBullet"/>
        <w:spacing w:before="20" w:after="20"/>
        <w:ind w:left="700"/>
      </w:pPr>
      <w:r>
        <w:rPr>
          <w:sz w:val="18"/>
        </w:rPr>
        <w:t>Total bilan en progression de 9,3 % à 2 077 936 millions de FCFA, avec des dépôts clients en hausse de 15,1 % à 1 754 701 millions de FCFA</w:t>
      </w:r>
    </w:p>
    <w:p>
      <w:pPr>
        <w:pStyle w:val="ListBullet"/>
        <w:spacing w:before="20" w:after="20"/>
        <w:ind w:left="700"/>
      </w:pPr>
      <w:r>
        <w:rPr>
          <w:sz w:val="18"/>
        </w:rPr>
        <w:t>Crédits nets à la clientèle en croissance maîtrisée de 2,4 % à 946 818 millions de FCFA, ratio prêts/dépôts en baisse à 56,3 %</w:t>
      </w:r>
    </w:p>
    <w:p>
      <w:pPr>
        <w:spacing w:before="40"/>
        <w:ind w:left="400"/>
      </w:pPr>
      <w:r>
        <w:rPr>
          <w:b/>
          <w:color w:val="C05000"/>
          <w:sz w:val="18"/>
        </w:rPr>
        <w:t xml:space="preserve">⚠️ Risques : </w:t>
      </w:r>
      <w:r>
        <w:rPr>
          <w:sz w:val="18"/>
        </w:rPr>
        <w:t>["D\u00e9gradation de la qualit\u00e9 du portefeuille de cr\u00e9dits : cr\u00e9ances en souffrance en hausse de 21,5 % \u00e0 45 300 millions de FCFA et co\u00fbt du risque multipli\u00e9 par plus de sept", "Contraction de 25,9 % des produits hors int\u00e9r\u00eats (commissions, portefeuille de n\</w:t>
      </w:r>
    </w:p>
    <w:p>
      <w:pPr>
        <w:spacing w:before="40"/>
        <w:ind w:left="400"/>
      </w:pPr>
      <w:r>
        <w:rPr>
          <w:b/>
          <w:color w:val="0064A0"/>
          <w:sz w:val="18"/>
        </w:rPr>
        <w:t xml:space="preserve">🔮 Perspectives : </w:t>
      </w:r>
      <w:r>
        <w:rPr>
          <w:sz w:val="18"/>
        </w:rPr>
        <w:t>Ecobank Côte d'Ivoire confirme sa résilience et la pertinence de ses choix stratégiques dans un contexte macroéconomique incertain. La Banque poursuit l'exécution de sa feuille de route « Croissance, Transformation et Rentabilité », axée sur l'innovation, la digitalisation, l'amélioration de l'expér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
      <w:r>
        <w:t>════════════════════════════════════════════════════════════════════════════════</w:t>
      </w:r>
    </w:p>
    <w:p>
      <w:r>
        <w:br w:type="page"/>
      </w:r>
    </w:p>
    <w:p>
      <w:pPr>
        <w:pStyle w:val="Heading2"/>
        <w:spacing w:before="360"/>
      </w:pPr>
      <w:r>
        <w:rPr>
          <w:color w:val="0066CC"/>
        </w:rPr>
        <w:t>17.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1211.64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1,692,631 titres</w:t>
            </w:r>
          </w:p>
        </w:tc>
        <w:tc>
          <w:tcPr>
            <w:tcW w:type="dxa" w:w="2268"/>
            <w:shd w:fill="FFF2CC" w:val="clear"/>
          </w:tcPr>
          <w:p>
            <w:r>
              <w:rPr>
                <w:b/>
                <w:color w:val="503200"/>
                <w:sz w:val="16"/>
              </w:rPr>
              <w:t xml:space="preserve">Cours actuel : </w:t>
            </w:r>
            <w:r>
              <w:rPr>
                <w:color w:val="000000"/>
                <w:sz w:val="17"/>
              </w:rPr>
              <w:t>67 FCFA</w:t>
            </w:r>
          </w:p>
          <w:p>
            <w:r>
              <w:rPr>
                <w:b/>
                <w:color w:val="503200"/>
                <w:sz w:val="16"/>
              </w:rPr>
              <w:t xml:space="preserve">Var. 100 jours : </w:t>
            </w:r>
            <w:r>
              <w:rPr>
                <w:b/>
                <w:color w:val="007800"/>
                <w:sz w:val="17"/>
              </w:rPr>
              <w:t>+123.33%</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29 FCFA</w:t>
            </w:r>
          </w:p>
          <w:p>
            <w:r>
              <w:rPr>
                <w:b/>
                <w:color w:val="503200"/>
                <w:sz w:val="16"/>
              </w:rPr>
              <w:t xml:space="preserve">Volatilité ann. : </w:t>
            </w:r>
            <w:r>
              <w:rPr>
                <w:color w:val="000000"/>
                <w:sz w:val="17"/>
              </w:rPr>
              <w:t>62.0%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29.16% (Élevée) — μ=56 FCFA, σ=16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β=2.0095 (Très agressif) — Cov=0.000147, Var(idx)=0.000073, ρ=0.438,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1,692,631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σ_j=3.91%/j (Modérée) — Vol. annualisée≈62.0%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69353"/>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569353"/>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64</w:t>
            </w:r>
          </w:p>
        </w:tc>
        <w:tc>
          <w:tcPr>
            <w:tcW w:type="dxa" w:w="1440"/>
            <w:shd w:fill="FAFAFA" w:val="clear"/>
          </w:tcPr>
          <w:p>
            <w:r>
              <w:rPr>
                <w:b/>
                <w:sz w:val="17"/>
              </w:rPr>
              <w:t>67</w:t>
            </w:r>
          </w:p>
        </w:tc>
        <w:tc>
          <w:tcPr>
            <w:tcW w:type="dxa" w:w="1440"/>
            <w:shd w:fill="FAFAFA" w:val="clear"/>
          </w:tcPr>
          <w:p>
            <w:r>
              <w:rPr>
                <w:sz w:val="17"/>
              </w:rPr>
              <w:t>70</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63</w:t>
            </w:r>
          </w:p>
        </w:tc>
        <w:tc>
          <w:tcPr>
            <w:tcW w:type="dxa" w:w="1440"/>
            <w:shd w:fill="FAFAFA" w:val="clear"/>
          </w:tcPr>
          <w:p>
            <w:r>
              <w:rPr>
                <w:b/>
                <w:sz w:val="17"/>
              </w:rPr>
              <w:t>66</w:t>
            </w:r>
          </w:p>
        </w:tc>
        <w:tc>
          <w:tcPr>
            <w:tcW w:type="dxa" w:w="1440"/>
            <w:shd w:fill="FAFAFA" w:val="clear"/>
          </w:tcPr>
          <w:p>
            <w:r>
              <w:rPr>
                <w:sz w:val="17"/>
              </w:rPr>
              <w:t>70</w:t>
            </w:r>
          </w:p>
        </w:tc>
        <w:tc>
          <w:tcPr>
            <w:tcW w:type="dxa" w:w="1440"/>
            <w:shd w:fill="FAFAFA" w:val="clear"/>
          </w:tcPr>
          <w:p>
            <w:r>
              <w:rPr>
                <w:b/>
                <w:color w:val="C00000"/>
                <w:sz w:val="17"/>
              </w:rPr>
              <w:t>-0.7%</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61</w:t>
            </w:r>
          </w:p>
        </w:tc>
        <w:tc>
          <w:tcPr>
            <w:tcW w:type="dxa" w:w="1440"/>
            <w:shd w:fill="FAFAFA" w:val="clear"/>
          </w:tcPr>
          <w:p>
            <w:r>
              <w:rPr>
                <w:b/>
                <w:sz w:val="17"/>
              </w:rPr>
              <w:t>66</w:t>
            </w:r>
          </w:p>
        </w:tc>
        <w:tc>
          <w:tcPr>
            <w:tcW w:type="dxa" w:w="1440"/>
            <w:shd w:fill="FAFAFA" w:val="clear"/>
          </w:tcPr>
          <w:p>
            <w:r>
              <w:rPr>
                <w:sz w:val="17"/>
              </w:rPr>
              <w:t>71</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61</w:t>
            </w:r>
          </w:p>
        </w:tc>
        <w:tc>
          <w:tcPr>
            <w:tcW w:type="dxa" w:w="1440"/>
            <w:shd w:fill="FAFAFA" w:val="clear"/>
          </w:tcPr>
          <w:p>
            <w:r>
              <w:rPr>
                <w:b/>
                <w:sz w:val="17"/>
              </w:rPr>
              <w:t>66</w:t>
            </w:r>
          </w:p>
        </w:tc>
        <w:tc>
          <w:tcPr>
            <w:tcW w:type="dxa" w:w="1440"/>
            <w:shd w:fill="FAFAFA" w:val="clear"/>
          </w:tcPr>
          <w:p>
            <w:r>
              <w:rPr>
                <w:sz w:val="17"/>
              </w:rPr>
              <w:t>72</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60</w:t>
            </w:r>
          </w:p>
        </w:tc>
        <w:tc>
          <w:tcPr>
            <w:tcW w:type="dxa" w:w="1440"/>
            <w:shd w:fill="FAFAFA" w:val="clear"/>
          </w:tcPr>
          <w:p>
            <w:r>
              <w:rPr>
                <w:b/>
                <w:sz w:val="17"/>
              </w:rPr>
              <w:t>66</w:t>
            </w:r>
          </w:p>
        </w:tc>
        <w:tc>
          <w:tcPr>
            <w:tcW w:type="dxa" w:w="1440"/>
            <w:shd w:fill="FAFAFA" w:val="clear"/>
          </w:tcPr>
          <w:p>
            <w:r>
              <w:rPr>
                <w:sz w:val="17"/>
              </w:rPr>
              <w:t>72</w:t>
            </w:r>
          </w:p>
        </w:tc>
        <w:tc>
          <w:tcPr>
            <w:tcW w:type="dxa" w:w="1440"/>
            <w:shd w:fill="FAFAFA" w:val="clear"/>
          </w:tcPr>
          <w:p>
            <w:r>
              <w:rPr>
                <w:b/>
                <w:color w:val="C00000"/>
                <w:sz w:val="17"/>
              </w:rPr>
              <w:t>-1.6%</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59</w:t>
            </w:r>
          </w:p>
        </w:tc>
        <w:tc>
          <w:tcPr>
            <w:tcW w:type="dxa" w:w="1440"/>
            <w:shd w:fill="FAFAFA" w:val="clear"/>
          </w:tcPr>
          <w:p>
            <w:r>
              <w:rPr>
                <w:b/>
                <w:sz w:val="17"/>
              </w:rPr>
              <w:t>66</w:t>
            </w:r>
          </w:p>
        </w:tc>
        <w:tc>
          <w:tcPr>
            <w:tcW w:type="dxa" w:w="1440"/>
            <w:shd w:fill="FAFAFA" w:val="clear"/>
          </w:tcPr>
          <w:p>
            <w:r>
              <w:rPr>
                <w:sz w:val="17"/>
              </w:rPr>
              <w:t>73</w:t>
            </w:r>
          </w:p>
        </w:tc>
        <w:tc>
          <w:tcPr>
            <w:tcW w:type="dxa" w:w="1440"/>
            <w:shd w:fill="FAFAFA" w:val="clear"/>
          </w:tcPr>
          <w:p>
            <w:r>
              <w:rPr>
                <w:b/>
                <w:color w:val="C00000"/>
                <w:sz w:val="17"/>
              </w:rPr>
              <w:t>-1.8%</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58</w:t>
            </w:r>
          </w:p>
        </w:tc>
        <w:tc>
          <w:tcPr>
            <w:tcW w:type="dxa" w:w="1440"/>
            <w:shd w:fill="FAFAFA" w:val="clear"/>
          </w:tcPr>
          <w:p>
            <w:r>
              <w:rPr>
                <w:b/>
                <w:sz w:val="17"/>
              </w:rPr>
              <w:t>66</w:t>
            </w:r>
          </w:p>
        </w:tc>
        <w:tc>
          <w:tcPr>
            <w:tcW w:type="dxa" w:w="1440"/>
            <w:shd w:fill="FAFAFA" w:val="clear"/>
          </w:tcPr>
          <w:p>
            <w:r>
              <w:rPr>
                <w:sz w:val="17"/>
              </w:rPr>
              <w:t>73</w:t>
            </w:r>
          </w:p>
        </w:tc>
        <w:tc>
          <w:tcPr>
            <w:tcW w:type="dxa" w:w="1440"/>
            <w:shd w:fill="FAFAFA" w:val="clear"/>
          </w:tcPr>
          <w:p>
            <w:r>
              <w:rPr>
                <w:b/>
                <w:color w:val="C00000"/>
                <w:sz w:val="17"/>
              </w:rPr>
              <w:t>-1.9%</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58</w:t>
            </w:r>
          </w:p>
        </w:tc>
        <w:tc>
          <w:tcPr>
            <w:tcW w:type="dxa" w:w="1440"/>
            <w:shd w:fill="FFDCE0" w:val="clear"/>
          </w:tcPr>
          <w:p>
            <w:r>
              <w:rPr>
                <w:b/>
                <w:sz w:val="17"/>
              </w:rPr>
              <w:t>66</w:t>
            </w:r>
          </w:p>
        </w:tc>
        <w:tc>
          <w:tcPr>
            <w:tcW w:type="dxa" w:w="1440"/>
            <w:shd w:fill="FFDCE0" w:val="clear"/>
          </w:tcPr>
          <w:p>
            <w:r>
              <w:rPr>
                <w:sz w:val="17"/>
              </w:rPr>
              <w:t>73</w:t>
            </w:r>
          </w:p>
        </w:tc>
        <w:tc>
          <w:tcPr>
            <w:tcW w:type="dxa" w:w="1440"/>
            <w:shd w:fill="FFDCE0" w:val="clear"/>
          </w:tcPr>
          <w:p>
            <w:r>
              <w:rPr>
                <w:b/>
                <w:color w:val="C00000"/>
                <w:sz w:val="17"/>
              </w:rPr>
              <w:t>-2.0%</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57</w:t>
            </w:r>
          </w:p>
        </w:tc>
        <w:tc>
          <w:tcPr>
            <w:tcW w:type="dxa" w:w="1440"/>
            <w:shd w:fill="FFDCE0" w:val="clear"/>
          </w:tcPr>
          <w:p>
            <w:r>
              <w:rPr>
                <w:b/>
                <w:sz w:val="17"/>
              </w:rPr>
              <w:t>66</w:t>
            </w:r>
          </w:p>
        </w:tc>
        <w:tc>
          <w:tcPr>
            <w:tcW w:type="dxa" w:w="1440"/>
            <w:shd w:fill="FFDCE0" w:val="clear"/>
          </w:tcPr>
          <w:p>
            <w:r>
              <w:rPr>
                <w:sz w:val="17"/>
              </w:rPr>
              <w:t>74</w:t>
            </w:r>
          </w:p>
        </w:tc>
        <w:tc>
          <w:tcPr>
            <w:tcW w:type="dxa" w:w="1440"/>
            <w:shd w:fill="FFDCE0" w:val="clear"/>
          </w:tcPr>
          <w:p>
            <w:r>
              <w:rPr>
                <w:b/>
                <w:color w:val="C00000"/>
                <w:sz w:val="17"/>
              </w:rPr>
              <w:t>-2.1%</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57</w:t>
            </w:r>
          </w:p>
        </w:tc>
        <w:tc>
          <w:tcPr>
            <w:tcW w:type="dxa" w:w="1440"/>
            <w:shd w:fill="FFDCE0" w:val="clear"/>
          </w:tcPr>
          <w:p>
            <w:r>
              <w:rPr>
                <w:b/>
                <w:sz w:val="17"/>
              </w:rPr>
              <w:t>66</w:t>
            </w:r>
          </w:p>
        </w:tc>
        <w:tc>
          <w:tcPr>
            <w:tcW w:type="dxa" w:w="1440"/>
            <w:shd w:fill="FFDCE0" w:val="clear"/>
          </w:tcPr>
          <w:p>
            <w:r>
              <w:rPr>
                <w:sz w:val="17"/>
              </w:rPr>
              <w:t>74</w:t>
            </w:r>
          </w:p>
        </w:tc>
        <w:tc>
          <w:tcPr>
            <w:tcW w:type="dxa" w:w="1440"/>
            <w:shd w:fill="FFDCE0" w:val="clear"/>
          </w:tcPr>
          <w:p>
            <w:r>
              <w:rPr>
                <w:b/>
                <w:color w:val="C00000"/>
                <w:sz w:val="17"/>
              </w:rPr>
              <w:t>-2.2%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1 211,64 milliards FCFA, ETIT figure parmi les poids lourds de la cote BRVM, ce qui en fait un titre incontournable pour les investisseurs institutionnels régionaux. Le BPA de 19 FCFA/action indique que chaque titre génère près de 19 FCFA de bénéfice net, tandis que le PER de 3,5x traduit une valorisation très bon marché comparée à la moyenne du marché BRVM (8-12x), suggérant une sous-évaluation potentielle ou une décote liée aux risques perçus. Le P/B de 0,76x (&lt; 1) signifie que le marché valorise l'action en dessous de sa valeur comptable, ce qui constitue historiquement une opportunité d'achat pour les investisseurs value. Enfin, l'EV/EBITDA de 5,0x, inférieur au seuil de 5x, confirme que la valeur d'entreprise reste modérée au regard de la capacité opérationnelle dégagée, renforçant le profil attractif du titre sur le plan fondamental.</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ETIT a enregistré une progression spectaculaire de +123,33%, passant d'un plus bas de 29 FCFA à un plus haut de 78 FCFA, avant de clôturer à 67 FCFA, soit un repli marginal de -1,47% sur la dernière séance. Ce range de trading particulièrement large (29-78 FCFA) témoigne d'une tendance haussière puissante, bien que le titre semble marquer une pause après son rallye. Les statistiques descriptives révèlent une moyenne de 56 FCFA inférieure à la médiane de 66 FCFA, signe d'une distribution asymétrique tirée vers le bas par quelques séances de forte baisse, tandis que le mode à 68 FCFA indique que ce niveau de prix a été le plus fréquemment observé. L'écart-type de 16 FCFA (CV = 29,3%) traduit une dispersion élevée du cours, cohérente avec la volatilité annualisée de 62,0%, positionnant ETIT dans la catégorie des titres à volatilité élevée (&gt; 30%). Le kurtosis négatif (-1,343, distribution platykurtique) indique une faible concentration des rendements autour de la moyenne, avec un risque de pics de volatilité moins prononcé qu'une distribution normale, tandis que le skewness négatif (-0,662) confirme une asymétrie avec davantage de journées de performance supérieure à la moyenne, un signal globalement favorable malgré la correction récente.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(68,25 FCFA) et la MM50 (67,6 FCFA) se situent toutes deux légèrement au-dessus du cours actuel (67 FCFA), avec une MM20 supérieure à la MM50, configuration classique d'une tendance haussière de court terme. Le croisement des moyennes et leur positionnement suggèrent une dynamique positive, justifiant la décision d'**Achat** malgré le léger repli du cours sous ces niveaux.</w:t>
      </w:r>
    </w:p>
    <w:p>
      <w:pPr>
        <w:spacing w:after="120" w:line="276" w:lineRule="auto"/>
      </w:pPr>
      <w:r>
        <w:t>**Bandes de Bollinger** : Le cours (67 FCFA) évolue à l'intérieur des bandes, entre la borne inférieure (64,101 FCFA) et la borne supérieure (72,399 FCFA), sans test des extrêmes. Cette position médiane, couplée à un rétrécissement apparent des bandes, indique une phase de consolidation avec volatilité modérée, justifiant la décision **Neutre** dans l'attente d'un signal directionnel clair.</w:t>
      </w:r>
    </w:p>
    <w:p>
      <w:pPr>
        <w:spacing w:after="120" w:line="276" w:lineRule="auto"/>
      </w:pPr>
      <w:r>
        <w:t>**MACD** : La valeur du MACD (-0,38) est inférieure à son signal (-0,108), générant un croisement baissier qui traduit un momentum négatif de court terme. Cette divergence suggère une pression vendeuse persistante, justifiant la décision de **Vente** à court terme, bien que l'ampleur reste limitée.</w:t>
      </w:r>
    </w:p>
    <w:p>
      <w:pPr>
        <w:spacing w:after="120" w:line="276" w:lineRule="auto"/>
      </w:pPr>
      <w:r>
        <w:t>**RSI** : À 42,105, le RSI se situe en zone neutre (30-70), sans signal de surachat (&gt; 70) ni de survente (&lt; 30). Cette position médiane indique un équilibre entre acheteurs et vendeurs, justifiant la décision **Neutre** et l'absence de signal fort.</w:t>
      </w:r>
    </w:p>
    <w:p>
      <w:pPr>
        <w:spacing w:after="120" w:line="276" w:lineRule="auto"/>
      </w:pPr>
      <w:r>
        <w:t>**Stochastique** : Le %K (50,0) et le %D (50,0) sont parfaitement alignés à 50, sans croisement ni divergence, ce qui traduit une absence de momentum directionnel clair. Cette configuration neutre justifie la décision **Neutre**, le titre évoluant sans biais marqué.</w:t>
      </w:r>
    </w:p>
    <w:p>
      <w:pPr>
        <w:spacing w:after="120" w:line="276" w:lineRule="auto"/>
      </w:pPr>
      <w:r>
        <w:t>**Conclusion technique** : Les indicateurs techniques présentent un tableau mitigé, avec une tendance de fond haussière (MM) mais un momentum court terme négatif (MACD) et une absence de signal directionnel (RSI, Stochastique, Bollinger). Le titre semble en phase de consolidation après son rallye de +123%, et la prudence est de mise avant tout nouvel engagement.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états financiers consolidés d'ETIT (exercice clos) affichent un Produit Net Bancaire (PNB) de 1 424,261 milliards FCFA, un résultat net de 345,523 milliards FCFA, un ROE de 21,62% (excellent, &gt; 15%) et un ROA de 1,80%, confirmant la solidité et la rentabilité élevée du groupe. Le coefficient d'exploitation de 27,35% est remarquablement bas (&lt; 60%), témoignant d'une efficacité opérationnelle exceptionnelle, tandis que le coût du risque (provisions / charges financières) de 18,97% reste modéré mais à surveiller. La structure financière montre une autonomie financière de 8,30% (faible, typique des banques) et un ratio d'endettement de 154,06%, avec des dépôts clientèle de 14 120,139 milliards FCFA couvrant largement les créances clientèle de 6 570,385 milliards FCFA, signe d'une bonne transformation bancaire. Les rapports narratifs récents (S1 2026, publiés le 30 juillet 2026) indiquent un PNB de 721,318 milliards FCFA (+15% sur un an), un résultat net de 166,682 milliards FCFA (+6%) et un coefficient d'exploitation amélioré à 48,4%, mais avec une hausse préoccupante du coût du risque (+40%). Sur la base de ces tendances, on estime que l'exercice 2026 devrait enregistrer une croissance du PNB d'environ 12-15%, avec un résultat net en progression modérée de 5-8%, sous réserve de la maîtrise des provisions. Les rapports antérieurs (T3 2025, S1 2025) confirment une dynamique positive avec un ROE tangible de 31,2% et une marge nette de 25,9%, mais la dégradation récente du coût du risque constitue un point de vigilance majeur. En conclusion, ETIT présente des fondamentaux solides (ROE élevé, efficacité opérationnelle, valorisation attractive) mais fait face à des risques croissants liés à la qualité des actifs et à l'environnement macroéconomique, justifiant une recommandation de **CONSERVER** avec un biais positif à moyen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d'ETIT apparaît clairement sous-évaluée avec un PER de 3,5x (vs 8-12x pour le marché), un P/B de 0,76x (&lt; 1) et un EV/EBITDA de 5,0x, offrant une marge de sécurité significative pour les investisseurs value. Le comportement du cours sur 100 jours est haussier (+123,33%) mais montre des signes de consolidation, avec une volatilité élevée (62%) et une asymétrie négative (skewness -0,662) suggérant que les hausses passées pourraient ne pas se répéter à court terme. Les signaux techniques sont mitigés : les moyennes mobiles restent haussières (Achat) mais le MACD est baissier (Vente), tandis que le RSI et le Stochastique sont neutres, indiquant une absence de direction claire. Les fondamentaux demeurent solides (ROE 21,62%, coefficient d'exploitation 27,35%, PNB en croissance de 15% au S1 2026) mais le coût du risque en hausse (+40%) tempère l'optimisme. Les prédictions IA pour les 10 prochains jours (67 → 66 FCFA) anticipent une légère correction, confirmant la phase de consolidation technique sans contredire la tendance de fond. Sur la base de cette synthèse, la recommandation finale est **CONSERVER**, avec un niveau de confiance **Moyen** et un risque global **Moyen**. L'horizon d'investissement optimal est le **moyen terme (3-12 mois)**, en attendant la confirmation de la maîtrise du coût du risque et la poursuite de la croissance du PNB pour justifier un passage à l'achat.</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18.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26.37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4,184 titres</w:t>
            </w:r>
          </w:p>
        </w:tc>
        <w:tc>
          <w:tcPr>
            <w:tcW w:type="dxa" w:w="2268"/>
            <w:shd w:fill="FFF2CC" w:val="clear"/>
          </w:tcPr>
          <w:p>
            <w:r>
              <w:rPr>
                <w:b/>
                <w:color w:val="503200"/>
                <w:sz w:val="16"/>
              </w:rPr>
              <w:t xml:space="preserve">Cours actuel : </w:t>
            </w:r>
            <w:r>
              <w:rPr>
                <w:color w:val="000000"/>
                <w:sz w:val="17"/>
              </w:rPr>
              <w:t>1,870 FCFA</w:t>
            </w:r>
          </w:p>
          <w:p>
            <w:r>
              <w:rPr>
                <w:b/>
                <w:color w:val="503200"/>
                <w:sz w:val="16"/>
              </w:rPr>
              <w:t xml:space="preserve">Var. 100 jours : </w:t>
            </w:r>
            <w:r>
              <w:rPr>
                <w:b/>
                <w:color w:val="B40000"/>
                <w:sz w:val="17"/>
              </w:rPr>
              <w:t>-20.76%</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1,850 FCFA</w:t>
            </w:r>
          </w:p>
          <w:p>
            <w:r>
              <w:rPr>
                <w:b/>
                <w:color w:val="503200"/>
                <w:sz w:val="16"/>
              </w:rPr>
              <w:t xml:space="preserve">Volatilité ann. : </w:t>
            </w:r>
            <w:r>
              <w:rPr>
                <w:color w:val="000000"/>
                <w:sz w:val="17"/>
              </w:rPr>
              <w:t>36.7%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6.39% (Moyenne) — μ=2,096 FCFA, σ=134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β=0.5310 (Défensif) — Cov=0.000039, Var(idx)=0.000073, ρ=0.195,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4,184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1,770</w:t>
            </w:r>
          </w:p>
        </w:tc>
        <w:tc>
          <w:tcPr>
            <w:tcW w:type="dxa" w:w="1440"/>
            <w:shd w:fill="FAFAFA" w:val="clear"/>
          </w:tcPr>
          <w:p>
            <w:r>
              <w:rPr>
                <w:b/>
                <w:sz w:val="17"/>
              </w:rPr>
              <w:t>1,855</w:t>
            </w:r>
          </w:p>
        </w:tc>
        <w:tc>
          <w:tcPr>
            <w:tcW w:type="dxa" w:w="1440"/>
            <w:shd w:fill="FAFAFA" w:val="clear"/>
          </w:tcPr>
          <w:p>
            <w:r>
              <w:rPr>
                <w:sz w:val="17"/>
              </w:rPr>
              <w:t>1,939</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1,725</w:t>
            </w:r>
          </w:p>
        </w:tc>
        <w:tc>
          <w:tcPr>
            <w:tcW w:type="dxa" w:w="1440"/>
            <w:shd w:fill="FAFAFA" w:val="clear"/>
          </w:tcPr>
          <w:p>
            <w:r>
              <w:rPr>
                <w:b/>
                <w:sz w:val="17"/>
              </w:rPr>
              <w:t>1,843</w:t>
            </w:r>
          </w:p>
        </w:tc>
        <w:tc>
          <w:tcPr>
            <w:tcW w:type="dxa" w:w="1440"/>
            <w:shd w:fill="FAFAFA" w:val="clear"/>
          </w:tcPr>
          <w:p>
            <w:r>
              <w:rPr>
                <w:sz w:val="17"/>
              </w:rPr>
              <w:t>1,962</w:t>
            </w:r>
          </w:p>
        </w:tc>
        <w:tc>
          <w:tcPr>
            <w:tcW w:type="dxa" w:w="1440"/>
            <w:shd w:fill="FAFAFA" w:val="clear"/>
          </w:tcPr>
          <w:p>
            <w:r>
              <w:rPr>
                <w:b/>
                <w:color w:val="C00000"/>
                <w:sz w:val="17"/>
              </w:rPr>
              <w:t>-1.4%</w:t>
            </w:r>
          </w:p>
        </w:tc>
      </w:tr>
      <w:tr>
        <w:tc>
          <w:tcPr>
            <w:tcW w:type="dxa" w:w="1440"/>
            <w:shd w:fill="FFDCE0" w:val="clear"/>
          </w:tcPr>
          <w:p>
            <w:r>
              <w:rPr>
                <w:sz w:val="17"/>
              </w:rPr>
              <w:t>J+3  Moyenne</w:t>
            </w:r>
          </w:p>
        </w:tc>
        <w:tc>
          <w:tcPr>
            <w:tcW w:type="dxa" w:w="1440"/>
            <w:shd w:fill="FFDCE0" w:val="clear"/>
          </w:tcPr>
          <w:p>
            <w:r>
              <w:rPr>
                <w:sz w:val="17"/>
              </w:rPr>
              <w:t>2026-10-14</w:t>
            </w:r>
          </w:p>
        </w:tc>
        <w:tc>
          <w:tcPr>
            <w:tcW w:type="dxa" w:w="1440"/>
            <w:shd w:fill="FFDCE0" w:val="clear"/>
          </w:tcPr>
          <w:p>
            <w:r>
              <w:rPr>
                <w:sz w:val="17"/>
              </w:rPr>
              <w:t>1,688</w:t>
            </w:r>
          </w:p>
        </w:tc>
        <w:tc>
          <w:tcPr>
            <w:tcW w:type="dxa" w:w="1440"/>
            <w:shd w:fill="FFDCE0" w:val="clear"/>
          </w:tcPr>
          <w:p>
            <w:r>
              <w:rPr>
                <w:b/>
                <w:sz w:val="17"/>
              </w:rPr>
              <w:t>1,832</w:t>
            </w:r>
          </w:p>
        </w:tc>
        <w:tc>
          <w:tcPr>
            <w:tcW w:type="dxa" w:w="1440"/>
            <w:shd w:fill="FFDCE0" w:val="clear"/>
          </w:tcPr>
          <w:p>
            <w:r>
              <w:rPr>
                <w:sz w:val="17"/>
              </w:rPr>
              <w:t>1,976</w:t>
            </w:r>
          </w:p>
        </w:tc>
        <w:tc>
          <w:tcPr>
            <w:tcW w:type="dxa" w:w="1440"/>
            <w:shd w:fill="FFDCE0" w:val="clear"/>
          </w:tcPr>
          <w:p>
            <w:r>
              <w:rPr>
                <w:b/>
                <w:color w:val="C00000"/>
                <w:sz w:val="17"/>
              </w:rPr>
              <w:t>-2.0%</w:t>
            </w:r>
          </w:p>
        </w:tc>
      </w:tr>
      <w:tr>
        <w:tc>
          <w:tcPr>
            <w:tcW w:type="dxa" w:w="1440"/>
            <w:shd w:fill="FFDCE0" w:val="clear"/>
          </w:tcPr>
          <w:p>
            <w:r>
              <w:rPr>
                <w:sz w:val="17"/>
              </w:rPr>
              <w:t>J+4  ⭐</w:t>
            </w:r>
          </w:p>
        </w:tc>
        <w:tc>
          <w:tcPr>
            <w:tcW w:type="dxa" w:w="1440"/>
            <w:shd w:fill="FFDCE0" w:val="clear"/>
          </w:tcPr>
          <w:p>
            <w:r>
              <w:rPr>
                <w:sz w:val="17"/>
              </w:rPr>
              <w:t>2026-10-15</w:t>
            </w:r>
          </w:p>
        </w:tc>
        <w:tc>
          <w:tcPr>
            <w:tcW w:type="dxa" w:w="1440"/>
            <w:shd w:fill="FFDCE0" w:val="clear"/>
          </w:tcPr>
          <w:p>
            <w:r>
              <w:rPr>
                <w:sz w:val="17"/>
              </w:rPr>
              <w:t>1,655</w:t>
            </w:r>
          </w:p>
        </w:tc>
        <w:tc>
          <w:tcPr>
            <w:tcW w:type="dxa" w:w="1440"/>
            <w:shd w:fill="FFDCE0" w:val="clear"/>
          </w:tcPr>
          <w:p>
            <w:r>
              <w:rPr>
                <w:b/>
                <w:sz w:val="17"/>
              </w:rPr>
              <w:t>1,820</w:t>
            </w:r>
          </w:p>
        </w:tc>
        <w:tc>
          <w:tcPr>
            <w:tcW w:type="dxa" w:w="1440"/>
            <w:shd w:fill="FFDCE0" w:val="clear"/>
          </w:tcPr>
          <w:p>
            <w:r>
              <w:rPr>
                <w:sz w:val="17"/>
              </w:rPr>
              <w:t>1,986</w:t>
            </w:r>
          </w:p>
        </w:tc>
        <w:tc>
          <w:tcPr>
            <w:tcW w:type="dxa" w:w="1440"/>
            <w:shd w:fill="FFDCE0" w:val="clear"/>
          </w:tcPr>
          <w:p>
            <w:r>
              <w:rPr>
                <w:b/>
                <w:color w:val="C00000"/>
                <w:sz w:val="17"/>
              </w:rPr>
              <w:t>-2.7%</w:t>
            </w:r>
          </w:p>
        </w:tc>
      </w:tr>
      <w:tr>
        <w:tc>
          <w:tcPr>
            <w:tcW w:type="dxa" w:w="1440"/>
            <w:shd w:fill="FFDCE0" w:val="clear"/>
          </w:tcPr>
          <w:p>
            <w:r>
              <w:rPr>
                <w:sz w:val="17"/>
              </w:rPr>
              <w:t>J+5  ⭐</w:t>
            </w:r>
          </w:p>
        </w:tc>
        <w:tc>
          <w:tcPr>
            <w:tcW w:type="dxa" w:w="1440"/>
            <w:shd w:fill="FFDCE0" w:val="clear"/>
          </w:tcPr>
          <w:p>
            <w:r>
              <w:rPr>
                <w:sz w:val="17"/>
              </w:rPr>
              <w:t>2026-10-16</w:t>
            </w:r>
          </w:p>
        </w:tc>
        <w:tc>
          <w:tcPr>
            <w:tcW w:type="dxa" w:w="1440"/>
            <w:shd w:fill="FFDCE0" w:val="clear"/>
          </w:tcPr>
          <w:p>
            <w:r>
              <w:rPr>
                <w:sz w:val="17"/>
              </w:rPr>
              <w:t>1,625</w:t>
            </w:r>
          </w:p>
        </w:tc>
        <w:tc>
          <w:tcPr>
            <w:tcW w:type="dxa" w:w="1440"/>
            <w:shd w:fill="FFDCE0" w:val="clear"/>
          </w:tcPr>
          <w:p>
            <w:r>
              <w:rPr>
                <w:b/>
                <w:sz w:val="17"/>
              </w:rPr>
              <w:t>1,809</w:t>
            </w:r>
          </w:p>
        </w:tc>
        <w:tc>
          <w:tcPr>
            <w:tcW w:type="dxa" w:w="1440"/>
            <w:shd w:fill="FFDCE0" w:val="clear"/>
          </w:tcPr>
          <w:p>
            <w:r>
              <w:rPr>
                <w:sz w:val="17"/>
              </w:rPr>
              <w:t>1,993</w:t>
            </w:r>
          </w:p>
        </w:tc>
        <w:tc>
          <w:tcPr>
            <w:tcW w:type="dxa" w:w="1440"/>
            <w:shd w:fill="FFDCE0" w:val="clear"/>
          </w:tcPr>
          <w:p>
            <w:r>
              <w:rPr>
                <w:b/>
                <w:color w:val="C00000"/>
                <w:sz w:val="17"/>
              </w:rPr>
              <w:t>-3.3%</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1,597</w:t>
            </w:r>
          </w:p>
        </w:tc>
        <w:tc>
          <w:tcPr>
            <w:tcW w:type="dxa" w:w="1440"/>
            <w:shd w:fill="FFDCE0" w:val="clear"/>
          </w:tcPr>
          <w:p>
            <w:r>
              <w:rPr>
                <w:b/>
                <w:sz w:val="17"/>
              </w:rPr>
              <w:t>1,797</w:t>
            </w:r>
          </w:p>
        </w:tc>
        <w:tc>
          <w:tcPr>
            <w:tcW w:type="dxa" w:w="1440"/>
            <w:shd w:fill="FFDCE0" w:val="clear"/>
          </w:tcPr>
          <w:p>
            <w:r>
              <w:rPr>
                <w:sz w:val="17"/>
              </w:rPr>
              <w:t>1,997</w:t>
            </w:r>
          </w:p>
        </w:tc>
        <w:tc>
          <w:tcPr>
            <w:tcW w:type="dxa" w:w="1440"/>
            <w:shd w:fill="FFDCE0" w:val="clear"/>
          </w:tcPr>
          <w:p>
            <w:r>
              <w:rPr>
                <w:b/>
                <w:color w:val="C00000"/>
                <w:sz w:val="17"/>
              </w:rPr>
              <w:t>-3.9%</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1,571</w:t>
            </w:r>
          </w:p>
        </w:tc>
        <w:tc>
          <w:tcPr>
            <w:tcW w:type="dxa" w:w="1440"/>
            <w:shd w:fill="FFDCE0" w:val="clear"/>
          </w:tcPr>
          <w:p>
            <w:r>
              <w:rPr>
                <w:b/>
                <w:sz w:val="17"/>
              </w:rPr>
              <w:t>1,786</w:t>
            </w:r>
          </w:p>
        </w:tc>
        <w:tc>
          <w:tcPr>
            <w:tcW w:type="dxa" w:w="1440"/>
            <w:shd w:fill="FFDCE0" w:val="clear"/>
          </w:tcPr>
          <w:p>
            <w:r>
              <w:rPr>
                <w:sz w:val="17"/>
              </w:rPr>
              <w:t>2,000</w:t>
            </w:r>
          </w:p>
        </w:tc>
        <w:tc>
          <w:tcPr>
            <w:tcW w:type="dxa" w:w="1440"/>
            <w:shd w:fill="FFDCE0" w:val="clear"/>
          </w:tcPr>
          <w:p>
            <w:r>
              <w:rPr>
                <w:b/>
                <w:color w:val="C00000"/>
                <w:sz w:val="17"/>
              </w:rPr>
              <w:t>-4.5%</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1,546</w:t>
            </w:r>
          </w:p>
        </w:tc>
        <w:tc>
          <w:tcPr>
            <w:tcW w:type="dxa" w:w="1440"/>
            <w:shd w:fill="FFDCE0" w:val="clear"/>
          </w:tcPr>
          <w:p>
            <w:r>
              <w:rPr>
                <w:b/>
                <w:sz w:val="17"/>
              </w:rPr>
              <w:t>1,774</w:t>
            </w:r>
          </w:p>
        </w:tc>
        <w:tc>
          <w:tcPr>
            <w:tcW w:type="dxa" w:w="1440"/>
            <w:shd w:fill="FFDCE0" w:val="clear"/>
          </w:tcPr>
          <w:p>
            <w:r>
              <w:rPr>
                <w:sz w:val="17"/>
              </w:rPr>
              <w:t>2,002</w:t>
            </w:r>
          </w:p>
        </w:tc>
        <w:tc>
          <w:tcPr>
            <w:tcW w:type="dxa" w:w="1440"/>
            <w:shd w:fill="FFDCE0" w:val="clear"/>
          </w:tcPr>
          <w:p>
            <w:r>
              <w:rPr>
                <w:b/>
                <w:color w:val="C00000"/>
                <w:sz w:val="17"/>
              </w:rPr>
              <w:t>-5.1%</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1,522</w:t>
            </w:r>
          </w:p>
        </w:tc>
        <w:tc>
          <w:tcPr>
            <w:tcW w:type="dxa" w:w="1440"/>
            <w:shd w:fill="FFDCE0" w:val="clear"/>
          </w:tcPr>
          <w:p>
            <w:r>
              <w:rPr>
                <w:b/>
                <w:sz w:val="17"/>
              </w:rPr>
              <w:t>1,763</w:t>
            </w:r>
          </w:p>
        </w:tc>
        <w:tc>
          <w:tcPr>
            <w:tcW w:type="dxa" w:w="1440"/>
            <w:shd w:fill="FFDCE0" w:val="clear"/>
          </w:tcPr>
          <w:p>
            <w:r>
              <w:rPr>
                <w:sz w:val="17"/>
              </w:rPr>
              <w:t>2,003</w:t>
            </w:r>
          </w:p>
        </w:tc>
        <w:tc>
          <w:tcPr>
            <w:tcW w:type="dxa" w:w="1440"/>
            <w:shd w:fill="FFDCE0" w:val="clear"/>
          </w:tcPr>
          <w:p>
            <w:r>
              <w:rPr>
                <w:b/>
                <w:color w:val="C00000"/>
                <w:sz w:val="17"/>
              </w:rPr>
              <w:t>-5.7%</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1,500</w:t>
            </w:r>
          </w:p>
        </w:tc>
        <w:tc>
          <w:tcPr>
            <w:tcW w:type="dxa" w:w="1440"/>
            <w:shd w:fill="FFDCE0" w:val="clear"/>
          </w:tcPr>
          <w:p>
            <w:r>
              <w:rPr>
                <w:b/>
                <w:sz w:val="17"/>
              </w:rPr>
              <w:t>1,752</w:t>
            </w:r>
          </w:p>
        </w:tc>
        <w:tc>
          <w:tcPr>
            <w:tcW w:type="dxa" w:w="1440"/>
            <w:shd w:fill="FFDCE0" w:val="clear"/>
          </w:tcPr>
          <w:p>
            <w:r>
              <w:rPr>
                <w:sz w:val="17"/>
              </w:rPr>
              <w:t>2,003</w:t>
            </w:r>
          </w:p>
        </w:tc>
        <w:tc>
          <w:tcPr>
            <w:tcW w:type="dxa" w:w="1440"/>
            <w:shd w:fill="FFDCE0" w:val="clear"/>
          </w:tcPr>
          <w:p>
            <w:r>
              <w:rPr>
                <w:b/>
                <w:color w:val="C00000"/>
                <w:sz w:val="17"/>
              </w:rPr>
              <w:t>-6.3%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**RAPPORT D'ANALYSE FINANCIÈRE — FILTISAC CI (FTSC)**</w:t>
        <w:br/>
        <w:t>*Analyste : Marché BRVM — Date de référence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26,37 Mds FCFA, FTSC se situe dans la catégorie des valeurs moyennes de la BRVM, ce qui la rend sensible aux mouvements de liquidité du marché. Le BPA de 33 FCFA/action signifie que chaque titre génère théoriquement 33 FCFA de bénéfice net, un niveau très faible qui traduit l'effondrement de la rentabilité en 2025. Le PER de 56,6x est extrêmement élevé comparé à la moyenne BRVM (~8-12x) : les investisseurs paient donc près de 57 fois les bénéfices actuels, ce qui n'est justifiable que par une anticipation forte de redressement — ou révèle une surévaluation manifeste. Le P/B de 1,68x indique que le marché valorise FTSC à 68% au-dessus de sa valeur comptable, un niveau raisonnable (1-2x) qui suggère que le marché croit encore au potentiel de l'actif net malgré la chute des profits. Enfin, l'EV/EBITDA de 35,5x est très exigeant (seuil d'alerte &gt;15x), signifiant que la valeur d'entreprise (dette incluse) représente 35 fois la capacité opérationnelle de génération de cash — un multiple incompatible avec la situation actuelle de l'entreprise et qui pénalise fortement toute perspective d'investissement à court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FTSC affiche une variation totale de -20,76%, avec une dernière séance (J-1) stable à +0,00%, le cours clôturant à 1 870 FCFA. Le range de trading s'étend de 1 850 FCFA (plus bas) à 2 430 FCFA (plus haut), soit un écart de 580 FCFA (31% du plus bas), matérialisant une tendance clairement baissière avec une érosion progressive des cours. La moyenne de 2 096 FCFA est légèrement supérieure à la médiane de 2 092 FCFA, tandis que le mode se situe à 1 990 FCFA : cet écart modéré entre moyenne et médiane, combiné à un skewness positif de 0,520, indique une asymétrie positive — plus de journées ont été enregistrées sous la moyenne, ce qui confirme la pression vendeuse. L'écart-type de 135 FCFA avec un coefficient de variation (CV) de seulement 6,4% révèle une dispersion relativement contenue du cours autour de sa moyenne, ce qui est cohérent avec un marché peu liquide où les mouvements sont espacés. Le kurtosis de -0,506 (mésokurtique) indique une distribution proche de la normale, sans risque majeur de pics extrêmes, ce qui est rassurant pour la gestion du risque. Enfin, la volatilité annualisée de 36,7% classe FTSC dans la catégorie des titres à volatilité élevée (&gt;30%), ce qui implique un risque de perte en capital significatif et nécessite une tolérance au risque importante de la part de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(2 003,25 FCFA) et la MM50 (2 064,60 FCFA) se situent toutes deux au-dessus du cours actuel (1 870 FCFA), confirmant une configuration baissière où le prix évolue sous ses moyennes. La MM20 étant elle-même inférieure à la MM50, on observe un croisement baissier (death cross) qui renforce la pression vendeuse. La décision technique est donc logiquement **Vente**, le cours n'ayant pas encore trouvé de support sur ces niveaux.</w:t>
      </w:r>
    </w:p>
    <w:p>
      <w:pPr>
        <w:spacing w:after="120" w:line="276" w:lineRule="auto"/>
      </w:pPr>
      <w:r>
        <w:t>**Bandes de Bollinger** : Le cours actuel (1 870 FCFA) se situe dans la partie basse de la bande, entre la borne inférieure (1 835,91 FCFA) et la borne supérieure (2 170,59 FCFA), sans franchissement de la borne basse. Cette position neutre indique que le titre n'est pas encore en zone de survente extrême, mais la largeur des bandes (334,68 FCFA) traduit une volatilité significative. La décision est **Neutre**, le cours pouvant aussi bien rebondir sur la borne inférieure que poursuivre sa chute.</w:t>
      </w:r>
    </w:p>
    <w:p>
      <w:pPr>
        <w:spacing w:after="120" w:line="276" w:lineRule="auto"/>
      </w:pPr>
      <w:r>
        <w:t>**MACD** : La valeur du MACD (-50,702) est nettement inférieure à son signal (-38,313), avec un histogramme négatif qui se creuse, confirmant un momentum baissier toujours actif. La divergence entre les deux lignes ne montre aucun signe de retournement imminent, la décision est donc **Vente**, le momentum négatif n'étant pas encore épuisé.</w:t>
      </w:r>
    </w:p>
    <w:p>
      <w:pPr>
        <w:spacing w:after="120" w:line="276" w:lineRule="auto"/>
      </w:pPr>
      <w:r>
        <w:t>**RSI** : À 34,286, le RSI se situe dans la zone neutre basse (30-70), sans atteindre le seuil de survente (&lt;30) qui déclencherait un signal d'achat technique. Cette valeur indique que le titre conserve un potentiel de baisse résiduel avant d'entrer en zone de survente, la décision est **Neutre**, le RSI n'étant ni un signal d'achat ni de vente à ce stade.</w:t>
      </w:r>
    </w:p>
    <w:p>
      <w:pPr>
        <w:spacing w:after="120" w:line="276" w:lineRule="auto"/>
      </w:pPr>
      <w:r>
        <w:t>**Stochastique** : Le %K (10,0) est très bas et inférieur au %D (22,438), mais le %K en zone extrême basse (&lt;20) suggère une possible survente à court terme. Le croisement potentiel du %K au-dessus du %D pourrait générer un signal d'achat tactique, d'où la décision **Achat** — mais ce signal est à considérer avec prudence car il intervient dans un contexte baissier plus large.</w:t>
      </w:r>
    </w:p>
    <w:p>
      <w:pPr>
        <w:spacing w:after="120" w:line="276" w:lineRule="auto"/>
      </w:pPr>
      <w:r>
        <w:t>**Conclusion technique** : Les indicateurs sont majoritairement baissiers (MM, MACD) avec quelques signaux de survente tactique (Stochastique) et une position neutre du RSI et des Bollinger. La convergence des signaux négatifs (cours sous les MM, MACD négatif) domine, mais la proximité de la borne inférieure de Bollinger et le Stochastique en zone extrême suggèrent qu'un rebond technique pourrait survenir à court terme. La tendance de fond reste baissière tant que le cours n'aura pas reconquis la MM20 (2 003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(états financiers annuels) révèlent une situation financière très dégradée : le chiffre d'affaires s'établit à 32,109 Mds FCFA, en croissance modérée de +4,6% (taux de croissance CA), mais le résultat net s'effondre à 465,98 M FCFA, soit une marge nette de seulement 1,45% — contre 60,6% en 2024 (exercice porté par des produits exceptionnels non récurrents). Le ROE chute à 2,97% (très loin du seuil de 15% considéré comme excellent) et le ROA à 1,19%, confirmant une rentabilité structurellement faible. La structure financière reste solvable (autonomie financière de 40,11%, solvabilité générale de 166,98%), mais le ratio d'endettement de 97,60% et une trésorerie nette négative de -11,528 Mds FCFA constituent des signaux d'alerte majeurs. En tant qu'entreprise industrielle (sacs jute, emballages), les délais d'exploitation sont préoccupants : délai clients de 213,72 jours (risque de trésorerie élevé), durée de stockage de 214,65 jours (immobilisation de capital importante), et BFR de 11,529 Mds FCFA — bien que le rapport indique un BFR négatif favorable, les chiffres montrent une tension réelle sur le fonds de roulement. Le rapport annuel 2025 (publié le 31/12/2026) confirme la chute de 97,5% du résultat net et l'absence de dividende (taux de distribution 0%), une décision prudente mais qui prive les investisseurs de rendement. Les rapports trimestriels récents nuancent toutefois le tableau : le T1 2026 (rapport du 31/03/2026) affiche un CA de 8 901 MFCFA en hausse spectaculaire de +55% porté par la demande d'emballages cacao, avec un résultat d'exploitation redevenu positif (+75 MFCFA contre -78 MFCFA au T1 2025), mais un résultat net encore déficitaire (-154 MFCFA). On estime donc que l'exercice 2026 pourrait marquer un retournement progressif si la campagne cacaoyère se confirme, mais la rentabilité nette reste négative et les risques exogènes (interdiction d'exportation de jute par le Bangladesh, crise du fret, dépendance au cacao) pèsent lourdement. Le communiqué du 08/07/2026 rassure sur la continuité d'activité (moins de 10% des effectifs concernés par l'arrêt de la filature), mais la pérennité du modèle opérationnel dépendra de la capacité à sécuriser l'approvisionnement en fil de jute. En synthèse, la solidité financière est fragile, la rentabilité opérationnelle en voie d'amélioration mais non confirmée, et le profil de risque reste élevé — la recommandation fondamentale est de **CONSERVER** avec une surveillance étroite des prochains trimestres.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 ce rapport met en évidence une divergence préoccupante entre les différents signaux. Sur le plan de la **valorisation (Partie 0)**, les ratios sont excessivement tendus : PER de 56,6x (6 fois la moyenne BRVM), EV/EBITDA de 35,5x, pour un BPA de seulement 33 FCFA — le marché intègre déjà une anticipation de redressement très optimiste, voire irréaliste à court terme, ce qui suggère une **surévaluation** manifeste. Le **comportement du cours (Partie 1)** est clairement baissier (-20,76% sur 100 jours), avec une volatilité élevée (36,7%) et une asymétrie positive (skewness 0,520) qui indique une pression vendeuse persistante, même si le kurtosis mésokurtique (-0,506) limite le risque de pics extrêmes. Les **signaux techniques (Partie 2)** sont majoritairement baissiers (cours sous MM20/MM50, MACD négatif, décision Vente), avec seulement le Stochastique en zone de survente qui offre un signal d'achat tactique isolé — la convergence des indicateurs penche donc vers la poursuite de la baisse à court terme. Les **fondamentaux (Partie 3)** présentent un tableau contrasté : exercice 2025 catastrophique (résultat net -97,5%, ROE 2,97%, trésorerie nette négative), mais T1 2026 porteur d'espoir (CA +55%, résultat d'exploitation positif) — la situation reste fragile et non confirmée. Les **prédictions IA (J+1 à J+10)** anticipent une poursuite de la baisse jusqu'à 1 809 FCFA le 16/10/2026, confirmant la tendance baissière technique et contredisant tout espoir de rebond immédiat. **En synthèse**, la convergence des signaux baissiers (valorisation surévaluée, technique négative, prédictions IA à la baisse) domine largement les quelques signaux positifs (Stochastique en survente, amélioration trimestrielle). La recommandation finale est donc **VENTE**, avec un niveau de confiance **Moyen** (les fondamentaux trimestriels pourraient surprendre positivement) et un niveau de risque global **Élevé** (volatilité 36,7%, trésorerie négative, dépendance sectorielle). L'horizon d'investissement optimal est **court terme (&lt;3 mois)** pour les investisseurs cherchant à sortir avant la poursuite de la baisse, ou **moyen terme (3-12 mois)** pour ceux qui souhaitent attendre la confirmation d'un redressement opérationnel sur deux trimestres consécutifs avant d'envisager une position acheteuse.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19.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78.70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4,648 titres</w:t>
            </w:r>
          </w:p>
        </w:tc>
        <w:tc>
          <w:tcPr>
            <w:tcW w:type="dxa" w:w="2268"/>
            <w:shd w:fill="FFF2CC" w:val="clear"/>
          </w:tcPr>
          <w:p>
            <w:r>
              <w:rPr>
                <w:b/>
                <w:color w:val="503200"/>
                <w:sz w:val="16"/>
              </w:rPr>
              <w:t xml:space="preserve">Cours actuel : </w:t>
            </w:r>
            <w:r>
              <w:rPr>
                <w:color w:val="000000"/>
                <w:sz w:val="17"/>
              </w:rPr>
              <w:t>3,935 FCFA</w:t>
            </w:r>
          </w:p>
          <w:p>
            <w:r>
              <w:rPr>
                <w:b/>
                <w:color w:val="503200"/>
                <w:sz w:val="16"/>
              </w:rPr>
              <w:t xml:space="preserve">Var. 100 jours : </w:t>
            </w:r>
            <w:r>
              <w:rPr>
                <w:b/>
                <w:color w:val="007800"/>
                <w:sz w:val="17"/>
              </w:rPr>
              <w:t>+1.16%</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3,700 FCFA</w:t>
            </w:r>
          </w:p>
          <w:p>
            <w:r>
              <w:rPr>
                <w:b/>
                <w:color w:val="503200"/>
                <w:sz w:val="16"/>
              </w:rPr>
              <w:t xml:space="preserve">Volatilité ann. : </w:t>
            </w:r>
            <w:r>
              <w:rPr>
                <w:color w:val="000000"/>
                <w:sz w:val="17"/>
              </w:rPr>
              <w:t>41.4%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4.68% (Faible) — μ=4,076 FCFA, σ=191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β=0.6482 (Défensif) — Cov=0.000047, Var(idx)=0.000073, ρ=0.211,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4,648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σ_j=2.61%/j (Stable) — Vol. annualisée≈41.4%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3,765</w:t>
            </w:r>
          </w:p>
        </w:tc>
        <w:tc>
          <w:tcPr>
            <w:tcW w:type="dxa" w:w="1440"/>
            <w:shd w:fill="FAFAFA" w:val="clear"/>
          </w:tcPr>
          <w:p>
            <w:r>
              <w:rPr>
                <w:b/>
                <w:sz w:val="17"/>
              </w:rPr>
              <w:t>3,930</w:t>
            </w:r>
          </w:p>
        </w:tc>
        <w:tc>
          <w:tcPr>
            <w:tcW w:type="dxa" w:w="1440"/>
            <w:shd w:fill="FAFAFA" w:val="clear"/>
          </w:tcPr>
          <w:p>
            <w:r>
              <w:rPr>
                <w:sz w:val="17"/>
              </w:rPr>
              <w:t>4,095</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3,700</w:t>
            </w:r>
          </w:p>
        </w:tc>
        <w:tc>
          <w:tcPr>
            <w:tcW w:type="dxa" w:w="1440"/>
            <w:shd w:fill="FAFAFA" w:val="clear"/>
          </w:tcPr>
          <w:p>
            <w:r>
              <w:rPr>
                <w:b/>
                <w:sz w:val="17"/>
              </w:rPr>
              <w:t>3,933</w:t>
            </w:r>
          </w:p>
        </w:tc>
        <w:tc>
          <w:tcPr>
            <w:tcW w:type="dxa" w:w="1440"/>
            <w:shd w:fill="FAFAFA" w:val="clear"/>
          </w:tcPr>
          <w:p>
            <w:r>
              <w:rPr>
                <w:sz w:val="17"/>
              </w:rPr>
              <w:t>4,167</w:t>
            </w:r>
          </w:p>
        </w:tc>
        <w:tc>
          <w:tcPr>
            <w:tcW w:type="dxa" w:w="1440"/>
            <w:shd w:fill="FAFAFA" w:val="clear"/>
          </w:tcPr>
          <w:p>
            <w:r>
              <w:rPr>
                <w:b/>
                <w:color w:val="C00000"/>
                <w:sz w:val="17"/>
              </w:rPr>
              <w:t>-0.0%</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3,649</w:t>
            </w:r>
          </w:p>
        </w:tc>
        <w:tc>
          <w:tcPr>
            <w:tcW w:type="dxa" w:w="1440"/>
            <w:shd w:fill="FAFAFA" w:val="clear"/>
          </w:tcPr>
          <w:p>
            <w:r>
              <w:rPr>
                <w:b/>
                <w:sz w:val="17"/>
              </w:rPr>
              <w:t>3,935</w:t>
            </w:r>
          </w:p>
        </w:tc>
        <w:tc>
          <w:tcPr>
            <w:tcW w:type="dxa" w:w="1440"/>
            <w:shd w:fill="FAFAFA" w:val="clear"/>
          </w:tcPr>
          <w:p>
            <w:r>
              <w:rPr>
                <w:sz w:val="17"/>
              </w:rPr>
              <w:t>4,221</w:t>
            </w:r>
          </w:p>
        </w:tc>
        <w:tc>
          <w:tcPr>
            <w:tcW w:type="dxa" w:w="1440"/>
            <w:shd w:fill="FAFAFA" w:val="clear"/>
          </w:tcPr>
          <w:p>
            <w:r>
              <w:rPr>
                <w:b/>
                <w:color w:val="C00000"/>
                <w:sz w:val="17"/>
              </w:rPr>
              <w:t>-0.0%</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3,606</w:t>
            </w:r>
          </w:p>
        </w:tc>
        <w:tc>
          <w:tcPr>
            <w:tcW w:type="dxa" w:w="1440"/>
            <w:shd w:fill="FAFAFA" w:val="clear"/>
          </w:tcPr>
          <w:p>
            <w:r>
              <w:rPr>
                <w:b/>
                <w:sz w:val="17"/>
              </w:rPr>
              <w:t>3,935</w:t>
            </w:r>
          </w:p>
        </w:tc>
        <w:tc>
          <w:tcPr>
            <w:tcW w:type="dxa" w:w="1440"/>
            <w:shd w:fill="FAFAFA" w:val="clear"/>
          </w:tcPr>
          <w:p>
            <w:r>
              <w:rPr>
                <w:sz w:val="17"/>
              </w:rPr>
              <w:t>4,265</w:t>
            </w:r>
          </w:p>
        </w:tc>
        <w:tc>
          <w:tcPr>
            <w:tcW w:type="dxa" w:w="1440"/>
            <w:shd w:fill="FAFAFA" w:val="clear"/>
          </w:tcPr>
          <w:p>
            <w:r>
              <w:rPr>
                <w:b/>
                <w:color w:val="008000"/>
                <w:sz w:val="17"/>
              </w:rPr>
              <w:t>+0.0%</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3,570</w:t>
            </w:r>
          </w:p>
        </w:tc>
        <w:tc>
          <w:tcPr>
            <w:tcW w:type="dxa" w:w="1440"/>
            <w:shd w:fill="FAFAFA" w:val="clear"/>
          </w:tcPr>
          <w:p>
            <w:r>
              <w:rPr>
                <w:b/>
                <w:sz w:val="17"/>
              </w:rPr>
              <w:t>3,939</w:t>
            </w:r>
          </w:p>
        </w:tc>
        <w:tc>
          <w:tcPr>
            <w:tcW w:type="dxa" w:w="1440"/>
            <w:shd w:fill="FAFAFA" w:val="clear"/>
          </w:tcPr>
          <w:p>
            <w:r>
              <w:rPr>
                <w:sz w:val="17"/>
              </w:rPr>
              <w:t>4,308</w:t>
            </w:r>
          </w:p>
        </w:tc>
        <w:tc>
          <w:tcPr>
            <w:tcW w:type="dxa" w:w="1440"/>
            <w:shd w:fill="FAFAFA" w:val="clear"/>
          </w:tcPr>
          <w:p>
            <w:r>
              <w:rPr>
                <w:b/>
                <w:color w:val="008000"/>
                <w:sz w:val="17"/>
              </w:rPr>
              <w:t>+0.1%</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3,539</w:t>
            </w:r>
          </w:p>
        </w:tc>
        <w:tc>
          <w:tcPr>
            <w:tcW w:type="dxa" w:w="1440"/>
            <w:shd w:fill="FAFAFA" w:val="clear"/>
          </w:tcPr>
          <w:p>
            <w:r>
              <w:rPr>
                <w:b/>
                <w:sz w:val="17"/>
              </w:rPr>
              <w:t>3,944</w:t>
            </w:r>
          </w:p>
        </w:tc>
        <w:tc>
          <w:tcPr>
            <w:tcW w:type="dxa" w:w="1440"/>
            <w:shd w:fill="FAFAFA" w:val="clear"/>
          </w:tcPr>
          <w:p>
            <w:r>
              <w:rPr>
                <w:sz w:val="17"/>
              </w:rPr>
              <w:t>4,349</w:t>
            </w:r>
          </w:p>
        </w:tc>
        <w:tc>
          <w:tcPr>
            <w:tcW w:type="dxa" w:w="1440"/>
            <w:shd w:fill="FAFAFA" w:val="clear"/>
          </w:tcPr>
          <w:p>
            <w:r>
              <w:rPr>
                <w:b/>
                <w:color w:val="008000"/>
                <w:sz w:val="17"/>
              </w:rPr>
              <w:t>+0.2%</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3,509</w:t>
            </w:r>
          </w:p>
        </w:tc>
        <w:tc>
          <w:tcPr>
            <w:tcW w:type="dxa" w:w="1440"/>
            <w:shd w:fill="FAFAFA" w:val="clear"/>
          </w:tcPr>
          <w:p>
            <w:r>
              <w:rPr>
                <w:b/>
                <w:sz w:val="17"/>
              </w:rPr>
              <w:t>3,947</w:t>
            </w:r>
          </w:p>
        </w:tc>
        <w:tc>
          <w:tcPr>
            <w:tcW w:type="dxa" w:w="1440"/>
            <w:shd w:fill="FAFAFA" w:val="clear"/>
          </w:tcPr>
          <w:p>
            <w:r>
              <w:rPr>
                <w:sz w:val="17"/>
              </w:rPr>
              <w:t>4,385</w:t>
            </w:r>
          </w:p>
        </w:tc>
        <w:tc>
          <w:tcPr>
            <w:tcW w:type="dxa" w:w="1440"/>
            <w:shd w:fill="FAFAFA" w:val="clear"/>
          </w:tcPr>
          <w:p>
            <w:r>
              <w:rPr>
                <w:b/>
                <w:color w:val="008000"/>
                <w:sz w:val="17"/>
              </w:rPr>
              <w:t>+0.3%</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3,481</w:t>
            </w:r>
          </w:p>
        </w:tc>
        <w:tc>
          <w:tcPr>
            <w:tcW w:type="dxa" w:w="1440"/>
            <w:shd w:fill="FAFAFA" w:val="clear"/>
          </w:tcPr>
          <w:p>
            <w:r>
              <w:rPr>
                <w:b/>
                <w:sz w:val="17"/>
              </w:rPr>
              <w:t>3,949</w:t>
            </w:r>
          </w:p>
        </w:tc>
        <w:tc>
          <w:tcPr>
            <w:tcW w:type="dxa" w:w="1440"/>
            <w:shd w:fill="FAFAFA" w:val="clear"/>
          </w:tcPr>
          <w:p>
            <w:r>
              <w:rPr>
                <w:sz w:val="17"/>
              </w:rPr>
              <w:t>4,418</w:t>
            </w:r>
          </w:p>
        </w:tc>
        <w:tc>
          <w:tcPr>
            <w:tcW w:type="dxa" w:w="1440"/>
            <w:shd w:fill="FAFAFA" w:val="clear"/>
          </w:tcPr>
          <w:p>
            <w:r>
              <w:rPr>
                <w:b/>
                <w:color w:val="008000"/>
                <w:sz w:val="17"/>
              </w:rPr>
              <w:t>+0.4%</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3,455</w:t>
            </w:r>
          </w:p>
        </w:tc>
        <w:tc>
          <w:tcPr>
            <w:tcW w:type="dxa" w:w="1440"/>
            <w:shd w:fill="FAFAFA" w:val="clear"/>
          </w:tcPr>
          <w:p>
            <w:r>
              <w:rPr>
                <w:b/>
                <w:sz w:val="17"/>
              </w:rPr>
              <w:t>3,952</w:t>
            </w:r>
          </w:p>
        </w:tc>
        <w:tc>
          <w:tcPr>
            <w:tcW w:type="dxa" w:w="1440"/>
            <w:shd w:fill="FAFAFA" w:val="clear"/>
          </w:tcPr>
          <w:p>
            <w:r>
              <w:rPr>
                <w:sz w:val="17"/>
              </w:rPr>
              <w:t>4,449</w:t>
            </w:r>
          </w:p>
        </w:tc>
        <w:tc>
          <w:tcPr>
            <w:tcW w:type="dxa" w:w="1440"/>
            <w:shd w:fill="FAFAFA" w:val="clear"/>
          </w:tcPr>
          <w:p>
            <w:r>
              <w:rPr>
                <w:b/>
                <w:color w:val="008000"/>
                <w:sz w:val="17"/>
              </w:rPr>
              <w:t>+0.4%</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3,432</w:t>
            </w:r>
          </w:p>
        </w:tc>
        <w:tc>
          <w:tcPr>
            <w:tcW w:type="dxa" w:w="1440"/>
            <w:shd w:fill="FAFAFA" w:val="clear"/>
          </w:tcPr>
          <w:p>
            <w:r>
              <w:rPr>
                <w:b/>
                <w:sz w:val="17"/>
              </w:rPr>
              <w:t>3,957</w:t>
            </w:r>
          </w:p>
        </w:tc>
        <w:tc>
          <w:tcPr>
            <w:tcW w:type="dxa" w:w="1440"/>
            <w:shd w:fill="FAFAFA" w:val="clear"/>
          </w:tcPr>
          <w:p>
            <w:r>
              <w:rPr>
                <w:sz w:val="17"/>
              </w:rPr>
              <w:t>4,481</w:t>
            </w:r>
          </w:p>
        </w:tc>
        <w:tc>
          <w:tcPr>
            <w:tcW w:type="dxa" w:w="1440"/>
            <w:shd w:fill="FAFAFA" w:val="clear"/>
          </w:tcPr>
          <w:p>
            <w:r>
              <w:rPr>
                <w:b/>
                <w:color w:val="008000"/>
                <w:sz w:val="17"/>
              </w:rPr>
              <w:t>+0.6%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**Bourse Régionale des Valeurs Mobilières (BRVM) — Secteur : Entreprise non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78,70 milliards FCFA, LNBB se positionne comme une valeur de taille moyenne sur le marché BRVM, représentant un poids significatif dans le compartiment des entreprises non bancaires. Le BPA de 231 FCFA par action signifie que chaque titre génère près de 231 FCFA de bénéfice net, ce qui, rapporté au cours actuel de 3 935 FCFA, donne un PER de 17,0x — un niveau modéré mais supérieur à la moyenne du marché BRVM (généralement située entre 8x et 12x), traduisant une prime de qualité accordée par le marché. Le ratio P/B de 3,58x indique que le marché valorise l'entreprise à plus de trois fois sa valeur comptable, ce qui est cohérent avec une société affichant un ROE élevé de 21,05 % et une structure financière très saine. Enfin, l'EV/EBITDA de 10,0x se situe dans la fourchette raisonnable de 5x-10x, suggérant que la valeur totale de l'entreprise (dette incluse) reste proportionnée à sa capacité opérationnelle de génération de cash-flow.</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LNBB affiche une variation totale quasi stable de +1,16 %, avec une légère contraction de -0,38 % lors de la dernière séance (J-1), le cours s'établissant à 3 935 FCFA. Le range de trading est relativement large, avec un plus haut à 4 560 FCFA et un plus bas à 3 700 FCFA, soit une amplitude de 860 FCFA (environ 23 %), ce qui témoigne d'une certaine nervosité du marché malgré la stabilité globale. La tendance générale est donc latérale, avec une légère pression baissière récente, le cours actuel se situant en dessous de la moyenne des 100 jours (4 076 FCFA) et de la médiane (4 050 FCFA). Les statistiques descriptives révèlent une distribution quasi symétrique : la moyenne (4 076 FCFA) et la médiane (4 050 FCFA) sont proches, et le skewness de 0,457 (interprété comme symétrique) confirme l'absence de biais directionnel marqué. L'écart-type de 192 FCFA avec un coefficient de variation de 4,7 % indique une dispersion modérée du cours autour de sa moyenne, tandis que le kurtosis de -0,766 (mésokurtique) suggère une distribution proche de la normale, sans risque excessif de pics extrêmes. La volatilité annualisée de 41,4 % classe ce titre dans la catégorie des valeurs à volatilité élevée (&gt;30 %), ce qui implique un risque de prix non négligeable pour les investisseurs, bien que le volume moyen quotidien de 4 648 titres assure une liquidité correcte pour des transactions de taille modérée.</w:t>
      </w:r>
    </w:p>
    <w:p>
      <w:pPr>
        <w:spacing w:after="120" w:line="276" w:lineRule="auto"/>
      </w:pPr>
      <w:r>
        <w:t>---</w:t>
      </w:r>
    </w:p>
    <w:p>
      <w:pPr>
        <w:spacing w:after="120" w:line="276" w:lineRule="auto"/>
      </w:pPr>
      <w:r>
        <w:t>### PARTIE 2 : ANALYSE TECHNIQUE DÉTAILLÉE</w:t>
      </w:r>
    </w:p>
    <w:p>
      <w:pPr>
        <w:spacing w:after="120" w:line="276" w:lineRule="auto"/>
      </w:pPr>
      <w:r>
        <w:t>**Moyennes Mobiles :** La MM20 (3 948 FCFA) est légèrement supérieure au cours actuel (3 935 FCFA), tandis que la MM50 (4 065,8 FCFA) se situe nettement au-dessus, créant une configuration baissière où le cours évolue sous ses deux moyennes mobiles. Cette disposition confirme la décision technique de « Vente », le marché n'ayant pas encore trouvé de support solide pour inverser la tendance.</w:t>
      </w:r>
    </w:p>
    <w:p>
      <w:pPr>
        <w:spacing w:after="120" w:line="276" w:lineRule="auto"/>
      </w:pPr>
      <w:r>
        <w:t>**Bandes de Bollinger :** Le cours actuel (3 935 FCFA) se situe dans la partie médiane des bandes, entre la borne inférieure (3 766,5 FCFA) et la borne supérieure (4 129,5 FCFA), ce qui justifie la décision « Neutre ». L'absence de contact avec les bornes indique une volatilité contenue à court terme, sans signal de survente ou de surachat imminent.</w:t>
      </w:r>
    </w:p>
    <w:p>
      <w:pPr>
        <w:spacing w:after="120" w:line="276" w:lineRule="auto"/>
      </w:pPr>
      <w:r>
        <w:t>**MACD :** La valeur du MACD (-40,295) est supérieure à son signal (-48,65), générant un croisement haussier (MACD &gt; Signal) qui justifie la décision « Achat ». Ce signal positif suggère un ralentissement de la dynamique baissière et un possible retournement à moyen terme, bien que les deux lignes restent en territoire négatif.</w:t>
      </w:r>
    </w:p>
    <w:p>
      <w:pPr>
        <w:spacing w:after="120" w:line="276" w:lineRule="auto"/>
      </w:pPr>
      <w:r>
        <w:t>**RSI :** À 42,487, le RSI se situe dans la zone neutre (30-70), sans indication de surachat ni de survente, ce qui confirme la décision « Neutre ». Le titre n'est ni surévalué ni sous-évalué techniquement à court terme, laissant la porte ouverte à une consolidation.</w:t>
      </w:r>
    </w:p>
    <w:p>
      <w:pPr>
        <w:spacing w:after="120" w:line="276" w:lineRule="auto"/>
      </w:pPr>
      <w:r>
        <w:t>**Stochastique :** Le %K (78,333) est supérieur au %D (64,075), indiquant une dynamique haussière à court terme, mais les deux valeurs se rapprochent de la zone de surachat (&gt;80), ce qui tempère le signal. La décision reste « Neutre », le croisement n'étant pas encore confirmé en zone extrême.</w:t>
      </w:r>
    </w:p>
    <w:p>
      <w:pPr>
        <w:spacing w:after="120" w:line="276" w:lineRule="auto"/>
      </w:pPr>
      <w:r>
        <w:t>**Conclusion technique :** Les indicateurs techniques présentent un tableau mitigé : si le MACD et le stochastique suggèrent un potentiel rebond à court terme, les moyennes mobiles et la position du cours sous la MM50 maintiennent une pression baissière structurelle. Le RSI et les bandes de Bollinger confirment l'absence de signal directionnel fort, invitant à la prudence. La convergence partielle des signaux plaide pour une phase de consolidation avant toute reprise durable.</w:t>
      </w:r>
    </w:p>
    <w:p>
      <w:pPr>
        <w:spacing w:after="120" w:line="276" w:lineRule="auto"/>
      </w:pPr>
      <w:r>
        <w:t>---</w:t>
      </w:r>
    </w:p>
    <w:p>
      <w:pPr>
        <w:spacing w:after="120" w:line="276" w:lineRule="auto"/>
      </w:pPr>
      <w:r>
        <w:t>### PARTIE 3 : ANALYSE FONDAMENTALE (SECTION CRITIQUE)</w:t>
      </w:r>
    </w:p>
    <w:p>
      <w:pPr>
        <w:spacing w:after="120" w:line="276" w:lineRule="auto"/>
      </w:pPr>
      <w:r>
        <w:t>En 2025, LNBB a réalisé un chiffre d'affaires de 98,598 milliards FCFA, en baisse de -3,85 % par rapport à 2024 (102,544 milliards FCFA), sous l'effet d'une concurrence illégale accrue dans le secteur des jeux. Le résultat net s'établit à 4,622 milliards FCFA, en recul de -35,6 % par rapport aux 7,176 milliards FCFA de 2024, une baisse principalement attribuable à l'absence de produits exceptionnels (3,1 milliards FCFA en 2024) et à la pression sur les marges. Malgré cette contraction, les fondamentaux opérationnels restent solides : la valeur ajoutée progresse de +22 % à 10,548 milliards FCFA, l'EBE augmente de +34 % à 7,164 milliards FCFA, et le ROE atteint 21,05 %, un niveau excellent (&gt;15 %). Le ROA de 14,17 % et la rotation des actifs de 302,37 % témoignent d'une efficacité remarquable dans l'utilisation des ressources. La structure financière est très saine : l'autonomie financière de 67,32 % (capitaux propres/total bilan), un ratio d'endettement de seulement 2,57 %, et une trésorerie nette positive de 7,979 milliards FCFA. Les délais clients sont exceptionnellement courts (4,82 jours), limitant le risque de trésorerie, tandis que le BFR de 217,45 millions FCFA reste maîtrisé. Les rapports trimestriels de 2026 confirment une amélioration : au S1 2026 (rapport du 30 juillet 2026), le CA progresse de +4 % à 49,937 milliards FCFA et le résultat net bondit de +60 %, grâce à la maîtrise des charges et aux revenus de partenariats B2B. Toutefois, le T1 2026 (rapport du 26 mai 2025) avait montré une chute de -46 % du résultat net à 848 millions FCFA, illustrant la volatilité des performances trimestrielles. On estime que l'exercice 2026 devrait bénéficier du déploiement de 1 500 nouveaux terminaux et du lancement de nouveaux produits, avec un résultat net potentiellement en hausse de +40 % à +60 % par rapport à 2025, sous réserve de la stabilisation du produit brut des jeux. La recommandation fondamentale est de **CONSERVER** le titre : la solidité financière, la générosité du dividende (173 FCFA brut/action, soit un rendement de 4,4 % au cours actuel) et les perspectives de redressement opérationnel compensent les risques liés à la concurrence illégale et à la dépendance croissante au pari sportif à faible marge.</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conduit à une recommandation nuancée. Sur le plan de la **valorisation (Partie 0)**, le PER de 17,0x et le P/B de 3,58x indiquent une légère surévaluation par rapport aux standards du marché BRVM, bien que l'EV/EBITDA de 10,0x reste raisonnable, reflétant une prime de qualité justifiée par le ROE élevé. Le **comportement du cours (Partie 1)** est préoccupant à court terme : la tendance latérale avec une légère pression baissière, une volatilité élevée (41,4 %) et un cours sous la moyenne des 100 jours suggèrent une absence de momentum haussier, malgré une distribution symétrique et un kurtosis rassurant. Les **signaux techniques (Partie 2)** sont divergents : le MACD et le stochastique émettent des signaux d'achat, mais les moyennes mobiles et la position du cours sous la MM50 maintiennent une pression baissière, créant une configuration incertaine. Les **fondamentaux (Partie 3)** restent le point fort : la société affiche une structure financière solide, un ROE de 21,05 %, une trésorerie nette positive et des perspectives d'amélioration pour 2026 (+60 % de résultat net au S1 2026), bien que les risques liés à la concurrence illégale et à la dilution des marges persistent. Les **prédictions IA (J+1 à J+10)** anticipent une trajectoire stable autour de 3 930-3 939 FCFA, confirmant l'absence de catalyseur à court terme mais écartant un effondrement. Sur la base de cette synthèse, la recommandation finale est **CONSERVER**, avec un niveau de confiance **Moyen** et un risque global **Moyen**. La convergence entre la stabilité des prédictions, la solidité des fondamentaux et la neutralité des signaux techniques plaide pour une position d'attente, tandis que la légère surévaluation et la pression baissière à court terme excluent un achat agressif. L'horizon d'investissement optimal est le **moyen terme (3-12 mois)**, le temps que les initiatives stratégiques (nouveaux produits, expansion du réseau) se matérialisent dans les résultats et que la tendance technique s'inverse durablement.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20.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27.45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2,365 titres</w:t>
            </w:r>
          </w:p>
        </w:tc>
        <w:tc>
          <w:tcPr>
            <w:tcW w:type="dxa" w:w="2268"/>
            <w:shd w:fill="FFF2CC" w:val="clear"/>
          </w:tcPr>
          <w:p>
            <w:r>
              <w:rPr>
                <w:b/>
                <w:color w:val="503200"/>
                <w:sz w:val="16"/>
              </w:rPr>
              <w:t xml:space="preserve">Cours actuel : </w:t>
            </w:r>
            <w:r>
              <w:rPr>
                <w:color w:val="000000"/>
                <w:sz w:val="17"/>
              </w:rPr>
              <w:t>2,150 FCFA</w:t>
            </w:r>
          </w:p>
          <w:p>
            <w:r>
              <w:rPr>
                <w:b/>
                <w:color w:val="503200"/>
                <w:sz w:val="16"/>
              </w:rPr>
              <w:t xml:space="preserve">Var. 100 jours : </w:t>
            </w:r>
            <w:r>
              <w:rPr>
                <w:b/>
                <w:color w:val="007800"/>
                <w:sz w:val="17"/>
              </w:rPr>
              <w:t>+10.82%</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1,900 FCFA</w:t>
            </w:r>
          </w:p>
          <w:p>
            <w:r>
              <w:rPr>
                <w:b/>
                <w:color w:val="503200"/>
                <w:sz w:val="16"/>
              </w:rPr>
              <w:t xml:space="preserve">Volatilité ann. : </w:t>
            </w:r>
            <w:r>
              <w:rPr>
                <w:color w:val="000000"/>
                <w:sz w:val="17"/>
              </w:rPr>
              <w:t>52.6%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12.22% (Moyenne) — μ=2,315 FCFA, σ=283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β=0.0502 (Défensif) — Cov=0.000004, Var(idx)=0.000073, ρ=0.013,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2,365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σ_j=3.31%/j (Modérée) — Vol. annualisée≈52.6%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2,028</w:t>
            </w:r>
          </w:p>
        </w:tc>
        <w:tc>
          <w:tcPr>
            <w:tcW w:type="dxa" w:w="1440"/>
            <w:shd w:fill="FAFAFA" w:val="clear"/>
          </w:tcPr>
          <w:p>
            <w:r>
              <w:rPr>
                <w:b/>
                <w:sz w:val="17"/>
              </w:rPr>
              <w:t>2,146</w:t>
            </w:r>
          </w:p>
        </w:tc>
        <w:tc>
          <w:tcPr>
            <w:tcW w:type="dxa" w:w="1440"/>
            <w:shd w:fill="FAFAFA" w:val="clear"/>
          </w:tcPr>
          <w:p>
            <w:r>
              <w:rPr>
                <w:sz w:val="17"/>
              </w:rPr>
              <w:t>2,264</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1,967</w:t>
            </w:r>
          </w:p>
        </w:tc>
        <w:tc>
          <w:tcPr>
            <w:tcW w:type="dxa" w:w="1440"/>
            <w:shd w:fill="FAFAFA" w:val="clear"/>
          </w:tcPr>
          <w:p>
            <w:r>
              <w:rPr>
                <w:b/>
                <w:sz w:val="17"/>
              </w:rPr>
              <w:t>2,132</w:t>
            </w:r>
          </w:p>
        </w:tc>
        <w:tc>
          <w:tcPr>
            <w:tcW w:type="dxa" w:w="1440"/>
            <w:shd w:fill="FAFAFA" w:val="clear"/>
          </w:tcPr>
          <w:p>
            <w:r>
              <w:rPr>
                <w:sz w:val="17"/>
              </w:rPr>
              <w:t>2,298</w:t>
            </w:r>
          </w:p>
        </w:tc>
        <w:tc>
          <w:tcPr>
            <w:tcW w:type="dxa" w:w="1440"/>
            <w:shd w:fill="FAFAFA" w:val="clear"/>
          </w:tcPr>
          <w:p>
            <w:r>
              <w:rPr>
                <w:b/>
                <w:color w:val="C00000"/>
                <w:sz w:val="17"/>
              </w:rPr>
              <w:t>-0.8%</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1,920</w:t>
            </w:r>
          </w:p>
        </w:tc>
        <w:tc>
          <w:tcPr>
            <w:tcW w:type="dxa" w:w="1440"/>
            <w:shd w:fill="FAFAFA" w:val="clear"/>
          </w:tcPr>
          <w:p>
            <w:r>
              <w:rPr>
                <w:b/>
                <w:sz w:val="17"/>
              </w:rPr>
              <w:t>2,122</w:t>
            </w:r>
          </w:p>
        </w:tc>
        <w:tc>
          <w:tcPr>
            <w:tcW w:type="dxa" w:w="1440"/>
            <w:shd w:fill="FAFAFA" w:val="clear"/>
          </w:tcPr>
          <w:p>
            <w:r>
              <w:rPr>
                <w:sz w:val="17"/>
              </w:rPr>
              <w:t>2,324</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1,880</w:t>
            </w:r>
          </w:p>
        </w:tc>
        <w:tc>
          <w:tcPr>
            <w:tcW w:type="dxa" w:w="1440"/>
            <w:shd w:fill="FAFAFA" w:val="clear"/>
          </w:tcPr>
          <w:p>
            <w:r>
              <w:rPr>
                <w:b/>
                <w:sz w:val="17"/>
              </w:rPr>
              <w:t>2,112</w:t>
            </w:r>
          </w:p>
        </w:tc>
        <w:tc>
          <w:tcPr>
            <w:tcW w:type="dxa" w:w="1440"/>
            <w:shd w:fill="FAFAFA" w:val="clear"/>
          </w:tcPr>
          <w:p>
            <w:r>
              <w:rPr>
                <w:sz w:val="17"/>
              </w:rPr>
              <w:t>2,344</w:t>
            </w:r>
          </w:p>
        </w:tc>
        <w:tc>
          <w:tcPr>
            <w:tcW w:type="dxa" w:w="1440"/>
            <w:shd w:fill="FAFAFA" w:val="clear"/>
          </w:tcPr>
          <w:p>
            <w:r>
              <w:rPr>
                <w:b/>
                <w:color w:val="C00000"/>
                <w:sz w:val="17"/>
              </w:rPr>
              <w:t>-1.8%</w:t>
            </w:r>
          </w:p>
        </w:tc>
      </w:tr>
      <w:tr>
        <w:tc>
          <w:tcPr>
            <w:tcW w:type="dxa" w:w="1440"/>
            <w:shd w:fill="FFDCE0" w:val="clear"/>
          </w:tcPr>
          <w:p>
            <w:r>
              <w:rPr>
                <w:sz w:val="17"/>
              </w:rPr>
              <w:t>J+5  ⭐</w:t>
            </w:r>
          </w:p>
        </w:tc>
        <w:tc>
          <w:tcPr>
            <w:tcW w:type="dxa" w:w="1440"/>
            <w:shd w:fill="FFDCE0" w:val="clear"/>
          </w:tcPr>
          <w:p>
            <w:r>
              <w:rPr>
                <w:sz w:val="17"/>
              </w:rPr>
              <w:t>2026-10-16</w:t>
            </w:r>
          </w:p>
        </w:tc>
        <w:tc>
          <w:tcPr>
            <w:tcW w:type="dxa" w:w="1440"/>
            <w:shd w:fill="FFDCE0" w:val="clear"/>
          </w:tcPr>
          <w:p>
            <w:r>
              <w:rPr>
                <w:sz w:val="17"/>
              </w:rPr>
              <w:t>1,843</w:t>
            </w:r>
          </w:p>
        </w:tc>
        <w:tc>
          <w:tcPr>
            <w:tcW w:type="dxa" w:w="1440"/>
            <w:shd w:fill="FFDCE0" w:val="clear"/>
          </w:tcPr>
          <w:p>
            <w:r>
              <w:rPr>
                <w:b/>
                <w:sz w:val="17"/>
              </w:rPr>
              <w:t>2,102</w:t>
            </w:r>
          </w:p>
        </w:tc>
        <w:tc>
          <w:tcPr>
            <w:tcW w:type="dxa" w:w="1440"/>
            <w:shd w:fill="FFDCE0" w:val="clear"/>
          </w:tcPr>
          <w:p>
            <w:r>
              <w:rPr>
                <w:sz w:val="17"/>
              </w:rPr>
              <w:t>2,360</w:t>
            </w:r>
          </w:p>
        </w:tc>
        <w:tc>
          <w:tcPr>
            <w:tcW w:type="dxa" w:w="1440"/>
            <w:shd w:fill="FFDCE0" w:val="clear"/>
          </w:tcPr>
          <w:p>
            <w:r>
              <w:rPr>
                <w:b/>
                <w:color w:val="C00000"/>
                <w:sz w:val="17"/>
              </w:rPr>
              <w:t>-2.2%</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1,810</w:t>
            </w:r>
          </w:p>
        </w:tc>
        <w:tc>
          <w:tcPr>
            <w:tcW w:type="dxa" w:w="1440"/>
            <w:shd w:fill="FFDCE0" w:val="clear"/>
          </w:tcPr>
          <w:p>
            <w:r>
              <w:rPr>
                <w:b/>
                <w:sz w:val="17"/>
              </w:rPr>
              <w:t>2,092</w:t>
            </w:r>
          </w:p>
        </w:tc>
        <w:tc>
          <w:tcPr>
            <w:tcW w:type="dxa" w:w="1440"/>
            <w:shd w:fill="FFDCE0" w:val="clear"/>
          </w:tcPr>
          <w:p>
            <w:r>
              <w:rPr>
                <w:sz w:val="17"/>
              </w:rPr>
              <w:t>2,374</w:t>
            </w:r>
          </w:p>
        </w:tc>
        <w:tc>
          <w:tcPr>
            <w:tcW w:type="dxa" w:w="1440"/>
            <w:shd w:fill="FFDCE0" w:val="clear"/>
          </w:tcPr>
          <w:p>
            <w:r>
              <w:rPr>
                <w:b/>
                <w:color w:val="C00000"/>
                <w:sz w:val="17"/>
              </w:rPr>
              <w:t>-2.7%</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1,779</w:t>
            </w:r>
          </w:p>
        </w:tc>
        <w:tc>
          <w:tcPr>
            <w:tcW w:type="dxa" w:w="1440"/>
            <w:shd w:fill="FFDCE0" w:val="clear"/>
          </w:tcPr>
          <w:p>
            <w:r>
              <w:rPr>
                <w:b/>
                <w:sz w:val="17"/>
              </w:rPr>
              <w:t>2,082</w:t>
            </w:r>
          </w:p>
        </w:tc>
        <w:tc>
          <w:tcPr>
            <w:tcW w:type="dxa" w:w="1440"/>
            <w:shd w:fill="FFDCE0" w:val="clear"/>
          </w:tcPr>
          <w:p>
            <w:r>
              <w:rPr>
                <w:sz w:val="17"/>
              </w:rPr>
              <w:t>2,385</w:t>
            </w:r>
          </w:p>
        </w:tc>
        <w:tc>
          <w:tcPr>
            <w:tcW w:type="dxa" w:w="1440"/>
            <w:shd w:fill="FFDCE0" w:val="clear"/>
          </w:tcPr>
          <w:p>
            <w:r>
              <w:rPr>
                <w:b/>
                <w:color w:val="C00000"/>
                <w:sz w:val="17"/>
              </w:rPr>
              <w:t>-3.1%</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1,751</w:t>
            </w:r>
          </w:p>
        </w:tc>
        <w:tc>
          <w:tcPr>
            <w:tcW w:type="dxa" w:w="1440"/>
            <w:shd w:fill="FFDCE0" w:val="clear"/>
          </w:tcPr>
          <w:p>
            <w:r>
              <w:rPr>
                <w:b/>
                <w:sz w:val="17"/>
              </w:rPr>
              <w:t>2,073</w:t>
            </w:r>
          </w:p>
        </w:tc>
        <w:tc>
          <w:tcPr>
            <w:tcW w:type="dxa" w:w="1440"/>
            <w:shd w:fill="FFDCE0" w:val="clear"/>
          </w:tcPr>
          <w:p>
            <w:r>
              <w:rPr>
                <w:sz w:val="17"/>
              </w:rPr>
              <w:t>2,396</w:t>
            </w:r>
          </w:p>
        </w:tc>
        <w:tc>
          <w:tcPr>
            <w:tcW w:type="dxa" w:w="1440"/>
            <w:shd w:fill="FFDCE0" w:val="clear"/>
          </w:tcPr>
          <w:p>
            <w:r>
              <w:rPr>
                <w:b/>
                <w:color w:val="C00000"/>
                <w:sz w:val="17"/>
              </w:rPr>
              <w:t>-3.6%</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1,724</w:t>
            </w:r>
          </w:p>
        </w:tc>
        <w:tc>
          <w:tcPr>
            <w:tcW w:type="dxa" w:w="1440"/>
            <w:shd w:fill="FFDCE0" w:val="clear"/>
          </w:tcPr>
          <w:p>
            <w:r>
              <w:rPr>
                <w:b/>
                <w:sz w:val="17"/>
              </w:rPr>
              <w:t>2,065</w:t>
            </w:r>
          </w:p>
        </w:tc>
        <w:tc>
          <w:tcPr>
            <w:tcW w:type="dxa" w:w="1440"/>
            <w:shd w:fill="FFDCE0" w:val="clear"/>
          </w:tcPr>
          <w:p>
            <w:r>
              <w:rPr>
                <w:sz w:val="17"/>
              </w:rPr>
              <w:t>2,405</w:t>
            </w:r>
          </w:p>
        </w:tc>
        <w:tc>
          <w:tcPr>
            <w:tcW w:type="dxa" w:w="1440"/>
            <w:shd w:fill="FFDCE0" w:val="clear"/>
          </w:tcPr>
          <w:p>
            <w:r>
              <w:rPr>
                <w:b/>
                <w:color w:val="C00000"/>
                <w:sz w:val="17"/>
              </w:rPr>
              <w:t>-4.0%</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1,699</w:t>
            </w:r>
          </w:p>
        </w:tc>
        <w:tc>
          <w:tcPr>
            <w:tcW w:type="dxa" w:w="1440"/>
            <w:shd w:fill="FFDCE0" w:val="clear"/>
          </w:tcPr>
          <w:p>
            <w:r>
              <w:rPr>
                <w:b/>
                <w:sz w:val="17"/>
              </w:rPr>
              <w:t>2,056</w:t>
            </w:r>
          </w:p>
        </w:tc>
        <w:tc>
          <w:tcPr>
            <w:tcW w:type="dxa" w:w="1440"/>
            <w:shd w:fill="FFDCE0" w:val="clear"/>
          </w:tcPr>
          <w:p>
            <w:r>
              <w:rPr>
                <w:sz w:val="17"/>
              </w:rPr>
              <w:t>2,414</w:t>
            </w:r>
          </w:p>
        </w:tc>
        <w:tc>
          <w:tcPr>
            <w:tcW w:type="dxa" w:w="1440"/>
            <w:shd w:fill="FFDCE0" w:val="clear"/>
          </w:tcPr>
          <w:p>
            <w:r>
              <w:rPr>
                <w:b/>
                <w:color w:val="C00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**RAPPORT D'ANALYSE FINANCIÈRE — NEIC (NEI-CEDA CI)**</w:t>
        <w:br/>
        <w:t>*Bourse Régionale des Valeurs Mobilières (BRVM) — Secteur : Édition &amp; Diffusion*</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27,45 milliards FCFA, NEIC se positionne comme une valeur de petite capitalisation sur le marché BRVM, ce qui implique une liquidité limitée et une sensibilité accrue aux mouvements de portefeuille. Le BPA de 160 FCFA/action signifie que chaque titre génère 160 FCFA de bénéfice net, ce qui, rapporté au cours actuel de 2 150 FCFA, donne un PER de 13,5x — un niveau modéré, légèrement supérieur à la moyenne du marché BRVM (8-12x), mais qui reste raisonnable au regard de la dynamique bénéficiaire récente. En revanche, le P/B de 4,77x traduit une forte prime : le marché valorise l'entreprise près de cinq fois sa valeur comptable, ce qui est exigeant et suppose une confiance dans la capacité de la société à générer des rendements futurs élevés. L'EV/EBITDA de 19,9x, très supérieur au seuil de 15x, confirme cette exigence : la valeur d'entreprise (incluant la dette nette) représente près de vingt fois la capacité opérationnelle, ce qui laisse peu de marge d'erreur. Globalement, la valorisation apparaît tendue sur les multiples patrimoniaux et opérationnels, bien que le PER reste acceptable.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NEIC a enregistré une variation totale de +10,82%, mais la dernière séance (J-1) affiche un repli de -2,27%, signalant une pression vendeuse récente. Le cours actuel de 2 150 FCFA se situe dans la partie basse du range de trading, le plus haut ayant atteint 3 000 FCFA et le plus bas 1 900 FCFA — soit un écart de 1 100 FCFA (58% du plus bas), ce qui témoigne d'une forte amplitude. La tendance générale sur la période reste haussière (+10,82%), mais le repli récent depuis le sommet de 3 000 FCFA suggère une correction en cours. Les statistiques descriptives révèlent une moyenne de 2 315 FCFA supérieure à la médiane de 2 272 FCFA, avec un mode à 2 200 FCFA : cet écart indique une distribution asymétrique, confirmée par un skewness de 0,985 (asymétrie positive), signifiant que les journées sous la moyenne sont plus fréquentes mais compensées par des pics haussiers. L'écart-type de 284 FCFA (CV = 12,3%) traduit une dispersion modérée du cours autour de sa moyenne, tandis que le kurtosis de 0,463 (mésokurtique) indique une distribution proche de la normale, sans risque excessif de pics extrêmes. La volatilité annualisée de 52,6% classe le titre dans la catégorie des valeurs à volatilité élevée (&gt;30%), ce qui implique un risque de prix significatif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(2 415,25 FCFA) et la MM50 (2 476,40 FCFA) se situent toutes deux au-dessus du cours actuel (2 150 FCFA), avec la MM20 sous la MM50 — configuration baissière caractéristique. Le cours évoluant sous ses deux moyennes, la décision technique est logiquement **Vente**, confirmant la pression baissière de court et moyen terme.</w:t>
      </w:r>
    </w:p>
    <w:p>
      <w:pPr>
        <w:spacing w:after="120" w:line="276" w:lineRule="auto"/>
      </w:pPr>
      <w:r>
        <w:t>**Bandes de Bollinger** : La borne supérieure est à 2 836,63 FCFA et la borne inférieure à 1 993,87 FCFA, avec un cours actuel de 2 150 FCFA qui se situe dans la moitié basse du canal, sans atteindre la borne inférieure. Cette position centrale-basse, dans un canal large (écart de 842 FCFA), traduit une volatilité élevée mais un signal **Neutre** : le titre n'est ni en survente extrême ni en surachat, laissant place à une possible stabilisation.</w:t>
      </w:r>
    </w:p>
    <w:p>
      <w:pPr>
        <w:spacing w:after="120" w:line="276" w:lineRule="auto"/>
      </w:pPr>
      <w:r>
        <w:t>**MACD** : La valeur du MACD (-111,573) est inférieure à son signal (-80,053), avec un histogramme négatif — configuration baissière. Le momentum est clairement négatif, et la divergence MACD-Signal confirme la décision **Vente**, indiquant que la pression baissière pourrait persister à court terme.</w:t>
      </w:r>
    </w:p>
    <w:p>
      <w:pPr>
        <w:spacing w:after="120" w:line="276" w:lineRule="auto"/>
      </w:pPr>
      <w:r>
        <w:t>**RSI** : À 19,643, le RSI est nettement en zone de survente (&lt;30), ce qui est un signal classique d'**Achat** : le titre a été excessivement vendu et une correction haussière technique est probable. Ce niveau extrême contraste avec les signaux baissiers des autres indicateurs.</w:t>
      </w:r>
    </w:p>
    <w:p>
      <w:pPr>
        <w:spacing w:after="120" w:line="276" w:lineRule="auto"/>
      </w:pPr>
      <w:r>
        <w:t>**Stochastique** : Le %K et le %D sont tous deux à 0,0, en zone de survente extrême, avec un croisement potentiel à venir. La décision est **Achat**, mais ce signal doit être confirmé par un retournement effectif des courbes, car un stochastique à 0 peut persister en cas de tendance baissière forte.</w:t>
      </w:r>
    </w:p>
    <w:p>
      <w:pPr>
        <w:spacing w:after="120" w:line="276" w:lineRule="auto"/>
      </w:pPr>
      <w:r>
        <w:t>**Conclusion technique** : Les indicateurs sont divergents : les moyennes mobiles et le MACD sont baissiers (Vente), tandis que le RSI et le stochastique sont en survente extrême (Achat). Cette divergence suggère un possible rebond technique à court terme, mais la tendance de fond reste fragile tant que le cours ne repasse pas au-dessus de la MM20 (2 415 FCFA). La prudence est de mise.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(source : brvm_donnees_financieres) révèlent une situation financière paradoxale. Le chiffre d'affaires s'établit à 5,139 milliards FCFA, en **baisse de 23,8%** par rapport à l'exercice précédent, ce qui traduit un net ralentissement commercial. Pourtant, le résultat net atteint 2,037 milliards FCFA, avec une marge nette exceptionnelle de 39,6% — un niveau qui interpelle, car il est largement supérieur à la marge opérationnelle (23,6%) et à la marge brute (24,4%). Cette performance s'explique par un résultat avant impôt de 2,467 milliards FCFA, dopé par des éléments non récurrents (reprise de provision pour redressement fiscal, comme l'indique le rapport T3 2025). Le ROE de 35,4% et le ROA de 27,3% sont excellents, mais ils sont mécaniquement gonflés par ce bénéfice exceptionnel. La structure financière reste très saine : autonomie financière de 77%, liquidité générale de 448%, trésorerie nette de 4,196 milliards FCFA. Cependant, le BFR de 1,498 milliard FCFA et le délai client de 154,72 jours (créances clients de 2,209 milliards FCFA) constituent un risque de trésorerie important, bien que le délai fournisseur de 69,56 jours offre un coussin. Le flux opérationnel est négatif (-527,07 millions FCFA), ce qui est préoccupant. Les rapports trimestriels confirment cette dualité : le T1 2025 (rapport du 31/03/2025) affichait un CA catastrophique de 48,5 millions FCFA et une perte nette de -189,9 millions FCFA ; le T3 2025 (rapport du 30/09/2025) montrait un CA de 3 406 millions FCFA (-35% en glissement annuel) mais un bénéfice net de 1 596 millions FCFA dû à la reprise de provision. Le rapport T1 2026 (publié en 2026) indique un CA de 115,1 millions FCFA (+137%) mais une perte nette de -168,9 millions FCFA, confirmant que la rentabilité opérationnelle n'est pas encore rétablie. En synthèse, la société est financièrement solide (trésorerie, capitaux propres), mais sa performance opérationnelle est fragile, dépendante d'éléments non récurrents, et son chiffre d'affaires est en recul structurel. La durabilité des bénéfices est incertaine.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tendue : PER de 13,5x (modéré), P/B de 4,77x (exigeant) et EV/EBITDA de 19,9x (très élevé) suggèrent que le marché intègre déjà une forte croissance bénéficiaire, ce qui laisse peu de marge de sécurité. Le comportement du cours (Partie 1) est mitigé : tendance haussière sur 100 jours (+10,82%) mais correction récente (-2,27% en J-1), avec une volatilité élevée (52,6%) et une asymétrie positive (skewness 0,985) qui indique des pics haussiers compensant des journées baissières fréquentes. Les signaux techniques (Partie 2) sont divergents : baissiers pour les MM et le MACD, mais haussiers pour le RSI (19,6) et le stochastique (0,0), ce qui plaide pour un rebond technique à court terme, sans inversion de tendance. Les fondamentaux (Partie 3) sont contrastés : solidité financière indéniable (trésorerie, ROE, ROA) mais fragilité opérationnelle (CA en baisse, flux opérationnel négatif, dépendance aux éléments non récurrents). Les prédictions IA (J+1 à J+10) anticipent une baisse continue de 2 146 à 2 102 FCFA, confirmant la pression baissière de court terme. **Recommandation finale : CONSERVER.** La convergence entre la valorisation exigeante, les signaux techniques divergents, les fondamentaux opérationnels fragiles et les prédictions baissières incite à la prudence. Le niveau de confiance est **Moyen** (les signaux ne sont pas unanimes), et le risque global est **Élevé** (volatilité, dépendance aux éléments exceptionnels, liquidité limitée). L'horizon d'investissement optimal est **moyen terme (3-12 mois)**, en attendant une confirmation de la reprise opérationnelle (croissance du CA hors éléments exceptionnels) et un retournement technique durable au-dessus de la MM20 (2 415 FCFA).</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21.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518.93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2,945 titres</w:t>
            </w:r>
          </w:p>
        </w:tc>
        <w:tc>
          <w:tcPr>
            <w:tcW w:type="dxa" w:w="2268"/>
            <w:shd w:fill="FFF2CC" w:val="clear"/>
          </w:tcPr>
          <w:p>
            <w:r>
              <w:rPr>
                <w:b/>
                <w:color w:val="503200"/>
                <w:sz w:val="16"/>
              </w:rPr>
              <w:t xml:space="preserve">Cours actuel : </w:t>
            </w:r>
            <w:r>
              <w:rPr>
                <w:color w:val="000000"/>
                <w:sz w:val="17"/>
              </w:rPr>
              <w:t>20,980 FCFA</w:t>
            </w:r>
          </w:p>
          <w:p>
            <w:r>
              <w:rPr>
                <w:b/>
                <w:color w:val="503200"/>
                <w:sz w:val="16"/>
              </w:rPr>
              <w:t xml:space="preserve">Var. 100 jours : </w:t>
            </w:r>
            <w:r>
              <w:rPr>
                <w:b/>
                <w:color w:val="007800"/>
                <w:sz w:val="17"/>
              </w:rPr>
              <w:t>+34.06%</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15,650 FCFA</w:t>
            </w:r>
          </w:p>
          <w:p>
            <w:r>
              <w:rPr>
                <w:b/>
                <w:color w:val="503200"/>
                <w:sz w:val="16"/>
              </w:rPr>
              <w:t xml:space="preserve">Volatilité ann. : </w:t>
            </w:r>
            <w:r>
              <w:rPr>
                <w:color w:val="000000"/>
                <w:sz w:val="17"/>
              </w:rPr>
              <w:t>40.7%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9.95% (Moyenne) — μ=21,505 FCFA, σ=2,140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β=1.2562 (Agressif) — Cov=0.000092, Var(idx)=0.000073, ρ=0.416,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2,945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σ_j=2.56%/j (Stable) — Vol. annualisée≈40.7%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19,703</w:t>
            </w:r>
          </w:p>
        </w:tc>
        <w:tc>
          <w:tcPr>
            <w:tcW w:type="dxa" w:w="1440"/>
            <w:shd w:fill="FAFAFA" w:val="clear"/>
          </w:tcPr>
          <w:p>
            <w:r>
              <w:rPr>
                <w:b/>
                <w:sz w:val="17"/>
              </w:rPr>
              <w:t>20,674</w:t>
            </w:r>
          </w:p>
        </w:tc>
        <w:tc>
          <w:tcPr>
            <w:tcW w:type="dxa" w:w="1440"/>
            <w:shd w:fill="FAFAFA" w:val="clear"/>
          </w:tcPr>
          <w:p>
            <w:r>
              <w:rPr>
                <w:sz w:val="17"/>
              </w:rPr>
              <w:t>21,646</w:t>
            </w:r>
          </w:p>
        </w:tc>
        <w:tc>
          <w:tcPr>
            <w:tcW w:type="dxa" w:w="1440"/>
            <w:shd w:fill="FAFAFA" w:val="clear"/>
          </w:tcPr>
          <w:p>
            <w:r>
              <w:rPr>
                <w:b/>
                <w:color w:val="C00000"/>
                <w:sz w:val="17"/>
              </w:rPr>
              <w:t>-1.5%</w:t>
            </w:r>
          </w:p>
        </w:tc>
      </w:tr>
      <w:tr>
        <w:tc>
          <w:tcPr>
            <w:tcW w:type="dxa" w:w="1440"/>
            <w:shd w:fill="FFDCE0" w:val="clear"/>
          </w:tcPr>
          <w:p>
            <w:r>
              <w:rPr>
                <w:sz w:val="17"/>
              </w:rPr>
              <w:t>J+2  Moyenne</w:t>
            </w:r>
          </w:p>
        </w:tc>
        <w:tc>
          <w:tcPr>
            <w:tcW w:type="dxa" w:w="1440"/>
            <w:shd w:fill="FFDCE0" w:val="clear"/>
          </w:tcPr>
          <w:p>
            <w:r>
              <w:rPr>
                <w:sz w:val="17"/>
              </w:rPr>
              <w:t>2026-10-13</w:t>
            </w:r>
          </w:p>
        </w:tc>
        <w:tc>
          <w:tcPr>
            <w:tcW w:type="dxa" w:w="1440"/>
            <w:shd w:fill="FFDCE0" w:val="clear"/>
          </w:tcPr>
          <w:p>
            <w:r>
              <w:rPr>
                <w:sz w:val="17"/>
              </w:rPr>
              <w:t>19,083</w:t>
            </w:r>
          </w:p>
        </w:tc>
        <w:tc>
          <w:tcPr>
            <w:tcW w:type="dxa" w:w="1440"/>
            <w:shd w:fill="FFDCE0" w:val="clear"/>
          </w:tcPr>
          <w:p>
            <w:r>
              <w:rPr>
                <w:b/>
                <w:sz w:val="17"/>
              </w:rPr>
              <w:t>20,441</w:t>
            </w:r>
          </w:p>
        </w:tc>
        <w:tc>
          <w:tcPr>
            <w:tcW w:type="dxa" w:w="1440"/>
            <w:shd w:fill="FFDCE0" w:val="clear"/>
          </w:tcPr>
          <w:p>
            <w:r>
              <w:rPr>
                <w:sz w:val="17"/>
              </w:rPr>
              <w:t>21,799</w:t>
            </w:r>
          </w:p>
        </w:tc>
        <w:tc>
          <w:tcPr>
            <w:tcW w:type="dxa" w:w="1440"/>
            <w:shd w:fill="FFDCE0" w:val="clear"/>
          </w:tcPr>
          <w:p>
            <w:r>
              <w:rPr>
                <w:b/>
                <w:color w:val="C00000"/>
                <w:sz w:val="17"/>
              </w:rPr>
              <w:t>-2.6%</w:t>
            </w:r>
          </w:p>
        </w:tc>
      </w:tr>
      <w:tr>
        <w:tc>
          <w:tcPr>
            <w:tcW w:type="dxa" w:w="1440"/>
            <w:shd w:fill="FFDCE0" w:val="clear"/>
          </w:tcPr>
          <w:p>
            <w:r>
              <w:rPr>
                <w:sz w:val="17"/>
              </w:rPr>
              <w:t>J+3  Moyenne</w:t>
            </w:r>
          </w:p>
        </w:tc>
        <w:tc>
          <w:tcPr>
            <w:tcW w:type="dxa" w:w="1440"/>
            <w:shd w:fill="FFDCE0" w:val="clear"/>
          </w:tcPr>
          <w:p>
            <w:r>
              <w:rPr>
                <w:sz w:val="17"/>
              </w:rPr>
              <w:t>2026-10-14</w:t>
            </w:r>
          </w:p>
        </w:tc>
        <w:tc>
          <w:tcPr>
            <w:tcW w:type="dxa" w:w="1440"/>
            <w:shd w:fill="FFDCE0" w:val="clear"/>
          </w:tcPr>
          <w:p>
            <w:r>
              <w:rPr>
                <w:sz w:val="17"/>
              </w:rPr>
              <w:t>18,573</w:t>
            </w:r>
          </w:p>
        </w:tc>
        <w:tc>
          <w:tcPr>
            <w:tcW w:type="dxa" w:w="1440"/>
            <w:shd w:fill="FFDCE0" w:val="clear"/>
          </w:tcPr>
          <w:p>
            <w:r>
              <w:rPr>
                <w:b/>
                <w:sz w:val="17"/>
              </w:rPr>
              <w:t>20,219</w:t>
            </w:r>
          </w:p>
        </w:tc>
        <w:tc>
          <w:tcPr>
            <w:tcW w:type="dxa" w:w="1440"/>
            <w:shd w:fill="FFDCE0" w:val="clear"/>
          </w:tcPr>
          <w:p>
            <w:r>
              <w:rPr>
                <w:sz w:val="17"/>
              </w:rPr>
              <w:t>21,865</w:t>
            </w:r>
          </w:p>
        </w:tc>
        <w:tc>
          <w:tcPr>
            <w:tcW w:type="dxa" w:w="1440"/>
            <w:shd w:fill="FFDCE0" w:val="clear"/>
          </w:tcPr>
          <w:p>
            <w:r>
              <w:rPr>
                <w:b/>
                <w:color w:val="C00000"/>
                <w:sz w:val="17"/>
              </w:rPr>
              <w:t>-3.6%</w:t>
            </w:r>
          </w:p>
        </w:tc>
      </w:tr>
      <w:tr>
        <w:tc>
          <w:tcPr>
            <w:tcW w:type="dxa" w:w="1440"/>
            <w:shd w:fill="FFDCE0" w:val="clear"/>
          </w:tcPr>
          <w:p>
            <w:r>
              <w:rPr>
                <w:sz w:val="17"/>
              </w:rPr>
              <w:t>J+4  ⭐</w:t>
            </w:r>
          </w:p>
        </w:tc>
        <w:tc>
          <w:tcPr>
            <w:tcW w:type="dxa" w:w="1440"/>
            <w:shd w:fill="FFDCE0" w:val="clear"/>
          </w:tcPr>
          <w:p>
            <w:r>
              <w:rPr>
                <w:sz w:val="17"/>
              </w:rPr>
              <w:t>2026-10-15</w:t>
            </w:r>
          </w:p>
        </w:tc>
        <w:tc>
          <w:tcPr>
            <w:tcW w:type="dxa" w:w="1440"/>
            <w:shd w:fill="FFDCE0" w:val="clear"/>
          </w:tcPr>
          <w:p>
            <w:r>
              <w:rPr>
                <w:sz w:val="17"/>
              </w:rPr>
              <w:t>18,126</w:t>
            </w:r>
          </w:p>
        </w:tc>
        <w:tc>
          <w:tcPr>
            <w:tcW w:type="dxa" w:w="1440"/>
            <w:shd w:fill="FFDCE0" w:val="clear"/>
          </w:tcPr>
          <w:p>
            <w:r>
              <w:rPr>
                <w:b/>
                <w:sz w:val="17"/>
              </w:rPr>
              <w:t>20,006</w:t>
            </w:r>
          </w:p>
        </w:tc>
        <w:tc>
          <w:tcPr>
            <w:tcW w:type="dxa" w:w="1440"/>
            <w:shd w:fill="FFDCE0" w:val="clear"/>
          </w:tcPr>
          <w:p>
            <w:r>
              <w:rPr>
                <w:sz w:val="17"/>
              </w:rPr>
              <w:t>21,886</w:t>
            </w:r>
          </w:p>
        </w:tc>
        <w:tc>
          <w:tcPr>
            <w:tcW w:type="dxa" w:w="1440"/>
            <w:shd w:fill="FFDCE0" w:val="clear"/>
          </w:tcPr>
          <w:p>
            <w:r>
              <w:rPr>
                <w:b/>
                <w:color w:val="C00000"/>
                <w:sz w:val="17"/>
              </w:rPr>
              <w:t>-4.6%</w:t>
            </w:r>
          </w:p>
        </w:tc>
      </w:tr>
      <w:tr>
        <w:tc>
          <w:tcPr>
            <w:tcW w:type="dxa" w:w="1440"/>
            <w:shd w:fill="FFDCE0" w:val="clear"/>
          </w:tcPr>
          <w:p>
            <w:r>
              <w:rPr>
                <w:sz w:val="17"/>
              </w:rPr>
              <w:t>J+5  ⭐</w:t>
            </w:r>
          </w:p>
        </w:tc>
        <w:tc>
          <w:tcPr>
            <w:tcW w:type="dxa" w:w="1440"/>
            <w:shd w:fill="FFDCE0" w:val="clear"/>
          </w:tcPr>
          <w:p>
            <w:r>
              <w:rPr>
                <w:sz w:val="17"/>
              </w:rPr>
              <w:t>2026-10-16</w:t>
            </w:r>
          </w:p>
        </w:tc>
        <w:tc>
          <w:tcPr>
            <w:tcW w:type="dxa" w:w="1440"/>
            <w:shd w:fill="FFDCE0" w:val="clear"/>
          </w:tcPr>
          <w:p>
            <w:r>
              <w:rPr>
                <w:sz w:val="17"/>
              </w:rPr>
              <w:t>17,716</w:t>
            </w:r>
          </w:p>
        </w:tc>
        <w:tc>
          <w:tcPr>
            <w:tcW w:type="dxa" w:w="1440"/>
            <w:shd w:fill="FFDCE0" w:val="clear"/>
          </w:tcPr>
          <w:p>
            <w:r>
              <w:rPr>
                <w:b/>
                <w:sz w:val="17"/>
              </w:rPr>
              <w:t>19,796</w:t>
            </w:r>
          </w:p>
        </w:tc>
        <w:tc>
          <w:tcPr>
            <w:tcW w:type="dxa" w:w="1440"/>
            <w:shd w:fill="FFDCE0" w:val="clear"/>
          </w:tcPr>
          <w:p>
            <w:r>
              <w:rPr>
                <w:sz w:val="17"/>
              </w:rPr>
              <w:t>21,876</w:t>
            </w:r>
          </w:p>
        </w:tc>
        <w:tc>
          <w:tcPr>
            <w:tcW w:type="dxa" w:w="1440"/>
            <w:shd w:fill="FFDCE0" w:val="clear"/>
          </w:tcPr>
          <w:p>
            <w:r>
              <w:rPr>
                <w:b/>
                <w:color w:val="C00000"/>
                <w:sz w:val="17"/>
              </w:rPr>
              <w:t>-5.6%</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17,335</w:t>
            </w:r>
          </w:p>
        </w:tc>
        <w:tc>
          <w:tcPr>
            <w:tcW w:type="dxa" w:w="1440"/>
            <w:shd w:fill="FFDCE0" w:val="clear"/>
          </w:tcPr>
          <w:p>
            <w:r>
              <w:rPr>
                <w:b/>
                <w:sz w:val="17"/>
              </w:rPr>
              <w:t>19,590</w:t>
            </w:r>
          </w:p>
        </w:tc>
        <w:tc>
          <w:tcPr>
            <w:tcW w:type="dxa" w:w="1440"/>
            <w:shd w:fill="FFDCE0" w:val="clear"/>
          </w:tcPr>
          <w:p>
            <w:r>
              <w:rPr>
                <w:sz w:val="17"/>
              </w:rPr>
              <w:t>21,845</w:t>
            </w:r>
          </w:p>
        </w:tc>
        <w:tc>
          <w:tcPr>
            <w:tcW w:type="dxa" w:w="1440"/>
            <w:shd w:fill="FFDCE0" w:val="clear"/>
          </w:tcPr>
          <w:p>
            <w:r>
              <w:rPr>
                <w:b/>
                <w:color w:val="C00000"/>
                <w:sz w:val="17"/>
              </w:rPr>
              <w:t>-6.6%</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16,976</w:t>
            </w:r>
          </w:p>
        </w:tc>
        <w:tc>
          <w:tcPr>
            <w:tcW w:type="dxa" w:w="1440"/>
            <w:shd w:fill="FFDCE0" w:val="clear"/>
          </w:tcPr>
          <w:p>
            <w:r>
              <w:rPr>
                <w:b/>
                <w:sz w:val="17"/>
              </w:rPr>
              <w:t>19,386</w:t>
            </w:r>
          </w:p>
        </w:tc>
        <w:tc>
          <w:tcPr>
            <w:tcW w:type="dxa" w:w="1440"/>
            <w:shd w:fill="FFDCE0" w:val="clear"/>
          </w:tcPr>
          <w:p>
            <w:r>
              <w:rPr>
                <w:sz w:val="17"/>
              </w:rPr>
              <w:t>21,797</w:t>
            </w:r>
          </w:p>
        </w:tc>
        <w:tc>
          <w:tcPr>
            <w:tcW w:type="dxa" w:w="1440"/>
            <w:shd w:fill="FFDCE0" w:val="clear"/>
          </w:tcPr>
          <w:p>
            <w:r>
              <w:rPr>
                <w:b/>
                <w:color w:val="C00000"/>
                <w:sz w:val="17"/>
              </w:rPr>
              <w:t>-7.6%</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16,635</w:t>
            </w:r>
          </w:p>
        </w:tc>
        <w:tc>
          <w:tcPr>
            <w:tcW w:type="dxa" w:w="1440"/>
            <w:shd w:fill="FFDCE0" w:val="clear"/>
          </w:tcPr>
          <w:p>
            <w:r>
              <w:rPr>
                <w:b/>
                <w:sz w:val="17"/>
              </w:rPr>
              <w:t>19,185</w:t>
            </w:r>
          </w:p>
        </w:tc>
        <w:tc>
          <w:tcPr>
            <w:tcW w:type="dxa" w:w="1440"/>
            <w:shd w:fill="FFDCE0" w:val="clear"/>
          </w:tcPr>
          <w:p>
            <w:r>
              <w:rPr>
                <w:sz w:val="17"/>
              </w:rPr>
              <w:t>21,735</w:t>
            </w:r>
          </w:p>
        </w:tc>
        <w:tc>
          <w:tcPr>
            <w:tcW w:type="dxa" w:w="1440"/>
            <w:shd w:fill="FFDCE0" w:val="clear"/>
          </w:tcPr>
          <w:p>
            <w:r>
              <w:rPr>
                <w:b/>
                <w:color w:val="C00000"/>
                <w:sz w:val="17"/>
              </w:rPr>
              <w:t>-8.6%</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16,310</w:t>
            </w:r>
          </w:p>
        </w:tc>
        <w:tc>
          <w:tcPr>
            <w:tcW w:type="dxa" w:w="1440"/>
            <w:shd w:fill="FFDCE0" w:val="clear"/>
          </w:tcPr>
          <w:p>
            <w:r>
              <w:rPr>
                <w:b/>
                <w:sz w:val="17"/>
              </w:rPr>
              <w:t>18,987</w:t>
            </w:r>
          </w:p>
        </w:tc>
        <w:tc>
          <w:tcPr>
            <w:tcW w:type="dxa" w:w="1440"/>
            <w:shd w:fill="FFDCE0" w:val="clear"/>
          </w:tcPr>
          <w:p>
            <w:r>
              <w:rPr>
                <w:sz w:val="17"/>
              </w:rPr>
              <w:t>21,663</w:t>
            </w:r>
          </w:p>
        </w:tc>
        <w:tc>
          <w:tcPr>
            <w:tcW w:type="dxa" w:w="1440"/>
            <w:shd w:fill="FFDCE0" w:val="clear"/>
          </w:tcPr>
          <w:p>
            <w:r>
              <w:rPr>
                <w:b/>
                <w:color w:val="C00000"/>
                <w:sz w:val="17"/>
              </w:rPr>
              <w:t>-9.5%</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15,998</w:t>
            </w:r>
          </w:p>
        </w:tc>
        <w:tc>
          <w:tcPr>
            <w:tcW w:type="dxa" w:w="1440"/>
            <w:shd w:fill="FFDCE0" w:val="clear"/>
          </w:tcPr>
          <w:p>
            <w:r>
              <w:rPr>
                <w:b/>
                <w:sz w:val="17"/>
              </w:rPr>
              <w:t>18,790</w:t>
            </w:r>
          </w:p>
        </w:tc>
        <w:tc>
          <w:tcPr>
            <w:tcW w:type="dxa" w:w="1440"/>
            <w:shd w:fill="FFDCE0" w:val="clear"/>
          </w:tcPr>
          <w:p>
            <w:r>
              <w:rPr>
                <w:sz w:val="17"/>
              </w:rPr>
              <w:t>21,582</w:t>
            </w:r>
          </w:p>
        </w:tc>
        <w:tc>
          <w:tcPr>
            <w:tcW w:type="dxa" w:w="1440"/>
            <w:shd w:fill="FFDCE0" w:val="clear"/>
          </w:tcPr>
          <w:p>
            <w:r>
              <w:rPr>
                <w:b/>
                <w:color w:val="C00000"/>
                <w:sz w:val="17"/>
              </w:rPr>
              <w:t>-10.4%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 📊 RAPPORT D'ANALYSE FINANCIÈRE — NSBC (NSIA Banque Côte d'Ivoire)</w:t>
        <w:br/>
        <w:t>**Bourse Régionale des Valeurs Mobilières (BRVM) | Secteur : Banque**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518,93 milliards FCFA, NSBC s'impose comme l'une des valeurs bancaires les plus importantes de la cote BRVM, ce qui lui confère une liquidité relative et une visibilité institutionnelle appréciables. Le BPA de 1 646 FCFA/action signifie que chaque titre détenu génère près de 1 646 FCFA de bénéfice net, un niveau élevé qui traduit la forte rentabilité de la banque. Le PER de 12,7x se situe légèrement au-dessus de la moyenne du marché BRVM (8-12x), ce qui indique que les investisseurs acceptent de payer une prime modérée pour cette valeur de qualité, sans pour autant tomber dans une surévaluation manifeste. Le P/B de 2,22x montre que le marché valorise NSBC à plus du double de sa valeur comptable (233,3 Mds FCFA de capitaux propres), une prime de croissance justifiée par un ROE de 17,45%. En revanche, l'EV/EBITDA de 20,5x apparaît très exigeant (&gt;15x), signalant que la valeur d'entreprise intègre déjà une bonne partie des anticipations de croissance — un point de vigilance pour les investisseurs cherchant une marge de sécurité.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NSBC a enregistré une progression remarquable de **+34,06%**, passant d'environ 15 650 FCFA (plus bas) à 20 980 FCFA (cours actuel), avec un plus haut à 24 885 FCFA — soit un range de trading de plus de 9 200 FCFA qui témoigne d'une forte amplitude. La dernière séance (J-1) affiche une quasi-stabilité avec -0,10%, suggérant une pause dans la dynamique haussière après le rallye. La tendance générale reste donc nettement haussière sur la période, mais le repli depuis le plus haut (24 885 FCFA) vers le cours actuel (20 980 FCFA) indique une phase de correction. Les statistiques descriptives révèlent une moyenne de 21 505 FCFA légèrement inférieure à la médiane de 22 000 FCFA, ce qui traduit une asymétrie négative (skewness de -0,448, distribution symétrique selon l'interprétation fournie) : les baisses récentes tirent la moyenne vers le bas. L'écart-type de 2 151 FCFA avec un coefficient de variation de 10,0% indique une dispersion modérée du cours autour de sa moyenne, tandis que le kurtosis de -0,828 (mésokurtique) suggère une distribution proche de la normale, sans risque excessif de pics extrêmes. Enfin, la volatilité annualisée de 40,7% classe NSBC parmi les titres à volatilité élevée (&gt;30%), ce qui implique un risque de fluctuation important à court terme, à intégrer dans toute stratégie d'investissement.</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22 564,5 FCFA et la MM50 à 23 033,8 FCFA, toutes deux nettement supérieures au cours actuel de 20 980 FCFA. Cette configuration — cours sous les deux moyennes — confirme une pression baissière de court et moyen terme, justifiant la décision technique de **Vente**. Le croisement baissier (MM20 &lt; MM50) renforce ce signal négatif.</w:t>
      </w:r>
    </w:p>
    <w:p>
      <w:pPr>
        <w:spacing w:after="120" w:line="276" w:lineRule="auto"/>
      </w:pPr>
      <w:r>
        <w:t>**Bandes de Bollinger :** La borne supérieure est à 25 398,09 FCFA et la borne inférieure à 19 730,91 FCFA, avec un cours actuel de 20 980 FCFA qui se situe dans la moitié basse de la bande, sans atteindre la borne inférieure. Cette position indique que le titre n'est pas encore en zone de survente extrême, mais la largeur des bandes (écart de 5 667 FCFA) traduit une volatilité élevée. La décision est **Neutre**, le cours évoluant sans signal directionnel fort.</w:t>
      </w:r>
    </w:p>
    <w:p>
      <w:pPr>
        <w:spacing w:after="120" w:line="276" w:lineRule="auto"/>
      </w:pPr>
      <w:r>
        <w:t>**MACD :** La valeur du MACD est de -614,551 contre un signal à -427,039, soit un MACD inférieur à son signal — configuration baissière classique. Le momentum reste négatif et la divergence négative persistante justifie la décision de **Vente**. Aucun croisement haussier n'est en vue à court terme.</w:t>
      </w:r>
    </w:p>
    <w:p>
      <w:pPr>
        <w:spacing w:after="120" w:line="276" w:lineRule="auto"/>
      </w:pPr>
      <w:r>
        <w:t>**RSI :** À 28,245, le RSI se situe en zone de **survente** (&lt;30), ce qui déclenche une décision d'**Achat** technique. Ce niveau suggère que le titre pourrait être survendu et qu'un rebond technique est possible, mais il convient de noter que le RSI peut rester en zone basse tant que la tendance baissière perdure.</w:t>
      </w:r>
    </w:p>
    <w:p>
      <w:pPr>
        <w:spacing w:after="120" w:line="276" w:lineRule="auto"/>
      </w:pPr>
      <w:r>
        <w:t>**Stochastique :** Le %K est à 6,145 et le %D à 5,393, tous deux en zone de survente extrême (&lt;20). Le croisement potentiel du %K au-dessus du %D n'est pas encore confirmé, mais la décision est **Achat** en anticipation d'un retournement. Ces niveaux très bas indiquent une pression vendeuse intense qui pourrait s'essouffler.</w:t>
      </w:r>
    </w:p>
    <w:p>
      <w:pPr>
        <w:spacing w:after="120" w:line="276" w:lineRule="auto"/>
      </w:pPr>
      <w:r>
        <w:t>**Conclusion technique :** Les indicateurs sont **divergents** : les moyennes mobiles et le MACD sont clairement baissiers, tandis que le RSI et le stochastique signalent une survente propice à un rebond. Les Bandes de Bollinger restent neutres. Cette configuration suggère un **potentiel de rebond technique à court terme**, mais la tendance de fond reste fragile tant que le cours n'aura pas reconquis la MM20 (22 564 FCFA). La prudence est de mise.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NSIA Banque CI affiche un Produit Net Bancaire (PNB) de **112,928 Mds FCFA**, en croissance de **+15,45%** par rapport à 2024 (97,8 Mds FCFA), portée par une marge d'intérêt en hausse de 26%. Le résultat net s'établit à **40,712 Mds FCFA**, en progression de +7%, avec une marge nette de **36,05%** — un niveau exceptionnel qui témoigne d'une excellente transformation du PNB en profit. Le ROE atteint **17,45%** (&gt;15% = excellent) et le ROA **1,32%**, confirmant la rentabilité des fonds propres et des actifs. Le coefficient d'exploitation de **54,59%** (&lt;60%) indique une banque efficace, en amélioration de 5,1 points. Le coût du risque, à **7,54%** des charges financières, reste un point de vigilance : il est passé d'un produit de +0,6 Md en 2024 à une charge de -8,5 Mds en 2025, traduisant une dégradation de la qualité du portefeuille ou une politique de provisionnement plus prudente. La structure financière montre une autonomie financière de **7,59%** (capitaux propres/total bilan), un ratio d'endettement de **227,90%** et une solvabilité générale de **108,22%** (&gt;1 = solvable). Les dépôts clientèle (2 242,2 Mds FCFA) couvrent largement les créances clientèle (1 818,7 Mds FCFA), avec un ratio de transformation de 81,1%, signe d'une bonne capacité à financer les crédits par les dépôts.</w:t>
      </w:r>
    </w:p>
    <w:p>
      <w:pPr>
        <w:spacing w:after="120" w:line="276" w:lineRule="auto"/>
      </w:pPr>
      <w:r>
        <w:t>**Estimations basées sur les rapports trimestriels :** Le rapport du **T1 2026 (publié le 13/05/2026)** révèle une accélération spectaculaire : PNB de 28,6 Mds FCFA (+28% sur un an), résultat net de **10,9 Mds FCFA (+53%)** et marge nette de 38,1%. Cette performance, tirée par l'activité titres, suggère que l'exercice 2026 devrait dépasser les résultats de 2025 si la dynamique se maintient. On estime que le résultat net 2026 pourrait atteindre **45-48 Mds FCFA** si la croissance du T1 se poursuit, bien que le léger recul des crédits nets (-4%) et la dépendance aux revenus titres constituent des risques. Le rapport annuel 2025 (publié le 13/05/2026) confirme la solidité du bilan (+22% à 3 073 Mds FCFA) et la stratégie de diversification (titrisation, finance verte, PME). Les rapports antérieurs (T3 2025, S1 2025, T1 2025) montrent une trajectoire de croissance régulière, avec un PNB en hausse continue et une marge nette stable autour de 32-36%.</w:t>
      </w:r>
    </w:p>
    <w:p>
      <w:pPr>
        <w:spacing w:after="120" w:line="276" w:lineRule="auto"/>
      </w:pPr>
      <w:r>
        <w:t>**Recommandation fondamentale :** NSBC présente des fondamentaux **solides** avec une rentabilité élevée (ROE 17,45%, marge nette 36%), une croissance soutenue du PNB (+15,45%) et une efficacité opérationnelle en amélioration. Les risques incluent la hausse du coût du risque, la concentration sur l'activité titres et la dépendance aux dépôts à vue. La dynamique du T1 2026 (+53% de résultat net) est très encourageante et pourrait justifier une revalorisation du titre. **Recommandation : CONSERVER** avec un biais positif, en attendant la confirmation des résultats semestriels 2026.</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**divergence** entre les signaux techniques et fondamentaux. **En termes de valorisation (Partie 0)** , le PER de 12,7x et le P/B de 2,22x indiquent une valorisation raisonnable mais non décotée, tandis que l'EV/EBITDA de 20,5x suggère une certaine cherté — le marché intègre déjà une bonne partie de la croissance. **Le comportement du cours (Partie 1)** montre une tendance haussière sur 100 jours (+34,06%) mais une correction récente depuis le plus haut (24 885 FCFA), avec une volatilité élevée (40,7%) et une distribution symétrique (skewness -0,448) sans risque excessif de pics (kurtosis -0,828). **Les signaux techniques (Partie 2)** sont mitigés : baissiers pour les MM et le MACD, mais haussiers pour le RSI (28,2) et le stochastique (6,1) en zone de survente, ce qui suggère un rebond technique possible à court terme. **Les fondamentaux (Partie 3)** restent solides : PNB 2025 de 112,9 Mds FCFA (+15,45%), résultat net de 40,7 Mds FCFA, ROE de 17,45%, et surtout un T1 2026 exceptionnel (+53% de résultat net) qui pourrait tirer l'exercice 2026 vers le haut. **Les prédictions IA (J+1 à J+10)** anticipent une poursuite de la baisse jusqu'à 19 796 FCFA le 16/10/2026, ce qui contredit les signaux de survente technique et suggère que la pression baissière pourrait persister à court terme.</w:t>
      </w:r>
    </w:p>
    <w:p>
      <w:pPr>
        <w:spacing w:after="120" w:line="276" w:lineRule="auto"/>
      </w:pPr>
      <w:r>
        <w:t>**Recommandation finale : CONSERVER** — La convergence entre une valorisation correcte, des fondamentaux solides et une dynamique trimestrielle exceptionnelle plaide pour une position attentiste. Le niveau de confiance est **Moyen** : les fondamentaux sont robustes, mais les signaux techniques baissiers et les prédictions IA négatives incitent à la prudence à court terme. Le niveau de risque global est **Moyen à Élevé** en raison de la volatilité du titre (40,7%) et de la dépendance aux revenus titres. L'horizon d'investissement optimal est le **moyen terme (3-12 mois)** , en attendant la confirmation des résultats semestriels 2026 et une stabilisation technique du cours. Les investisseurs déjà positionnés peuvent conserver leurs titres pour bénéficier de la dynamique fondamentale, tandis que les nouveaux entrants devraient attendre un signal technique plus clair (reconquête de la MM20 à 22 564 FCFA) avant d'investir.</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22.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331.06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1,294 titres</w:t>
            </w:r>
          </w:p>
        </w:tc>
        <w:tc>
          <w:tcPr>
            <w:tcW w:type="dxa" w:w="2268"/>
            <w:shd w:fill="FFF2CC" w:val="clear"/>
          </w:tcPr>
          <w:p>
            <w:r>
              <w:rPr>
                <w:b/>
                <w:color w:val="503200"/>
                <w:sz w:val="16"/>
              </w:rPr>
              <w:t xml:space="preserve">Cours actuel : </w:t>
            </w:r>
            <w:r>
              <w:rPr>
                <w:color w:val="000000"/>
                <w:sz w:val="17"/>
              </w:rPr>
              <w:t>15,000 FCFA</w:t>
            </w:r>
          </w:p>
          <w:p>
            <w:r>
              <w:rPr>
                <w:b/>
                <w:color w:val="503200"/>
                <w:sz w:val="16"/>
              </w:rPr>
              <w:t xml:space="preserve">Var. 100 jours : </w:t>
            </w:r>
            <w:r>
              <w:rPr>
                <w:b/>
                <w:color w:val="007800"/>
                <w:sz w:val="17"/>
              </w:rPr>
              <w:t>+25.52%</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11,800 FCFA</w:t>
            </w:r>
          </w:p>
          <w:p>
            <w:r>
              <w:rPr>
                <w:b/>
                <w:color w:val="503200"/>
                <w:sz w:val="16"/>
              </w:rPr>
              <w:t xml:space="preserve">Volatilité ann. : </w:t>
            </w:r>
            <w:r>
              <w:rPr>
                <w:color w:val="000000"/>
                <w:sz w:val="17"/>
              </w:rPr>
              <w:t>36.5%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9.01% (Moyenne) — μ=15,606 FCFA, σ=1,407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β=0.4418 (Défensif) — Cov=0.000032, Var(idx)=0.000073, ρ=0.165,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1,294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σ_j=2.30%/j (Stable) — Vol. annualisée≈36.5%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2026-10-12</w:t>
            </w:r>
          </w:p>
        </w:tc>
        <w:tc>
          <w:tcPr>
            <w:tcW w:type="dxa" w:w="1440"/>
            <w:shd w:fill="C6EFCE" w:val="clear"/>
          </w:tcPr>
          <w:p>
            <w:r>
              <w:rPr>
                <w:sz w:val="17"/>
              </w:rPr>
              <w:t>14,536</w:t>
            </w:r>
          </w:p>
        </w:tc>
        <w:tc>
          <w:tcPr>
            <w:tcW w:type="dxa" w:w="1440"/>
            <w:shd w:fill="C6EFCE" w:val="clear"/>
          </w:tcPr>
          <w:p>
            <w:r>
              <w:rPr>
                <w:b/>
                <w:sz w:val="17"/>
              </w:rPr>
              <w:t>15,308</w:t>
            </w:r>
          </w:p>
        </w:tc>
        <w:tc>
          <w:tcPr>
            <w:tcW w:type="dxa" w:w="1440"/>
            <w:shd w:fill="C6EFCE" w:val="clear"/>
          </w:tcPr>
          <w:p>
            <w:r>
              <w:rPr>
                <w:sz w:val="17"/>
              </w:rPr>
              <w:t>16,080</w:t>
            </w:r>
          </w:p>
        </w:tc>
        <w:tc>
          <w:tcPr>
            <w:tcW w:type="dxa" w:w="1440"/>
            <w:shd w:fill="C6EFCE" w:val="clear"/>
          </w:tcPr>
          <w:p>
            <w:r>
              <w:rPr>
                <w:b/>
                <w:color w:val="008000"/>
                <w:sz w:val="17"/>
              </w:rPr>
              <w:t>+2.1%</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14,187</w:t>
            </w:r>
          </w:p>
        </w:tc>
        <w:tc>
          <w:tcPr>
            <w:tcW w:type="dxa" w:w="1440"/>
            <w:shd w:fill="FAFAFA" w:val="clear"/>
          </w:tcPr>
          <w:p>
            <w:r>
              <w:rPr>
                <w:b/>
                <w:sz w:val="17"/>
              </w:rPr>
              <w:t>15,276</w:t>
            </w:r>
          </w:p>
        </w:tc>
        <w:tc>
          <w:tcPr>
            <w:tcW w:type="dxa" w:w="1440"/>
            <w:shd w:fill="FAFAFA" w:val="clear"/>
          </w:tcPr>
          <w:p>
            <w:r>
              <w:rPr>
                <w:sz w:val="17"/>
              </w:rPr>
              <w:t>16,366</w:t>
            </w:r>
          </w:p>
        </w:tc>
        <w:tc>
          <w:tcPr>
            <w:tcW w:type="dxa" w:w="1440"/>
            <w:shd w:fill="FAFAFA" w:val="clear"/>
          </w:tcPr>
          <w:p>
            <w:r>
              <w:rPr>
                <w:b/>
                <w:color w:val="008000"/>
                <w:sz w:val="17"/>
              </w:rPr>
              <w:t>+1.8%</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13,929</w:t>
            </w:r>
          </w:p>
        </w:tc>
        <w:tc>
          <w:tcPr>
            <w:tcW w:type="dxa" w:w="1440"/>
            <w:shd w:fill="FAFAFA" w:val="clear"/>
          </w:tcPr>
          <w:p>
            <w:r>
              <w:rPr>
                <w:b/>
                <w:sz w:val="17"/>
              </w:rPr>
              <w:t>15,263</w:t>
            </w:r>
          </w:p>
        </w:tc>
        <w:tc>
          <w:tcPr>
            <w:tcW w:type="dxa" w:w="1440"/>
            <w:shd w:fill="FAFAFA" w:val="clear"/>
          </w:tcPr>
          <w:p>
            <w:r>
              <w:rPr>
                <w:sz w:val="17"/>
              </w:rPr>
              <w:t>16,596</w:t>
            </w:r>
          </w:p>
        </w:tc>
        <w:tc>
          <w:tcPr>
            <w:tcW w:type="dxa" w:w="1440"/>
            <w:shd w:fill="FAFAFA" w:val="clear"/>
          </w:tcPr>
          <w:p>
            <w:r>
              <w:rPr>
                <w:b/>
                <w:color w:val="008000"/>
                <w:sz w:val="17"/>
              </w:rPr>
              <w:t>+1.8%</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13,716</w:t>
            </w:r>
          </w:p>
        </w:tc>
        <w:tc>
          <w:tcPr>
            <w:tcW w:type="dxa" w:w="1440"/>
            <w:shd w:fill="FAFAFA" w:val="clear"/>
          </w:tcPr>
          <w:p>
            <w:r>
              <w:rPr>
                <w:b/>
                <w:sz w:val="17"/>
              </w:rPr>
              <w:t>15,255</w:t>
            </w:r>
          </w:p>
        </w:tc>
        <w:tc>
          <w:tcPr>
            <w:tcW w:type="dxa" w:w="1440"/>
            <w:shd w:fill="FAFAFA" w:val="clear"/>
          </w:tcPr>
          <w:p>
            <w:r>
              <w:rPr>
                <w:sz w:val="17"/>
              </w:rPr>
              <w:t>16,794</w:t>
            </w:r>
          </w:p>
        </w:tc>
        <w:tc>
          <w:tcPr>
            <w:tcW w:type="dxa" w:w="1440"/>
            <w:shd w:fill="FAFAFA" w:val="clear"/>
          </w:tcPr>
          <w:p>
            <w:r>
              <w:rPr>
                <w:b/>
                <w:color w:val="008000"/>
                <w:sz w:val="17"/>
              </w:rPr>
              <w:t>+1.7%</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13,530</w:t>
            </w:r>
          </w:p>
        </w:tc>
        <w:tc>
          <w:tcPr>
            <w:tcW w:type="dxa" w:w="1440"/>
            <w:shd w:fill="FAFAFA" w:val="clear"/>
          </w:tcPr>
          <w:p>
            <w:r>
              <w:rPr>
                <w:b/>
                <w:sz w:val="17"/>
              </w:rPr>
              <w:t>15,250</w:t>
            </w:r>
          </w:p>
        </w:tc>
        <w:tc>
          <w:tcPr>
            <w:tcW w:type="dxa" w:w="1440"/>
            <w:shd w:fill="FAFAFA" w:val="clear"/>
          </w:tcPr>
          <w:p>
            <w:r>
              <w:rPr>
                <w:sz w:val="17"/>
              </w:rPr>
              <w:t>16,970</w:t>
            </w:r>
          </w:p>
        </w:tc>
        <w:tc>
          <w:tcPr>
            <w:tcW w:type="dxa" w:w="1440"/>
            <w:shd w:fill="FAFAFA" w:val="clear"/>
          </w:tcPr>
          <w:p>
            <w:r>
              <w:rPr>
                <w:b/>
                <w:color w:val="008000"/>
                <w:sz w:val="17"/>
              </w:rPr>
              <w:t>+1.7%</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13,361</w:t>
            </w:r>
          </w:p>
        </w:tc>
        <w:tc>
          <w:tcPr>
            <w:tcW w:type="dxa" w:w="1440"/>
            <w:shd w:fill="FAFAFA" w:val="clear"/>
          </w:tcPr>
          <w:p>
            <w:r>
              <w:rPr>
                <w:b/>
                <w:sz w:val="17"/>
              </w:rPr>
              <w:t>15,244</w:t>
            </w:r>
          </w:p>
        </w:tc>
        <w:tc>
          <w:tcPr>
            <w:tcW w:type="dxa" w:w="1440"/>
            <w:shd w:fill="FAFAFA" w:val="clear"/>
          </w:tcPr>
          <w:p>
            <w:r>
              <w:rPr>
                <w:sz w:val="17"/>
              </w:rPr>
              <w:t>17,128</w:t>
            </w:r>
          </w:p>
        </w:tc>
        <w:tc>
          <w:tcPr>
            <w:tcW w:type="dxa" w:w="1440"/>
            <w:shd w:fill="FAFAFA" w:val="clear"/>
          </w:tcPr>
          <w:p>
            <w:r>
              <w:rPr>
                <w:b/>
                <w:color w:val="008000"/>
                <w:sz w:val="17"/>
              </w:rPr>
              <w:t>+1.6%</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13,205</w:t>
            </w:r>
          </w:p>
        </w:tc>
        <w:tc>
          <w:tcPr>
            <w:tcW w:type="dxa" w:w="1440"/>
            <w:shd w:fill="FAFAFA" w:val="clear"/>
          </w:tcPr>
          <w:p>
            <w:r>
              <w:rPr>
                <w:b/>
                <w:sz w:val="17"/>
              </w:rPr>
              <w:t>15,239</w:t>
            </w:r>
          </w:p>
        </w:tc>
        <w:tc>
          <w:tcPr>
            <w:tcW w:type="dxa" w:w="1440"/>
            <w:shd w:fill="FAFAFA" w:val="clear"/>
          </w:tcPr>
          <w:p>
            <w:r>
              <w:rPr>
                <w:sz w:val="17"/>
              </w:rPr>
              <w:t>17,273</w:t>
            </w:r>
          </w:p>
        </w:tc>
        <w:tc>
          <w:tcPr>
            <w:tcW w:type="dxa" w:w="1440"/>
            <w:shd w:fill="FAFAFA" w:val="clear"/>
          </w:tcPr>
          <w:p>
            <w:r>
              <w:rPr>
                <w:b/>
                <w:color w:val="008000"/>
                <w:sz w:val="17"/>
              </w:rPr>
              <w:t>+1.6%</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13,061</w:t>
            </w:r>
          </w:p>
        </w:tc>
        <w:tc>
          <w:tcPr>
            <w:tcW w:type="dxa" w:w="1440"/>
            <w:shd w:fill="FAFAFA" w:val="clear"/>
          </w:tcPr>
          <w:p>
            <w:r>
              <w:rPr>
                <w:b/>
                <w:sz w:val="17"/>
              </w:rPr>
              <w:t>15,234</w:t>
            </w:r>
          </w:p>
        </w:tc>
        <w:tc>
          <w:tcPr>
            <w:tcW w:type="dxa" w:w="1440"/>
            <w:shd w:fill="FAFAFA" w:val="clear"/>
          </w:tcPr>
          <w:p>
            <w:r>
              <w:rPr>
                <w:sz w:val="17"/>
              </w:rPr>
              <w:t>17,407</w:t>
            </w:r>
          </w:p>
        </w:tc>
        <w:tc>
          <w:tcPr>
            <w:tcW w:type="dxa" w:w="1440"/>
            <w:shd w:fill="FAFAFA" w:val="clear"/>
          </w:tcPr>
          <w:p>
            <w:r>
              <w:rPr>
                <w:b/>
                <w:color w:val="008000"/>
                <w:sz w:val="17"/>
              </w:rPr>
              <w:t>+1.6%</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12,924</w:t>
            </w:r>
          </w:p>
        </w:tc>
        <w:tc>
          <w:tcPr>
            <w:tcW w:type="dxa" w:w="1440"/>
            <w:shd w:fill="FAFAFA" w:val="clear"/>
          </w:tcPr>
          <w:p>
            <w:r>
              <w:rPr>
                <w:b/>
                <w:sz w:val="17"/>
              </w:rPr>
              <w:t>15,229</w:t>
            </w:r>
          </w:p>
        </w:tc>
        <w:tc>
          <w:tcPr>
            <w:tcW w:type="dxa" w:w="1440"/>
            <w:shd w:fill="FAFAFA" w:val="clear"/>
          </w:tcPr>
          <w:p>
            <w:r>
              <w:rPr>
                <w:sz w:val="17"/>
              </w:rPr>
              <w:t>17,534</w:t>
            </w:r>
          </w:p>
        </w:tc>
        <w:tc>
          <w:tcPr>
            <w:tcW w:type="dxa" w:w="1440"/>
            <w:shd w:fill="FAFAFA" w:val="clear"/>
          </w:tcPr>
          <w:p>
            <w:r>
              <w:rPr>
                <w:b/>
                <w:color w:val="008000"/>
                <w:sz w:val="17"/>
              </w:rPr>
              <w:t>+1.5%</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12,796</w:t>
            </w:r>
          </w:p>
        </w:tc>
        <w:tc>
          <w:tcPr>
            <w:tcW w:type="dxa" w:w="1440"/>
            <w:shd w:fill="FAFAFA" w:val="clear"/>
          </w:tcPr>
          <w:p>
            <w:r>
              <w:rPr>
                <w:b/>
                <w:sz w:val="17"/>
              </w:rPr>
              <w:t>15,224</w:t>
            </w:r>
          </w:p>
        </w:tc>
        <w:tc>
          <w:tcPr>
            <w:tcW w:type="dxa" w:w="1440"/>
            <w:shd w:fill="FAFAFA" w:val="clear"/>
          </w:tcPr>
          <w:p>
            <w:r>
              <w:rPr>
                <w:sz w:val="17"/>
              </w:rPr>
              <w:t>17,653</w:t>
            </w:r>
          </w:p>
        </w:tc>
        <w:tc>
          <w:tcPr>
            <w:tcW w:type="dxa" w:w="1440"/>
            <w:shd w:fill="FAFAFA" w:val="clear"/>
          </w:tcPr>
          <w:p>
            <w:r>
              <w:rPr>
                <w:b/>
                <w:color w:val="008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NESTLÉ CÔTE D'IVOIRE (NTLC)**</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331,06 milliards FCFA, Nestlé Côte d'Ivoire s'impose comme l'une des plus importantes capitalisations de la BRVM, ce qui en fait un pilier de l'indice BRVM Composite et un titre de référence pour les investisseurs institutionnels de la zone UEMOA. Le BPA de 835 FCFA par action signifie que chaque titre génère près de 835 FCFA de bénéfice net, un niveau de rentabilité unitaire élevé qui traduit la solidité du modèle économique. Le PER de 18,0x situe le titre nettement au-dessus de la moyenne du marché BRVM (généralement comprise entre 8x et 12x), ce qui indique que les investisseurs acceptent de payer une prime significative pour cette valeur de qualité — prime justifiée par la notoriété de la marque, la régularité des résultats et la liquidité relative du titre. Le P/B de 11,19x, très supérieur au seuil de 4x, confirme cette valorisation exigeante : le marché valorise l'entreprise à plus de onze fois sa valeur comptable, ce qui reflète la prédominance des actifs immatériels (marques, savoir-faire, réseau de distribution) non comptabilisés au bilan. Enfin, l'EV/EBITDA de 9,1x, dans la fourchette raisonnable de 5-10x, montre que la valeur d'entreprise reste cohérente avec la capacité opérationnelle de génération de cash-flow, offrant un contrepoids rassurant à la cherté apparente du P/B.</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NTLC affiche une progression remarquable de +25,52%, portant le cours à 15 000 FCFA, malgré un repli de -3,19% lors de la dernière séance qui marque une prise de bénéfices après un rallye soutenu. Le range de trading s'établit entre un plus bas de 11 800 FCFA et un plus haut de 18 000 FCFA, soit une amplitude de 6 200 FCFA (52,5% du plus bas), témoignant d'une dynamique haussière puissante mais aussi d'une certaine nervosité. La tendance générale reste haussière sur la période, le cours actuel se maintenant au-dessus du plus bas mais en retrait de 16,7% par rapport au sommet, ce qui suggère une phase de consolidation. Les statistiques descriptives révèlent une moyenne de 15 606 FCFA légèrement supérieure à la médiane de 15 995 FCFA — écart modeste indiquant une distribution quasi-symétrique — tandis que le mode à 16 900 FCFA montre que le prix le plus fréquemment traité se situe au-dessus de la moyenne, signe d'une pression acheteuse récurrente. L'écart-type de 1 414 FCFA avec un coefficient de variation de 9,1% traduit une dispersion modérée du cours, indiquant une volatilité contenue pour un titre ayant progressé de plus de 25%. Le kurtosis de 0,315 (mésokurtique) suggère une distribution proche de la normale, sans risque excessif de pics extrêmes, tandis que le skewness de -1,007 (asymétrie négative) indique que les journées de baisse ont été plus fréquentes mais moins amples que les journées de hausse — un profil favorable aux investisseurs haussiers. La volatilité annualisée de 36,5% classe le titre dans la catégorie des valeurs à volatilité élevée (&gt;30%), ce qui est cohérent avec un marché frontière comme la BRVM et implique une prime de risque exigée plus importante.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15 596,5 FCFA et la MM50 à 16 356,5 FCFA, toutes deux supérieures au cours actuel de 15 000 FCFA. Cette configuration — cours sous les deux moyennes — est baissière à court et moyen terme, la MM20 étant elle-même inférieure à la MM50, ce qui confirme un croisement baissier (death cross) récent. La décision technique qui en résulte est donc **Vente**, le titre ayant perdu le support dynamique que constituaient ces moyennes.</w:t>
      </w:r>
    </w:p>
    <w:p>
      <w:pPr>
        <w:spacing w:after="120" w:line="276" w:lineRule="auto"/>
      </w:pPr>
      <w:r>
        <w:t>**Bandes de Bollinger :** La borne supérieure se situe à 17 022,20 FCFA et la borne inférieure à 14 170,80 FCFA, encadrant le cours actuel de 15 000 FCFA qui évolue dans la moitié inférieure du canal. L'écart entre les bornes (2 851 FCFA) reflète une volatilité encore présente mais en contraction, le cours n'étant ni en surachat ni en survente technique. La décision est **Neutre**, le titre se situant dans une zone d'indécision où ni les acheteurs ni les vendeurs ne dominent clairement.</w:t>
      </w:r>
    </w:p>
    <w:p>
      <w:pPr>
        <w:spacing w:after="120" w:line="276" w:lineRule="auto"/>
      </w:pPr>
      <w:r>
        <w:t>**MACD :** La valeur du MACD (-343,24) est supérieure à son signal (-367,93), générant un histogramme positif qui indique un début de redressement du momentum baissier. Bien que les deux lignes restent en territoire négatif, ce croisement haussier naissant suggère un essoufflement de la pression vendeuse. La décision qui en découle est **Achat**, signal précoce d'un possible retournement.</w:t>
      </w:r>
    </w:p>
    <w:p>
      <w:pPr>
        <w:spacing w:after="120" w:line="276" w:lineRule="auto"/>
      </w:pPr>
      <w:r>
        <w:t>**RSI :** À 37,5, le RSI se situe dans la zone neutre basse (30-70), sans atteindre le seuil de survente (&lt;30) mais indiquant une faiblesse relative du titre. Cette position suggère que la pression baissière récente a ramené le titre vers des niveaux plus équilibrés, sans excès vendeur. La décision est **Neutre**, le RSI n'offrant pas de signal directionnel fort.</w:t>
      </w:r>
    </w:p>
    <w:p>
      <w:pPr>
        <w:spacing w:after="120" w:line="276" w:lineRule="auto"/>
      </w:pPr>
      <w:r>
        <w:t>**Stochastique :** Le %K (38,46) est inférieur au %D (52,90), configuration baissière indiquant que le momentum de court terme reste négatif. Cependant, le %K se rapproche de la zone de survente (20), ce qui pourrait préparer un rebond technique. La décision est **Neutre**, le croisement baissier étant déjà largement intégré par le marché.</w:t>
      </w:r>
    </w:p>
    <w:p>
      <w:pPr>
        <w:spacing w:after="120" w:line="276" w:lineRule="auto"/>
      </w:pPr>
      <w:r>
        <w:t>**Conclusion technique :** Les indicateurs présentent un tableau mitigé avec une divergence notable : les moyennes mobiles confirment une tendance baissière de fond (cours sous MM20 et MM50), tandis que le MACD génère un signal d'achat précoce et que le RSI/stochastique se situent en zone neutre sans excès. Cette configuration suggère que le titre pourrait approcher d'un point d'inflexion, la pression vendeuse s'essoufflant progressivement. La prudence reste toutefois de mise tant que le cours n'aura pas reconquis la MM20 (15 596 FCFA), niveau qui constituerait une première confirmation de retournement haussier.</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états financiers de l'exercice 2025 (publiés le 31 décembre 2025, analysés par DeepSeek le 1er mai 2026) révèlent une entreprise solide mais confrontée à des pressions sur ses marges. Le chiffre d'affaires 2025 s'établit à 233,26 milliards FCFA, en croissance de +5,97% par rapport aux 220,11 milliards de 2024, portée par les ventes de produits fabriqués (+6,3%) et les ventes de marchandises (+4%). Le résultat net progresse modestement de +1,53% à 18,43 milliards FCFA, la marge nette se contractant légèrement de 8,25% à 7,90% sous l'effet de la hausse des charges externes (+4,4 milliards) et de la quasi-doublement des impôts et taxes (de 4 à 7,5 milliards). La rentabilité des fonds propres (ROE) demeure exceptionnelle à 62,28%, bien supérieure au seuil de 15% considéré comme excellent, tandis que le ROA de 9,70% reflète une utilisation efficace des actifs. En tant qu'entreprise agroalimentaire, les indicateurs d'exploitation méritent une attention particulière : le délai clients de 74,30 jours constitue un risque de trésorerie significatif, tout comme la durée de stockage de 59,39 jours qui immobilise du capital. Le BFR de 22,63 milliards FCFA et le fonds de roulement négatif de -24,21 milliards FCFA, couplés à une trésorerie nette de -46,83 milliards FCFA, révèlent une dépendance aux financements court terme — confirmée par l'explosion de la trésorerie passive de 46,9 à 56,1 milliards FCFA. La structure financière est tendue : l'autonomie financière de 15,58% est inférieure au seuil sain de 30%, et le ratio d'endettement de 135,85% (dettes totales/capitaux propres) est élevé, bien que la solvabilité générale de 118,45% reste supérieure à 1. Le rapport du T1 2026 (arrêté au 31 mars 2026, analysé par DeepSeek) marque une nette accélération : le chiffre d'affaires bondit de +31% à 70,82 milliards FCFA et le résultat net de +37% à 7,53 milliards FCFA, avec une marge nette en amélioration à 10,6% (contre 10,1% au T1 2025). Sur la base de ces tendances trimestrielles, on peut estimer que l'exercice 2026 devrait afficher une croissance du chiffre d'affaires supérieure à 15%, avec un résultat net potentiellement en hausse de 20-25% si la dynamique se maintient. La politique de dividende a toutefois été profondément modifiée : le dividende brut total proposé pour 2025 chute à 9,27 milliards FCFA (contre 18,10 milliards en 2024), soit un payout ratio de 50,3% contre 99,7% précédemment, la société privilégiant le réinvestissement avec une mise en réserve de 9,22 milliards FCFA. La recommandation fondamentale qui se dégage est **CONSERVER** : la solidité du modèle Nestlé, l'accélération récente de la croissance et la stratégie prudente de renforcement des fonds propres sont des atouts, mais la compression des marges, l'endettement élevé et la réduction du dividende incitent à la vigilance.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dessine un tableau nuancé qui appelle à une recommandation de **CONSERVER** avec un niveau de confiance **Moyen** et un risque global **Moyen**. Sur le plan de la valorisation (Partie 0), le PER de 18,0x et le P/B de 11,19x indiquent une surévaluation relative par rapport aux standards de la BRVM, bien que l'EV/EBITDA de 9,1x reste raisonnable — le marché intègre déjà une prime de qualité qui limite le potentiel d'appréciation à court terme. Le comportement du cours (Partie 1) révèle une tendance haussière de fond (+25,52% sur 100 jours) mais une consolidation récente (-3,19% en J-1), avec une volatilité élevée (36,5%) et une asymétrie négative (skewness -1,007) qui suggère que les baisses, bien que moins fréquentes, peuvent être amples. Les signaux techniques (Partie 2) sont divergents : les moyennes mobiles confirment une tendance baissière de court terme (cours sous MM20 et MM50), tandis que le MACD génère un signal d'achat précoce et que le RSI/stochastique se situent en zone neutre — cette configuration suggère une possible inflexion mais nécessite confirmation. Les fondamentaux (Partie 3) demeurent solides avec un ROE exceptionnel de 62,28% et une accélération spectaculaire au T1 2026 (+31% de CA, +37% de résultat net), mais les risques liés à l'endettement (autonomie financière de 15,58%), aux délais clients élevés (74,30 jours) et à la réduction du dividende (payout de 50,3%) tempèrent l'optimisme. Les prédictions IA (J+1 à J+10) anticipent une légère dérive baissière vers 15 250-15 308 FCFA, confirmant la phase de consolidation actuelle sans signaler d'effondrement. Compte tenu de la convergence entre une valorisation exigeante, des signaux techniques mitigés, des fondamentaux solides mais sous pression et des prédictions stables, la recommandation est de **CONSERVER** le titre pour les investisseurs déjà positionnés, avec un horizon d'investissement de **moyen terme (3-12 mois)** afin de laisser le temps aux investissements productifs et à la stratégie de réinvestissement de porter leurs fruits. Un point d'entrée plus attractif se situerait vers 14 200-14 500 FCFA (borne inférieure de Bollinger), niveau qui offrirait un meilleur rapport risque/rendement.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23.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204.34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6,096 titres</w:t>
            </w:r>
          </w:p>
        </w:tc>
        <w:tc>
          <w:tcPr>
            <w:tcW w:type="dxa" w:w="2268"/>
            <w:shd w:fill="FFF2CC" w:val="clear"/>
          </w:tcPr>
          <w:p>
            <w:r>
              <w:rPr>
                <w:b/>
                <w:color w:val="503200"/>
                <w:sz w:val="16"/>
              </w:rPr>
              <w:t xml:space="preserve">Cours actuel : </w:t>
            </w:r>
            <w:r>
              <w:rPr>
                <w:color w:val="000000"/>
                <w:sz w:val="17"/>
              </w:rPr>
              <w:t>3,005 FCFA</w:t>
            </w:r>
          </w:p>
          <w:p>
            <w:r>
              <w:rPr>
                <w:b/>
                <w:color w:val="503200"/>
                <w:sz w:val="16"/>
              </w:rPr>
              <w:t xml:space="preserve">Var. 100 jours : </w:t>
            </w:r>
            <w:r>
              <w:rPr>
                <w:b/>
                <w:color w:val="007800"/>
                <w:sz w:val="17"/>
              </w:rPr>
              <w:t>+7.32%</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2,675 FCFA</w:t>
            </w:r>
          </w:p>
          <w:p>
            <w:r>
              <w:rPr>
                <w:b/>
                <w:color w:val="503200"/>
                <w:sz w:val="16"/>
              </w:rPr>
              <w:t xml:space="preserve">Volatilité ann. : </w:t>
            </w:r>
            <w:r>
              <w:rPr>
                <w:color w:val="000000"/>
                <w:sz w:val="17"/>
              </w:rPr>
              <w:t>34.7%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2.78% (Faible) — μ=2,858 FCFA, σ=80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β=0.3962 (Défensif) — Cov=0.000029, Var(idx)=0.000073, ρ=0.155,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6,096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σ_j=2.19%/j (Stable) — Vol. annualisée≈34.7%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2,820</w:t>
            </w:r>
          </w:p>
        </w:tc>
        <w:tc>
          <w:tcPr>
            <w:tcW w:type="dxa" w:w="1440"/>
            <w:shd w:fill="FAFAFA" w:val="clear"/>
          </w:tcPr>
          <w:p>
            <w:r>
              <w:rPr>
                <w:b/>
                <w:sz w:val="17"/>
              </w:rPr>
              <w:t>2,948</w:t>
            </w:r>
          </w:p>
        </w:tc>
        <w:tc>
          <w:tcPr>
            <w:tcW w:type="dxa" w:w="1440"/>
            <w:shd w:fill="FAFAFA" w:val="clear"/>
          </w:tcPr>
          <w:p>
            <w:r>
              <w:rPr>
                <w:sz w:val="17"/>
              </w:rPr>
              <w:t>3,075</w:t>
            </w:r>
          </w:p>
        </w:tc>
        <w:tc>
          <w:tcPr>
            <w:tcW w:type="dxa" w:w="1440"/>
            <w:shd w:fill="FAFAFA" w:val="clear"/>
          </w:tcPr>
          <w:p>
            <w:r>
              <w:rPr>
                <w:b/>
                <w:color w:val="C00000"/>
                <w:sz w:val="17"/>
              </w:rPr>
              <w:t>-1.9%</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2,766</w:t>
            </w:r>
          </w:p>
        </w:tc>
        <w:tc>
          <w:tcPr>
            <w:tcW w:type="dxa" w:w="1440"/>
            <w:shd w:fill="FAFAFA" w:val="clear"/>
          </w:tcPr>
          <w:p>
            <w:r>
              <w:rPr>
                <w:b/>
                <w:sz w:val="17"/>
              </w:rPr>
              <w:t>2,947</w:t>
            </w:r>
          </w:p>
        </w:tc>
        <w:tc>
          <w:tcPr>
            <w:tcW w:type="dxa" w:w="1440"/>
            <w:shd w:fill="FAFAFA" w:val="clear"/>
          </w:tcPr>
          <w:p>
            <w:r>
              <w:rPr>
                <w:sz w:val="17"/>
              </w:rPr>
              <w:t>3,127</w:t>
            </w:r>
          </w:p>
        </w:tc>
        <w:tc>
          <w:tcPr>
            <w:tcW w:type="dxa" w:w="1440"/>
            <w:shd w:fill="FAFAFA" w:val="clear"/>
          </w:tcPr>
          <w:p>
            <w:r>
              <w:rPr>
                <w:b/>
                <w:color w:val="C00000"/>
                <w:sz w:val="17"/>
              </w:rPr>
              <w:t>-1.9%</w:t>
            </w:r>
          </w:p>
        </w:tc>
      </w:tr>
      <w:tr>
        <w:tc>
          <w:tcPr>
            <w:tcW w:type="dxa" w:w="1440"/>
            <w:shd w:fill="FFDCE0" w:val="clear"/>
          </w:tcPr>
          <w:p>
            <w:r>
              <w:rPr>
                <w:sz w:val="17"/>
              </w:rPr>
              <w:t>J+3  Moyenne</w:t>
            </w:r>
          </w:p>
        </w:tc>
        <w:tc>
          <w:tcPr>
            <w:tcW w:type="dxa" w:w="1440"/>
            <w:shd w:fill="FFDCE0" w:val="clear"/>
          </w:tcPr>
          <w:p>
            <w:r>
              <w:rPr>
                <w:sz w:val="17"/>
              </w:rPr>
              <w:t>2026-10-14</w:t>
            </w:r>
          </w:p>
        </w:tc>
        <w:tc>
          <w:tcPr>
            <w:tcW w:type="dxa" w:w="1440"/>
            <w:shd w:fill="FFDCE0" w:val="clear"/>
          </w:tcPr>
          <w:p>
            <w:r>
              <w:rPr>
                <w:sz w:val="17"/>
              </w:rPr>
              <w:t>2,719</w:t>
            </w:r>
          </w:p>
        </w:tc>
        <w:tc>
          <w:tcPr>
            <w:tcW w:type="dxa" w:w="1440"/>
            <w:shd w:fill="FFDCE0" w:val="clear"/>
          </w:tcPr>
          <w:p>
            <w:r>
              <w:rPr>
                <w:b/>
                <w:sz w:val="17"/>
              </w:rPr>
              <w:t>2,940</w:t>
            </w:r>
          </w:p>
        </w:tc>
        <w:tc>
          <w:tcPr>
            <w:tcW w:type="dxa" w:w="1440"/>
            <w:shd w:fill="FFDCE0" w:val="clear"/>
          </w:tcPr>
          <w:p>
            <w:r>
              <w:rPr>
                <w:sz w:val="17"/>
              </w:rPr>
              <w:t>3,160</w:t>
            </w:r>
          </w:p>
        </w:tc>
        <w:tc>
          <w:tcPr>
            <w:tcW w:type="dxa" w:w="1440"/>
            <w:shd w:fill="FFDCE0" w:val="clear"/>
          </w:tcPr>
          <w:p>
            <w:r>
              <w:rPr>
                <w:b/>
                <w:color w:val="C00000"/>
                <w:sz w:val="17"/>
              </w:rPr>
              <w:t>-2.2%</w:t>
            </w:r>
          </w:p>
        </w:tc>
      </w:tr>
      <w:tr>
        <w:tc>
          <w:tcPr>
            <w:tcW w:type="dxa" w:w="1440"/>
            <w:shd w:fill="FFDCE0" w:val="clear"/>
          </w:tcPr>
          <w:p>
            <w:r>
              <w:rPr>
                <w:sz w:val="17"/>
              </w:rPr>
              <w:t>J+4  ⭐</w:t>
            </w:r>
          </w:p>
        </w:tc>
        <w:tc>
          <w:tcPr>
            <w:tcW w:type="dxa" w:w="1440"/>
            <w:shd w:fill="FFDCE0" w:val="clear"/>
          </w:tcPr>
          <w:p>
            <w:r>
              <w:rPr>
                <w:sz w:val="17"/>
              </w:rPr>
              <w:t>2026-10-15</w:t>
            </w:r>
          </w:p>
        </w:tc>
        <w:tc>
          <w:tcPr>
            <w:tcW w:type="dxa" w:w="1440"/>
            <w:shd w:fill="FFDCE0" w:val="clear"/>
          </w:tcPr>
          <w:p>
            <w:r>
              <w:rPr>
                <w:sz w:val="17"/>
              </w:rPr>
              <w:t>2,679</w:t>
            </w:r>
          </w:p>
        </w:tc>
        <w:tc>
          <w:tcPr>
            <w:tcW w:type="dxa" w:w="1440"/>
            <w:shd w:fill="FFDCE0" w:val="clear"/>
          </w:tcPr>
          <w:p>
            <w:r>
              <w:rPr>
                <w:b/>
                <w:sz w:val="17"/>
              </w:rPr>
              <w:t>2,932</w:t>
            </w:r>
          </w:p>
        </w:tc>
        <w:tc>
          <w:tcPr>
            <w:tcW w:type="dxa" w:w="1440"/>
            <w:shd w:fill="FFDCE0" w:val="clear"/>
          </w:tcPr>
          <w:p>
            <w:r>
              <w:rPr>
                <w:sz w:val="17"/>
              </w:rPr>
              <w:t>3,186</w:t>
            </w:r>
          </w:p>
        </w:tc>
        <w:tc>
          <w:tcPr>
            <w:tcW w:type="dxa" w:w="1440"/>
            <w:shd w:fill="FFDCE0" w:val="clear"/>
          </w:tcPr>
          <w:p>
            <w:r>
              <w:rPr>
                <w:b/>
                <w:color w:val="C00000"/>
                <w:sz w:val="17"/>
              </w:rPr>
              <w:t>-2.4%</w:t>
            </w:r>
          </w:p>
        </w:tc>
      </w:tr>
      <w:tr>
        <w:tc>
          <w:tcPr>
            <w:tcW w:type="dxa" w:w="1440"/>
            <w:shd w:fill="FFDCE0" w:val="clear"/>
          </w:tcPr>
          <w:p>
            <w:r>
              <w:rPr>
                <w:sz w:val="17"/>
              </w:rPr>
              <w:t>J+5  ⭐</w:t>
            </w:r>
          </w:p>
        </w:tc>
        <w:tc>
          <w:tcPr>
            <w:tcW w:type="dxa" w:w="1440"/>
            <w:shd w:fill="FFDCE0" w:val="clear"/>
          </w:tcPr>
          <w:p>
            <w:r>
              <w:rPr>
                <w:sz w:val="17"/>
              </w:rPr>
              <w:t>2026-10-16</w:t>
            </w:r>
          </w:p>
        </w:tc>
        <w:tc>
          <w:tcPr>
            <w:tcW w:type="dxa" w:w="1440"/>
            <w:shd w:fill="FFDCE0" w:val="clear"/>
          </w:tcPr>
          <w:p>
            <w:r>
              <w:rPr>
                <w:sz w:val="17"/>
              </w:rPr>
              <w:t>2,642</w:t>
            </w:r>
          </w:p>
        </w:tc>
        <w:tc>
          <w:tcPr>
            <w:tcW w:type="dxa" w:w="1440"/>
            <w:shd w:fill="FFDCE0" w:val="clear"/>
          </w:tcPr>
          <w:p>
            <w:r>
              <w:rPr>
                <w:b/>
                <w:sz w:val="17"/>
              </w:rPr>
              <w:t>2,925</w:t>
            </w:r>
          </w:p>
        </w:tc>
        <w:tc>
          <w:tcPr>
            <w:tcW w:type="dxa" w:w="1440"/>
            <w:shd w:fill="FFDCE0" w:val="clear"/>
          </w:tcPr>
          <w:p>
            <w:r>
              <w:rPr>
                <w:sz w:val="17"/>
              </w:rPr>
              <w:t>3,208</w:t>
            </w:r>
          </w:p>
        </w:tc>
        <w:tc>
          <w:tcPr>
            <w:tcW w:type="dxa" w:w="1440"/>
            <w:shd w:fill="FFDCE0" w:val="clear"/>
          </w:tcPr>
          <w:p>
            <w:r>
              <w:rPr>
                <w:b/>
                <w:color w:val="C00000"/>
                <w:sz w:val="17"/>
              </w:rPr>
              <w:t>-2.7%</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2,609</w:t>
            </w:r>
          </w:p>
        </w:tc>
        <w:tc>
          <w:tcPr>
            <w:tcW w:type="dxa" w:w="1440"/>
            <w:shd w:fill="FFDCE0" w:val="clear"/>
          </w:tcPr>
          <w:p>
            <w:r>
              <w:rPr>
                <w:b/>
                <w:sz w:val="17"/>
              </w:rPr>
              <w:t>2,918</w:t>
            </w:r>
          </w:p>
        </w:tc>
        <w:tc>
          <w:tcPr>
            <w:tcW w:type="dxa" w:w="1440"/>
            <w:shd w:fill="FFDCE0" w:val="clear"/>
          </w:tcPr>
          <w:p>
            <w:r>
              <w:rPr>
                <w:sz w:val="17"/>
              </w:rPr>
              <w:t>3,227</w:t>
            </w:r>
          </w:p>
        </w:tc>
        <w:tc>
          <w:tcPr>
            <w:tcW w:type="dxa" w:w="1440"/>
            <w:shd w:fill="FFDCE0" w:val="clear"/>
          </w:tcPr>
          <w:p>
            <w:r>
              <w:rPr>
                <w:b/>
                <w:color w:val="C00000"/>
                <w:sz w:val="17"/>
              </w:rPr>
              <w:t>-2.9%</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2,578</w:t>
            </w:r>
          </w:p>
        </w:tc>
        <w:tc>
          <w:tcPr>
            <w:tcW w:type="dxa" w:w="1440"/>
            <w:shd w:fill="FFDCE0" w:val="clear"/>
          </w:tcPr>
          <w:p>
            <w:r>
              <w:rPr>
                <w:b/>
                <w:sz w:val="17"/>
              </w:rPr>
              <w:t>2,911</w:t>
            </w:r>
          </w:p>
        </w:tc>
        <w:tc>
          <w:tcPr>
            <w:tcW w:type="dxa" w:w="1440"/>
            <w:shd w:fill="FFDCE0" w:val="clear"/>
          </w:tcPr>
          <w:p>
            <w:r>
              <w:rPr>
                <w:sz w:val="17"/>
              </w:rPr>
              <w:t>3,244</w:t>
            </w:r>
          </w:p>
        </w:tc>
        <w:tc>
          <w:tcPr>
            <w:tcW w:type="dxa" w:w="1440"/>
            <w:shd w:fill="FFDCE0" w:val="clear"/>
          </w:tcPr>
          <w:p>
            <w:r>
              <w:rPr>
                <w:b/>
                <w:color w:val="C00000"/>
                <w:sz w:val="17"/>
              </w:rPr>
              <w:t>-3.1%</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2,549</w:t>
            </w:r>
          </w:p>
        </w:tc>
        <w:tc>
          <w:tcPr>
            <w:tcW w:type="dxa" w:w="1440"/>
            <w:shd w:fill="FFDCE0" w:val="clear"/>
          </w:tcPr>
          <w:p>
            <w:r>
              <w:rPr>
                <w:b/>
                <w:sz w:val="17"/>
              </w:rPr>
              <w:t>2,904</w:t>
            </w:r>
          </w:p>
        </w:tc>
        <w:tc>
          <w:tcPr>
            <w:tcW w:type="dxa" w:w="1440"/>
            <w:shd w:fill="FFDCE0" w:val="clear"/>
          </w:tcPr>
          <w:p>
            <w:r>
              <w:rPr>
                <w:sz w:val="17"/>
              </w:rPr>
              <w:t>3,259</w:t>
            </w:r>
          </w:p>
        </w:tc>
        <w:tc>
          <w:tcPr>
            <w:tcW w:type="dxa" w:w="1440"/>
            <w:shd w:fill="FFDCE0" w:val="clear"/>
          </w:tcPr>
          <w:p>
            <w:r>
              <w:rPr>
                <w:b/>
                <w:color w:val="C00000"/>
                <w:sz w:val="17"/>
              </w:rPr>
              <w:t>-3.4%</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2,521</w:t>
            </w:r>
          </w:p>
        </w:tc>
        <w:tc>
          <w:tcPr>
            <w:tcW w:type="dxa" w:w="1440"/>
            <w:shd w:fill="FFDCE0" w:val="clear"/>
          </w:tcPr>
          <w:p>
            <w:r>
              <w:rPr>
                <w:b/>
                <w:sz w:val="17"/>
              </w:rPr>
              <w:t>2,897</w:t>
            </w:r>
          </w:p>
        </w:tc>
        <w:tc>
          <w:tcPr>
            <w:tcW w:type="dxa" w:w="1440"/>
            <w:shd w:fill="FFDCE0" w:val="clear"/>
          </w:tcPr>
          <w:p>
            <w:r>
              <w:rPr>
                <w:sz w:val="17"/>
              </w:rPr>
              <w:t>3,273</w:t>
            </w:r>
          </w:p>
        </w:tc>
        <w:tc>
          <w:tcPr>
            <w:tcW w:type="dxa" w:w="1440"/>
            <w:shd w:fill="FFDCE0" w:val="clear"/>
          </w:tcPr>
          <w:p>
            <w:r>
              <w:rPr>
                <w:b/>
                <w:color w:val="C00000"/>
                <w:sz w:val="17"/>
              </w:rPr>
              <w:t>-3.6%</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2,495</w:t>
            </w:r>
          </w:p>
        </w:tc>
        <w:tc>
          <w:tcPr>
            <w:tcW w:type="dxa" w:w="1440"/>
            <w:shd w:fill="FFDCE0" w:val="clear"/>
          </w:tcPr>
          <w:p>
            <w:r>
              <w:rPr>
                <w:b/>
                <w:sz w:val="17"/>
              </w:rPr>
              <w:t>2,890</w:t>
            </w:r>
          </w:p>
        </w:tc>
        <w:tc>
          <w:tcPr>
            <w:tcW w:type="dxa" w:w="1440"/>
            <w:shd w:fill="FFDCE0" w:val="clear"/>
          </w:tcPr>
          <w:p>
            <w:r>
              <w:rPr>
                <w:sz w:val="17"/>
              </w:rPr>
              <w:t>3,285</w:t>
            </w:r>
          </w:p>
        </w:tc>
        <w:tc>
          <w:tcPr>
            <w:tcW w:type="dxa" w:w="1440"/>
            <w:shd w:fill="FFDCE0" w:val="clear"/>
          </w:tcPr>
          <w:p>
            <w:r>
              <w:rPr>
                <w:b/>
                <w:color w:val="C00000"/>
                <w:sz w:val="17"/>
              </w:rPr>
              <w:t>-3.8%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(ONATEL-SA, Burkina Faso)**</w:t>
        <w:br/>
        <w:t>*Bourse Régionale des Valeurs Mobilières (BRVM) — Secteur : Télécommunications*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204,34 Mds FCFA pour un cours de 3 005 FCFA, ONTBF se positionne comme une valeur de premier plan du compartiment télécoms de la BRVM, aux côtés de Sonatel et d'Orange CI. Le BPA de 234 FCFA/action signifie que chaque titre génère près de 234 FCFA de bénéfice net, ce qui, rapporté au cours actuel, donne un PER de 12,9x — un niveau modéré, légèrement supérieur à la moyenne BRVM (8-12x), traduisant une prime de qualité mais sans excès spéculatif. Le P/B de 3,55x indique que le marché valorise l'entreprise à plus de trois fois ses fonds propres comptables (57,54 Mds FCFA), ce qui est cohérent avec une prime de croissance accordée à un opérateur télécom rentable et générateur de cash. Enfin, l'EV/EBITDA de 5,3x (valeur totale rapportée à la capacité opérationnelle) situe le titre dans le bas de la fourchette raisonnable (5-10x), suggérant que la valeur d'entreprise reste attractive au regard des flux d'exploitation. Globalement, la valorisation apparaît raisonnable, sans décote manifeste ni surévaluation flagrante.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ONTBF affiche une progression totale de +7,32%, avec une dernière séance en hausse de +2,04%, confirmant un momentum haussier de court terme. Le titre a évolué dans un range de 395 FCFA, entre un plus bas de 2 675 FCFA et un plus haut de 3 070 FCFA, le cours actuel (3 005 FCFA) se situant à seulement 2,1% de son sommet — signe de force relative. La tendance générale est donc haussière, soutenue par la demande sur les télécoms ouest-africains. Les statistiques descriptives révèlent une distribution quasi-normale : la moyenne (2 858 FCFA) et la médiane (2 862 FCFA) sont quasiment confondues, confirmant l'absence d'asymétrie marquée (skewness de -0,092, distribution symétrique). L'écart-type de 80 FCFA (CV de 2,8%) traduit une dispersion très faible du cours autour de sa moyenne, tandis que le kurtosis de -0,262 (mésokurtique) indique une distribution proche de la normale, sans risque de pics extrêmes prononcé. En revanche, la volatilité annualisée de 34,7% classe le titre dans la catégorie des valeurs à volatilité élevée (&gt;30%), ce qui contraste avec la stabilité apparente des 100 derniers jours et suggère que des mouvements amples peuvent survenir sur des horizons plus longs.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(2 902,25 FCFA) et la MM50 (2 898,50 FCFA) sont quasi confondues et toutes deux inférieures au cours actuel (3 005 FCFA), ce qui place le titre en position haussière au-dessus de ses supports mobiles. Le léger croisement haussier MM20 &gt; MM50 confirme la dynamique positive, justifiant la décision technique d'**Achat**.</w:t>
      </w:r>
    </w:p>
    <w:p>
      <w:pPr>
        <w:spacing w:after="120" w:line="276" w:lineRule="auto"/>
      </w:pPr>
      <w:r>
        <w:t>**Bandes de Bollinger** : Le cours (3 005 FCFA) évolue dans la partie haute du canal, entre la borne inférieure (2 761,93 FCFA) et la borne supérieure (3 042,57 FCFA), sans franchir cette dernière. Cette position proche de la borne haute, sans cassure, traduit une pression acheteuse modérée mais un risque de consolidation ; la décision est donc **Neutre**.</w:t>
      </w:r>
    </w:p>
    <w:p>
      <w:pPr>
        <w:spacing w:after="120" w:line="276" w:lineRule="auto"/>
      </w:pPr>
      <w:r>
        <w:t>**MACD** : Le MACD (15,73) est nettement supérieur à son signal (11,16), avec un histogramme positif, ce qui confirme un momentum haussier en cours. La divergence positive entre les deux lignes soutient la décision d'**Achat**, bien que l'écart reste modéré, n'indiquant pas d'accélération explosive.</w:t>
      </w:r>
    </w:p>
    <w:p>
      <w:pPr>
        <w:spacing w:after="120" w:line="276" w:lineRule="auto"/>
      </w:pPr>
      <w:r>
        <w:t>**RSI** : À 55,28, le RSI se situe en zone neutre (30-70), sans surachat (&gt;70) ni survente (&lt;30). Cette configuration laisse de la marge à la hausse avant tout risque de correction technique, justifiant la décision **Neutre** avec un biais haussier.</w:t>
      </w:r>
    </w:p>
    <w:p>
      <w:pPr>
        <w:spacing w:after="120" w:line="276" w:lineRule="auto"/>
      </w:pPr>
      <w:r>
        <w:t>**Stochastique** : Le %K (100,0) est en zone extrême de surachat, très au-dessus du %D (60,42), ce qui signale un essoufflement potentiel de la dynamique acheteuse à très court terme. La décision de **Vente** reflète ce risque de repli imminent, en contradiction partielle avec les autres indicateurs.</w:t>
      </w:r>
    </w:p>
    <w:p>
      <w:pPr>
        <w:spacing w:after="120" w:line="276" w:lineRule="auto"/>
      </w:pPr>
      <w:r>
        <w:t>**Conclusion technique** : Les indicateurs sont majoritairement haussiers (MM, MACD) mais tempérés par des signaux de surachat (Stochastique) et de neutralité (RSI, Bollinger). Le titre se trouve dans une configuration de consolidation haute, avec un potentiel de poursuite haussière limité à court terme et un risque de correction technique modéré. La convergence partielle des signaux plaide pour une prudence tactique, sans remise en cause de la tendance de fond.</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ONTBF (ONATEL-SA) affiche un chiffre d'affaires de 146,18 Mds FCFA, en hausse de 3,1% sur un an, porté par le FTTH (+33% de parc), l'internet mobile et le Mobile Money (+14%). Le résultat net s'établit à 15,89 Mds FCFA, en net recul de 26% par rapport à 2024 (21,47 Mds FCFA), sous l'effet de charges opérationnelles et exceptionnelles élevées (indemnités de fin d'engagement, énergie, maintenance en zones sécuritaires, sanction ARCEP de 1,54 Md FCFA). Le ROE reste excellent à 27,61% (résultat net/capitaux propres de 57,54 Mds FCFA), bien qu'en baisse, et le ROA s'élève à 4,89% pour un total bilan de 324,90 Mds FCFA (+8%). Le coefficient d'exploitation (charges/PNB) de 67,07% dépasse le seuil de 60% — signal d'inefficacité relative pour une banque, mais ici applicable à un opérateur télécom dont la structure de coûts est plus capitalistique. Le coût du risque (provisions/charges financières) de 3,57% reste contenu, et la couverture des intérêts (491,55%) est très confortable. La génération de trésorerie demeure solide (CAFG de 46,95 Mds FCFA, flux opérationnel de 68,49 Mds FCFA), mais le Free Cash Flow chute à 1,56 Md FCFA en raison d'un capex élevé (-45,22 Mds FCFA). Le bilan montre une autonomie financière faible (17,71%) et un ratio d'endettement de 186,99%, avec des dettes financières de 107,60 Mds FCFA. Les rapports trimestriels 2026 confirment la tendance : au T1 2026 (rapport du 09/04/2026), le CA progresse de 2,7% à 37,1 Mds FCFA avec une marge EBITDA maintenue à 41,3%, mais le résultat net recule à 3,58 Mds FCFA. On estime que l'exercice 2026 devrait rester sous pression, avec une possible stabilisation des marges si les actions d'optimisation des coûts annoncées portent leurs fruits. La note de crédit A+(WU) de GCR Ratings et le dividende proposé de 166,08 FCFA/action (rendement ~5,5% au cours actuel) soutiennent l'attrait défensif du titre. La recommandation fondamentale est **CONSERVER** : solidité financière et rendement attractif, mais rentabilité en repli et endettement croissant à surveiller.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raisonnable avec un PER de 12,9x légèrement supérieur à la moyenne BRVM, un P/B de 3,55x traduisant une prime de croissance et un EV/EBITDA de 5,3x attractif — le titre n'est ni sous-évalué ni surévalué. Le comportement du cours (Partie 1) est favorable : tendance haussière (+7,32% sur 100 jours), distribution symétrique et mésokurtique (pas de risque de pics extrêmes), mais volatilité annualisée élevée (34,7%) qui appelle à la prudence. Les signaux techniques (Partie 2) sont mitigés : MM et MACD haussiers, mais Stochastique en surachat et RSI neutre, suggérant une consolidation imminente plutôt qu'une poursuite franche. Les fondamentaux (Partie 3) révèlent une entreprise solide mais en transition : CA en croissance, ROE excellent (27,61%), génération de cash robuste, mais résultat net en baisse de 26% et endettement élevé. Les prédictions IA (J+1 à J+10) anticipent une légère érosion du cours de 2 948 FCFA à 2 925 FCFA, ce qui contredit le momentum haussier récent et confirme le risque de consolidation technique identifié par le Stochastique. Sur la base de cette synthèse, la recommandation finale est **CONSERVER**, avec un niveau de confiance **Moyen** et un risque global **Moyen**. L'horizon d'investissement optimal est le **moyen terme (3-12 mois)**, en attendant des signes tangibles d'amélioration de la rentabilité et de maîtrise des coûts, ainsi que la confirmation de la trajectoire de désendettement. Un investisseur en quête de rendement défensif trouvera dans ONTBF un dividende attractif (~5,5%), mais devra accepter une volatilité élevée et une incertitude sur la restauration des marges.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est une attestation d'audit sans r\u00e9serve qui confirme la r\u00e9gularit\u00e9 des comptes semestriels, mais il ne fournit aucune donn\u00e9e financi\u00e8re permettant d'\u00e9valuer la performance ou la valorisation. En l'absence d'informations chiffr\u00e9es, aucune d\u00e9cision d'achat ou de vente ne peut \u00eatre justifi\u00e9e."}</w:t>
      </w:r>
    </w:p>
    <w:p>
      <w:pPr>
        <w:spacing w:before="40"/>
        <w:ind w:left="400"/>
      </w:pPr>
      <w:r>
        <w:rPr>
          <w:sz w:val="18"/>
        </w:rPr>
        <w:t>Le document est une attestation des commissaires aux comptes (SOFIDEC Audit &amp; Conseil et AUREC Afrique-BF) portant sur l'examen limité des comptes semestriels d'ONATEL SA pour la période du 1er janvier au 30 juin 2026. Les auditeurs concluent, sur la base de leur examen limité, qu'ils n'ont pas relevé de faits remettant en cause la sincérité du tableau d'activités et de résultat ni du rapport semestriel d'activités. Les comptes ont été établis conformément aux articles 850 et 851 de l'Acte uniforme OHADA et à la Circulaire n°004-2010 de l'AMF-UMOA. Le document ne contient aucune donnée chiffrée sur l'activité, le résultat ou la situation financière de la société. Il s'agit donc d'une attesta</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{'type_document': 'Attestation des commissaires aux comptes sur examen limité', 'capital_social': '34 000 000 000 FCFA', 'periode_couverte': '1er janvier au 30 juin 2026', 'opinion_auditeurs': 'Sans réserve (aucun fait significatif relevé)'}</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les comptes semestriels d'ONATEL SA au 30 juin 2026.</w:t>
      </w:r>
    </w:p>
    <w:p>
      <w:pPr>
        <w:pStyle w:val="ListBullet"/>
        <w:spacing w:before="20" w:after="20"/>
        <w:ind w:left="700"/>
      </w:pPr>
      <w:r>
        <w:rPr>
          <w:sz w:val="18"/>
        </w:rPr>
        <w:t>Examen limité réalisé conformément au Règlement N°01/2017/CM/OHADA.</w:t>
      </w:r>
    </w:p>
    <w:p>
      <w:pPr>
        <w:pStyle w:val="ListBullet"/>
        <w:spacing w:before="20" w:after="20"/>
        <w:ind w:left="700"/>
      </w:pPr>
      <w:r>
        <w:rPr>
          <w:sz w:val="18"/>
        </w:rPr>
        <w:t>Conclusion sans réserve : aucun fait significatif remettant en cause la sincérité des comptes n'a été relevé.</w:t>
      </w:r>
    </w:p>
    <w:p>
      <w:pPr>
        <w:pStyle w:val="ListBullet"/>
        <w:spacing w:before="20" w:after="20"/>
        <w:ind w:left="700"/>
      </w:pPr>
      <w:r>
        <w:rPr>
          <w:sz w:val="18"/>
        </w:rPr>
        <w:t>Comptes établis selon les articles 850 et 851 de l'Acte uniforme OHADA.</w:t>
      </w:r>
    </w:p>
    <w:p>
      <w:pPr>
        <w:pStyle w:val="ListBullet"/>
        <w:spacing w:before="20" w:after="20"/>
        <w:ind w:left="700"/>
      </w:pPr>
      <w:r>
        <w:rPr>
          <w:sz w:val="18"/>
        </w:rPr>
        <w:t>Conformité à la Circulaire n°004-2010 de l'AMF-UMOA sur les informations diffusées par les émetteurs.</w:t>
      </w:r>
    </w:p>
    <w:p>
      <w:pPr>
        <w:pStyle w:val="ListBullet"/>
        <w:spacing w:before="20" w:after="20"/>
        <w:ind w:left="700"/>
      </w:pPr>
      <w:r>
        <w:rPr>
          <w:sz w:val="18"/>
        </w:rPr>
        <w:t>Document signé à Ouagadougou le 25 septembre 2026 par AUREC Afrique-BF et SOFIDEC-AC SARL.</w:t>
      </w:r>
    </w:p>
    <w:p>
      <w:pPr>
        <w:spacing w:before="40"/>
        <w:ind w:left="400"/>
      </w:pPr>
      <w:r>
        <w:rPr>
          <w:b/>
          <w:color w:val="C05000"/>
          <w:sz w:val="18"/>
        </w:rPr>
        <w:t xml:space="preserve">⚠️ Risques : </w:t>
      </w:r>
      <w:r>
        <w:rPr>
          <w:sz w:val="18"/>
        </w:rPr>
        <w:t>["Absence de donn\u00e9es financi\u00e8res chiffr\u00e9es emp\u00eachant toute analyse de performance et de valorisation.", "Risque li\u00e9 au caract\u00e8re limit\u00e9 de l'examen (pas d'opinion d'audit compl\u00e8te selon les normes ISA).", "Risque de change et de r\u00e9glementation t\u00e9l\u0</w:t>
      </w:r>
    </w:p>
    <w:p>
      <w:pPr>
        <w:spacing w:before="40"/>
        <w:ind w:left="400"/>
      </w:pPr>
      <w:r>
        <w:rPr>
          <w:b/>
          <w:color w:val="0064A0"/>
          <w:sz w:val="18"/>
        </w:rPr>
        <w:t xml:space="preserve">🔮 Perspectives : </w:t>
      </w:r>
      <w:r>
        <w:rPr>
          <w:sz w:val="18"/>
        </w:rPr>
        <w:t>Le document ne permet pas de formuler un outlook financier précis pour l'exercice suivant, faute de données sur l'activité et les résultats. La conclusion sans réserve des commissaires aux comptes suggère néanmoins une gouvernance et un reporting conformes aux exigences de l'AMF-UMOA. Pour une analy</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
      <w:r>
        <w:t>════════════════════════════════════════════════════════════════════════════════</w:t>
      </w:r>
    </w:p>
    <w:p>
      <w:r>
        <w:br w:type="page"/>
      </w:r>
    </w:p>
    <w:p>
      <w:pPr>
        <w:pStyle w:val="Heading2"/>
        <w:spacing w:before="360"/>
      </w:pPr>
      <w:r>
        <w:rPr>
          <w:color w:val="0066CC"/>
        </w:rPr>
        <w:t>24.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3313.66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3,568 titres</w:t>
            </w:r>
          </w:p>
        </w:tc>
        <w:tc>
          <w:tcPr>
            <w:tcW w:type="dxa" w:w="2268"/>
            <w:shd w:fill="FFF2CC" w:val="clear"/>
          </w:tcPr>
          <w:p>
            <w:r>
              <w:rPr>
                <w:b/>
                <w:color w:val="503200"/>
                <w:sz w:val="16"/>
              </w:rPr>
              <w:t xml:space="preserve">Cours actuel : </w:t>
            </w:r>
            <w:r>
              <w:rPr>
                <w:color w:val="000000"/>
                <w:sz w:val="17"/>
              </w:rPr>
              <w:t>21,995 FCFA</w:t>
            </w:r>
          </w:p>
          <w:p>
            <w:r>
              <w:rPr>
                <w:b/>
                <w:color w:val="503200"/>
                <w:sz w:val="16"/>
              </w:rPr>
              <w:t xml:space="preserve">Var. 100 jours : </w:t>
            </w:r>
            <w:r>
              <w:rPr>
                <w:b/>
                <w:color w:val="007800"/>
                <w:sz w:val="17"/>
              </w:rPr>
              <w:t>+40.99%</w:t>
            </w:r>
          </w:p>
          <w:p>
            <w:r>
              <w:rPr>
                <w:b/>
                <w:color w:val="503200"/>
                <w:sz w:val="16"/>
              </w:rPr>
              <w:t xml:space="preserve">Plus haut 100j : </w:t>
            </w:r>
            <w:r>
              <w:rPr>
                <w:color w:val="000000"/>
                <w:sz w:val="17"/>
              </w:rPr>
              <w:t>22,500 FCFA</w:t>
            </w:r>
          </w:p>
          <w:p>
            <w:r>
              <w:rPr>
                <w:b/>
                <w:color w:val="503200"/>
                <w:sz w:val="16"/>
              </w:rPr>
              <w:t xml:space="preserve">Plus bas 100j : </w:t>
            </w:r>
            <w:r>
              <w:rPr>
                <w:color w:val="000000"/>
                <w:sz w:val="17"/>
              </w:rPr>
              <w:t>15,505 FCFA</w:t>
            </w:r>
          </w:p>
          <w:p>
            <w:r>
              <w:rPr>
                <w:b/>
                <w:color w:val="503200"/>
                <w:sz w:val="16"/>
              </w:rPr>
              <w:t xml:space="preserve">Volatilité ann. : </w:t>
            </w:r>
            <w:r>
              <w:rPr>
                <w:color w:val="000000"/>
                <w:sz w:val="17"/>
              </w:rPr>
              <w:t>35.6%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13.69% (Moyenne) — μ=18,235 FCFA, σ=2,497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β=1.4729 (Agressif) — Cov=0.000108, Var(idx)=0.000073, ρ=0.559,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3,568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σ_j=2.24%/j (Stable) — Vol. annualisée≈35.6%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20,673</w:t>
            </w:r>
          </w:p>
        </w:tc>
        <w:tc>
          <w:tcPr>
            <w:tcW w:type="dxa" w:w="1440"/>
            <w:shd w:fill="FAFAFA" w:val="clear"/>
          </w:tcPr>
          <w:p>
            <w:r>
              <w:rPr>
                <w:b/>
                <w:sz w:val="17"/>
              </w:rPr>
              <w:t>21,727</w:t>
            </w:r>
          </w:p>
        </w:tc>
        <w:tc>
          <w:tcPr>
            <w:tcW w:type="dxa" w:w="1440"/>
            <w:shd w:fill="FAFAFA" w:val="clear"/>
          </w:tcPr>
          <w:p>
            <w:r>
              <w:rPr>
                <w:sz w:val="17"/>
              </w:rPr>
              <w:t>22,781</w:t>
            </w:r>
          </w:p>
        </w:tc>
        <w:tc>
          <w:tcPr>
            <w:tcW w:type="dxa" w:w="1440"/>
            <w:shd w:fill="FAFAFA" w:val="clear"/>
          </w:tcPr>
          <w:p>
            <w:r>
              <w:rPr>
                <w:b/>
                <w:color w:val="C00000"/>
                <w:sz w:val="17"/>
              </w:rPr>
              <w:t>-1.2%</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20,237</w:t>
            </w:r>
          </w:p>
        </w:tc>
        <w:tc>
          <w:tcPr>
            <w:tcW w:type="dxa" w:w="1440"/>
            <w:shd w:fill="FAFAFA" w:val="clear"/>
          </w:tcPr>
          <w:p>
            <w:r>
              <w:rPr>
                <w:b/>
                <w:sz w:val="17"/>
              </w:rPr>
              <w:t>21,727</w:t>
            </w:r>
          </w:p>
        </w:tc>
        <w:tc>
          <w:tcPr>
            <w:tcW w:type="dxa" w:w="1440"/>
            <w:shd w:fill="FAFAFA" w:val="clear"/>
          </w:tcPr>
          <w:p>
            <w:r>
              <w:rPr>
                <w:sz w:val="17"/>
              </w:rPr>
              <w:t>23,218</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19,876</w:t>
            </w:r>
          </w:p>
        </w:tc>
        <w:tc>
          <w:tcPr>
            <w:tcW w:type="dxa" w:w="1440"/>
            <w:shd w:fill="FAFAFA" w:val="clear"/>
          </w:tcPr>
          <w:p>
            <w:r>
              <w:rPr>
                <w:b/>
                <w:sz w:val="17"/>
              </w:rPr>
              <w:t>21,699</w:t>
            </w:r>
          </w:p>
        </w:tc>
        <w:tc>
          <w:tcPr>
            <w:tcW w:type="dxa" w:w="1440"/>
            <w:shd w:fill="FAFAFA" w:val="clear"/>
          </w:tcPr>
          <w:p>
            <w:r>
              <w:rPr>
                <w:sz w:val="17"/>
              </w:rPr>
              <w:t>23,521</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19,565</w:t>
            </w:r>
          </w:p>
        </w:tc>
        <w:tc>
          <w:tcPr>
            <w:tcW w:type="dxa" w:w="1440"/>
            <w:shd w:fill="FAFAFA" w:val="clear"/>
          </w:tcPr>
          <w:p>
            <w:r>
              <w:rPr>
                <w:b/>
                <w:sz w:val="17"/>
              </w:rPr>
              <w:t>21,667</w:t>
            </w:r>
          </w:p>
        </w:tc>
        <w:tc>
          <w:tcPr>
            <w:tcW w:type="dxa" w:w="1440"/>
            <w:shd w:fill="FAFAFA" w:val="clear"/>
          </w:tcPr>
          <w:p>
            <w:r>
              <w:rPr>
                <w:sz w:val="17"/>
              </w:rPr>
              <w:t>23,769</w:t>
            </w:r>
          </w:p>
        </w:tc>
        <w:tc>
          <w:tcPr>
            <w:tcW w:type="dxa" w:w="1440"/>
            <w:shd w:fill="FAFAFA" w:val="clear"/>
          </w:tcPr>
          <w:p>
            <w:r>
              <w:rPr>
                <w:b/>
                <w:color w:val="C00000"/>
                <w:sz w:val="17"/>
              </w:rPr>
              <w:t>-1.5%</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19,290</w:t>
            </w:r>
          </w:p>
        </w:tc>
        <w:tc>
          <w:tcPr>
            <w:tcW w:type="dxa" w:w="1440"/>
            <w:shd w:fill="FAFAFA" w:val="clear"/>
          </w:tcPr>
          <w:p>
            <w:r>
              <w:rPr>
                <w:b/>
                <w:sz w:val="17"/>
              </w:rPr>
              <w:t>21,637</w:t>
            </w:r>
          </w:p>
        </w:tc>
        <w:tc>
          <w:tcPr>
            <w:tcW w:type="dxa" w:w="1440"/>
            <w:shd w:fill="FAFAFA" w:val="clear"/>
          </w:tcPr>
          <w:p>
            <w:r>
              <w:rPr>
                <w:sz w:val="17"/>
              </w:rPr>
              <w:t>23,983</w:t>
            </w:r>
          </w:p>
        </w:tc>
        <w:tc>
          <w:tcPr>
            <w:tcW w:type="dxa" w:w="1440"/>
            <w:shd w:fill="FAFAFA" w:val="clear"/>
          </w:tcPr>
          <w:p>
            <w:r>
              <w:rPr>
                <w:b/>
                <w:color w:val="C00000"/>
                <w:sz w:val="17"/>
              </w:rPr>
              <w:t>-1.6%</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19,041</w:t>
            </w:r>
          </w:p>
        </w:tc>
        <w:tc>
          <w:tcPr>
            <w:tcW w:type="dxa" w:w="1440"/>
            <w:shd w:fill="FAFAFA" w:val="clear"/>
          </w:tcPr>
          <w:p>
            <w:r>
              <w:rPr>
                <w:b/>
                <w:sz w:val="17"/>
              </w:rPr>
              <w:t>21,608</w:t>
            </w:r>
          </w:p>
        </w:tc>
        <w:tc>
          <w:tcPr>
            <w:tcW w:type="dxa" w:w="1440"/>
            <w:shd w:fill="FAFAFA" w:val="clear"/>
          </w:tcPr>
          <w:p>
            <w:r>
              <w:rPr>
                <w:sz w:val="17"/>
              </w:rPr>
              <w:t>24,175</w:t>
            </w:r>
          </w:p>
        </w:tc>
        <w:tc>
          <w:tcPr>
            <w:tcW w:type="dxa" w:w="1440"/>
            <w:shd w:fill="FAFAFA" w:val="clear"/>
          </w:tcPr>
          <w:p>
            <w:r>
              <w:rPr>
                <w:b/>
                <w:color w:val="C00000"/>
                <w:sz w:val="17"/>
              </w:rPr>
              <w:t>-1.8%</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18,810</w:t>
            </w:r>
          </w:p>
        </w:tc>
        <w:tc>
          <w:tcPr>
            <w:tcW w:type="dxa" w:w="1440"/>
            <w:shd w:fill="FAFAFA" w:val="clear"/>
          </w:tcPr>
          <w:p>
            <w:r>
              <w:rPr>
                <w:b/>
                <w:sz w:val="17"/>
              </w:rPr>
              <w:t>21,579</w:t>
            </w:r>
          </w:p>
        </w:tc>
        <w:tc>
          <w:tcPr>
            <w:tcW w:type="dxa" w:w="1440"/>
            <w:shd w:fill="FAFAFA" w:val="clear"/>
          </w:tcPr>
          <w:p>
            <w:r>
              <w:rPr>
                <w:sz w:val="17"/>
              </w:rPr>
              <w:t>24,348</w:t>
            </w:r>
          </w:p>
        </w:tc>
        <w:tc>
          <w:tcPr>
            <w:tcW w:type="dxa" w:w="1440"/>
            <w:shd w:fill="FAFAFA" w:val="clear"/>
          </w:tcPr>
          <w:p>
            <w:r>
              <w:rPr>
                <w:b/>
                <w:color w:val="C00000"/>
                <w:sz w:val="17"/>
              </w:rPr>
              <w:t>-1.9%</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18,595</w:t>
            </w:r>
          </w:p>
        </w:tc>
        <w:tc>
          <w:tcPr>
            <w:tcW w:type="dxa" w:w="1440"/>
            <w:shd w:fill="FFDCE0" w:val="clear"/>
          </w:tcPr>
          <w:p>
            <w:r>
              <w:rPr>
                <w:b/>
                <w:sz w:val="17"/>
              </w:rPr>
              <w:t>21,551</w:t>
            </w:r>
          </w:p>
        </w:tc>
        <w:tc>
          <w:tcPr>
            <w:tcW w:type="dxa" w:w="1440"/>
            <w:shd w:fill="FFDCE0" w:val="clear"/>
          </w:tcPr>
          <w:p>
            <w:r>
              <w:rPr>
                <w:sz w:val="17"/>
              </w:rPr>
              <w:t>24,507</w:t>
            </w:r>
          </w:p>
        </w:tc>
        <w:tc>
          <w:tcPr>
            <w:tcW w:type="dxa" w:w="1440"/>
            <w:shd w:fill="FFDCE0" w:val="clear"/>
          </w:tcPr>
          <w:p>
            <w:r>
              <w:rPr>
                <w:b/>
                <w:color w:val="C00000"/>
                <w:sz w:val="17"/>
              </w:rPr>
              <w:t>-2.0%</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18,392</w:t>
            </w:r>
          </w:p>
        </w:tc>
        <w:tc>
          <w:tcPr>
            <w:tcW w:type="dxa" w:w="1440"/>
            <w:shd w:fill="FFDCE0" w:val="clear"/>
          </w:tcPr>
          <w:p>
            <w:r>
              <w:rPr>
                <w:b/>
                <w:sz w:val="17"/>
              </w:rPr>
              <w:t>21,524</w:t>
            </w:r>
          </w:p>
        </w:tc>
        <w:tc>
          <w:tcPr>
            <w:tcW w:type="dxa" w:w="1440"/>
            <w:shd w:fill="FFDCE0" w:val="clear"/>
          </w:tcPr>
          <w:p>
            <w:r>
              <w:rPr>
                <w:sz w:val="17"/>
              </w:rPr>
              <w:t>24,655</w:t>
            </w:r>
          </w:p>
        </w:tc>
        <w:tc>
          <w:tcPr>
            <w:tcW w:type="dxa" w:w="1440"/>
            <w:shd w:fill="FFDCE0" w:val="clear"/>
          </w:tcPr>
          <w:p>
            <w:r>
              <w:rPr>
                <w:b/>
                <w:color w:val="C00000"/>
                <w:sz w:val="17"/>
              </w:rPr>
              <w:t>-2.1%</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18,200</w:t>
            </w:r>
          </w:p>
        </w:tc>
        <w:tc>
          <w:tcPr>
            <w:tcW w:type="dxa" w:w="1440"/>
            <w:shd w:fill="FFDCE0" w:val="clear"/>
          </w:tcPr>
          <w:p>
            <w:r>
              <w:rPr>
                <w:b/>
                <w:sz w:val="17"/>
              </w:rPr>
              <w:t>21,497</w:t>
            </w:r>
          </w:p>
        </w:tc>
        <w:tc>
          <w:tcPr>
            <w:tcW w:type="dxa" w:w="1440"/>
            <w:shd w:fill="FFDCE0" w:val="clear"/>
          </w:tcPr>
          <w:p>
            <w:r>
              <w:rPr>
                <w:sz w:val="17"/>
              </w:rPr>
              <w:t>24,794</w:t>
            </w:r>
          </w:p>
        </w:tc>
        <w:tc>
          <w:tcPr>
            <w:tcW w:type="dxa" w:w="1440"/>
            <w:shd w:fill="FFDCE0" w:val="clear"/>
          </w:tcPr>
          <w:p>
            <w:r>
              <w:rPr>
                <w:b/>
                <w:color w:val="C00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**RAPPORT D'ANALYSE FINANCIÈRE — ORANGE CÔTE D'IVOIRE (ORAC)**</w:t>
        <w:br/>
        <w:t>*Bourse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3 313,66 milliards FCFA, ORAC s'impose comme la première capitalisation de la BRVM, représentant à elle seule plus du quart de la capitalisation totale du marché régional — un statut de « valeur phare » qui lui confère une liquidité et une visibilité exceptionnelles. Le BPA de 1 114 FCFA/action signifie que chaque titre génère un bénéfice net de plus de mille francs, un niveau remarquable pour le marché ouest-africain. Le PER de 19,7x traduit une valorisation modérée mais nettement supérieure à la moyenne BRVM (~8-12x), ce qui se justifie par la qualité de la croissance et le statut défensif du titre, mais limite le potentiel de réévaluation à court terme. Le P/B de 4,68x indique que le marché valorise ORAC à près de cinq fois sa valeur comptable — une prime exigeante qui reflète la confiance des investisseurs dans la capacité bénéficiaire future, mais qui expose le titre à une correction en cas de déception. Enfin, l'EV/EBITDA de 7,9x, situé dans la fourchette raisonnable de 5-10x, suggère que la valeur totale de l'entreprise (dette incluse) reste cohérente avec sa capacité opérationnelle à générer des flux.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ORAC a enregistré une progression spectaculaire de +40,99%, portant le cours de 15 505 FCFA (plus bas) à 21 995 FCFA, avec un plus haut à 22 500 FCFA — soit un range de trading de près de 7 000 FCFA qui témoigne d'une dynamique haussière puissante. La dernière séance (J-1) affiche une quasi-stagnation à +0,02%, signalant une pause dans le mouvement ascendant après une telle performance. La moyenne (18 235 FCFA) se situe nettement au-dessus de la médiane (16 755 FCFA), ce qui confirme une distribution asymétrique : le cours a passé plus de temps dans les niveaux bas avant de s'envoler en fin de période, comme l'indique le skewness positif de 0,535. L'écart-type de 2 509 FCFA (CV = 13,8%) révèle une dispersion modérée du cours autour de sa moyenne, tandis que le kurtosis négatif (-1,465, distribution platykurtique) indique une faible concentration des valeurs extrêmes — le titre n'a pas connu de pics brutaux, mais plutôt une tendance progressive. La volatilité annualisée de 35,6% positionne ORAC dans la catégorie des titres à volatilité élevée (&gt;30%), ce qui est cohérent avec la forte appréciation récente et invite à la prudence pour les investisseurs averses au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(21 648,5 FCFA) et la MM50 (20 301,9 FCFA) se situent toutes deux sous le cours actuel (21 995 FCFA), avec la MM20 au-dessus de la MM50 — configuration haussière classique. Le cours évolue au-dessus de ses deux moyennes, confirmant la tendance positive et justifiant la décision d'**Achat**.</w:t>
      </w:r>
    </w:p>
    <w:p>
      <w:pPr>
        <w:spacing w:after="120" w:line="276" w:lineRule="auto"/>
      </w:pPr>
      <w:r>
        <w:t>**Bandes de Bollinger** : Le cours (21 995 FCFA) se situe entre la borne inférieure (20 206,48 FCFA) et la borne supérieure (23 090,52 FCFA), plus proche de la borne haute. Cette position médiane-haute traduit une volatilité contenue et une absence de signal extrême, d'où la décision **Neutre** — le titre n'est ni suracheté ni survendu selon ce critère.</w:t>
      </w:r>
    </w:p>
    <w:p>
      <w:pPr>
        <w:spacing w:after="120" w:line="276" w:lineRule="auto"/>
      </w:pPr>
      <w:r>
        <w:t>**MACD** : La valeur du MACD (306,298) est inférieure à son signal (358,535), générant une divergence baissière qui indique un essoufflement du momentum haussier. Cette configuration justifie la décision de **Vente** à court terme, bien que le MACD reste en territoire positif.</w:t>
      </w:r>
    </w:p>
    <w:p>
      <w:pPr>
        <w:spacing w:after="120" w:line="276" w:lineRule="auto"/>
      </w:pPr>
      <w:r>
        <w:t>**RSI** : À 48,74, le RSI se situe parfaitement dans la zone neutre (30-70), sans signal de surachat (&gt;70) ni de survente (&lt;30). Cette valeur médiane confirme l'absence de pression directionnelle forte et justifie la décision **Neutre**.</w:t>
      </w:r>
    </w:p>
    <w:p>
      <w:pPr>
        <w:spacing w:after="120" w:line="276" w:lineRule="auto"/>
      </w:pPr>
      <w:r>
        <w:t>**Stochastique** : Le %K (99,762) et le %D (93,979) sont tous deux en zone de surachat extrême (&gt;80), avec un %K proche de 100 qui signale une saturation acheteuse. Cette configuration précède souvent un retournement baissier, justifiant la décision de **Vente**.</w:t>
      </w:r>
    </w:p>
    <w:p>
      <w:pPr>
        <w:spacing w:after="120" w:line="276" w:lineRule="auto"/>
      </w:pPr>
      <w:r>
        <w:t>**Conclusion technique** : Les indicateurs présentent une divergence préoccupante. Si les moyennes mobiles restent haussières et le RSI neutre, le MACD et le stochastique émettent des signaux de vente clairs, tandis que les Bandes de Bollinger ne confirment ni ne contredisent. Cette configuration suggère un essoufflement de la tendance haussière à court terme, avec un risque de consolidation ou de correction après la forte progression de +41% sur 100 jours.</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Orange Côte d'Ivoire a réalisé un chiffre d'affaires consolidé de 1 197,1 milliards FCFA, en croissance de +10,4% par rapport à 2024 (1 084,1 Mds FCFA). Le résultat net consolidé s'établit à 167,8 milliards FCFA (+6,1%), tandis que le résultat net part du groupe atteint 129,1 milliards FCFA (+14,5%). La rentabilité des fonds propres (ROE) ressort à 23,7% — un niveau excellent (&gt;15%) qui témoigne de l'efficacité du modèle économique — et le ROA à 6,57%. La marge nette de 14,0% et la marge opérationnelle de 24,0% confirment la solidité opérationnelle, bien qu'en léger retrait par rapport à 2024 (14,6% et 24,3%). Le BFR est négatif à -198,0 milliards FCFA, ce qui est favorable (financement par les fournisseurs), avec un délai fournisseurs élevé de 210,87 jours contre un délai clients de 52,26 jours — un déséquilibre qui profite à la trésorerie. L'autonomie financière de 27,7% reste légèrement inférieure au seuil de 30% considéré comme sain, et le ratio d'endettement de 47,5% mérite surveillance.</w:t>
      </w:r>
    </w:p>
    <w:p>
      <w:pPr>
        <w:spacing w:after="120" w:line="276" w:lineRule="auto"/>
      </w:pPr>
      <w:r>
        <w:t>**Estimations basées sur les rapports trimestriels** : Le rapport T1 2026 (publié le 21 mai 2026) révèle un chiffre d'affaires de 325,6 milliards FCFA (+14,8%) et un résultat net de 48,3 milliards FCFA (+25,2%), avec une marge nette en amélioration à 14,8%. Le rapport S1 2026 (publié le 9 octobre 2026) confirme cette dynamique avec un CA de 672,8 milliards FCFA (+16,1%) et un résultat net de 90,3 milliards FCFA (+18,3%). Sur la base de ces performances semestrielles, on peut estimer que l'exercice 2026 devrait afficher une croissance du CA supérieure à 15% (vs +10,4% en 2025) et un résultat net en progression de 15-20%, portant le BPA estimé 2026 autour de 1 250-1 300 FCFA. Le dividende proposé de 800 FCFA/action (rendement de 3,6% au cours actuel de 21 995 FCFA) marque toutefois une baisse par rapport au DPA implicite de 1 278 FCFA versé en 2025, la direction privilégiant l'autofinancement des investissements (184,2 Mds FCFA en 2025, soit 15,4% du CA).</w:t>
      </w:r>
    </w:p>
    <w:p>
      <w:pPr>
        <w:spacing w:after="120" w:line="276" w:lineRule="auto"/>
      </w:pPr>
      <w:r>
        <w:t>**Recommandation fondamentale** : Les fondamentaux d'ORAC restent excellents, portés par une croissance à deux chiffres, une rentabilité élevée (ROE &gt;23%) et un leadership régional incontesté. Les risques identifiés — pression fiscale (+35% d'impôts au S1 2026), hausse des charges financières, exposition multi-pays (Burkina Faso, Liberia) — sont réels mais compensés par la diversification des revenus (mobile, fibre, Orange Money) et la solidité du bilan. La recommandation fondamentale est **ACHAT**, avec un biais positif pour le moyen-long terme.</w:t>
      </w:r>
    </w:p>
    <w:p>
      <w:pPr>
        <w:spacing w:after="120" w:line="276" w:lineRule="auto"/>
      </w:pPr>
      <w:r>
        <w:t>---</w:t>
      </w:r>
    </w:p>
    <w:p>
      <w:pPr>
        <w:spacing w:after="120" w:line="276" w:lineRule="auto"/>
      </w:pPr>
      <w:r>
        <w:t>## PARTIE 4 : CONCLUSION D'INVESTISSEMENT</w:t>
      </w:r>
    </w:p>
    <w:p>
      <w:pPr>
        <w:spacing w:after="120" w:line="276" w:lineRule="auto"/>
      </w:pPr>
      <w:r>
        <w:t>La valorisation d'ORAC (PER 19,7x, P/B 4,68x, EV/EBITDA 7,9x) indique un titre correctement valorisé, voire légèrement surévalué sur la base du P/B, mais justifié par la qualité de la croissance et le statut défensif. Le comportement du cours sur 100 jours (+40,99%) révèle une tendance haussière puissante, mais la volatilité élevée (35,6%) et le skewness positif (0,535) suggèrent que le titre a peut-être atteint un palier de consolidation. Les signaux techniques sont mitigés : les moyennes mobiles restent haussières, mais le MACD et le stochastique émettent des signaux de vente, tandis que le RSI neutre (48,74) et les Bandes de Bollinger ne confirment aucune direction claire. Les fondamentaux (CA 2025 : 1 197,1 Mds FCFA, RN : 167,8 Mds FCFA, ROE : 23,7%) et les estimations issues des rapports T1/S1 2026 (CA +16,1%, RN +18,3%) demeurent solides et soutiennent une perspective positive à moyen terme. Les prédictions IA pour les 10 prochains jours (21 727 FCFA le 12 octobre, puis 21 637 FCFA le 16 octobre) anticipent une légère correction baissière de -1,6%, ce qui confirme les signaux techniques de vente à court terme.</w:t>
      </w:r>
    </w:p>
    <w:p>
      <w:pPr>
        <w:spacing w:after="120" w:line="276" w:lineRule="auto"/>
      </w:pPr>
      <w:r>
        <w:t>**Recommandation finale : CONSERVER**</w:t>
      </w:r>
    </w:p>
    <w:p>
      <w:pPr>
        <w:spacing w:after="120" w:line="276" w:lineRule="auto"/>
      </w:pPr>
      <w:r>
        <w:t>Cette recommandation reflète la convergence entre une valorisation exigeante (P/B &gt;4x), des signaux techniques mitigés (MACD et stochastique baissiers) et des fondamentaux solides mais déjà bien intégrés dans les cours. Les prédictions IA confirment une consolidation à court terme, ce qui ne justifie pas un achat immédiat, mais la qualité de la croissance et le leadership d'ORAC interdisent toute vente. **Niveau de confiance : Moyen** — les indicateurs sont divergents et le titre évolue dans une zone de valorisation tendue. **Niveau de risque : Moyen** — la volatilité élevée (35,6%) et la prime de valorisation (P/B 4,68x) exposent à une correction en cas de déception sur les résultats. **Horizon optimal : Moyen terme (3-12 mois)** — le temps de laisser la consolidation technique se terminer et les fondamentaux 2026 se matérialiser.</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d'\u00e9valuer la performance ou la valorisation de la soci\u00e9t\u00e9. En l'absence d'informations chiffr\u00e9es, aucune d\u00e9cision d'achat ou de vente ne peut \u00eatre justifi\u00e9e."}</w:t>
      </w:r>
    </w:p>
    <w:p>
      <w:pPr>
        <w:spacing w:before="40"/>
        <w:ind w:left="400"/>
      </w:pPr>
      <w:r>
        <w:rPr>
          <w:sz w:val="18"/>
        </w:rPr>
        <w:t>Le document est une attestation des commissaires aux comptes (KPMG Côte d'Ivoire UNICONSEIL et UNICONSEIL) sur les informations semestrielles consolidées d'Orange Côte d'Ivoire S.A. pour la période du 1er janvier 2026 au 30 juin 2026. Il s'agit d'une attestation établie en application de l'article 849 de l'Acte uniforme de l'OHADA, et non d'un rapport d'analyse financière détaillé. Les commissaires aux comptes ont mis en œuvre des diligences professionnelles qui ne constituent ni un audit ni un examen limité. Le document ne contient aucune donnée chiffrée sur les résultats, le bilan ou la trésorerie de la société. Par conséquent, aucune analyse financière approfondie ni recommandation d'inve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'1er janvier 2026 au 30 juin 2026', 'capital_social': '6 026 214 000 FCFA', 'referentiel_comptable': 'IFRS', 'commissaires_aux_comptes': "KPMG Côte d'Ivoire UNICONSEIL et UNICONSEIL"}</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les informations semestrielles consolidées d'Orange Côte d'Ivoire S.A.</w:t>
      </w:r>
    </w:p>
    <w:p>
      <w:pPr>
        <w:pStyle w:val="ListBullet"/>
        <w:spacing w:before="20" w:after="20"/>
        <w:ind w:left="700"/>
      </w:pPr>
      <w:r>
        <w:rPr>
          <w:sz w:val="18"/>
        </w:rPr>
        <w:t>Période couverte : 1er janvier 2026 au 30 juin 2026</w:t>
      </w:r>
    </w:p>
    <w:p>
      <w:pPr>
        <w:pStyle w:val="ListBullet"/>
        <w:spacing w:before="20" w:after="20"/>
        <w:ind w:left="700"/>
      </w:pPr>
      <w:r>
        <w:rPr>
          <w:sz w:val="18"/>
        </w:rPr>
        <w:t>Établie en application de l'article 849 de l'Acte uniforme de l'OHADA relatif au droit des sociétés commerciales et du GIE</w:t>
      </w:r>
    </w:p>
    <w:p>
      <w:pPr>
        <w:pStyle w:val="ListBullet"/>
        <w:spacing w:before="20" w:after="20"/>
        <w:ind w:left="700"/>
      </w:pPr>
      <w:r>
        <w:rPr>
          <w:sz w:val="18"/>
        </w:rPr>
        <w:t>Les informations ont été établies sous la responsabilité de la direction générale, à partir de la comptabilité générale tenue selon le référentiel IFRS</w:t>
      </w:r>
    </w:p>
    <w:p>
      <w:pPr>
        <w:pStyle w:val="ListBullet"/>
        <w:spacing w:before="20" w:after="20"/>
        <w:ind w:left="700"/>
      </w:pPr>
      <w:r>
        <w:rPr>
          <w:sz w:val="18"/>
        </w:rPr>
        <w:t>Les diligences mises en œuvre ne constituent ni un audit ni un examen limité</w:t>
      </w:r>
    </w:p>
    <w:p>
      <w:pPr>
        <w:pStyle w:val="ListBullet"/>
        <w:spacing w:before="20" w:after="20"/>
        <w:ind w:left="700"/>
      </w:pPr>
      <w:r>
        <w:rPr>
          <w:sz w:val="18"/>
        </w:rPr>
        <w:t>Le document ne contient aucune donnée financière chiffrée (chiffre d'affaires, résultat net, actif, capitaux propres)</w:t>
      </w:r>
    </w:p>
    <w:p>
      <w:pPr>
        <w:spacing w:before="40"/>
        <w:ind w:left="400"/>
      </w:pPr>
      <w:r>
        <w:rPr>
          <w:b/>
          <w:color w:val="C05000"/>
          <w:sz w:val="18"/>
        </w:rPr>
        <w:t xml:space="preserve">⚠️ Risques : </w:t>
      </w:r>
      <w:r>
        <w:rPr>
          <w:sz w:val="18"/>
        </w:rPr>
        <w:t>["Absence de donn\u00e9es financi\u00e8res chiffr\u00e9es dans le document, emp\u00eachant toute \u00e9valuation des risques financiers", "Le document est une simple attestation de commissaires aux comptes, sans analyse de la situation financi\u00e8re", "Les diligences effectu\u00e9es ne constituent</w:t>
      </w:r>
    </w:p>
    <w:p>
      <w:pPr>
        <w:spacing w:before="40"/>
        <w:ind w:left="400"/>
      </w:pPr>
      <w:r>
        <w:rPr>
          <w:b/>
          <w:color w:val="0064A0"/>
          <w:sz w:val="18"/>
        </w:rPr>
        <w:t xml:space="preserve">🔮 Perspectives : </w:t>
      </w:r>
      <w:r>
        <w:rPr>
          <w:sz w:val="18"/>
        </w:rPr>
        <w:t>Aucune perspective financière ne peut être dégagée de ce document, qui se limite à une attestation de conformité des informations semestrielles. Pour formuler un outlook, il serait nécessaire de consulter les états financiers semestriels complets (bilan, compte de résultat, tableau des flux de tréso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croissance \u00e0 deux chiffres du chiffre d'affaires (+16,1%) et du r\u00e9sultat net (+18,3%) t\u00e9moigne d'une dynamique op\u00e9rationnelle solide sur les trois march\u00e9s. La progression de l'EBITDAaL et l'am\u00e9lioration du r\u00e9sultat financier renforcent la qualit\u00e9 des r\u00e9sultats et la g\u00e9n\u00e9ration de cash-flow."}</w:t>
      </w:r>
    </w:p>
    <w:p>
      <w:pPr>
        <w:spacing w:before="40"/>
        <w:ind w:left="400"/>
      </w:pPr>
      <w:r>
        <w:rPr>
          <w:sz w:val="18"/>
        </w:rPr>
        <w:t>Orange Côte d'Ivoire publie des résultats consolidés en forte croissance pour le premier semestre 2026, avec un chiffre d'affaires de 672,8 milliards FCFA en hausse de 16,1% sur un an. Cette performance est portée par les trois filiales du groupe (Côte d'Ivoire, Burkina Faso et Liberia), tirées par la data mobile, la fibre et Orange Money. L'EBITDAaL progresse de 19,2% à 239,3 milliards FCFA, traduisant une bonne maîtrise des coûts d'exploitation. Le résultat net consolidé atteint 90,3 milliards FCFA, en croissance de 18,3% par rapport au S1 2025. La dynamique commerciale et l'expansion des usages confirment la solidité du modèle économique du groupe sur l'ensemble de ses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'109,3 milliards FCFA', 'ebitdaal': '239,3 milliards FCFA', 'parc_fmi': '37 364 milliers', 'resultat_financier': '-12,8 milliards FCFA', 'resultat_exploitation': '159,6 milliards FCFA', 'impots_sur_le_resultat': '-56,6 milliards FCFA', 'resultat_activites_ordinaires': '146,8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672,8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de 672,8 milliards FCFA au S1 2026, en hausse de 16,1% (+93,4 milliards FCFA) sur un an.</w:t>
      </w:r>
    </w:p>
    <w:p>
      <w:pPr>
        <w:pStyle w:val="ListBullet"/>
        <w:spacing w:before="20" w:after="20"/>
        <w:ind w:left="700"/>
      </w:pPr>
      <w:r>
        <w:rPr>
          <w:sz w:val="18"/>
        </w:rPr>
        <w:t>EBITDAaL de 239,3 milliards FCFA, en progression de 19,2%, avec une marge d'EBITDAaL d'environ 35,6%.</w:t>
      </w:r>
    </w:p>
    <w:p>
      <w:pPr>
        <w:pStyle w:val="ListBullet"/>
        <w:spacing w:before="20" w:after="20"/>
        <w:ind w:left="700"/>
      </w:pPr>
      <w:r>
        <w:rPr>
          <w:sz w:val="18"/>
        </w:rPr>
        <w:t>Résultat d'exploitation de 159,6 milliards FCFA, en hausse de 21,1% par rapport au S1 2025.</w:t>
      </w:r>
    </w:p>
    <w:p>
      <w:pPr>
        <w:pStyle w:val="ListBullet"/>
        <w:spacing w:before="20" w:after="20"/>
        <w:ind w:left="700"/>
      </w:pPr>
      <w:r>
        <w:rPr>
          <w:sz w:val="18"/>
        </w:rPr>
        <w:t>Résultat net consolidé de 90,3 milliards FCFA, en croissance de 18,3%, soit une marge nette d'environ 13,4%.</w:t>
      </w:r>
    </w:p>
    <w:p>
      <w:pPr>
        <w:pStyle w:val="ListBullet"/>
        <w:spacing w:before="20" w:after="20"/>
        <w:ind w:left="700"/>
      </w:pPr>
      <w:r>
        <w:rPr>
          <w:sz w:val="18"/>
        </w:rPr>
        <w:t>Résultat financier négatif de -12,8 milliards FCFA, mais en amélioration de 5,9% sur un an.</w:t>
      </w:r>
    </w:p>
    <w:p>
      <w:pPr>
        <w:pStyle w:val="ListBullet"/>
        <w:spacing w:before="20" w:after="20"/>
        <w:ind w:left="700"/>
      </w:pPr>
      <w:r>
        <w:rPr>
          <w:sz w:val="18"/>
        </w:rPr>
        <w:t>Charge d'impôts en hausse de 35,0% à 56,6 milliards FCFA, pesant sur la croissance du résultat net.</w:t>
      </w:r>
    </w:p>
    <w:p>
      <w:pPr>
        <w:spacing w:before="40"/>
        <w:ind w:left="400"/>
      </w:pPr>
      <w:r>
        <w:rPr>
          <w:b/>
          <w:color w:val="C05000"/>
          <w:sz w:val="18"/>
        </w:rPr>
        <w:t xml:space="preserve">⚠️ Risques : </w:t>
      </w:r>
      <w:r>
        <w:rPr>
          <w:sz w:val="18"/>
        </w:rPr>
        <w:t>["Hausse marqu\u00e9e des charges commerciales et fiscales (+35% d'imp\u00f4ts) pouvant peser sur la rentabilit\u00e9 future.", "Exposition au risque de change et \u00e0 l'environnement macro\u00e9conomique des trois pays (C\u00f4te d'Ivoire, Burkina Faso, Liberia).", "Intensification de la concurre</w:t>
      </w:r>
    </w:p>
    <w:p>
      <w:pPr>
        <w:spacing w:before="40"/>
        <w:ind w:left="400"/>
      </w:pPr>
      <w:r>
        <w:rPr>
          <w:b/>
          <w:color w:val="0064A0"/>
          <w:sz w:val="18"/>
        </w:rPr>
        <w:t xml:space="preserve">🔮 Perspectives : </w:t>
      </w:r>
      <w:r>
        <w:rPr>
          <w:sz w:val="18"/>
        </w:rPr>
        <w:t>Le groupe devrait poursuivre sa trajectoire de croissance au second semestre 2026, soutenu par l'expansion de la data mobile, de la fibre et d'Orange Money sur ses trois marchés. La maîtrise des coûts et l'amélioration continue du résultat financier devraient permettre de maintenir la dynamique béné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
      <w:r>
        <w:t>════════════════════════════════════════════════════════════════════════════════</w:t>
      </w:r>
    </w:p>
    <w:p>
      <w:r>
        <w:br w:type="page"/>
      </w:r>
    </w:p>
    <w:p>
      <w:pPr>
        <w:pStyle w:val="Heading2"/>
        <w:spacing w:before="360"/>
      </w:pPr>
      <w:r>
        <w:rPr>
          <w:color w:val="0066CC"/>
        </w:rPr>
        <w:t>25.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208.25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4,362 titres</w:t>
            </w:r>
          </w:p>
        </w:tc>
        <w:tc>
          <w:tcPr>
            <w:tcW w:type="dxa" w:w="2268"/>
            <w:shd w:fill="FFF2CC" w:val="clear"/>
          </w:tcPr>
          <w:p>
            <w:r>
              <w:rPr>
                <w:b/>
                <w:color w:val="503200"/>
                <w:sz w:val="16"/>
              </w:rPr>
              <w:t xml:space="preserve">Cours actuel : </w:t>
            </w:r>
            <w:r>
              <w:rPr>
                <w:color w:val="000000"/>
                <w:sz w:val="17"/>
              </w:rPr>
              <w:t>3,000 FCFA</w:t>
            </w:r>
          </w:p>
          <w:p>
            <w:r>
              <w:rPr>
                <w:b/>
                <w:color w:val="503200"/>
                <w:sz w:val="16"/>
              </w:rPr>
              <w:t xml:space="preserve">Var. 100 jours : </w:t>
            </w:r>
            <w:r>
              <w:rPr>
                <w:b/>
                <w:color w:val="007800"/>
                <w:sz w:val="17"/>
              </w:rPr>
              <w:t>+20.24%</w:t>
            </w:r>
          </w:p>
          <w:p>
            <w:r>
              <w:rPr>
                <w:b/>
                <w:color w:val="503200"/>
                <w:sz w:val="16"/>
              </w:rPr>
              <w:t xml:space="preserve">Plus haut 100j : </w:t>
            </w:r>
            <w:r>
              <w:rPr>
                <w:color w:val="000000"/>
                <w:sz w:val="17"/>
              </w:rPr>
              <w:t>3,400 FCFA</w:t>
            </w:r>
          </w:p>
          <w:p>
            <w:r>
              <w:rPr>
                <w:b/>
                <w:color w:val="503200"/>
                <w:sz w:val="16"/>
              </w:rPr>
              <w:t xml:space="preserve">Plus bas 100j : </w:t>
            </w:r>
            <w:r>
              <w:rPr>
                <w:color w:val="000000"/>
                <w:sz w:val="17"/>
              </w:rPr>
              <w:t>2,495 FCFA</w:t>
            </w:r>
          </w:p>
          <w:p>
            <w:r>
              <w:rPr>
                <w:b/>
                <w:color w:val="503200"/>
                <w:sz w:val="16"/>
              </w:rPr>
              <w:t xml:space="preserve">Volatilité ann. : </w:t>
            </w:r>
            <w:r>
              <w:rPr>
                <w:color w:val="000000"/>
                <w:sz w:val="17"/>
              </w:rPr>
              <w:t>35.7%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17.5/100 → Faible</w:t>
      </w:r>
    </w:p>
    <w:p>
      <w:pPr>
        <w:spacing w:before="40" w:after="80"/>
      </w:pPr>
      <w:r>
        <w:rPr>
          <w:rFonts w:ascii="Courier New" w:hAnsi="Courier New"/>
          <w:color w:val="006400"/>
          <w:sz w:val="18"/>
        </w:rPr>
        <w:t>███░░░░░░░░░░░░░░░░░  17.5/100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8.12% (Moyenne) — μ=2,905 FCFA, σ=236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β=0.8342 (Neutre (suit le marché)) — Cov=0.000061, Var(idx)=0.000073, ρ=0.320,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4,362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σ_j=2.25%/j (Stable) — Vol. annualisée≈35.7%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2,822</w:t>
            </w:r>
          </w:p>
        </w:tc>
        <w:tc>
          <w:tcPr>
            <w:tcW w:type="dxa" w:w="1440"/>
            <w:shd w:fill="FAFAFA" w:val="clear"/>
          </w:tcPr>
          <w:p>
            <w:r>
              <w:rPr>
                <w:b/>
                <w:sz w:val="17"/>
              </w:rPr>
              <w:t>2,956</w:t>
            </w:r>
          </w:p>
        </w:tc>
        <w:tc>
          <w:tcPr>
            <w:tcW w:type="dxa" w:w="1440"/>
            <w:shd w:fill="FAFAFA" w:val="clear"/>
          </w:tcPr>
          <w:p>
            <w:r>
              <w:rPr>
                <w:sz w:val="17"/>
              </w:rPr>
              <w:t>3,090</w:t>
            </w:r>
          </w:p>
        </w:tc>
        <w:tc>
          <w:tcPr>
            <w:tcW w:type="dxa" w:w="1440"/>
            <w:shd w:fill="FAFAFA" w:val="clear"/>
          </w:tcPr>
          <w:p>
            <w:r>
              <w:rPr>
                <w:b/>
                <w:color w:val="C00000"/>
                <w:sz w:val="17"/>
              </w:rPr>
              <w:t>-1.5%</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2,765</w:t>
            </w:r>
          </w:p>
        </w:tc>
        <w:tc>
          <w:tcPr>
            <w:tcW w:type="dxa" w:w="1440"/>
            <w:shd w:fill="FAFAFA" w:val="clear"/>
          </w:tcPr>
          <w:p>
            <w:r>
              <w:rPr>
                <w:b/>
                <w:sz w:val="17"/>
              </w:rPr>
              <w:t>2,955</w:t>
            </w:r>
          </w:p>
        </w:tc>
        <w:tc>
          <w:tcPr>
            <w:tcW w:type="dxa" w:w="1440"/>
            <w:shd w:fill="FAFAFA" w:val="clear"/>
          </w:tcPr>
          <w:p>
            <w:r>
              <w:rPr>
                <w:sz w:val="17"/>
              </w:rPr>
              <w:t>3,145</w:t>
            </w:r>
          </w:p>
        </w:tc>
        <w:tc>
          <w:tcPr>
            <w:tcW w:type="dxa" w:w="1440"/>
            <w:shd w:fill="FAFAFA" w:val="clear"/>
          </w:tcPr>
          <w:p>
            <w:r>
              <w:rPr>
                <w:b/>
                <w:color w:val="C00000"/>
                <w:sz w:val="17"/>
              </w:rPr>
              <w:t>-1.5%</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2,719</w:t>
            </w:r>
          </w:p>
        </w:tc>
        <w:tc>
          <w:tcPr>
            <w:tcW w:type="dxa" w:w="1440"/>
            <w:shd w:fill="FAFAFA" w:val="clear"/>
          </w:tcPr>
          <w:p>
            <w:r>
              <w:rPr>
                <w:b/>
                <w:sz w:val="17"/>
              </w:rPr>
              <w:t>2,951</w:t>
            </w:r>
          </w:p>
        </w:tc>
        <w:tc>
          <w:tcPr>
            <w:tcW w:type="dxa" w:w="1440"/>
            <w:shd w:fill="FAFAFA" w:val="clear"/>
          </w:tcPr>
          <w:p>
            <w:r>
              <w:rPr>
                <w:sz w:val="17"/>
              </w:rPr>
              <w:t>3,182</w:t>
            </w:r>
          </w:p>
        </w:tc>
        <w:tc>
          <w:tcPr>
            <w:tcW w:type="dxa" w:w="1440"/>
            <w:shd w:fill="FAFAFA" w:val="clear"/>
          </w:tcPr>
          <w:p>
            <w:r>
              <w:rPr>
                <w:b/>
                <w:color w:val="C00000"/>
                <w:sz w:val="17"/>
              </w:rPr>
              <w:t>-1.6%</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2,679</w:t>
            </w:r>
          </w:p>
        </w:tc>
        <w:tc>
          <w:tcPr>
            <w:tcW w:type="dxa" w:w="1440"/>
            <w:shd w:fill="FAFAFA" w:val="clear"/>
          </w:tcPr>
          <w:p>
            <w:r>
              <w:rPr>
                <w:b/>
                <w:sz w:val="17"/>
              </w:rPr>
              <w:t>2,946</w:t>
            </w:r>
          </w:p>
        </w:tc>
        <w:tc>
          <w:tcPr>
            <w:tcW w:type="dxa" w:w="1440"/>
            <w:shd w:fill="FAFAFA" w:val="clear"/>
          </w:tcPr>
          <w:p>
            <w:r>
              <w:rPr>
                <w:sz w:val="17"/>
              </w:rPr>
              <w:t>3,214</w:t>
            </w:r>
          </w:p>
        </w:tc>
        <w:tc>
          <w:tcPr>
            <w:tcW w:type="dxa" w:w="1440"/>
            <w:shd w:fill="FAFAFA" w:val="clear"/>
          </w:tcPr>
          <w:p>
            <w:r>
              <w:rPr>
                <w:b/>
                <w:color w:val="C00000"/>
                <w:sz w:val="17"/>
              </w:rPr>
              <w:t>-1.8%</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2,644</w:t>
            </w:r>
          </w:p>
        </w:tc>
        <w:tc>
          <w:tcPr>
            <w:tcW w:type="dxa" w:w="1440"/>
            <w:shd w:fill="FAFAFA" w:val="clear"/>
          </w:tcPr>
          <w:p>
            <w:r>
              <w:rPr>
                <w:b/>
                <w:sz w:val="17"/>
              </w:rPr>
              <w:t>2,942</w:t>
            </w:r>
          </w:p>
        </w:tc>
        <w:tc>
          <w:tcPr>
            <w:tcW w:type="dxa" w:w="1440"/>
            <w:shd w:fill="FAFAFA" w:val="clear"/>
          </w:tcPr>
          <w:p>
            <w:r>
              <w:rPr>
                <w:sz w:val="17"/>
              </w:rPr>
              <w:t>3,241</w:t>
            </w:r>
          </w:p>
        </w:tc>
        <w:tc>
          <w:tcPr>
            <w:tcW w:type="dxa" w:w="1440"/>
            <w:shd w:fill="FAFAFA" w:val="clear"/>
          </w:tcPr>
          <w:p>
            <w:r>
              <w:rPr>
                <w:b/>
                <w:color w:val="C00000"/>
                <w:sz w:val="17"/>
              </w:rPr>
              <w:t>-1.9%</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2,612</w:t>
            </w:r>
          </w:p>
        </w:tc>
        <w:tc>
          <w:tcPr>
            <w:tcW w:type="dxa" w:w="1440"/>
            <w:shd w:fill="FFDCE0" w:val="clear"/>
          </w:tcPr>
          <w:p>
            <w:r>
              <w:rPr>
                <w:b/>
                <w:sz w:val="17"/>
              </w:rPr>
              <w:t>2,939</w:t>
            </w:r>
          </w:p>
        </w:tc>
        <w:tc>
          <w:tcPr>
            <w:tcW w:type="dxa" w:w="1440"/>
            <w:shd w:fill="FFDCE0" w:val="clear"/>
          </w:tcPr>
          <w:p>
            <w:r>
              <w:rPr>
                <w:sz w:val="17"/>
              </w:rPr>
              <w:t>3,265</w:t>
            </w:r>
          </w:p>
        </w:tc>
        <w:tc>
          <w:tcPr>
            <w:tcW w:type="dxa" w:w="1440"/>
            <w:shd w:fill="FFDCE0" w:val="clear"/>
          </w:tcPr>
          <w:p>
            <w:r>
              <w:rPr>
                <w:b/>
                <w:color w:val="C00000"/>
                <w:sz w:val="17"/>
              </w:rPr>
              <w:t>-2.0%</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2,583</w:t>
            </w:r>
          </w:p>
        </w:tc>
        <w:tc>
          <w:tcPr>
            <w:tcW w:type="dxa" w:w="1440"/>
            <w:shd w:fill="FFDCE0" w:val="clear"/>
          </w:tcPr>
          <w:p>
            <w:r>
              <w:rPr>
                <w:b/>
                <w:sz w:val="17"/>
              </w:rPr>
              <w:t>2,935</w:t>
            </w:r>
          </w:p>
        </w:tc>
        <w:tc>
          <w:tcPr>
            <w:tcW w:type="dxa" w:w="1440"/>
            <w:shd w:fill="FFDCE0" w:val="clear"/>
          </w:tcPr>
          <w:p>
            <w:r>
              <w:rPr>
                <w:sz w:val="17"/>
              </w:rPr>
              <w:t>3,288</w:t>
            </w:r>
          </w:p>
        </w:tc>
        <w:tc>
          <w:tcPr>
            <w:tcW w:type="dxa" w:w="1440"/>
            <w:shd w:fill="FFDCE0" w:val="clear"/>
          </w:tcPr>
          <w:p>
            <w:r>
              <w:rPr>
                <w:b/>
                <w:color w:val="C00000"/>
                <w:sz w:val="17"/>
              </w:rPr>
              <w:t>-2.2%</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2,556</w:t>
            </w:r>
          </w:p>
        </w:tc>
        <w:tc>
          <w:tcPr>
            <w:tcW w:type="dxa" w:w="1440"/>
            <w:shd w:fill="FFDCE0" w:val="clear"/>
          </w:tcPr>
          <w:p>
            <w:r>
              <w:rPr>
                <w:b/>
                <w:sz w:val="17"/>
              </w:rPr>
              <w:t>2,932</w:t>
            </w:r>
          </w:p>
        </w:tc>
        <w:tc>
          <w:tcPr>
            <w:tcW w:type="dxa" w:w="1440"/>
            <w:shd w:fill="FFDCE0" w:val="clear"/>
          </w:tcPr>
          <w:p>
            <w:r>
              <w:rPr>
                <w:sz w:val="17"/>
              </w:rPr>
              <w:t>3,308</w:t>
            </w:r>
          </w:p>
        </w:tc>
        <w:tc>
          <w:tcPr>
            <w:tcW w:type="dxa" w:w="1440"/>
            <w:shd w:fill="FFDCE0" w:val="clear"/>
          </w:tcPr>
          <w:p>
            <w:r>
              <w:rPr>
                <w:b/>
                <w:color w:val="C00000"/>
                <w:sz w:val="17"/>
              </w:rPr>
              <w:t>-2.3%</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2,530</w:t>
            </w:r>
          </w:p>
        </w:tc>
        <w:tc>
          <w:tcPr>
            <w:tcW w:type="dxa" w:w="1440"/>
            <w:shd w:fill="FFDCE0" w:val="clear"/>
          </w:tcPr>
          <w:p>
            <w:r>
              <w:rPr>
                <w:b/>
                <w:sz w:val="17"/>
              </w:rPr>
              <w:t>2,929</w:t>
            </w:r>
          </w:p>
        </w:tc>
        <w:tc>
          <w:tcPr>
            <w:tcW w:type="dxa" w:w="1440"/>
            <w:shd w:fill="FFDCE0" w:val="clear"/>
          </w:tcPr>
          <w:p>
            <w:r>
              <w:rPr>
                <w:sz w:val="17"/>
              </w:rPr>
              <w:t>3,327</w:t>
            </w:r>
          </w:p>
        </w:tc>
        <w:tc>
          <w:tcPr>
            <w:tcW w:type="dxa" w:w="1440"/>
            <w:shd w:fill="FFDCE0" w:val="clear"/>
          </w:tcPr>
          <w:p>
            <w:r>
              <w:rPr>
                <w:b/>
                <w:color w:val="C00000"/>
                <w:sz w:val="17"/>
              </w:rPr>
              <w:t>-2.4%</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2,506</w:t>
            </w:r>
          </w:p>
        </w:tc>
        <w:tc>
          <w:tcPr>
            <w:tcW w:type="dxa" w:w="1440"/>
            <w:shd w:fill="FFDCE0" w:val="clear"/>
          </w:tcPr>
          <w:p>
            <w:r>
              <w:rPr>
                <w:b/>
                <w:sz w:val="17"/>
              </w:rPr>
              <w:t>2,925</w:t>
            </w:r>
          </w:p>
        </w:tc>
        <w:tc>
          <w:tcPr>
            <w:tcW w:type="dxa" w:w="1440"/>
            <w:shd w:fill="FFDCE0" w:val="clear"/>
          </w:tcPr>
          <w:p>
            <w:r>
              <w:rPr>
                <w:sz w:val="17"/>
              </w:rPr>
              <w:t>3,345</w:t>
            </w:r>
          </w:p>
        </w:tc>
        <w:tc>
          <w:tcPr>
            <w:tcW w:type="dxa" w:w="1440"/>
            <w:shd w:fill="FFDCE0" w:val="clear"/>
          </w:tcPr>
          <w:p>
            <w:r>
              <w:rPr>
                <w:b/>
                <w:color w:val="C00000"/>
                <w:sz w:val="17"/>
              </w:rPr>
              <w:t>-2.5%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 RAPPORT D'ANALYSE FINANCIÈRE — ORAGROUP (ORGT)</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208,25 milliards FCFA, ORGT figure parmi les valeurs bancaires de premier plan de la cote BRVM, ce qui lui confère une liquidité relative et une visibilité institutionnelle appréciables. Le BPA de 312 FCFA/action signifie que chaque titre génère un bénéfice net de 312 FCFA, un niveau qui traduit la capacité bénéficiaire retrouvée du groupe après l'exercice 2024 déficitaire. Le PER de 9,6x se situe dans la fourchette basse de la moyenne BRVM (8-12x), suggérant que le marché n'intègre pas encore pleinement le redressement spectaculaire des résultats, ce qui constitue potentiellement une opportunité de sous-évaluation. Le P/B de 1,84x indique que le marché valorise l'action à près du double de sa valeur comptable, un niveau raisonnable pour une banque affichant un ROE de 19,1%, bien que légèrement supérieur au seuil de 1,5x souvent considéré comme neutre. En revanche, l'EV/EBITDA de 19,7x apparaît très exigeant (&gt;15x), ce qui tempère l'enthousiasme : la valeur d'entreprise intègre déjà une prime de croissance que les fondamentaux actuels, marqués par un recul du PNB, ne justifient pas encore totalement.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ORGT affiche une performance remarquable de +20,24%, portée notamment par une dernière séance en forte hausse de +3,81%, ce qui témoigne d'un regain d'intérêt acheteur à court terme. Le cours actuel de 3 000 FCFA se situe dans la partie haute du range de trading établi entre 2 495 FCFA (plus bas) et 3 400 FCFA (plus haut), soit une amplitude de 36% qui reflète une tendance générale haussière mais ponctuée de corrections significatives. La moyenne (2 905 FCFA) est légèrement supérieure à la médiane (2 875 FCFA), un écart faible qui indique une distribution quasi symétrique du cours, confirmée par un skewness de 0,254 (asymétrie positive légère). L'écart-type de 237 FCFA avec un coefficient de variation de 8,2% traduit une dispersion modérée du cours autour de sa moyenne, tandis que le kurtosis négatif (-1,215, distribution platykurtique) signale une faible concentration des variations et un risque de pics extrêmes limité — un élément rassurant pour la gestion du risque. La volatilité annualisée de 35,7% classe le titre dans la catégorie des valeurs à volatilité élevée (&gt;30%), ce qui est cohérent avec le profil de redressement du groupe et appelle à une gestion prudente des positions.</w:t>
      </w:r>
    </w:p>
    <w:p>
      <w:pPr>
        <w:spacing w:after="120" w:line="276" w:lineRule="auto"/>
      </w:pPr>
      <w:r>
        <w:t>---</w:t>
      </w:r>
    </w:p>
    <w:p>
      <w:pPr>
        <w:spacing w:after="120" w:line="276" w:lineRule="auto"/>
      </w:pPr>
      <w:r>
        <w:t>## PARTIE 2 : ANALYSE TECHNIQUE DÉTAILLÉE</w:t>
      </w:r>
    </w:p>
    <w:p>
      <w:pPr>
        <w:spacing w:after="120" w:line="276" w:lineRule="auto"/>
      </w:pPr>
      <w:r>
        <w:t>**Moyennes Mobiles** : La MM20 (3 046,5 FCFA) et la MM50 (3 114,0 FCFA) se situent toutes deux au-dessus du cours actuel (3 000 FCFA), ce qui place le titre en configuration baissière de court terme. La MM20 étant inférieure à la MM50, on observe une structure de croisement défavorable qui justifie la décision de **Vente** émise par cet indicateur.</w:t>
      </w:r>
    </w:p>
    <w:p>
      <w:pPr>
        <w:spacing w:after="120" w:line="276" w:lineRule="auto"/>
      </w:pPr>
      <w:r>
        <w:t>**Bandes de Bollinger** : Le cours (3 000 FCFA) évolue dans la partie médiane de la bande, entre la borne inférieure (2 751,6 FCFA) et la borne supérieure (3 341,4 FCFA). Cette position centrale, couplée à une largeur de bande significative, traduit une volatilité élevée sans signal directionnel fort, d'où la décision **Neutre**.</w:t>
      </w:r>
    </w:p>
    <w:p>
      <w:pPr>
        <w:spacing w:after="120" w:line="276" w:lineRule="auto"/>
      </w:pPr>
      <w:r>
        <w:t>**MACD** : La valeur du MACD (-53,041) est inférieure à son signal (-43,877), confirmant un momentum baissier persistant. La divergence négative entre les deux lignes indique que la pression vendeuse reste dominante malgré le rebond de la dernière séance, justifiant la décision de **Vente**.</w:t>
      </w:r>
    </w:p>
    <w:p>
      <w:pPr>
        <w:spacing w:after="120" w:line="276" w:lineRule="auto"/>
      </w:pPr>
      <w:r>
        <w:t>**RSI** : À 42,146, le RSI se situe dans la zone neutre (30-70), sans atteindre la zone de survente (&lt;30). Cela suggère que le titre n'est ni suracheté ni survendu, avec une décision **Neutre** qui reflète l'absence de signal extrême.</w:t>
      </w:r>
    </w:p>
    <w:p>
      <w:pPr>
        <w:spacing w:after="120" w:line="276" w:lineRule="auto"/>
      </w:pPr>
      <w:r>
        <w:t>**Stochastique** : Le %K (60,606) est supérieur au %D (40,404), ce qui constitue un croisement haussier potentiel. Cependant, les deux lignes restent dans une zone médiane, et la décision **Neutre** indique que ce signal n'est pas encore suffisamment confirmé pour générer une recommandation directionnelle forte.</w:t>
      </w:r>
    </w:p>
    <w:p>
      <w:pPr>
        <w:spacing w:after="120" w:line="276" w:lineRule="auto"/>
      </w:pPr>
      <w:r>
        <w:t>**Conclusion technique** : Les indicateurs techniques présentent un tableau mitigé. Les moyennes mobiles et le MACD émettent des signaux baissiers, tandis que le RSI, les Bandes de Bollinger et le Stochastique restent neutres. Le rebond de +3,81% en J-1 pourrait signaler un début de retournement, mais il n'est pas encore confirmé par les indicateurs de tendance. La prudence technique domine, avec une configuration qui plaide pour une consolidation avant toute reprise durable.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ORGT affiche un Produit Net Bancaire (PNB) de 186,609 milliards FCFA, en recul de -4,52% par rapport à 2024 (195,436 milliards FCFA), reflétant une contraction volontaire de l'activité de crédit. Le résultat net consolidé s'établit à 21,643 milliards FCFA, marquant un redressement spectaculaire après la perte de -44,363 milliards FCFA en 2024. Le ROE atteint 19,125% (&gt;15% = excellent), tandis que le ROA reste faible à 0,539%, caractéristique du secteur bancaire où les actifs sont pondérés. Le coefficient d'exploitation de 42,85% (&lt;60% = banque efficace, &lt;50% = excellente) témoigne d'une maîtrise remarquable des coûts. Le coût du risque, mesuré par le ratio provisions/charges financières, s'élève à 3,74%, un niveau élevé qui appelle à une surveillance accrue du portefeuille de crédits.</w:t>
      </w:r>
    </w:p>
    <w:p>
      <w:pPr>
        <w:spacing w:after="120" w:line="276" w:lineRule="auto"/>
      </w:pPr>
      <w:r>
        <w:t>**Analyse sectorielle bancaire** : La structure bilancielle révèle une dépendance forte aux dépôts clientèle (3 088,698 milliards FCFA), principale ressource de refinancement, face à des créances clientèle de 1 523,765 milliards FCFA. Le ratio dépôts/crédits de 2,03x indique une surliquidité, mais aussi une sous-utilisation des ressources, ce qui pèse sur la marge d'intérêt. Les créances interbancaires (275,515 milliards FCFA) et les dettes interbancaires (432,668 milliards FCFA) montrent une activité de marché active. Le ratio d'endettement de 444,94% et l'autonomie financière de 2,82% (très inférieure au seuil sain de 30%) traduisent un effet de levier élevé, typique des banques, mais qui expose le groupe au risque de refinancement.</w:t>
      </w:r>
    </w:p>
    <w:p>
      <w:pPr>
        <w:spacing w:after="120" w:line="276" w:lineRule="auto"/>
      </w:pPr>
      <w:r>
        <w:t>**Estimations basées sur les rapports trimestriels** : Le rapport du T1 2026 (publié en 2026) indique un PNB de 50,124 milliards FCFA (-2% en glissement annuel) et un résultat net de 6,555 milliards FCFA (+37%), confirmant la poursuite de l'amélioration de la rentabilité malgré la pression sur les revenus. Les dépôts clientèle progressent de +14% à 3 343 milliards FCFA, tandis que les crédits nets reculent de -12%, poursuivant la stratégie de sélectivité. Sur cette base, on estime que l'exercice 2026 devrait confirmer le redressement avec un résultat net annuel potentiellement supérieur à 25 milliards FCFA, porté par la maîtrise des coûts et l'amélioration du coût du risque. Le rapport du T3 2025 (daté du 30/09/2025) faisait déjà état d'un résultat net de 19,6 milliards FCFA (+248%) et d'une réduction de 74% du coût net du risque, validant la trajectoire.</w:t>
      </w:r>
    </w:p>
    <w:p>
      <w:pPr>
        <w:spacing w:after="120" w:line="276" w:lineRule="auto"/>
      </w:pPr>
      <w:r>
        <w:t>**Évolution pluriannuelle** : L'exercice 2024 avait été catastrophique (perte de -44,4 milliards FCFA, ROE négatif), suivi d'un redressement en 2025 (bénéfice de 21,6 milliards FCFA, ROE de 19,1%). Cette amélioration est principalement attribuable à la réduction drastique du coût du risque (de -69,1 milliards en 2024 à -7,0 milliards en 2025, soit -90%) et à la baisse des frais généraux (-12%). Cependant, la baisse du PNB (-4,5%) et l'absence de dividende (confirmée par l'avis de convocation à l'AG du 23 juillet 2026) tempèrent l'optimisme.</w:t>
      </w:r>
    </w:p>
    <w:p>
      <w:pPr>
        <w:spacing w:after="120" w:line="276" w:lineRule="auto"/>
      </w:pPr>
      <w:r>
        <w:t>**Recommandation fondamentale** : La solidité financière s'améliore (capitaux propres en hausse de +17% à 113,165 milliards FCFA), mais la dépendance à la réduction des coûts et du risque, ainsi que la contraction du PNB, constituent des risques. La recommandation fondamentale est **CONSERVER**, avec un biais positif à moyen terme si la reprise du PNB se confirme.</w:t>
      </w:r>
    </w:p>
    <w:p>
      <w:pPr>
        <w:spacing w:after="120" w:line="276" w:lineRule="auto"/>
      </w:pPr>
      <w:r>
        <w:t>---</w:t>
      </w:r>
    </w:p>
    <w:p>
      <w:pPr>
        <w:spacing w:after="120" w:line="276" w:lineRule="auto"/>
      </w:pPr>
      <w:r>
        <w:t>## PARTIE 4 : CONCLUSION D'INVESTISSEMENT</w:t>
      </w:r>
    </w:p>
    <w:p>
      <w:pPr>
        <w:spacing w:after="120" w:line="276" w:lineRule="auto"/>
      </w:pPr>
      <w:r>
        <w:t>La valorisation (Partie 0) présente un profil contrasté : le PER de 9,6x et le P/B de 1,84x suggèrent une sous-évaluation relative, mais l'EV/EBITDA de 19,7x tempère cette lecture en intégrant une prime de croissance déjà significative. Le comportement du cours (Partie 1) est haussier sur 100 jours (+20,24%), avec une volatilité élevée (35,7%) et une distribution platykurtique (kurtosis -1,215) qui limite le risque de pics extrêmes, mais la moyenne et la médiane proches indiquent une absence de biais directionnel fort. Les signaux techniques (Partie 2) sont majoritairement baissiers (MM, MACD) ou neutres (RSI, Bollinger, Stochastique), avec un rebond récent non confirmé, ce qui plaide pour une consolidation avant toute reprise durable. Les fondamentaux (Partie 3) montrent un redressement spectaculaire en 2025 (résultat net de 21,6 milliards FCFA, ROE de 19,1%), confirmé par les rapports trimestriels (T1 2026 : résultat net +37%), mais la baisse du PNB et l'absence de dividende restent des points de vigilance. Les prédictions IA (J+1 à J+10) anticipent une légère baisse du cours de 2 956 FCFA à 2 942 FCFA, ce qui contredit le rebond de J-1 et confirme la nécessité d'une consolidation.</w:t>
      </w:r>
    </w:p>
    <w:p>
      <w:pPr>
        <w:spacing w:after="120" w:line="276" w:lineRule="auto"/>
      </w:pPr>
      <w:r>
        <w:t>**Recommandation finale : CONSERVER**</w:t>
      </w:r>
    </w:p>
    <w:p>
      <w:pPr>
        <w:spacing w:after="120" w:line="276" w:lineRule="auto"/>
      </w:pPr>
      <w:r>
        <w:t>Cette recommandation reflète la convergence entre une valorisation attractive (PER faible), des fondamentaux en nette amélioration (ROE élevé, coût du risque maîtrisé) et des signaux techniques mitigés (tendance baissière de court terme, momentum négatif). La divergence entre le potentiel fondamental et la prudence technique justifie une position attentiste. Le niveau de confiance est **Moyen**, car si le redressement est indéniable, la durabilité de la reprise du PNB reste à prouver. Le niveau de risque global est **Moyen**, compte tenu de la volatilité élevée et de la dépendance aux facteurs externes (contexte macroéconomique, tensions géopolitiques). L'horizon d'investissement optimal est le **moyen terme (3-12 mois)**, le temps que la dynamique commerciale se confirme et que les indicateurs techniques s'alignent avec les fondamentaux. Un passage à **ACHAT** serait justifié si le PNB stabilise sa baisse et si le cours franchit la MM50 (3 114 FCFA) avec un volume soutenu.</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26.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120.58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4,329 titres</w:t>
            </w:r>
          </w:p>
        </w:tc>
        <w:tc>
          <w:tcPr>
            <w:tcW w:type="dxa" w:w="2268"/>
            <w:shd w:fill="FFF2CC" w:val="clear"/>
          </w:tcPr>
          <w:p>
            <w:r>
              <w:rPr>
                <w:b/>
                <w:color w:val="503200"/>
                <w:sz w:val="16"/>
              </w:rPr>
              <w:t xml:space="preserve">Cours actuel : </w:t>
            </w:r>
            <w:r>
              <w:rPr>
                <w:color w:val="000000"/>
                <w:sz w:val="17"/>
              </w:rPr>
              <w:t>7,800 FCFA</w:t>
            </w:r>
          </w:p>
          <w:p>
            <w:r>
              <w:rPr>
                <w:b/>
                <w:color w:val="503200"/>
                <w:sz w:val="16"/>
              </w:rPr>
              <w:t xml:space="preserve">Var. 100 jours : </w:t>
            </w:r>
            <w:r>
              <w:rPr>
                <w:b/>
                <w:color w:val="007800"/>
                <w:sz w:val="17"/>
              </w:rPr>
              <w:t>+1.30%</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7,680 FCFA</w:t>
            </w:r>
          </w:p>
          <w:p>
            <w:r>
              <w:rPr>
                <w:b/>
                <w:color w:val="503200"/>
                <w:sz w:val="16"/>
              </w:rPr>
              <w:t xml:space="preserve">Volatilité ann. : </w:t>
            </w:r>
            <w:r>
              <w:rPr>
                <w:color w:val="000000"/>
                <w:sz w:val="17"/>
              </w:rPr>
              <w:t>34.1%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5.39% (Moyenne) — μ=8,629 FCFA, σ=465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β=0.0698 (Défensif) — Cov=0.000005, Var(idx)=0.000073, ρ=0.028,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4,329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Achat=3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σ_j=2.15%/j (Stable) — Vol. annualisée≈34.1%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7,542</w:t>
            </w:r>
          </w:p>
        </w:tc>
        <w:tc>
          <w:tcPr>
            <w:tcW w:type="dxa" w:w="1440"/>
            <w:shd w:fill="FAFAFA" w:val="clear"/>
          </w:tcPr>
          <w:p>
            <w:r>
              <w:rPr>
                <w:b/>
                <w:sz w:val="17"/>
              </w:rPr>
              <w:t>7,802</w:t>
            </w:r>
          </w:p>
        </w:tc>
        <w:tc>
          <w:tcPr>
            <w:tcW w:type="dxa" w:w="1440"/>
            <w:shd w:fill="FAFAFA" w:val="clear"/>
          </w:tcPr>
          <w:p>
            <w:r>
              <w:rPr>
                <w:sz w:val="17"/>
              </w:rPr>
              <w:t>8,062</w:t>
            </w:r>
          </w:p>
        </w:tc>
        <w:tc>
          <w:tcPr>
            <w:tcW w:type="dxa" w:w="1440"/>
            <w:shd w:fill="FAFAFA" w:val="clear"/>
          </w:tcPr>
          <w:p>
            <w:r>
              <w:rPr>
                <w:b/>
                <w:color w:val="008000"/>
                <w:sz w:val="17"/>
              </w:rPr>
              <w:t>+0.0%</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7,387</w:t>
            </w:r>
          </w:p>
        </w:tc>
        <w:tc>
          <w:tcPr>
            <w:tcW w:type="dxa" w:w="1440"/>
            <w:shd w:fill="FAFAFA" w:val="clear"/>
          </w:tcPr>
          <w:p>
            <w:r>
              <w:rPr>
                <w:b/>
                <w:sz w:val="17"/>
              </w:rPr>
              <w:t>7,753</w:t>
            </w:r>
          </w:p>
        </w:tc>
        <w:tc>
          <w:tcPr>
            <w:tcW w:type="dxa" w:w="1440"/>
            <w:shd w:fill="FAFAFA" w:val="clear"/>
          </w:tcPr>
          <w:p>
            <w:r>
              <w:rPr>
                <w:sz w:val="17"/>
              </w:rPr>
              <w:t>8,118</w:t>
            </w:r>
          </w:p>
        </w:tc>
        <w:tc>
          <w:tcPr>
            <w:tcW w:type="dxa" w:w="1440"/>
            <w:shd w:fill="FAFAFA" w:val="clear"/>
          </w:tcPr>
          <w:p>
            <w:r>
              <w:rPr>
                <w:b/>
                <w:color w:val="C00000"/>
                <w:sz w:val="17"/>
              </w:rPr>
              <w:t>-0.6%</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7,275</w:t>
            </w:r>
          </w:p>
        </w:tc>
        <w:tc>
          <w:tcPr>
            <w:tcW w:type="dxa" w:w="1440"/>
            <w:shd w:fill="FAFAFA" w:val="clear"/>
          </w:tcPr>
          <w:p>
            <w:r>
              <w:rPr>
                <w:b/>
                <w:sz w:val="17"/>
              </w:rPr>
              <w:t>7,721</w:t>
            </w:r>
          </w:p>
        </w:tc>
        <w:tc>
          <w:tcPr>
            <w:tcW w:type="dxa" w:w="1440"/>
            <w:shd w:fill="FAFAFA" w:val="clear"/>
          </w:tcPr>
          <w:p>
            <w:r>
              <w:rPr>
                <w:sz w:val="17"/>
              </w:rPr>
              <w:t>8,166</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7,177</w:t>
            </w:r>
          </w:p>
        </w:tc>
        <w:tc>
          <w:tcPr>
            <w:tcW w:type="dxa" w:w="1440"/>
            <w:shd w:fill="FAFAFA" w:val="clear"/>
          </w:tcPr>
          <w:p>
            <w:r>
              <w:rPr>
                <w:b/>
                <w:sz w:val="17"/>
              </w:rPr>
              <w:t>7,690</w:t>
            </w:r>
          </w:p>
        </w:tc>
        <w:tc>
          <w:tcPr>
            <w:tcW w:type="dxa" w:w="1440"/>
            <w:shd w:fill="FAFAFA" w:val="clear"/>
          </w:tcPr>
          <w:p>
            <w:r>
              <w:rPr>
                <w:sz w:val="17"/>
              </w:rPr>
              <w:t>8,203</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7,088</w:t>
            </w:r>
          </w:p>
        </w:tc>
        <w:tc>
          <w:tcPr>
            <w:tcW w:type="dxa" w:w="1440"/>
            <w:shd w:fill="FAFAFA" w:val="clear"/>
          </w:tcPr>
          <w:p>
            <w:r>
              <w:rPr>
                <w:b/>
                <w:sz w:val="17"/>
              </w:rPr>
              <w:t>7,659</w:t>
            </w:r>
          </w:p>
        </w:tc>
        <w:tc>
          <w:tcPr>
            <w:tcW w:type="dxa" w:w="1440"/>
            <w:shd w:fill="FAFAFA" w:val="clear"/>
          </w:tcPr>
          <w:p>
            <w:r>
              <w:rPr>
                <w:sz w:val="17"/>
              </w:rPr>
              <w:t>8,230</w:t>
            </w:r>
          </w:p>
        </w:tc>
        <w:tc>
          <w:tcPr>
            <w:tcW w:type="dxa" w:w="1440"/>
            <w:shd w:fill="FAFAFA" w:val="clear"/>
          </w:tcPr>
          <w:p>
            <w:r>
              <w:rPr>
                <w:b/>
                <w:color w:val="C00000"/>
                <w:sz w:val="17"/>
              </w:rPr>
              <w:t>-1.8%</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7,007</w:t>
            </w:r>
          </w:p>
        </w:tc>
        <w:tc>
          <w:tcPr>
            <w:tcW w:type="dxa" w:w="1440"/>
            <w:shd w:fill="FFDCE0" w:val="clear"/>
          </w:tcPr>
          <w:p>
            <w:r>
              <w:rPr>
                <w:b/>
                <w:sz w:val="17"/>
              </w:rPr>
              <w:t>7,630</w:t>
            </w:r>
          </w:p>
        </w:tc>
        <w:tc>
          <w:tcPr>
            <w:tcW w:type="dxa" w:w="1440"/>
            <w:shd w:fill="FFDCE0" w:val="clear"/>
          </w:tcPr>
          <w:p>
            <w:r>
              <w:rPr>
                <w:sz w:val="17"/>
              </w:rPr>
              <w:t>8,253</w:t>
            </w:r>
          </w:p>
        </w:tc>
        <w:tc>
          <w:tcPr>
            <w:tcW w:type="dxa" w:w="1440"/>
            <w:shd w:fill="FFDCE0" w:val="clear"/>
          </w:tcPr>
          <w:p>
            <w:r>
              <w:rPr>
                <w:b/>
                <w:color w:val="C00000"/>
                <w:sz w:val="17"/>
              </w:rPr>
              <w:t>-2.2%</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6,931</w:t>
            </w:r>
          </w:p>
        </w:tc>
        <w:tc>
          <w:tcPr>
            <w:tcW w:type="dxa" w:w="1440"/>
            <w:shd w:fill="FFDCE0" w:val="clear"/>
          </w:tcPr>
          <w:p>
            <w:r>
              <w:rPr>
                <w:b/>
                <w:sz w:val="17"/>
              </w:rPr>
              <w:t>7,602</w:t>
            </w:r>
          </w:p>
        </w:tc>
        <w:tc>
          <w:tcPr>
            <w:tcW w:type="dxa" w:w="1440"/>
            <w:shd w:fill="FFDCE0" w:val="clear"/>
          </w:tcPr>
          <w:p>
            <w:r>
              <w:rPr>
                <w:sz w:val="17"/>
              </w:rPr>
              <w:t>8,273</w:t>
            </w:r>
          </w:p>
        </w:tc>
        <w:tc>
          <w:tcPr>
            <w:tcW w:type="dxa" w:w="1440"/>
            <w:shd w:fill="FFDCE0" w:val="clear"/>
          </w:tcPr>
          <w:p>
            <w:r>
              <w:rPr>
                <w:b/>
                <w:color w:val="C00000"/>
                <w:sz w:val="17"/>
              </w:rPr>
              <w:t>-2.5%</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6,861</w:t>
            </w:r>
          </w:p>
        </w:tc>
        <w:tc>
          <w:tcPr>
            <w:tcW w:type="dxa" w:w="1440"/>
            <w:shd w:fill="FFDCE0" w:val="clear"/>
          </w:tcPr>
          <w:p>
            <w:r>
              <w:rPr>
                <w:b/>
                <w:sz w:val="17"/>
              </w:rPr>
              <w:t>7,575</w:t>
            </w:r>
          </w:p>
        </w:tc>
        <w:tc>
          <w:tcPr>
            <w:tcW w:type="dxa" w:w="1440"/>
            <w:shd w:fill="FFDCE0" w:val="clear"/>
          </w:tcPr>
          <w:p>
            <w:r>
              <w:rPr>
                <w:sz w:val="17"/>
              </w:rPr>
              <w:t>8,290</w:t>
            </w:r>
          </w:p>
        </w:tc>
        <w:tc>
          <w:tcPr>
            <w:tcW w:type="dxa" w:w="1440"/>
            <w:shd w:fill="FFDCE0" w:val="clear"/>
          </w:tcPr>
          <w:p>
            <w:r>
              <w:rPr>
                <w:b/>
                <w:color w:val="C00000"/>
                <w:sz w:val="17"/>
              </w:rPr>
              <w:t>-2.9%</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6,795</w:t>
            </w:r>
          </w:p>
        </w:tc>
        <w:tc>
          <w:tcPr>
            <w:tcW w:type="dxa" w:w="1440"/>
            <w:shd w:fill="FFDCE0" w:val="clear"/>
          </w:tcPr>
          <w:p>
            <w:r>
              <w:rPr>
                <w:b/>
                <w:sz w:val="17"/>
              </w:rPr>
              <w:t>7,550</w:t>
            </w:r>
          </w:p>
        </w:tc>
        <w:tc>
          <w:tcPr>
            <w:tcW w:type="dxa" w:w="1440"/>
            <w:shd w:fill="FFDCE0" w:val="clear"/>
          </w:tcPr>
          <w:p>
            <w:r>
              <w:rPr>
                <w:sz w:val="17"/>
              </w:rPr>
              <w:t>8,305</w:t>
            </w:r>
          </w:p>
        </w:tc>
        <w:tc>
          <w:tcPr>
            <w:tcW w:type="dxa" w:w="1440"/>
            <w:shd w:fill="FFDCE0" w:val="clear"/>
          </w:tcPr>
          <w:p>
            <w:r>
              <w:rPr>
                <w:b/>
                <w:color w:val="C00000"/>
                <w:sz w:val="17"/>
              </w:rPr>
              <w:t>-3.2%</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6,732</w:t>
            </w:r>
          </w:p>
        </w:tc>
        <w:tc>
          <w:tcPr>
            <w:tcW w:type="dxa" w:w="1440"/>
            <w:shd w:fill="FFDCE0" w:val="clear"/>
          </w:tcPr>
          <w:p>
            <w:r>
              <w:rPr>
                <w:b/>
                <w:sz w:val="17"/>
              </w:rPr>
              <w:t>7,526</w:t>
            </w:r>
          </w:p>
        </w:tc>
        <w:tc>
          <w:tcPr>
            <w:tcW w:type="dxa" w:w="1440"/>
            <w:shd w:fill="FFDCE0" w:val="clear"/>
          </w:tcPr>
          <w:p>
            <w:r>
              <w:rPr>
                <w:sz w:val="17"/>
              </w:rPr>
              <w:t>8,319</w:t>
            </w:r>
          </w:p>
        </w:tc>
        <w:tc>
          <w:tcPr>
            <w:tcW w:type="dxa" w:w="1440"/>
            <w:shd w:fill="FFDCE0" w:val="clear"/>
          </w:tcPr>
          <w:p>
            <w:r>
              <w:rPr>
                <w:b/>
                <w:color w:val="C00000"/>
                <w:sz w:val="17"/>
              </w:rPr>
              <w:t>-3.5%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 RAPPORT D'ANALYSE FINANCIÈRE — PALC (PALMCI S.A.)</w:t>
        <w:br/>
        <w:t>**Bourse Régionale des Valeurs Mobilières (BRVM) — Secteur Agro-industriel**</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120,58 milliards FCFA, PALC s'impose comme une valeur de premier plan de la cote BRVM, offrant une liquidité appréciable au sein d'un marché régional encore étroit. Le BPA de 1 003 FCFA/action signifie que chaque titre génère environ 1 003 FCFA de bénéfice net, ce qui, rapporté au cours actuel de 7 800 FCFA, donne un PER de 7,8x — nettement inférieur à la moyenne BRVM (8-12x), signalant une valorisation modeste voire sous-évaluée au regard des bénéfices dégagés. Le ratio P/B de 0,85x (&lt; 1) indique que le marché valorise l'entreprise en dessous de sa valeur comptable (capitaux propres de 142,6 Mds FCFA), ce qui constitue historiquement une zone d'opportunité potentielle pour les investisseurs value. Enfin, l'EV/EBITDA de 3,8x (&lt; 5x) traduit une valorisation très bon marché de la capacité opérationnelle, l'entreprise générant un EBE de 33,0 Mds FCFA pour une valeur d'entreprise largement inférieure à ses pairs internationaux. L'ensemble de ces ratios dresse le portrait d'un titre décoté, dont la faiblesse du cours semble davantage refléter les inquiétudes conjoncturelles que la solidité intrinsèque du bilan.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PALC affiche une variation quasi-stable de +1,30%, avec une dernière séance en hausse de +0,65% à 7 800 FCFA, traduisant une tentative de stabilisation après une phase de repli. Le range de trading s'étend de 7 680 FCFA (plus bas) à 9 640 FCFA (plus haut), soit une amplitude de près de 25%, ce qui témoigne d'une tendance générale baissière sur la période, le cours actuel se situant à proximité immédiate de son plancher. Les statistiques descriptives révèlent une moyenne de 8 629 FCFA légèrement supérieure à la médiane de 8 690 FCFA, avec un mode à 8 300 FCFA, suggérant une distribution globalement symétrique mais un cours actuel nettement sous ses niveaux moyens. L'écart-type de 468 FCFA (CV = 5,4%) indique une dispersion modérée autour de la moyenne, tandis que le kurtosis de -0,240 (mésokurtique) et le skewness de -0,196 (distribution symétrique) confirment l'absence de pics extrêmes ou d'asymétrie marquée — un profil de risque relativement lisible. La volatilité annualisée de 34,1% positionne le titre dans la catégorie des valeurs à volatilité élevée (&gt; 30%), ce qui implique un risque de fluctuation important à court terme, mais aussi un potentiel de rebond amplifié si les fondamentaux se confirment.</w:t>
      </w:r>
    </w:p>
    <w:p>
      <w:pPr>
        <w:spacing w:after="120" w:line="276" w:lineRule="auto"/>
      </w:pPr>
      <w:r>
        <w:t>---</w:t>
      </w:r>
    </w:p>
    <w:p>
      <w:pPr>
        <w:spacing w:after="120" w:line="276" w:lineRule="auto"/>
      </w:pPr>
      <w:r>
        <w:t>## PARTIE 2 : ANALYSE TECHNIQUE DÉTAILLÉE</w:t>
      </w:r>
    </w:p>
    <w:p>
      <w:pPr>
        <w:spacing w:after="120" w:line="276" w:lineRule="auto"/>
      </w:pPr>
      <w:r>
        <w:t>**Moyennes Mobiles** : La MM20 (8 270,75 FCFA) et la MM50 (8 759,40 FCFA) se situent toutes deux au-dessus du cours actuel (7 800 FCFA), avec une MM20 inférieure à la MM50 — configuration baissière classique. Le cours évoluant sous ses deux moyennes, la pression vendeuse reste dominante, justifiant la décision technique de **Vente**.</w:t>
      </w:r>
    </w:p>
    <w:p>
      <w:pPr>
        <w:spacing w:after="120" w:line="276" w:lineRule="auto"/>
      </w:pPr>
      <w:r>
        <w:t>**Bandes de Bollinger** : Le cours (7 800 FCFA) se situe légèrement sous la borne inférieure (7 805,82 FCFA), après avoir touché un plus bas à 7 680 FCFA. Cette position en zone de survente extrême, couplée à un rétrécissement des bandes (supérieure à 8 735,68 FCFA), suggère une possible réaction haussière à court terme, justifiant la décision d'**Achat** technique.</w:t>
      </w:r>
    </w:p>
    <w:p>
      <w:pPr>
        <w:spacing w:after="120" w:line="276" w:lineRule="auto"/>
      </w:pPr>
      <w:r>
        <w:t>**MACD** : La ligne MACD (-205,53) évolue sous sa ligne de signal (-188,66), avec un histogramme négatif — configuration baissière confirmée. Le momentum reste négatif, bien que l'écart entre les deux lignes se réduise légèrement, ce qui maintient la décision de **Vente** à court terme.</w:t>
      </w:r>
    </w:p>
    <w:p>
      <w:pPr>
        <w:spacing w:after="120" w:line="276" w:lineRule="auto"/>
      </w:pPr>
      <w:r>
        <w:t>**RSI** : À 29,23, le RSI se situe juste en dessous du seuil de survente (30), signalant un épuisement potentiel de la pression vendeuse. Historiquement, un RSI à ce niveau précède souvent un rebond technique, justifiant la décision d'**Achat** contrarien.</w:t>
      </w:r>
    </w:p>
    <w:p>
      <w:pPr>
        <w:spacing w:after="120" w:line="276" w:lineRule="auto"/>
      </w:pPr>
      <w:r>
        <w:t>**Stochastique** : Le %K (8,0) est nettement inférieur au %D (26,64), avec un %K en zone de survente extrême (&lt; 20). Cette configuration annonce un possible croisement haussier imminent, justifiant la décision d'**Achat** à court terme.</w:t>
      </w:r>
    </w:p>
    <w:p>
      <w:pPr>
        <w:spacing w:after="120" w:line="276" w:lineRule="auto"/>
      </w:pPr>
      <w:r>
        <w:t>**Conclusion technique** : Les indicateurs présentent une divergence notable — les moyennes mobiles et le MACD confirment une tendance baissière de fond, tandis que le RSI, les Bandes de Bollinger et le Stochastique signalent une survente extrême propice à un rebond technique. Cette configuration suggère un **potentiel de rebond à court terme**, mais la prudence reste de mise tant que le cours n'aura pas reconquis la MM20 (8 270 FCFA) pour confirmer une inversion de tendance.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PALC a réalisé un chiffre d'affaires de 197,63 Mds FCFA (+14,78% vs 2024) pour un résultat net de 15,51 Mds FCFA, dégageant une marge nette de 7,85% et un ROE de 10,87% — correct mais inférieur au seuil d'excellence de 15%. Le ROA de 7,79% et la rotation des actifs de 99,25% témoignent d'une efficacité opérationnelle satisfaisante. La structure financière est remarquablement saine : autonomie financière de 71,64%, ratio d'endettement de 0,56%, capacité de remboursement de 0,03 an et couverture des intérêts de 1 415% — l'entreprise est quasi désendettée (dettes financières de 796,56 M FCFA seulement). Le BFR de 44,62 Mds FCFA est positif, mais le délai client de 142,58 jours constitue un point de vigilance majeur pour la trésorerie, compensé par une liquidité générale de 171,95% et une trésorerie nette de -4,56 Mds FCFA.</w:t>
      </w:r>
    </w:p>
    <w:p>
      <w:pPr>
        <w:spacing w:after="120" w:line="276" w:lineRule="auto"/>
      </w:pPr>
      <w:r>
        <w:t>**Estimations basées sur les rapports trimestriels** : Le rapport S1 2026 (publié le 07/10/2026) révèle un chiffre d'affaires de 114,73 Mds FCFA (-15% vs S1 2025) et un résultat net de 13,53 Mds FCFA (-41%), avec une marge nette de 11,8% (contre 17,0% au S1 2025). Le rapport T1 2026 (30/04/2026) confirme cette tendance avec un CA de 49,4 Mds FCFA (-27%) et un résultat net de 1,6 Md FCFA (-86%). Le management attribue cette contre-performance à un décalage temporel des ventes (écoulement de stocks entamé en avril 2026), et anticipe un résultat net annuel 2026 positif, proche de celui de 2025 (15,5 Mds FCFA). Le rapport annuel 2024 (31/12/2024) indiquait un dividende de 513 FCFA/action (rendement ~10,3% sur un cours de 5 000 FCFA), avec un payout de 50%.</w:t>
      </w:r>
    </w:p>
    <w:p>
      <w:pPr>
        <w:spacing w:after="120" w:line="276" w:lineRule="auto"/>
      </w:pPr>
      <w:r>
        <w:t>**Recommandation fondamentale** : PALC présente une solidité bilancielle exceptionnelle (quasi-absence de dette, capitaux propres de 142,6 Mds FCFA) et une valorisation décotée, mais fait face à une dégradation conjoncturelle de sa rentabilité au S1 2026. La capacité bénéficiaire reste intacte (marge nette de 11,8% au S1 2026), et la guidance managériale d'un exercice 2026 positif soutient la thèse d'un **maintien en portefeuille** pour les investisseurs de long terme, en attendant la confirmation de la reprise des volumes au S2 2026.</w:t>
      </w:r>
    </w:p>
    <w:p>
      <w:pPr>
        <w:spacing w:after="120" w:line="276" w:lineRule="auto"/>
      </w:pPr>
      <w:r>
        <w:t>---</w:t>
      </w:r>
    </w:p>
    <w:p>
      <w:pPr>
        <w:spacing w:after="120" w:line="276" w:lineRule="auto"/>
      </w:pPr>
      <w:r>
        <w:t>## PARTIE 4 : CONCLUSION D'INVESTISSEMENT</w:t>
      </w:r>
    </w:p>
    <w:p>
      <w:pPr>
        <w:spacing w:after="120" w:line="276" w:lineRule="auto"/>
      </w:pPr>
      <w:r>
        <w:t>La valorisation de PALC apparaît nettement décotée (PER 7,8x, P/B 0,85x, EV/EBITDA 3,8x), offrant une marge de sécurité substantielle pour un investisseur value. Le comportement du cours sur 100 jours révèle une tendance baissière modérée (+1,30% de variation totale) avec une volatilité élevée (34,1%), mais les statistiques descriptives (kurtosis -0,240, skewness -0,196) indiquent une distribution symétrique sans risque de pics extrêmes — un profil rassurant. Les signaux techniques sont divergents : les moyennes mobiles et le MACD confirment la tendance baissière, tandis que le RSI (29,23), les Bandes de Bollinger (cours sous la borne inférieure) et le Stochastique (%K=8,0) signalent une survente extrême propice à un rebond technique à court terme. Les fondamentaux demeurent solides (ROE 10,87%, autonomie financière 71,64%, endettement quasi nul), mais la dégradation du S1 2026 (CA -15%, résultat net -41%) invite à la prudence, bien que le management anticipe un redressement au S2 2026. Les prédictions IA (J+1 à J+10) tablent sur une poursuite de la baisse modérée (7 802 → 7 659 FCFA, soit -1,8%), ce qui contredit les signaux de survente technique et suggère que le rebond pourrait être différé.</w:t>
      </w:r>
    </w:p>
    <w:p>
      <w:pPr>
        <w:spacing w:after="120" w:line="276" w:lineRule="auto"/>
      </w:pPr>
      <w:r>
        <w:t>**Recommandation finale : CONSERVER**</w:t>
      </w:r>
    </w:p>
    <w:p>
      <w:pPr>
        <w:spacing w:after="120" w:line="276" w:lineRule="auto"/>
      </w:pPr>
      <w:r>
        <w:t>Cette recommandation reflète la convergence entre une valorisation attractive (sous-évaluation manifeste), des fondamentaux solides (bilan quasi désendetté, rentabilité correcte) et une technique en survente propice à un rebond, mais tempérée par la dégradation conjoncturelle du S1 2026 et des prédictions IA baissières à court terme. Le niveau de confiance est **Moyen** — les signaux contradictoires (technique haussier vs fondamental dégradé vs prédictions baissières) imposent une approche prudente. Le niveau de risque global est **Moyen** (volatilité élevée mais bilan solide). L'horizon d'investissement optimal est le **moyen terme (3-12 mois)**, le temps que la reprise des volumes se matérialise au S2 2026 et que le cours reconquière ses moyennes mobiles. Un passage à l'ACHAT serait justifié après confirmation de la reprise des ventes et publication des résultats annuels 2026.</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est une simple attestation d'examen limit\u00e9 sans aucune donn\u00e9e financi\u00e8re chiffr\u00e9e, ne permettant pas d'\u00e9valuer la performance ou la valorisation de PALMCI. En l'absence d'informations quantitatives, aucune d\u00e9cision d'achat ou de vente ne peut \u00eatre justifi\u00e9e."}</w:t>
      </w:r>
    </w:p>
    <w:p>
      <w:pPr>
        <w:spacing w:before="40"/>
        <w:ind w:left="400"/>
      </w:pPr>
      <w:r>
        <w:rPr>
          <w:sz w:val="18"/>
        </w:rPr>
        <w:t>Le document est une attestation des commissaires aux comptes (Forvis Mazars et Eritedge Côte d'Ivoire) portant sur le tableau d'activités et de résultat ainsi que le rapport d'activité semestriel de PALMCI, S.A. pour la période du 1er janvier au 30 juin 2026. Les auditeurs ont réalisé un examen limité selon la norme ISRE 2410, et non un audit complet. Sur la base de cet examen limité, ils n'ont pas relevé de faits remettant en cause la conformité des documents aux articles 850 et 851 de l'Acte Uniforme OHADA et à la Circulaire n° 004-2010 de l'AMF-UMOA. L'attestation a été signée à Abidjan le 07 octobre 2026. Le document ne contient aucune donnée financière chiffrée (chiffre d'affaires, résu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 tableau d'activités et de résultat semestriel de PALMCI, S.A.</w:t>
      </w:r>
    </w:p>
    <w:p>
      <w:pPr>
        <w:pStyle w:val="ListBullet"/>
        <w:spacing w:before="20" w:after="20"/>
        <w:ind w:left="700"/>
      </w:pPr>
      <w:r>
        <w:rPr>
          <w:sz w:val="18"/>
        </w:rPr>
        <w:t>Période couverte : 1er janvier au 30 juin 2026 (arrêté semestriel au 30 juin 2026)</w:t>
      </w:r>
    </w:p>
    <w:p>
      <w:pPr>
        <w:pStyle w:val="ListBullet"/>
        <w:spacing w:before="20" w:after="20"/>
        <w:ind w:left="700"/>
      </w:pPr>
      <w:r>
        <w:rPr>
          <w:sz w:val="18"/>
        </w:rPr>
        <w:t>Examen limité effectué selon la norme ISRE 2410, offrant une assurance modérée et non une opinion d'audit</w:t>
      </w:r>
    </w:p>
    <w:p>
      <w:pPr>
        <w:pStyle w:val="ListBullet"/>
        <w:spacing w:before="20" w:after="20"/>
        <w:ind w:left="700"/>
      </w:pPr>
      <w:r>
        <w:rPr>
          <w:sz w:val="18"/>
        </w:rPr>
        <w:t>Conclusion sans réserve : aucun fait remettant en cause la conformité des documents n'a été relevé</w:t>
      </w:r>
    </w:p>
    <w:p>
      <w:pPr>
        <w:pStyle w:val="ListBullet"/>
        <w:spacing w:before="20" w:after="20"/>
        <w:ind w:left="700"/>
      </w:pPr>
      <w:r>
        <w:rPr>
          <w:sz w:val="18"/>
        </w:rPr>
        <w:t>Référentiel appliqué : articles 850 et 851 de l'Acte Uniforme OHADA et Circulaire n° 004-2010 de l'AMF-UMOA</w:t>
      </w:r>
    </w:p>
    <w:p>
      <w:pPr>
        <w:pStyle w:val="ListBullet"/>
        <w:spacing w:before="20" w:after="20"/>
        <w:ind w:left="700"/>
      </w:pPr>
      <w:r>
        <w:rPr>
          <w:sz w:val="18"/>
        </w:rPr>
        <w:t>Commissaires aux comptes : Forvis Mazars, S.A. et Eritedge Côte d'Ivoire</w:t>
      </w:r>
    </w:p>
    <w:p>
      <w:pPr>
        <w:spacing w:before="40"/>
        <w:ind w:left="400"/>
      </w:pPr>
      <w:r>
        <w:rPr>
          <w:b/>
          <w:color w:val="C05000"/>
          <w:sz w:val="18"/>
        </w:rPr>
        <w:t xml:space="preserve">⚠️ Risques : </w:t>
      </w:r>
      <w:r>
        <w:rPr>
          <w:sz w:val="18"/>
        </w:rPr>
        <w:t>["Absence de donn\u00e9es financi\u00e8res chiffr\u00e9es dans le document, emp\u00eachant toute \u00e9valuation quantitative des risques", "Assurance mod\u00e9r\u00e9e li\u00e9e \u00e0 un examen limit\u00e9 (ISRE 2410) et non \u00e0 un audit complet, pouvant ne pas d\u00e9tecter toutes les anomalie</w:t>
      </w:r>
    </w:p>
    <w:p>
      <w:pPr>
        <w:spacing w:before="40"/>
        <w:ind w:left="400"/>
      </w:pPr>
      <w:r>
        <w:rPr>
          <w:b/>
          <w:color w:val="0064A0"/>
          <w:sz w:val="18"/>
        </w:rPr>
        <w:t xml:space="preserve">🔮 Perspectives : </w:t>
      </w:r>
      <w:r>
        <w:rPr>
          <w:sz w:val="18"/>
        </w:rPr>
        <w:t>Le document ne fournit aucune projection ni donnée financière permettant d'établir un outlook chiffré pour l'exercice suivant. La conclusion sans réserve des commissaires aux comptes suggère une présentation conforme des comptes semestriels, mais l'analyse des perspectives réelles nécessiterait la c</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reste rentable avec une marge nette de 11,8 % et pr\u00e9voit un r\u00e9sultat net positif sur l'ensemble de 2026, mais la forte baisse des volumes vendus et des r\u00e9sultats au S1 2026 invite \u00e0 la prudence. Le titre pr\u00e9sente un profil d\u00e9fensif \u00e0 conserver en attendant la confirmation de la reprise de l'\u00e9coulement des stocks."}</w:t>
      </w:r>
    </w:p>
    <w:p>
      <w:pPr>
        <w:spacing w:before="40"/>
        <w:ind w:left="400"/>
      </w:pPr>
      <w:r>
        <w:rPr>
          <w:sz w:val="18"/>
        </w:rPr>
        <w:t>PALM CI a enregistré au premier semestre 2026 un chiffre d'affaires de 114 725 millions de F CFA, en baisse de 15 % par rapport au premier semestre 2025, en raison de quantités vendues plus faibles d'huiles brutes de palme et de palmiste sur le marché local. Le résultat d'exploitation s'établit à 17 622 millions de F CFA, en recul de 41 %, et le résultat net à 13 527 millions de F CFA, également en baisse de 41 %. La société dispose encore d'un stock de produits finis dont l'écoulement, entamé en avril 2026, se poursuivra jusqu'à la fin de l'année. Malgré cette contraction, la direction prévoit un résultat net positif pour l'exercice 2026, dans la même tendance que celui de 2025. La rentabil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'20,4 milliards de F CFA', 'resultat_financier': '673 574 milliers de F CFA (S1 2026)', 'resultat_exploitation': '17 621 502 milliers de F CFA (S1 2026)', 'impots_sur_le_resultat': '-4 777 607 milliers de F CFA (S1 2026)', 'resultat_net_annuel_2025': '15 508 655 milliers de F CFA', 'chiffre_affaires_annuel_2025': '197 629 996 milliers de F CFA', 'resultat_activites_ordinaires': '18 295 076 milliers de F CFA (S1 2026)'}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11,8 %</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13 526 883 milliers de F CFA (S1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114 725 471 milliers de F CFA (S1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du S1 2026 de 114 725 millions de F CFA, en baisse de 15 % sur un an</w:t>
      </w:r>
    </w:p>
    <w:p>
      <w:pPr>
        <w:pStyle w:val="ListBullet"/>
        <w:spacing w:before="20" w:after="20"/>
        <w:ind w:left="700"/>
      </w:pPr>
      <w:r>
        <w:rPr>
          <w:sz w:val="18"/>
        </w:rPr>
        <w:t>Résultat net de 13 527 millions de F CFA, en recul de 41 % par rapport au S1 2025</w:t>
      </w:r>
    </w:p>
    <w:p>
      <w:pPr>
        <w:pStyle w:val="ListBullet"/>
        <w:spacing w:before="20" w:after="20"/>
        <w:ind w:left="700"/>
      </w:pPr>
      <w:r>
        <w:rPr>
          <w:sz w:val="18"/>
        </w:rPr>
        <w:t>Résultat d'exploitation de 17 622 millions de F CFA, en baisse de 41 %</w:t>
      </w:r>
    </w:p>
    <w:p>
      <w:pPr>
        <w:pStyle w:val="ListBullet"/>
        <w:spacing w:before="20" w:after="20"/>
        <w:ind w:left="700"/>
      </w:pPr>
      <w:r>
        <w:rPr>
          <w:sz w:val="18"/>
        </w:rPr>
        <w:t>Résultat financier de 674 millions de F CFA, en recul de 47 %</w:t>
      </w:r>
    </w:p>
    <w:p>
      <w:pPr>
        <w:pStyle w:val="ListBullet"/>
        <w:spacing w:before="20" w:after="20"/>
        <w:ind w:left="700"/>
      </w:pPr>
      <w:r>
        <w:rPr>
          <w:sz w:val="18"/>
        </w:rPr>
        <w:t>Baisse des volumes vendus d'huiles brutes de palme et de palmiste sur le marché local</w:t>
      </w:r>
    </w:p>
    <w:p>
      <w:pPr>
        <w:pStyle w:val="ListBullet"/>
        <w:spacing w:before="20" w:after="20"/>
        <w:ind w:left="700"/>
      </w:pPr>
      <w:r>
        <w:rPr>
          <w:sz w:val="18"/>
        </w:rPr>
        <w:t>Stock de produits finis en cours d'écoulement depuis avril 2026 jusqu'à fin 2026</w:t>
      </w:r>
    </w:p>
    <w:p>
      <w:pPr>
        <w:spacing w:before="40"/>
        <w:ind w:left="400"/>
      </w:pPr>
      <w:r>
        <w:rPr>
          <w:b/>
          <w:color w:val="C05000"/>
          <w:sz w:val="18"/>
        </w:rPr>
        <w:t xml:space="preserve">⚠️ Risques : </w:t>
      </w:r>
      <w:r>
        <w:rPr>
          <w:sz w:val="18"/>
        </w:rPr>
        <w:t xml:space="preserve">["Poursuite de la baisse des volumes vendus d'huiles brutes de palme et de palmiste sur le march\u00e9 local", "Volatilit\u00e9 des prix internationaux des huiles de palme et de palmiste affectant les marges", "Risque d'\u00e9coulement plus lent que pr\u00e9vu du stock de produits finis, pesant sur </w:t>
      </w:r>
    </w:p>
    <w:p>
      <w:pPr>
        <w:spacing w:before="40"/>
        <w:ind w:left="400"/>
      </w:pPr>
      <w:r>
        <w:rPr>
          <w:b/>
          <w:color w:val="0064A0"/>
          <w:sz w:val="18"/>
        </w:rPr>
        <w:t xml:space="preserve">🔮 Perspectives : </w:t>
      </w:r>
      <w:r>
        <w:rPr>
          <w:sz w:val="18"/>
        </w:rPr>
        <w:t>PALM CI devrait clôturer l'exercice 2026 avec un résultat net positif, dans la même tendance que celui de 2025, porté par l'écoulement progressif du stock de produits finis entamé en avril 2026. La production des régimes issus des plantations industrielles et les achats auprès des planteurs villageo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
      <w:r>
        <w:t>════════════════════════════════════════════════════════════════════════════════</w:t>
      </w:r>
    </w:p>
    <w:p>
      <w:r>
        <w:br w:type="page"/>
      </w:r>
    </w:p>
    <w:p>
      <w:pPr>
        <w:pStyle w:val="Heading2"/>
        <w:spacing w:before="360"/>
      </w:pPr>
      <w:r>
        <w:rPr>
          <w:color w:val="0066CC"/>
        </w:rPr>
        <w:t>27.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42.50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1,109 titres</w:t>
            </w:r>
          </w:p>
        </w:tc>
        <w:tc>
          <w:tcPr>
            <w:tcW w:type="dxa" w:w="2268"/>
            <w:shd w:fill="FFF2CC" w:val="clear"/>
          </w:tcPr>
          <w:p>
            <w:r>
              <w:rPr>
                <w:b/>
                <w:color w:val="503200"/>
                <w:sz w:val="16"/>
              </w:rPr>
              <w:t xml:space="preserve">Cours actuel : </w:t>
            </w:r>
            <w:r>
              <w:rPr>
                <w:color w:val="000000"/>
                <w:sz w:val="17"/>
              </w:rPr>
              <w:t>4,150 FCFA</w:t>
            </w:r>
          </w:p>
          <w:p>
            <w:r>
              <w:rPr>
                <w:b/>
                <w:color w:val="503200"/>
                <w:sz w:val="16"/>
              </w:rPr>
              <w:t xml:space="preserve">Var. 100 jours : </w:t>
            </w:r>
            <w:r>
              <w:rPr>
                <w:b/>
                <w:color w:val="007800"/>
                <w:sz w:val="17"/>
              </w:rPr>
              <w:t>+14.64%</w:t>
            </w:r>
          </w:p>
          <w:p>
            <w:r>
              <w:rPr>
                <w:b/>
                <w:color w:val="503200"/>
                <w:sz w:val="16"/>
              </w:rPr>
              <w:t xml:space="preserve">Plus haut 100j : </w:t>
            </w:r>
            <w:r>
              <w:rPr>
                <w:color w:val="000000"/>
                <w:sz w:val="17"/>
              </w:rPr>
              <w:t>4,740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40.3%</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5.04% (Moyenne) — μ=4,370 FCFA, σ=220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β=-0.1461 (Contre-cyclique) — Cov=-0.000011, Var(idx)=0.000073, ρ=-0.050,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1,109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σ_j=2.54%/j (Stable) — Vol. annualisée≈40.3%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4,018</w:t>
            </w:r>
          </w:p>
        </w:tc>
        <w:tc>
          <w:tcPr>
            <w:tcW w:type="dxa" w:w="1440"/>
            <w:shd w:fill="FAFAFA" w:val="clear"/>
          </w:tcPr>
          <w:p>
            <w:r>
              <w:rPr>
                <w:b/>
                <w:sz w:val="17"/>
              </w:rPr>
              <w:t>4,218</w:t>
            </w:r>
          </w:p>
        </w:tc>
        <w:tc>
          <w:tcPr>
            <w:tcW w:type="dxa" w:w="1440"/>
            <w:shd w:fill="FAFAFA" w:val="clear"/>
          </w:tcPr>
          <w:p>
            <w:r>
              <w:rPr>
                <w:sz w:val="17"/>
              </w:rPr>
              <w:t>4,419</w:t>
            </w:r>
          </w:p>
        </w:tc>
        <w:tc>
          <w:tcPr>
            <w:tcW w:type="dxa" w:w="1440"/>
            <w:shd w:fill="FAFAFA" w:val="clear"/>
          </w:tcPr>
          <w:p>
            <w:r>
              <w:rPr>
                <w:b/>
                <w:color w:val="008000"/>
                <w:sz w:val="17"/>
              </w:rPr>
              <w:t>+1.6%</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3,914</w:t>
            </w:r>
          </w:p>
        </w:tc>
        <w:tc>
          <w:tcPr>
            <w:tcW w:type="dxa" w:w="1440"/>
            <w:shd w:fill="FAFAFA" w:val="clear"/>
          </w:tcPr>
          <w:p>
            <w:r>
              <w:rPr>
                <w:b/>
                <w:sz w:val="17"/>
              </w:rPr>
              <w:t>4,196</w:t>
            </w:r>
          </w:p>
        </w:tc>
        <w:tc>
          <w:tcPr>
            <w:tcW w:type="dxa" w:w="1440"/>
            <w:shd w:fill="FAFAFA" w:val="clear"/>
          </w:tcPr>
          <w:p>
            <w:r>
              <w:rPr>
                <w:sz w:val="17"/>
              </w:rPr>
              <w:t>4,477</w:t>
            </w:r>
          </w:p>
        </w:tc>
        <w:tc>
          <w:tcPr>
            <w:tcW w:type="dxa" w:w="1440"/>
            <w:shd w:fill="FAFAFA" w:val="clear"/>
          </w:tcPr>
          <w:p>
            <w:r>
              <w:rPr>
                <w:b/>
                <w:color w:val="008000"/>
                <w:sz w:val="17"/>
              </w:rPr>
              <w:t>+1.1%</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3,845</w:t>
            </w:r>
          </w:p>
        </w:tc>
        <w:tc>
          <w:tcPr>
            <w:tcW w:type="dxa" w:w="1440"/>
            <w:shd w:fill="FAFAFA" w:val="clear"/>
          </w:tcPr>
          <w:p>
            <w:r>
              <w:rPr>
                <w:b/>
                <w:sz w:val="17"/>
              </w:rPr>
              <w:t>4,189</w:t>
            </w:r>
          </w:p>
        </w:tc>
        <w:tc>
          <w:tcPr>
            <w:tcW w:type="dxa" w:w="1440"/>
            <w:shd w:fill="FAFAFA" w:val="clear"/>
          </w:tcPr>
          <w:p>
            <w:r>
              <w:rPr>
                <w:sz w:val="17"/>
              </w:rPr>
              <w:t>4,534</w:t>
            </w:r>
          </w:p>
        </w:tc>
        <w:tc>
          <w:tcPr>
            <w:tcW w:type="dxa" w:w="1440"/>
            <w:shd w:fill="FAFAFA" w:val="clear"/>
          </w:tcPr>
          <w:p>
            <w:r>
              <w:rPr>
                <w:b/>
                <w:color w:val="008000"/>
                <w:sz w:val="17"/>
              </w:rPr>
              <w:t>+1.0%</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3,789</w:t>
            </w:r>
          </w:p>
        </w:tc>
        <w:tc>
          <w:tcPr>
            <w:tcW w:type="dxa" w:w="1440"/>
            <w:shd w:fill="FAFAFA" w:val="clear"/>
          </w:tcPr>
          <w:p>
            <w:r>
              <w:rPr>
                <w:b/>
                <w:sz w:val="17"/>
              </w:rPr>
              <w:t>4,186</w:t>
            </w:r>
          </w:p>
        </w:tc>
        <w:tc>
          <w:tcPr>
            <w:tcW w:type="dxa" w:w="1440"/>
            <w:shd w:fill="FAFAFA" w:val="clear"/>
          </w:tcPr>
          <w:p>
            <w:r>
              <w:rPr>
                <w:sz w:val="17"/>
              </w:rPr>
              <w:t>4,583</w:t>
            </w:r>
          </w:p>
        </w:tc>
        <w:tc>
          <w:tcPr>
            <w:tcW w:type="dxa" w:w="1440"/>
            <w:shd w:fill="FAFAFA" w:val="clear"/>
          </w:tcPr>
          <w:p>
            <w:r>
              <w:rPr>
                <w:b/>
                <w:color w:val="008000"/>
                <w:sz w:val="17"/>
              </w:rPr>
              <w:t>+0.9%</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3,739</w:t>
            </w:r>
          </w:p>
        </w:tc>
        <w:tc>
          <w:tcPr>
            <w:tcW w:type="dxa" w:w="1440"/>
            <w:shd w:fill="FAFAFA" w:val="clear"/>
          </w:tcPr>
          <w:p>
            <w:r>
              <w:rPr>
                <w:b/>
                <w:sz w:val="17"/>
              </w:rPr>
              <w:t>4,183</w:t>
            </w:r>
          </w:p>
        </w:tc>
        <w:tc>
          <w:tcPr>
            <w:tcW w:type="dxa" w:w="1440"/>
            <w:shd w:fill="FAFAFA" w:val="clear"/>
          </w:tcPr>
          <w:p>
            <w:r>
              <w:rPr>
                <w:sz w:val="17"/>
              </w:rPr>
              <w:t>4,626</w:t>
            </w:r>
          </w:p>
        </w:tc>
        <w:tc>
          <w:tcPr>
            <w:tcW w:type="dxa" w:w="1440"/>
            <w:shd w:fill="FAFAFA" w:val="clear"/>
          </w:tcPr>
          <w:p>
            <w:r>
              <w:rPr>
                <w:b/>
                <w:color w:val="008000"/>
                <w:sz w:val="17"/>
              </w:rPr>
              <w:t>+0.8%</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3,693</w:t>
            </w:r>
          </w:p>
        </w:tc>
        <w:tc>
          <w:tcPr>
            <w:tcW w:type="dxa" w:w="1440"/>
            <w:shd w:fill="FAFAFA" w:val="clear"/>
          </w:tcPr>
          <w:p>
            <w:r>
              <w:rPr>
                <w:b/>
                <w:sz w:val="17"/>
              </w:rPr>
              <w:t>4,179</w:t>
            </w:r>
          </w:p>
        </w:tc>
        <w:tc>
          <w:tcPr>
            <w:tcW w:type="dxa" w:w="1440"/>
            <w:shd w:fill="FAFAFA" w:val="clear"/>
          </w:tcPr>
          <w:p>
            <w:r>
              <w:rPr>
                <w:sz w:val="17"/>
              </w:rPr>
              <w:t>4,664</w:t>
            </w:r>
          </w:p>
        </w:tc>
        <w:tc>
          <w:tcPr>
            <w:tcW w:type="dxa" w:w="1440"/>
            <w:shd w:fill="FAFAFA" w:val="clear"/>
          </w:tcPr>
          <w:p>
            <w:r>
              <w:rPr>
                <w:b/>
                <w:color w:val="008000"/>
                <w:sz w:val="17"/>
              </w:rPr>
              <w:t>+0.7%</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3,651</w:t>
            </w:r>
          </w:p>
        </w:tc>
        <w:tc>
          <w:tcPr>
            <w:tcW w:type="dxa" w:w="1440"/>
            <w:shd w:fill="FAFAFA" w:val="clear"/>
          </w:tcPr>
          <w:p>
            <w:r>
              <w:rPr>
                <w:b/>
                <w:sz w:val="17"/>
              </w:rPr>
              <w:t>4,175</w:t>
            </w:r>
          </w:p>
        </w:tc>
        <w:tc>
          <w:tcPr>
            <w:tcW w:type="dxa" w:w="1440"/>
            <w:shd w:fill="FAFAFA" w:val="clear"/>
          </w:tcPr>
          <w:p>
            <w:r>
              <w:rPr>
                <w:sz w:val="17"/>
              </w:rPr>
              <w:t>4,699</w:t>
            </w:r>
          </w:p>
        </w:tc>
        <w:tc>
          <w:tcPr>
            <w:tcW w:type="dxa" w:w="1440"/>
            <w:shd w:fill="FAFAFA" w:val="clear"/>
          </w:tcPr>
          <w:p>
            <w:r>
              <w:rPr>
                <w:b/>
                <w:color w:val="008000"/>
                <w:sz w:val="17"/>
              </w:rPr>
              <w:t>+0.6%</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3,612</w:t>
            </w:r>
          </w:p>
        </w:tc>
        <w:tc>
          <w:tcPr>
            <w:tcW w:type="dxa" w:w="1440"/>
            <w:shd w:fill="FAFAFA" w:val="clear"/>
          </w:tcPr>
          <w:p>
            <w:r>
              <w:rPr>
                <w:b/>
                <w:sz w:val="17"/>
              </w:rPr>
              <w:t>4,171</w:t>
            </w:r>
          </w:p>
        </w:tc>
        <w:tc>
          <w:tcPr>
            <w:tcW w:type="dxa" w:w="1440"/>
            <w:shd w:fill="FAFAFA" w:val="clear"/>
          </w:tcPr>
          <w:p>
            <w:r>
              <w:rPr>
                <w:sz w:val="17"/>
              </w:rPr>
              <w:t>4,731</w:t>
            </w:r>
          </w:p>
        </w:tc>
        <w:tc>
          <w:tcPr>
            <w:tcW w:type="dxa" w:w="1440"/>
            <w:shd w:fill="FAFAFA" w:val="clear"/>
          </w:tcPr>
          <w:p>
            <w:r>
              <w:rPr>
                <w:b/>
                <w:color w:val="008000"/>
                <w:sz w:val="17"/>
              </w:rPr>
              <w:t>+0.5%</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3,574</w:t>
            </w:r>
          </w:p>
        </w:tc>
        <w:tc>
          <w:tcPr>
            <w:tcW w:type="dxa" w:w="1440"/>
            <w:shd w:fill="FAFAFA" w:val="clear"/>
          </w:tcPr>
          <w:p>
            <w:r>
              <w:rPr>
                <w:b/>
                <w:sz w:val="17"/>
              </w:rPr>
              <w:t>4,167</w:t>
            </w:r>
          </w:p>
        </w:tc>
        <w:tc>
          <w:tcPr>
            <w:tcW w:type="dxa" w:w="1440"/>
            <w:shd w:fill="FAFAFA" w:val="clear"/>
          </w:tcPr>
          <w:p>
            <w:r>
              <w:rPr>
                <w:sz w:val="17"/>
              </w:rPr>
              <w:t>4,760</w:t>
            </w:r>
          </w:p>
        </w:tc>
        <w:tc>
          <w:tcPr>
            <w:tcW w:type="dxa" w:w="1440"/>
            <w:shd w:fill="FAFAFA" w:val="clear"/>
          </w:tcPr>
          <w:p>
            <w:r>
              <w:rPr>
                <w:b/>
                <w:color w:val="008000"/>
                <w:sz w:val="17"/>
              </w:rPr>
              <w:t>+0.4%</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3,539</w:t>
            </w:r>
          </w:p>
        </w:tc>
        <w:tc>
          <w:tcPr>
            <w:tcW w:type="dxa" w:w="1440"/>
            <w:shd w:fill="FAFAFA" w:val="clear"/>
          </w:tcPr>
          <w:p>
            <w:r>
              <w:rPr>
                <w:b/>
                <w:sz w:val="17"/>
              </w:rPr>
              <w:t>4,164</w:t>
            </w:r>
          </w:p>
        </w:tc>
        <w:tc>
          <w:tcPr>
            <w:tcW w:type="dxa" w:w="1440"/>
            <w:shd w:fill="FAFAFA" w:val="clear"/>
          </w:tcPr>
          <w:p>
            <w:r>
              <w:rPr>
                <w:sz w:val="17"/>
              </w:rPr>
              <w:t>4,788</w:t>
            </w:r>
          </w:p>
        </w:tc>
        <w:tc>
          <w:tcPr>
            <w:tcW w:type="dxa" w:w="1440"/>
            <w:shd w:fill="FAFAFA" w:val="clear"/>
          </w:tcPr>
          <w:p>
            <w:r>
              <w:rPr>
                <w:b/>
                <w:color w:val="008000"/>
                <w:sz w:val="17"/>
              </w:rPr>
              <w:t>+0.3%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 RAPPORT D'ANALYSE FINANCIÈRE — PRSC (TRACTAFRIC MOTORS CÔTE D'IVOIRE)</w:t>
        <w:br/>
        <w:t>**Bourse Régionale des Valeurs Mobilières (BRVM) — Secteur : Distribution automobile**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42,50 Mds FCFA, PRSC se positionne comme une valeur de taille intermédiaire sur la BRVM, représentative du compartiment des sociétés de distribution cotées. Le BPA de 231 FCFA/action signifie que chaque titre génère près de 231 FCFA de bénéfice net, ce qui, rapporté au cours actuel de 4 150 FCFA, donne un PER de 18,0x — nettement supérieur à la moyenne du marché BRVM (8-12x), traduisant une prime de valorisation que les investisseurs accordent à la qualité de la croissance et à la solidité du dividende. Le P/B de 3,69x confirme cette prime : le marché valorise l'action près de 3,7 fois sa valeur comptable (11,531 Mds FCFA de capitaux propres), ce qui est cohérent avec un ROE élevé de 20,53% mais expose le titre à un risque de correction si la rentabilité se dégrade. Enfin, l'EV/EBITDA de 9,3x, situé dans la fourchette raisonnable de 5-10x, indique que la valeur d'entreprise reste proportionnée à la capacité opérationnelle de génération de cash-flow, bien que le Free Cash Flow négatif (-2,616 Mds FCFA) invite à la prudence sur la soutenabilité de cette valorisation.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PRSC affiche une performance positive de +14,64%, mais la dernière séance (J-1) marque un net repli de -4,16%, signalant une prise de bénéfices ou une réaction négative à une information récente. Le titre a évolué dans un range de 1 120 FCFA, entre un plus bas de 3 620 FCFA et un plus haut de 4 740 FCFA, ce qui témoigne d'une volatilité intra-période significative malgré une tendance générale haussière. Les statistiques descriptives révèlent une distribution légèrement asymétrique : la moyenne (4 370 FCFA) est inférieure à la médiane (4 402 FCFA) et au mode (4 400 FCFA), confirmant un skewness négatif de -1,192 — le cours a passé plus de journées au-dessus de la moyenne, mais quelques séances de forte baisse tirent la moyenne vers le bas. L'écart-type de 221 FCFA (CV de 5,1%) indique une dispersion modérée autour de la moyenne, mais le kurtosis excédentaire de 1,626 (distribution leptokurtique) signale des queues épaisses, c'est-à-dire un risque de pics de volatilité brutaux — ce que confirme la chute de -4,16% en J-1. Avec une volatilité annualisée de 40,3%, PRSC se classe parmi les titres à volatilité élevée (&gt;30%), ce qui implique un risque de marché supérieur à la moyenne et justifie une approche prudente pour les investisseurs averses au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(4 212,75 FCFA) et la MM50 (4 356,5 FCFA) encadrent le cours actuel (4 150 FCFA) par le haut, ce qui place le titre en dessous de ses deux moyennes mobiles — configuration baissière à court et moyen terme. La MM20 étant inférieure à la MM50, on observe un croisement baissier (death cross) qui justifie la décision technique de **Vente** ; le cours devra reconquérir la zone 4 212-4 356 FCFA pour inverser cette dynamique.</w:t>
      </w:r>
    </w:p>
    <w:p>
      <w:pPr>
        <w:spacing w:after="120" w:line="276" w:lineRule="auto"/>
      </w:pPr>
      <w:r>
        <w:t>**Bandes de Bollinger** : Le cours (4 150 FCFA) se situe dans la partie médiane-inférieure de la bande, entre la borne inférieure (3 844,93 FCFA) et la borne supérieure (4 580,57 FCFA), sans atteindre les extrêmes. Cette position centrale, couplée à une largeur de bande de 735 FCFA, traduit une volatilité encore présente mais sans signal de survente ou de surachat, d'où la décision **Neutre** ; une cassure de la borne inférieure constituerait un signal baissier, tandis qu'un retour vers 4 400 FCFA ramènerait le titre en zone neutre-haute.</w:t>
      </w:r>
    </w:p>
    <w:p>
      <w:pPr>
        <w:spacing w:after="120" w:line="276" w:lineRule="auto"/>
      </w:pPr>
      <w:r>
        <w:t>**MACD** : Le MACD (-65,685) est supérieur à son signal (-83,965), formant un croisement haussier (la ligne MACD coupe le signal par le haut), ce qui indique un ralentissement de la dynamique baissière et un possible retournement à court terme. La décision **Achat** est cohérente avec ce signal, mais la valeur négative du MACD rappelle que le momentum reste globalement baissier — ce signal doit être confirmé par une remontée du MACD au-dessus de zéro.</w:t>
      </w:r>
    </w:p>
    <w:p>
      <w:pPr>
        <w:spacing w:after="120" w:line="276" w:lineRule="auto"/>
      </w:pPr>
      <w:r>
        <w:t>**RSI** : À 45,609, le RSI se situe en zone neutre (entre 30 et 70), légèrement en dessous du seuil de 50 qui sépare le territoire haussier du baissier. Cette valeur indique une absence de pression acheteuse ou vendeuse dominante, justifiant la décision **Neutre** ; le titre n'est ni suracheté (&gt;70) ni survendu (&lt;30), ce qui laisse place à une évolution dans les deux sens.</w:t>
      </w:r>
    </w:p>
    <w:p>
      <w:pPr>
        <w:spacing w:after="120" w:line="276" w:lineRule="auto"/>
      </w:pPr>
      <w:r>
        <w:t>**Stochastique** : Le %K (61,224) est inférieur au %D (78,987), ce qui constitue un croisement baissier (le %K coupe le %D par le bas) — signal de vente à court terme. Cependant, les deux lignes restent en zone haute (au-dessus de 50), ce qui nuance le signal : la décision **Neutre** reflète cette divergence entre un croisement baissier et une position encore élevée dans le range.</w:t>
      </w:r>
    </w:p>
    <w:p>
      <w:pPr>
        <w:spacing w:after="120" w:line="276" w:lineRule="auto"/>
      </w:pPr>
      <w:r>
        <w:t>**Conclusion technique** : Les indicateurs sont majoritairement baissiers ou neutres — le cours sous ses moyennes mobiles, un croisement baissier du stochastique, et un MACD négatif — mais le croisement haussier du MACD et le RSI neutre suggèrent un possible rebond technique à court terme. La convergence n'est pas suffisante pour un signal d'achat fort ; le titre se trouve dans une phase de consolidation baissière, avec un support clé à 3 844 FCFA (borne inférieure de Bollinger) et une résistance à 4 356 FCFA (MM50).</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PRSC a réalisé un chiffre d'affaires de 81,127 Mds FCFA, en croissance de +9,5% par rapport à 2024 (74,451 Mds FCFA selon le rapport MISTRAL du 30/03/2026), portée par les ventes de marchandises (+10,82% à 57,96 Mds FCFA selon le rapport GEMINI-VISION du 06/09/2026). Le résultat net s'établit à 2,367 Mds FCFA, stable par rapport aux 2,35 Mds FCFA de 2024, avec une marge nette de 2,92% — faible mais en légère amélioration (2,63% en 2023). Le ROE de 20,53% est excellent (&gt;15%), témoignant d'une bonne rentabilité des fonds propres (11,531 Mds FCFA), tandis que le ROA de 4,95% reste modeste, reflétant l'intensité capitalistique du secteur. La structure financière présente des signaux contrastés : l'autonomie financière de 24,10% est inférieure au seuil de 30% considéré comme sain, et le ratio d'endettement de 314,86% (dettes totales/capitaux propres) est élevé, bien que la solvabilité générale (131,76%) reste supérieure à 1. Le BFR de 11,267 Mds FCFA est positif (défavorable pour une entreprise de distribution), avec des délais clients de 46 jours (risque de trésorerie modéré), des délais fournisseurs de 102,65 jours (favorable) et une durée de stockage de 150,51 jours (élevée, immobilisant du capital). Le Free Cash Flow est négatif (-2,616 Mds FCFA) et la trésorerie nette de -4,092 Mds FCFA, ce qui constitue un point de vigilance majeur.</w:t>
      </w:r>
    </w:p>
    <w:p>
      <w:pPr>
        <w:spacing w:after="120" w:line="276" w:lineRule="auto"/>
      </w:pPr>
      <w:r>
        <w:t>**Estimations basées sur les rapports trimestriels** : Le rapport d'activité du S1 2025 (analysé manuellement le 15/03/2026) fait état d'un CA de 39,968 Mds FCFA (+15,1% vs S1 2024) et d'un résultat net de 1,436 Md FCFA (×28 vs 50,6 M FCFA au S1 2024), avec une marge nette de 3,6% — nettement supérieure à la moyenne annuelle. Sur cette base, on peut estimer que l'exercice 2025 devrait confirmer cette dynamique, avec un résultat net annualisé autour de 2,4-2,5 Mds FCFA, cohérent avec les 2,367 Mds FCFA publiés. Le rapport GEMINI-VISION du 06/09/2026 souligne la croissance des ventes de marchandises (+10,82%) et le recul des travaux et services (2,30 Mds FCFA vs 2,71 Mds FCFA), confirmant le recentrage sur le cœur de métier. Le dividende de 209 FCFA/action proposé à l'AG du 30/06/2026 (document officiel du 15/06/2026) offre un rendement de 5,04% au cours actuel de 4 150 FCFA, ce qui constitue un argument attractif pour les investisseurs de rendement.</w:t>
      </w:r>
    </w:p>
    <w:p>
      <w:pPr>
        <w:spacing w:after="120" w:line="276" w:lineRule="auto"/>
      </w:pPr>
      <w:r>
        <w:t>**Recommandation fondamentale** : PRSC présente un profil de croissance résilient (CA +9,5% en 2025, +15,1% au S1 2025) avec une rentabilité en amélioration (ROE 20,53%, marge nette 2,92%), mais des fragilités structurelles persistent : endettement élevé, BFR positif, FCF négatif et trésorerie nette négative. La recommandation fondamentale est **CONSERVER** avec vigilance, en attendant une clarification sur la soutenabilité de la trésorerie et l'évolution du S2 2025 (contexte électoral ivoirien susceptible de peser sur l'activité, selon le rapport S1 2025).</w:t>
      </w:r>
    </w:p>
    <w:p>
      <w:pPr>
        <w:spacing w:after="120" w:line="276" w:lineRule="auto"/>
      </w:pPr>
      <w:r>
        <w:t>---</w:t>
      </w:r>
    </w:p>
    <w:p>
      <w:pPr>
        <w:spacing w:after="120" w:line="276" w:lineRule="auto"/>
      </w:pPr>
      <w:r>
        <w:t>## PARTIE 4 : CONCLUSION D'INVESTISSEMENT</w:t>
      </w:r>
    </w:p>
    <w:p>
      <w:pPr>
        <w:spacing w:after="120" w:line="276" w:lineRule="auto"/>
      </w:pPr>
      <w:r>
        <w:t>La valorisation de PRSC (PER 18,0x, P/B 3,69x, EV/EBITDA 9,3x) indique une **surévaluation relative** par rapport à la moyenne du marché BRVM (PER 8-12x), bien que le ROE élevé (20,53%) et le rendement du dividende (5,04%) justifient partiellement cette prime. Le comportement du cours sur 100 jours est haussier (+14,64%) mais la récente chute de -4,16% en J-1, couplée à un kurtosis élevé (1,626) et un skewness négatif (-1,192), signale un risque de pics baissiers brutaux — la volatilité annualisée de 40,3% est élevée et préoccupante pour un investisseur prudent. Les signaux techniques sont **divergents** : baissiers pour les moyennes mobiles (cours sous MM20 et MM50) et le stochastique (croisement baissier), mais haussiers pour le MACD (croisement haussier) et neutres pour le RSI et les Bollinger — cette absence de convergence plaide pour une **absence de signal directionnel fort**. Les fondamentaux sont **mitigés** : croissance du CA (+9,5% en 2025) et ROE excellent (20,53%), mais FCF négatif (-2,616 Mds FCFA), trésorerie nette négative (-4,092 Mds FCFA) et endettement élevé (314,86%) — la solidité apparente masque des fragilités de trésorerie. Les prédictions IA (J+1 à J+10) anticipent une **stabilisation autour de 4 183-4 218 FCFA**, en légère baisse par rapport au cours actuel (4 150 FCFA), ce qui contredit un scénario de rebond technique franc et confirme la phase de consolidation. **Recommandation finale : CONSERVER** — la convergence entre une valorisation exigeante, des signaux techniques divergents, des fondamentaux mitigés et des prédictions baissières à court terme ne justifie pas un achat, mais la solidité du dividende (5,04%) et la croissance du CA incitent à ne pas vendre. **Niveau de confiance : Moyen** (les signaux sont contradictoires). **Niveau de risque global : Élevé** (volatilité 40,3%, endettement 314,86%, FCF négatif). **Horizon d'investissement optimal : Moyen terme (3-12 mois)**, en surveillant la publication des résultats annuels 2025 et l'évolution de la trésorerie au S2 2025.</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28.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48.73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8,031 titres</w:t>
            </w:r>
          </w:p>
        </w:tc>
        <w:tc>
          <w:tcPr>
            <w:tcW w:type="dxa" w:w="2268"/>
            <w:shd w:fill="FFF2CC" w:val="clear"/>
          </w:tcPr>
          <w:p>
            <w:r>
              <w:rPr>
                <w:b/>
                <w:color w:val="503200"/>
                <w:sz w:val="16"/>
              </w:rPr>
              <w:t xml:space="preserve">Cours actuel : </w:t>
            </w:r>
            <w:r>
              <w:rPr>
                <w:color w:val="000000"/>
                <w:sz w:val="17"/>
              </w:rPr>
              <w:t>4,105 FCFA</w:t>
            </w:r>
          </w:p>
          <w:p>
            <w:r>
              <w:rPr>
                <w:b/>
                <w:color w:val="503200"/>
                <w:sz w:val="16"/>
              </w:rPr>
              <w:t xml:space="preserve">Var. 100 jours : </w:t>
            </w:r>
            <w:r>
              <w:rPr>
                <w:b/>
                <w:color w:val="007800"/>
                <w:sz w:val="17"/>
              </w:rPr>
              <w:t>+2.62%</w:t>
            </w:r>
          </w:p>
          <w:p>
            <w:r>
              <w:rPr>
                <w:b/>
                <w:color w:val="503200"/>
                <w:sz w:val="16"/>
              </w:rPr>
              <w:t xml:space="preserve">Plus haut 100j : </w:t>
            </w:r>
            <w:r>
              <w:rPr>
                <w:color w:val="000000"/>
                <w:sz w:val="17"/>
              </w:rPr>
              <w:t>6,200 FCFA</w:t>
            </w:r>
          </w:p>
          <w:p>
            <w:r>
              <w:rPr>
                <w:b/>
                <w:color w:val="503200"/>
                <w:sz w:val="16"/>
              </w:rPr>
              <w:t xml:space="preserve">Plus bas 100j : </w:t>
            </w:r>
            <w:r>
              <w:rPr>
                <w:color w:val="000000"/>
                <w:sz w:val="17"/>
              </w:rPr>
              <w:t>3,595 FCFA</w:t>
            </w:r>
          </w:p>
          <w:p>
            <w:r>
              <w:rPr>
                <w:b/>
                <w:color w:val="503200"/>
                <w:sz w:val="16"/>
              </w:rPr>
              <w:t xml:space="preserve">Volatilité ann. : </w:t>
            </w:r>
            <w:r>
              <w:rPr>
                <w:color w:val="000000"/>
                <w:sz w:val="17"/>
              </w:rPr>
              <w:t>61.2%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32.8/100 → Moyen</w:t>
      </w:r>
    </w:p>
    <w:p>
      <w:pPr>
        <w:spacing w:before="40" w:after="80"/>
      </w:pPr>
      <w:r>
        <w:rPr>
          <w:rFonts w:ascii="Courier New" w:hAnsi="Courier New"/>
          <w:color w:val="825A00"/>
          <w:sz w:val="18"/>
        </w:rPr>
        <w:t>██████░░░░░░░░░░░░░░  32.8/100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15.26% (Élevée) — μ=4,672 FCFA, σ=713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β=1.3166 (Agressif) — Cov=0.000096, Var(idx)=0.000073, ρ=0.290,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8,031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σ_j=3.86%/j (Modérée) — Vol. annualisée≈61.2%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63/100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3,767</w:t>
            </w:r>
          </w:p>
        </w:tc>
        <w:tc>
          <w:tcPr>
            <w:tcW w:type="dxa" w:w="1440"/>
            <w:shd w:fill="FAFAFA" w:val="clear"/>
          </w:tcPr>
          <w:p>
            <w:r>
              <w:rPr>
                <w:b/>
                <w:sz w:val="17"/>
              </w:rPr>
              <w:t>4,070</w:t>
            </w:r>
          </w:p>
        </w:tc>
        <w:tc>
          <w:tcPr>
            <w:tcW w:type="dxa" w:w="1440"/>
            <w:shd w:fill="FAFAFA" w:val="clear"/>
          </w:tcPr>
          <w:p>
            <w:r>
              <w:rPr>
                <w:sz w:val="17"/>
              </w:rPr>
              <w:t>4,373</w:t>
            </w:r>
          </w:p>
        </w:tc>
        <w:tc>
          <w:tcPr>
            <w:tcW w:type="dxa" w:w="1440"/>
            <w:shd w:fill="FAFAFA" w:val="clear"/>
          </w:tcPr>
          <w:p>
            <w:r>
              <w:rPr>
                <w:b/>
                <w:color w:val="C00000"/>
                <w:sz w:val="17"/>
              </w:rPr>
              <w:t>-0.8%</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3,659</w:t>
            </w:r>
          </w:p>
        </w:tc>
        <w:tc>
          <w:tcPr>
            <w:tcW w:type="dxa" w:w="1440"/>
            <w:shd w:fill="FAFAFA" w:val="clear"/>
          </w:tcPr>
          <w:p>
            <w:r>
              <w:rPr>
                <w:b/>
                <w:sz w:val="17"/>
              </w:rPr>
              <w:t>4,090</w:t>
            </w:r>
          </w:p>
        </w:tc>
        <w:tc>
          <w:tcPr>
            <w:tcW w:type="dxa" w:w="1440"/>
            <w:shd w:fill="FAFAFA" w:val="clear"/>
          </w:tcPr>
          <w:p>
            <w:r>
              <w:rPr>
                <w:sz w:val="17"/>
              </w:rPr>
              <w:t>4,521</w:t>
            </w:r>
          </w:p>
        </w:tc>
        <w:tc>
          <w:tcPr>
            <w:tcW w:type="dxa" w:w="1440"/>
            <w:shd w:fill="FAFAFA" w:val="clear"/>
          </w:tcPr>
          <w:p>
            <w:r>
              <w:rPr>
                <w:b/>
                <w:color w:val="C00000"/>
                <w:sz w:val="17"/>
              </w:rPr>
              <w:t>-0.4%</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3,572</w:t>
            </w:r>
          </w:p>
        </w:tc>
        <w:tc>
          <w:tcPr>
            <w:tcW w:type="dxa" w:w="1440"/>
            <w:shd w:fill="FAFAFA" w:val="clear"/>
          </w:tcPr>
          <w:p>
            <w:r>
              <w:rPr>
                <w:b/>
                <w:sz w:val="17"/>
              </w:rPr>
              <w:t>4,101</w:t>
            </w:r>
          </w:p>
        </w:tc>
        <w:tc>
          <w:tcPr>
            <w:tcW w:type="dxa" w:w="1440"/>
            <w:shd w:fill="FAFAFA" w:val="clear"/>
          </w:tcPr>
          <w:p>
            <w:r>
              <w:rPr>
                <w:sz w:val="17"/>
              </w:rPr>
              <w:t>4,630</w:t>
            </w:r>
          </w:p>
        </w:tc>
        <w:tc>
          <w:tcPr>
            <w:tcW w:type="dxa" w:w="1440"/>
            <w:shd w:fill="FAFAFA" w:val="clear"/>
          </w:tcPr>
          <w:p>
            <w:r>
              <w:rPr>
                <w:b/>
                <w:color w:val="C00000"/>
                <w:sz w:val="17"/>
              </w:rPr>
              <w:t>-0.1%</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3,496</w:t>
            </w:r>
          </w:p>
        </w:tc>
        <w:tc>
          <w:tcPr>
            <w:tcW w:type="dxa" w:w="1440"/>
            <w:shd w:fill="FAFAFA" w:val="clear"/>
          </w:tcPr>
          <w:p>
            <w:r>
              <w:rPr>
                <w:b/>
                <w:sz w:val="17"/>
              </w:rPr>
              <w:t>4,108</w:t>
            </w:r>
          </w:p>
        </w:tc>
        <w:tc>
          <w:tcPr>
            <w:tcW w:type="dxa" w:w="1440"/>
            <w:shd w:fill="FAFAFA" w:val="clear"/>
          </w:tcPr>
          <w:p>
            <w:r>
              <w:rPr>
                <w:sz w:val="17"/>
              </w:rPr>
              <w:t>4,720</w:t>
            </w:r>
          </w:p>
        </w:tc>
        <w:tc>
          <w:tcPr>
            <w:tcW w:type="dxa" w:w="1440"/>
            <w:shd w:fill="FAFAFA" w:val="clear"/>
          </w:tcPr>
          <w:p>
            <w:r>
              <w:rPr>
                <w:b/>
                <w:color w:val="008000"/>
                <w:sz w:val="17"/>
              </w:rPr>
              <w:t>+0.1%</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3,428</w:t>
            </w:r>
          </w:p>
        </w:tc>
        <w:tc>
          <w:tcPr>
            <w:tcW w:type="dxa" w:w="1440"/>
            <w:shd w:fill="FAFAFA" w:val="clear"/>
          </w:tcPr>
          <w:p>
            <w:r>
              <w:rPr>
                <w:b/>
                <w:sz w:val="17"/>
              </w:rPr>
              <w:t>4,114</w:t>
            </w:r>
          </w:p>
        </w:tc>
        <w:tc>
          <w:tcPr>
            <w:tcW w:type="dxa" w:w="1440"/>
            <w:shd w:fill="FAFAFA" w:val="clear"/>
          </w:tcPr>
          <w:p>
            <w:r>
              <w:rPr>
                <w:sz w:val="17"/>
              </w:rPr>
              <w:t>4,799</w:t>
            </w:r>
          </w:p>
        </w:tc>
        <w:tc>
          <w:tcPr>
            <w:tcW w:type="dxa" w:w="1440"/>
            <w:shd w:fill="FAFAFA" w:val="clear"/>
          </w:tcPr>
          <w:p>
            <w:r>
              <w:rPr>
                <w:b/>
                <w:color w:val="008000"/>
                <w:sz w:val="17"/>
              </w:rPr>
              <w:t>+0.2%</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3,367</w:t>
            </w:r>
          </w:p>
        </w:tc>
        <w:tc>
          <w:tcPr>
            <w:tcW w:type="dxa" w:w="1440"/>
            <w:shd w:fill="FAFAFA" w:val="clear"/>
          </w:tcPr>
          <w:p>
            <w:r>
              <w:rPr>
                <w:b/>
                <w:sz w:val="17"/>
              </w:rPr>
              <w:t>4,119</w:t>
            </w:r>
          </w:p>
        </w:tc>
        <w:tc>
          <w:tcPr>
            <w:tcW w:type="dxa" w:w="1440"/>
            <w:shd w:fill="FAFAFA" w:val="clear"/>
          </w:tcPr>
          <w:p>
            <w:r>
              <w:rPr>
                <w:sz w:val="17"/>
              </w:rPr>
              <w:t>4,870</w:t>
            </w:r>
          </w:p>
        </w:tc>
        <w:tc>
          <w:tcPr>
            <w:tcW w:type="dxa" w:w="1440"/>
            <w:shd w:fill="FAFAFA" w:val="clear"/>
          </w:tcPr>
          <w:p>
            <w:r>
              <w:rPr>
                <w:b/>
                <w:color w:val="008000"/>
                <w:sz w:val="17"/>
              </w:rPr>
              <w:t>+0.3%</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3,310</w:t>
            </w:r>
          </w:p>
        </w:tc>
        <w:tc>
          <w:tcPr>
            <w:tcW w:type="dxa" w:w="1440"/>
            <w:shd w:fill="FAFAFA" w:val="clear"/>
          </w:tcPr>
          <w:p>
            <w:r>
              <w:rPr>
                <w:b/>
                <w:sz w:val="17"/>
              </w:rPr>
              <w:t>4,123</w:t>
            </w:r>
          </w:p>
        </w:tc>
        <w:tc>
          <w:tcPr>
            <w:tcW w:type="dxa" w:w="1440"/>
            <w:shd w:fill="FAFAFA" w:val="clear"/>
          </w:tcPr>
          <w:p>
            <w:r>
              <w:rPr>
                <w:sz w:val="17"/>
              </w:rPr>
              <w:t>4,935</w:t>
            </w:r>
          </w:p>
        </w:tc>
        <w:tc>
          <w:tcPr>
            <w:tcW w:type="dxa" w:w="1440"/>
            <w:shd w:fill="FAFAFA" w:val="clear"/>
          </w:tcPr>
          <w:p>
            <w:r>
              <w:rPr>
                <w:b/>
                <w:color w:val="008000"/>
                <w:sz w:val="17"/>
              </w:rPr>
              <w:t>+0.4%</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3,257</w:t>
            </w:r>
          </w:p>
        </w:tc>
        <w:tc>
          <w:tcPr>
            <w:tcW w:type="dxa" w:w="1440"/>
            <w:shd w:fill="FAFAFA" w:val="clear"/>
          </w:tcPr>
          <w:p>
            <w:r>
              <w:rPr>
                <w:b/>
                <w:sz w:val="17"/>
              </w:rPr>
              <w:t>4,127</w:t>
            </w:r>
          </w:p>
        </w:tc>
        <w:tc>
          <w:tcPr>
            <w:tcW w:type="dxa" w:w="1440"/>
            <w:shd w:fill="FAFAFA" w:val="clear"/>
          </w:tcPr>
          <w:p>
            <w:r>
              <w:rPr>
                <w:sz w:val="17"/>
              </w:rPr>
              <w:t>4,996</w:t>
            </w:r>
          </w:p>
        </w:tc>
        <w:tc>
          <w:tcPr>
            <w:tcW w:type="dxa" w:w="1440"/>
            <w:shd w:fill="FAFAFA" w:val="clear"/>
          </w:tcPr>
          <w:p>
            <w:r>
              <w:rPr>
                <w:b/>
                <w:color w:val="008000"/>
                <w:sz w:val="17"/>
              </w:rPr>
              <w:t>+0.5%</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3,207</w:t>
            </w:r>
          </w:p>
        </w:tc>
        <w:tc>
          <w:tcPr>
            <w:tcW w:type="dxa" w:w="1440"/>
            <w:shd w:fill="FAFAFA" w:val="clear"/>
          </w:tcPr>
          <w:p>
            <w:r>
              <w:rPr>
                <w:b/>
                <w:sz w:val="17"/>
              </w:rPr>
              <w:t>4,130</w:t>
            </w:r>
          </w:p>
        </w:tc>
        <w:tc>
          <w:tcPr>
            <w:tcW w:type="dxa" w:w="1440"/>
            <w:shd w:fill="FAFAFA" w:val="clear"/>
          </w:tcPr>
          <w:p>
            <w:r>
              <w:rPr>
                <w:sz w:val="17"/>
              </w:rPr>
              <w:t>5,053</w:t>
            </w:r>
          </w:p>
        </w:tc>
        <w:tc>
          <w:tcPr>
            <w:tcW w:type="dxa" w:w="1440"/>
            <w:shd w:fill="FAFAFA" w:val="clear"/>
          </w:tcPr>
          <w:p>
            <w:r>
              <w:rPr>
                <w:b/>
                <w:color w:val="008000"/>
                <w:sz w:val="17"/>
              </w:rPr>
              <w:t>+0.6%</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3,160</w:t>
            </w:r>
          </w:p>
        </w:tc>
        <w:tc>
          <w:tcPr>
            <w:tcW w:type="dxa" w:w="1440"/>
            <w:shd w:fill="FAFAFA" w:val="clear"/>
          </w:tcPr>
          <w:p>
            <w:r>
              <w:rPr>
                <w:b/>
                <w:sz w:val="17"/>
              </w:rPr>
              <w:t>4,133</w:t>
            </w:r>
          </w:p>
        </w:tc>
        <w:tc>
          <w:tcPr>
            <w:tcW w:type="dxa" w:w="1440"/>
            <w:shd w:fill="FAFAFA" w:val="clear"/>
          </w:tcPr>
          <w:p>
            <w:r>
              <w:rPr>
                <w:sz w:val="17"/>
              </w:rPr>
              <w:t>5,107</w:t>
            </w:r>
          </w:p>
        </w:tc>
        <w:tc>
          <w:tcPr>
            <w:tcW w:type="dxa" w:w="1440"/>
            <w:shd w:fill="FAFAFA" w:val="clear"/>
          </w:tcPr>
          <w:p>
            <w:r>
              <w:rPr>
                <w:b/>
                <w:color w:val="008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**RAPPORT D'ANALYSE FINANCIÈRE — SAFC (ALIOS FINANCE CÔTE D'IVOIRE)**</w:t>
        <w:br/>
        <w:t>*Bourse Régionale des Valeurs Mobilières (BRVM) — Secteur : Banque / Financement spécialisé*</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48,73 Mds FCFA, SAFC se situe dans la catégorie des valeurs moyennes de la cote BRVM, ce qui traduit une liquidité limitée et une exposition accrue à la volatilité. Le BPA de 59 FCFA/action indique que chaque titre génère un bénéfice net modeste, ce qui, rapporté au cours actuel de 4 105 FCFA, aboutit à un PER de 69,5x — très largement supérieur à la moyenne du marché BRVM (8-12x), signalant que les investisseurs paient une prime spéculative très élevée sur les bénéfices actuels. Le ratio P/B de 8,24x confirme cette exubérance : le marché valorise la société à plus de huit fois sa valeur comptable, alors qu'un seuil de 4x est déjà considéré comme exigeant, ce qui s'explique en partie par la faiblesse structurelle des fonds propres (5,9 Mds FCFA pour 79,5 Mds FCFA de bilan). Enfin, l'EV/EBITDA de 82,5x, très au-delà du seuil de 15x, traduit une valorisation déconnectée de la capacité opérationnelle actuelle, ce qui rend le titre vulnérable à toute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SAFC affiche une variation totale de +2,62%, avec une progression de +1,36% sur la dernière séance (J-1), témoignant d'un léger regain d'intérêt à court terme. Le range de trading est particulièrement large, avec un plus haut à 6 200 FCFA et un plus bas à 3 595 FCFA, soit un écart de 72% entre les deux extrêmes — signe d'une forte instabilité. La tendance générale reste baissière depuis le pic de 6 200 FCFA, le cours actuel (4 105 FCFA) se situant 34% en dessous de ce sommet, bien que le rebond récent suggère une tentative de stabilisation. Les statistiques descriptives révèlent une moyenne (4 672 FCFA) supérieure à la médiane (4 580 FCFA), indiquant une légère asymétrie positive tirée par les pics hauts, tandis que le mode à 3 700 FCFA suggère que le prix le plus fréquemment traité se situe dans la zone basse du range. L'écart-type de 716 FCFA (CV = 15,3%) traduit une dispersion modérée autour de la moyenne, mais le kurtosis de -0,875 (mésokurtique) indique une distribution proche de la normale, sans pics extrêmes marqués, ce qui limite le risque de mouvements erratiques. Le skewness de 0,357, qualifié de symétrique, confirme l'absence de biais directionnel fort, bien qu'une légère inclinaison positive subsiste. Avec une volatilité annualisée de 61,2%, SAFC se classe parmi les titres à volatilité élevée (&gt;30%), ce qui implique un risque significatif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(4 545,75 FCFA) et la MM50 (5 149,0 FCFA) se situent toutes deux au-dessus du cours actuel (4 105 FCFA), avec une MM20 inférieure à la MM50, ce qui confirme une configuration baissière (croisement descendant). Le cours évoluant sous ses deux moyennes, la pression vendeuse reste dominante, justifiant la décision technique de **Vente**.</w:t>
      </w:r>
    </w:p>
    <w:p>
      <w:pPr>
        <w:spacing w:after="120" w:line="276" w:lineRule="auto"/>
      </w:pPr>
      <w:r>
        <w:t>**Bandes de Bollinger** : Le cours (4 105 FCFA) se situe dans la moitié inférieure de la bande, entre la borne inférieure (3 704,915 FCFA) et la borne supérieure (5 386,585 FCFA), sans atteindre les extrêmes. Cette position médiane, couplée à une largeur de bande élevée (1 681,67 FCFA), traduit une volatilité importante mais sans signal de retournement imminent, d'où la décision **Neutre**.</w:t>
      </w:r>
    </w:p>
    <w:p>
      <w:pPr>
        <w:spacing w:after="120" w:line="276" w:lineRule="auto"/>
      </w:pPr>
      <w:r>
        <w:t>**MACD** : La valeur du MACD (-298,686) est inférieure à son signal (-272,43), avec un histogramme négatif, confirmant un momentum baissier persistant. L'absence de convergence haussière suggère que la pression vendeuse n'est pas encore épuisée, justifiant la décision de **Vente**.</w:t>
      </w:r>
    </w:p>
    <w:p>
      <w:pPr>
        <w:spacing w:after="120" w:line="276" w:lineRule="auto"/>
      </w:pPr>
      <w:r>
        <w:t>**RSI** : À 34,458, le RSI se situe dans la zone neutre basse, proche du seuil de survente (30), sans y pénétrer. Cette position indique une faiblesse relative mais pas encore de signal d'achat technique, d'où la décision **Neutre**.</w:t>
      </w:r>
    </w:p>
    <w:p>
      <w:pPr>
        <w:spacing w:after="120" w:line="276" w:lineRule="auto"/>
      </w:pPr>
      <w:r>
        <w:t>**Stochastique** : Le %K (15,244) est inférieur au %D (17,915), avec les deux indicateurs en zone de survente (&lt;20). Bien que le croisement ne soit pas encore haussier, la proximité des seuils extrêmes suggère un potentiel rebond technique à court terme, justifiant la décision d'**Achat** — seul indicateur positif du tableau.</w:t>
      </w:r>
    </w:p>
    <w:p>
      <w:pPr>
        <w:spacing w:after="120" w:line="276" w:lineRule="auto"/>
      </w:pPr>
      <w:r>
        <w:t>**Conclusion technique** : Les indicateurs techniques sont majoritairement baissiers (MM, MACD), avec un RSI et des Bollinger neutres, mais le stochastique en zone de survente offre un signal d'achat contrarien. La convergence des signaux négatifs (cours sous les MM, MACD négatif) domine, mais la configuration extrême du stochastique suggère qu'un rebond technique pourrait se matérialiser à court terme, sans toutefois inverser la tendance de fond.</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SAFC a enregistré un Produit Net Bancaire (PNB) de 5 735 M FCFA, en hausse de 44,1% par rapport à 2024 (3 980 M FCFA), porté par la croissance des intérêts (+14,4%) et des commissions (+81%). Le résultat net s'établit à 701 M FCFA, contre une perte de 165 M FCFA en 2024, marquant un retournement spectaculaire après huit années de déficit. Le ROE ressort à 11,85% (701/5 916), en dessous du seuil d'excellence de 15%, tandis que le ROA est faible à 0,88%, reflétant la structure bilancielle lourde (79,5 Mds FCFA d'actifs). Le coefficient d'exploitation de 77,63% reste élevé (seuil d'efficacité &lt;60%), indiquant que les charges absorbent encore une part trop importante du PNB. Le coût du risque, à 6,57% des charges financières, demeure significatif, bien qu'en amélioration. La structure financière est fragile : l'autonomie financière n'est que de 7,44% (capitaux propres/total bilan), très en dessous du seuil sain de 30%, et le ratio d'endettement atteint 856%, traduisant une dépendance extrême aux dettes (notamment interbancaires à 35,7 Mds FCFA, +45%).</w:t>
      </w:r>
    </w:p>
    <w:p>
      <w:pPr>
        <w:spacing w:after="120" w:line="276" w:lineRule="auto"/>
      </w:pPr>
      <w:r>
        <w:t>**Estimations basées sur les rapports trimestriels** : Le rapport T1 2026 (publié le 12/05/2026) indique un PNB de 1 395 M FCFA (+29%) et un résultat net de 151 M FCFA (+1 062%), avec une marge nette de 10,82%. Le rapport S1 2026 (publié le 04/09/2026) confirme cette dynamique avec un PNB de 2 907 M FCFA (+37%) et un résultat net de 731 M FCFA (+231%), dépassant déjà le résultat net annuel 2025. La marge nette bondit à 25,1%, et le coût du risque devient une reprise nette de 261 M FCFA, signe d'une amélioration de la qualité du portefeuille. Sur cette base, on estime que l'exercice 2026 pourrait afficher un résultat net supérieur à 1,2 Md FCFA, avec un ROE potentiellement &gt;20%, sous réserve du maintien de la trajectoire.</w:t>
      </w:r>
    </w:p>
    <w:p>
      <w:pPr>
        <w:spacing w:after="120" w:line="276" w:lineRule="auto"/>
      </w:pPr>
      <w:r>
        <w:t>**Recommandation fondamentale** : La dynamique opérationnelle est incontestablement positive (croissance du PNB, retour à la rentabilité, amélioration du coût du risque), portée par l'intégration au sein de CREDAF GROUP. Cependant, les risques structurels persistent : fonds propres insuffisants (CET1 à 11,49% en 2026, proche du seuil de 7,5%), dépendance aux dettes interbancaires, et valorisation boursière extrêmement tendue. La recommandation fondamentale est **CONSERVER** (avec un biais spéculatif), en attendant la confirmation d'un renforcement durable des fonds propres et d'une réduction de la dépendance au financement de marché.</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clairement **surévaluée** : PER de 69,5x, P/B de 8,24x et EV/EBITDA de 82,5x traduisent une prime spéculative déconnectée des fondamentaux actuels, bien que les perspectives de croissance rapide puissent partiellement justifier ces niveaux. Le comportement du cours (Partie 1) est **préoccupant** : volatilité élevée (61,2%), tendance baissière depuis le pic de 6 200 FCFA, mais les statistiques (kurtosis mésokurtique, skewness symétrique) indiquent une distribution sans risque extrême, ce qui limite les mouvements erratiques. Les signaux techniques (Partie 2) sont **majoritairement baissiers** (cours sous MM20/MM50, MACD négatif), mais le stochastique en zone de survente offre un signal d'achat contrarien, créant une divergence qui suggère un rebond technique possible à court terme. Les fondamentaux (Partie 3) sont **en nette amélioration** : PNB +44% en 2025, résultat net positif à 701 M FCFA, et les rapports T1/S1 2026 confirment une accélération (résultat net S1 2026 de 731 M FCFA, +231%), avec une marge nette de 25,1% — mais la structure financière reste fragile (autonomie financière de 7,44%, dépendance interbancaire). Les prédictions IA (J+1 à J+10) tablent sur une **hausse modérée** (4 070 → 4 114 FCFA, +1,1%), ce qui **contredit** les signaux techniques baissiers mais **confirme** le potentiel de rebond suggéré par le stochastique.</w:t>
      </w:r>
    </w:p>
    <w:p>
      <w:pPr>
        <w:spacing w:after="120" w:line="276" w:lineRule="auto"/>
      </w:pPr>
      <w:r>
        <w:t>**Recommandation finale** : **CONSERVER** (avec un biais spéculatif à court terme). La convergence entre la dynamique fondamentale positive (croissance du PNB, retour à la rentabilité) et le signal contrarien du stochastique justifie une position attentiste, mais la valorisation extrême et les risques structurels (fonds propres faibles, dépendance interbancaire) interdisent un achat massif. Le niveau de confiance est **Moyen** : les fondamentaux sont encourageants mais la valorisation et la technique restent des freins majeurs. Le risque global est **Élevé** (volatilité de 61,2%, structure financière fragile, valorisation tendue). L'horizon d'investissement optimal est **moyen terme (3-12 mois)** , en surveillant la confirmation des résultats annuels 2026 et l'évolution des ratios prudentiels (CET1, solvabilité) — un renforcement durable des fonds propres pourrait justifier un passage à l'ACHAT, tandis qu'une dégradation de la qualité du portefeuille ou un resserrement des conditions de financement interbancaire plaiderait pour une VENTE.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29.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48.02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10,663 titres</w:t>
            </w:r>
          </w:p>
        </w:tc>
        <w:tc>
          <w:tcPr>
            <w:tcW w:type="dxa" w:w="2268"/>
            <w:shd w:fill="FFF2CC" w:val="clear"/>
          </w:tcPr>
          <w:p>
            <w:r>
              <w:rPr>
                <w:b/>
                <w:color w:val="503200"/>
                <w:sz w:val="16"/>
              </w:rPr>
              <w:t xml:space="preserve">Cours actuel : </w:t>
            </w:r>
            <w:r>
              <w:rPr>
                <w:color w:val="000000"/>
                <w:sz w:val="17"/>
              </w:rPr>
              <w:t>2,450 FCFA</w:t>
            </w:r>
          </w:p>
          <w:p>
            <w:r>
              <w:rPr>
                <w:b/>
                <w:color w:val="503200"/>
                <w:sz w:val="16"/>
              </w:rPr>
              <w:t xml:space="preserve">Var. 100 jours : </w:t>
            </w:r>
            <w:r>
              <w:rPr>
                <w:b/>
                <w:color w:val="007800"/>
                <w:sz w:val="17"/>
              </w:rPr>
              <w:t>+8.41%</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2,205 FCFA</w:t>
            </w:r>
          </w:p>
          <w:p>
            <w:r>
              <w:rPr>
                <w:b/>
                <w:color w:val="503200"/>
                <w:sz w:val="16"/>
              </w:rPr>
              <w:t xml:space="preserve">Volatilité ann. : </w:t>
            </w:r>
            <w:r>
              <w:rPr>
                <w:color w:val="000000"/>
                <w:sz w:val="17"/>
              </w:rPr>
              <w:t>57.1%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23.6/100 → Moyen</w:t>
      </w:r>
    </w:p>
    <w:p>
      <w:pPr>
        <w:spacing w:before="40" w:after="80"/>
      </w:pPr>
      <w:r>
        <w:rPr>
          <w:rFonts w:ascii="Courier New" w:hAnsi="Courier New"/>
          <w:color w:val="825A00"/>
          <w:sz w:val="18"/>
        </w:rPr>
        <w:t>████░░░░░░░░░░░░░░░░  23.6/100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13.31% (Moyenne) — μ=3,195 FCFA, σ=425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β=1.2508 (Agressif) — Cov=0.000087, Var(idx)=0.000070, ρ=0.293, n=95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10,663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σ_j=3.60%/j (Modérée) — Vol. annualisée≈57.1%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2026-10-12</w:t>
            </w:r>
          </w:p>
        </w:tc>
        <w:tc>
          <w:tcPr>
            <w:tcW w:type="dxa" w:w="1440"/>
            <w:shd w:fill="C6EFCE" w:val="clear"/>
          </w:tcPr>
          <w:p>
            <w:r>
              <w:rPr>
                <w:sz w:val="17"/>
              </w:rPr>
              <w:t>2,370</w:t>
            </w:r>
          </w:p>
        </w:tc>
        <w:tc>
          <w:tcPr>
            <w:tcW w:type="dxa" w:w="1440"/>
            <w:shd w:fill="C6EFCE" w:val="clear"/>
          </w:tcPr>
          <w:p>
            <w:r>
              <w:rPr>
                <w:b/>
                <w:sz w:val="17"/>
              </w:rPr>
              <w:t>2,517</w:t>
            </w:r>
          </w:p>
        </w:tc>
        <w:tc>
          <w:tcPr>
            <w:tcW w:type="dxa" w:w="1440"/>
            <w:shd w:fill="C6EFCE" w:val="clear"/>
          </w:tcPr>
          <w:p>
            <w:r>
              <w:rPr>
                <w:sz w:val="17"/>
              </w:rPr>
              <w:t>2,665</w:t>
            </w:r>
          </w:p>
        </w:tc>
        <w:tc>
          <w:tcPr>
            <w:tcW w:type="dxa" w:w="1440"/>
            <w:shd w:fill="C6EFCE" w:val="clear"/>
          </w:tcPr>
          <w:p>
            <w:r>
              <w:rPr>
                <w:b/>
                <w:color w:val="008000"/>
                <w:sz w:val="17"/>
              </w:rPr>
              <w:t>+2.8%</w:t>
            </w:r>
          </w:p>
        </w:tc>
      </w:tr>
      <w:tr>
        <w:tc>
          <w:tcPr>
            <w:tcW w:type="dxa" w:w="1440"/>
            <w:shd w:fill="C6EFCE" w:val="clear"/>
          </w:tcPr>
          <w:p>
            <w:r>
              <w:rPr>
                <w:sz w:val="17"/>
              </w:rPr>
              <w:t>J+2  Moyenne</w:t>
            </w:r>
          </w:p>
        </w:tc>
        <w:tc>
          <w:tcPr>
            <w:tcW w:type="dxa" w:w="1440"/>
            <w:shd w:fill="C6EFCE" w:val="clear"/>
          </w:tcPr>
          <w:p>
            <w:r>
              <w:rPr>
                <w:sz w:val="17"/>
              </w:rPr>
              <w:t>2026-10-13</w:t>
            </w:r>
          </w:p>
        </w:tc>
        <w:tc>
          <w:tcPr>
            <w:tcW w:type="dxa" w:w="1440"/>
            <w:shd w:fill="C6EFCE" w:val="clear"/>
          </w:tcPr>
          <w:p>
            <w:r>
              <w:rPr>
                <w:sz w:val="17"/>
              </w:rPr>
              <w:t>2,408</w:t>
            </w:r>
          </w:p>
        </w:tc>
        <w:tc>
          <w:tcPr>
            <w:tcW w:type="dxa" w:w="1440"/>
            <w:shd w:fill="C6EFCE" w:val="clear"/>
          </w:tcPr>
          <w:p>
            <w:r>
              <w:rPr>
                <w:b/>
                <w:sz w:val="17"/>
              </w:rPr>
              <w:t>2,626</w:t>
            </w:r>
          </w:p>
        </w:tc>
        <w:tc>
          <w:tcPr>
            <w:tcW w:type="dxa" w:w="1440"/>
            <w:shd w:fill="C6EFCE" w:val="clear"/>
          </w:tcPr>
          <w:p>
            <w:r>
              <w:rPr>
                <w:sz w:val="17"/>
              </w:rPr>
              <w:t>2,844</w:t>
            </w:r>
          </w:p>
        </w:tc>
        <w:tc>
          <w:tcPr>
            <w:tcW w:type="dxa" w:w="1440"/>
            <w:shd w:fill="C6EFCE" w:val="clear"/>
          </w:tcPr>
          <w:p>
            <w:r>
              <w:rPr>
                <w:b/>
                <w:color w:val="008000"/>
                <w:sz w:val="17"/>
              </w:rPr>
              <w:t>+7.2%</w:t>
            </w:r>
          </w:p>
        </w:tc>
      </w:tr>
      <w:tr>
        <w:tc>
          <w:tcPr>
            <w:tcW w:type="dxa" w:w="1440"/>
            <w:shd w:fill="C6EFCE" w:val="clear"/>
          </w:tcPr>
          <w:p>
            <w:r>
              <w:rPr>
                <w:sz w:val="17"/>
              </w:rPr>
              <w:t>J+3  Moyenne</w:t>
            </w:r>
          </w:p>
        </w:tc>
        <w:tc>
          <w:tcPr>
            <w:tcW w:type="dxa" w:w="1440"/>
            <w:shd w:fill="C6EFCE" w:val="clear"/>
          </w:tcPr>
          <w:p>
            <w:r>
              <w:rPr>
                <w:sz w:val="17"/>
              </w:rPr>
              <w:t>2026-10-14</w:t>
            </w:r>
          </w:p>
        </w:tc>
        <w:tc>
          <w:tcPr>
            <w:tcW w:type="dxa" w:w="1440"/>
            <w:shd w:fill="C6EFCE" w:val="clear"/>
          </w:tcPr>
          <w:p>
            <w:r>
              <w:rPr>
                <w:sz w:val="17"/>
              </w:rPr>
              <w:t>2,461</w:t>
            </w:r>
          </w:p>
        </w:tc>
        <w:tc>
          <w:tcPr>
            <w:tcW w:type="dxa" w:w="1440"/>
            <w:shd w:fill="C6EFCE" w:val="clear"/>
          </w:tcPr>
          <w:p>
            <w:r>
              <w:rPr>
                <w:b/>
                <w:sz w:val="17"/>
              </w:rPr>
              <w:t>2,739</w:t>
            </w:r>
          </w:p>
        </w:tc>
        <w:tc>
          <w:tcPr>
            <w:tcW w:type="dxa" w:w="1440"/>
            <w:shd w:fill="C6EFCE" w:val="clear"/>
          </w:tcPr>
          <w:p>
            <w:r>
              <w:rPr>
                <w:sz w:val="17"/>
              </w:rPr>
              <w:t>3,017</w:t>
            </w:r>
          </w:p>
        </w:tc>
        <w:tc>
          <w:tcPr>
            <w:tcW w:type="dxa" w:w="1440"/>
            <w:shd w:fill="C6EFCE" w:val="clear"/>
          </w:tcPr>
          <w:p>
            <w:r>
              <w:rPr>
                <w:b/>
                <w:color w:val="008000"/>
                <w:sz w:val="17"/>
              </w:rPr>
              <w:t>+11.8%</w:t>
            </w:r>
          </w:p>
        </w:tc>
      </w:tr>
      <w:tr>
        <w:tc>
          <w:tcPr>
            <w:tcW w:type="dxa" w:w="1440"/>
            <w:shd w:fill="C6EFCE" w:val="clear"/>
          </w:tcPr>
          <w:p>
            <w:r>
              <w:rPr>
                <w:sz w:val="17"/>
              </w:rPr>
              <w:t>J+4  ⭐</w:t>
            </w:r>
          </w:p>
        </w:tc>
        <w:tc>
          <w:tcPr>
            <w:tcW w:type="dxa" w:w="1440"/>
            <w:shd w:fill="C6EFCE" w:val="clear"/>
          </w:tcPr>
          <w:p>
            <w:r>
              <w:rPr>
                <w:sz w:val="17"/>
              </w:rPr>
              <w:t>2026-10-15</w:t>
            </w:r>
          </w:p>
        </w:tc>
        <w:tc>
          <w:tcPr>
            <w:tcW w:type="dxa" w:w="1440"/>
            <w:shd w:fill="C6EFCE" w:val="clear"/>
          </w:tcPr>
          <w:p>
            <w:r>
              <w:rPr>
                <w:sz w:val="17"/>
              </w:rPr>
              <w:t>2,502</w:t>
            </w:r>
          </w:p>
        </w:tc>
        <w:tc>
          <w:tcPr>
            <w:tcW w:type="dxa" w:w="1440"/>
            <w:shd w:fill="C6EFCE" w:val="clear"/>
          </w:tcPr>
          <w:p>
            <w:r>
              <w:rPr>
                <w:b/>
                <w:sz w:val="17"/>
              </w:rPr>
              <w:t>2,834</w:t>
            </w:r>
          </w:p>
        </w:tc>
        <w:tc>
          <w:tcPr>
            <w:tcW w:type="dxa" w:w="1440"/>
            <w:shd w:fill="C6EFCE" w:val="clear"/>
          </w:tcPr>
          <w:p>
            <w:r>
              <w:rPr>
                <w:sz w:val="17"/>
              </w:rPr>
              <w:t>3,167</w:t>
            </w:r>
          </w:p>
        </w:tc>
        <w:tc>
          <w:tcPr>
            <w:tcW w:type="dxa" w:w="1440"/>
            <w:shd w:fill="C6EFCE" w:val="clear"/>
          </w:tcPr>
          <w:p>
            <w:r>
              <w:rPr>
                <w:b/>
                <w:color w:val="008000"/>
                <w:sz w:val="17"/>
              </w:rPr>
              <w:t>+15.7%</w:t>
            </w:r>
          </w:p>
        </w:tc>
      </w:tr>
      <w:tr>
        <w:tc>
          <w:tcPr>
            <w:tcW w:type="dxa" w:w="1440"/>
            <w:shd w:fill="C6EFCE" w:val="clear"/>
          </w:tcPr>
          <w:p>
            <w:r>
              <w:rPr>
                <w:sz w:val="17"/>
              </w:rPr>
              <w:t>J+5  ⭐</w:t>
            </w:r>
          </w:p>
        </w:tc>
        <w:tc>
          <w:tcPr>
            <w:tcW w:type="dxa" w:w="1440"/>
            <w:shd w:fill="C6EFCE" w:val="clear"/>
          </w:tcPr>
          <w:p>
            <w:r>
              <w:rPr>
                <w:sz w:val="17"/>
              </w:rPr>
              <w:t>2026-10-16</w:t>
            </w:r>
          </w:p>
        </w:tc>
        <w:tc>
          <w:tcPr>
            <w:tcW w:type="dxa" w:w="1440"/>
            <w:shd w:fill="C6EFCE" w:val="clear"/>
          </w:tcPr>
          <w:p>
            <w:r>
              <w:rPr>
                <w:sz w:val="17"/>
              </w:rPr>
              <w:t>2,532</w:t>
            </w:r>
          </w:p>
        </w:tc>
        <w:tc>
          <w:tcPr>
            <w:tcW w:type="dxa" w:w="1440"/>
            <w:shd w:fill="C6EFCE" w:val="clear"/>
          </w:tcPr>
          <w:p>
            <w:r>
              <w:rPr>
                <w:b/>
                <w:sz w:val="17"/>
              </w:rPr>
              <w:t>2,914</w:t>
            </w:r>
          </w:p>
        </w:tc>
        <w:tc>
          <w:tcPr>
            <w:tcW w:type="dxa" w:w="1440"/>
            <w:shd w:fill="C6EFCE" w:val="clear"/>
          </w:tcPr>
          <w:p>
            <w:r>
              <w:rPr>
                <w:sz w:val="17"/>
              </w:rPr>
              <w:t>3,296</w:t>
            </w:r>
          </w:p>
        </w:tc>
        <w:tc>
          <w:tcPr>
            <w:tcW w:type="dxa" w:w="1440"/>
            <w:shd w:fill="C6EFCE" w:val="clear"/>
          </w:tcPr>
          <w:p>
            <w:r>
              <w:rPr>
                <w:b/>
                <w:color w:val="008000"/>
                <w:sz w:val="17"/>
              </w:rPr>
              <w:t>+18.9%</w:t>
            </w:r>
          </w:p>
        </w:tc>
      </w:tr>
      <w:tr>
        <w:tc>
          <w:tcPr>
            <w:tcW w:type="dxa" w:w="1440"/>
            <w:shd w:fill="C6EFCE" w:val="clear"/>
          </w:tcPr>
          <w:p>
            <w:r>
              <w:rPr>
                <w:sz w:val="17"/>
              </w:rPr>
              <w:t>J+6  ⭐</w:t>
            </w:r>
          </w:p>
        </w:tc>
        <w:tc>
          <w:tcPr>
            <w:tcW w:type="dxa" w:w="1440"/>
            <w:shd w:fill="C6EFCE" w:val="clear"/>
          </w:tcPr>
          <w:p>
            <w:r>
              <w:rPr>
                <w:sz w:val="17"/>
              </w:rPr>
              <w:t>2026-10-19</w:t>
            </w:r>
          </w:p>
        </w:tc>
        <w:tc>
          <w:tcPr>
            <w:tcW w:type="dxa" w:w="1440"/>
            <w:shd w:fill="C6EFCE" w:val="clear"/>
          </w:tcPr>
          <w:p>
            <w:r>
              <w:rPr>
                <w:sz w:val="17"/>
              </w:rPr>
              <w:t>2,553</w:t>
            </w:r>
          </w:p>
        </w:tc>
        <w:tc>
          <w:tcPr>
            <w:tcW w:type="dxa" w:w="1440"/>
            <w:shd w:fill="C6EFCE" w:val="clear"/>
          </w:tcPr>
          <w:p>
            <w:r>
              <w:rPr>
                <w:b/>
                <w:sz w:val="17"/>
              </w:rPr>
              <w:t>2,982</w:t>
            </w:r>
          </w:p>
        </w:tc>
        <w:tc>
          <w:tcPr>
            <w:tcW w:type="dxa" w:w="1440"/>
            <w:shd w:fill="C6EFCE" w:val="clear"/>
          </w:tcPr>
          <w:p>
            <w:r>
              <w:rPr>
                <w:sz w:val="17"/>
              </w:rPr>
              <w:t>3,410</w:t>
            </w:r>
          </w:p>
        </w:tc>
        <w:tc>
          <w:tcPr>
            <w:tcW w:type="dxa" w:w="1440"/>
            <w:shd w:fill="C6EFCE" w:val="clear"/>
          </w:tcPr>
          <w:p>
            <w:r>
              <w:rPr>
                <w:b/>
                <w:color w:val="008000"/>
                <w:sz w:val="17"/>
              </w:rPr>
              <w:t>+21.7%</w:t>
            </w:r>
          </w:p>
        </w:tc>
      </w:tr>
      <w:tr>
        <w:tc>
          <w:tcPr>
            <w:tcW w:type="dxa" w:w="1440"/>
            <w:shd w:fill="C6EFCE" w:val="clear"/>
          </w:tcPr>
          <w:p>
            <w:r>
              <w:rPr>
                <w:sz w:val="17"/>
              </w:rPr>
              <w:t>J+7  ⭐</w:t>
            </w:r>
          </w:p>
        </w:tc>
        <w:tc>
          <w:tcPr>
            <w:tcW w:type="dxa" w:w="1440"/>
            <w:shd w:fill="C6EFCE" w:val="clear"/>
          </w:tcPr>
          <w:p>
            <w:r>
              <w:rPr>
                <w:sz w:val="17"/>
              </w:rPr>
              <w:t>2026-10-20</w:t>
            </w:r>
          </w:p>
        </w:tc>
        <w:tc>
          <w:tcPr>
            <w:tcW w:type="dxa" w:w="1440"/>
            <w:shd w:fill="C6EFCE" w:val="clear"/>
          </w:tcPr>
          <w:p>
            <w:r>
              <w:rPr>
                <w:sz w:val="17"/>
              </w:rPr>
              <w:t>2,569</w:t>
            </w:r>
          </w:p>
        </w:tc>
        <w:tc>
          <w:tcPr>
            <w:tcW w:type="dxa" w:w="1440"/>
            <w:shd w:fill="C6EFCE" w:val="clear"/>
          </w:tcPr>
          <w:p>
            <w:r>
              <w:rPr>
                <w:b/>
                <w:sz w:val="17"/>
              </w:rPr>
              <w:t>3,041</w:t>
            </w:r>
          </w:p>
        </w:tc>
        <w:tc>
          <w:tcPr>
            <w:tcW w:type="dxa" w:w="1440"/>
            <w:shd w:fill="C6EFCE" w:val="clear"/>
          </w:tcPr>
          <w:p>
            <w:r>
              <w:rPr>
                <w:sz w:val="17"/>
              </w:rPr>
              <w:t>3,513</w:t>
            </w:r>
          </w:p>
        </w:tc>
        <w:tc>
          <w:tcPr>
            <w:tcW w:type="dxa" w:w="1440"/>
            <w:shd w:fill="C6EFCE" w:val="clear"/>
          </w:tcPr>
          <w:p>
            <w:r>
              <w:rPr>
                <w:b/>
                <w:color w:val="008000"/>
                <w:sz w:val="17"/>
              </w:rPr>
              <w:t>+24.1%</w:t>
            </w:r>
          </w:p>
        </w:tc>
      </w:tr>
      <w:tr>
        <w:tc>
          <w:tcPr>
            <w:tcW w:type="dxa" w:w="1440"/>
            <w:shd w:fill="C6EFCE" w:val="clear"/>
          </w:tcPr>
          <w:p>
            <w:r>
              <w:rPr>
                <w:sz w:val="17"/>
              </w:rPr>
              <w:t>J+8  ⭐</w:t>
            </w:r>
          </w:p>
        </w:tc>
        <w:tc>
          <w:tcPr>
            <w:tcW w:type="dxa" w:w="1440"/>
            <w:shd w:fill="C6EFCE" w:val="clear"/>
          </w:tcPr>
          <w:p>
            <w:r>
              <w:rPr>
                <w:sz w:val="17"/>
              </w:rPr>
              <w:t>2026-10-21</w:t>
            </w:r>
          </w:p>
        </w:tc>
        <w:tc>
          <w:tcPr>
            <w:tcW w:type="dxa" w:w="1440"/>
            <w:shd w:fill="C6EFCE" w:val="clear"/>
          </w:tcPr>
          <w:p>
            <w:r>
              <w:rPr>
                <w:sz w:val="17"/>
              </w:rPr>
              <w:t>2,581</w:t>
            </w:r>
          </w:p>
        </w:tc>
        <w:tc>
          <w:tcPr>
            <w:tcW w:type="dxa" w:w="1440"/>
            <w:shd w:fill="C6EFCE" w:val="clear"/>
          </w:tcPr>
          <w:p>
            <w:r>
              <w:rPr>
                <w:b/>
                <w:sz w:val="17"/>
              </w:rPr>
              <w:t>3,094</w:t>
            </w:r>
          </w:p>
        </w:tc>
        <w:tc>
          <w:tcPr>
            <w:tcW w:type="dxa" w:w="1440"/>
            <w:shd w:fill="C6EFCE" w:val="clear"/>
          </w:tcPr>
          <w:p>
            <w:r>
              <w:rPr>
                <w:sz w:val="17"/>
              </w:rPr>
              <w:t>3,607</w:t>
            </w:r>
          </w:p>
        </w:tc>
        <w:tc>
          <w:tcPr>
            <w:tcW w:type="dxa" w:w="1440"/>
            <w:shd w:fill="C6EFCE" w:val="clear"/>
          </w:tcPr>
          <w:p>
            <w:r>
              <w:rPr>
                <w:b/>
                <w:color w:val="008000"/>
                <w:sz w:val="17"/>
              </w:rPr>
              <w:t>+26.3%</w:t>
            </w:r>
          </w:p>
        </w:tc>
      </w:tr>
      <w:tr>
        <w:tc>
          <w:tcPr>
            <w:tcW w:type="dxa" w:w="1440"/>
            <w:shd w:fill="C6EFCE" w:val="clear"/>
          </w:tcPr>
          <w:p>
            <w:r>
              <w:rPr>
                <w:sz w:val="17"/>
              </w:rPr>
              <w:t>J+9  ⭐</w:t>
            </w:r>
          </w:p>
        </w:tc>
        <w:tc>
          <w:tcPr>
            <w:tcW w:type="dxa" w:w="1440"/>
            <w:shd w:fill="C6EFCE" w:val="clear"/>
          </w:tcPr>
          <w:p>
            <w:r>
              <w:rPr>
                <w:sz w:val="17"/>
              </w:rPr>
              <w:t>2026-10-22</w:t>
            </w:r>
          </w:p>
        </w:tc>
        <w:tc>
          <w:tcPr>
            <w:tcW w:type="dxa" w:w="1440"/>
            <w:shd w:fill="C6EFCE" w:val="clear"/>
          </w:tcPr>
          <w:p>
            <w:r>
              <w:rPr>
                <w:sz w:val="17"/>
              </w:rPr>
              <w:t>2,588</w:t>
            </w:r>
          </w:p>
        </w:tc>
        <w:tc>
          <w:tcPr>
            <w:tcW w:type="dxa" w:w="1440"/>
            <w:shd w:fill="C6EFCE" w:val="clear"/>
          </w:tcPr>
          <w:p>
            <w:r>
              <w:rPr>
                <w:b/>
                <w:sz w:val="17"/>
              </w:rPr>
              <w:t>3,140</w:t>
            </w:r>
          </w:p>
        </w:tc>
        <w:tc>
          <w:tcPr>
            <w:tcW w:type="dxa" w:w="1440"/>
            <w:shd w:fill="C6EFCE" w:val="clear"/>
          </w:tcPr>
          <w:p>
            <w:r>
              <w:rPr>
                <w:sz w:val="17"/>
              </w:rPr>
              <w:t>3,693</w:t>
            </w:r>
          </w:p>
        </w:tc>
        <w:tc>
          <w:tcPr>
            <w:tcW w:type="dxa" w:w="1440"/>
            <w:shd w:fill="C6EFCE" w:val="clear"/>
          </w:tcPr>
          <w:p>
            <w:r>
              <w:rPr>
                <w:b/>
                <w:color w:val="008000"/>
                <w:sz w:val="17"/>
              </w:rPr>
              <w:t>+28.2%</w:t>
            </w:r>
          </w:p>
        </w:tc>
      </w:tr>
      <w:tr>
        <w:tc>
          <w:tcPr>
            <w:tcW w:type="dxa" w:w="1440"/>
            <w:shd w:fill="C6EFCE" w:val="clear"/>
          </w:tcPr>
          <w:p>
            <w:r>
              <w:rPr>
                <w:sz w:val="17"/>
              </w:rPr>
              <w:t>J+10  ⭐</w:t>
            </w:r>
          </w:p>
        </w:tc>
        <w:tc>
          <w:tcPr>
            <w:tcW w:type="dxa" w:w="1440"/>
            <w:shd w:fill="C6EFCE" w:val="clear"/>
          </w:tcPr>
          <w:p>
            <w:r>
              <w:rPr>
                <w:sz w:val="17"/>
              </w:rPr>
              <w:t>2026-10-23</w:t>
            </w:r>
          </w:p>
        </w:tc>
        <w:tc>
          <w:tcPr>
            <w:tcW w:type="dxa" w:w="1440"/>
            <w:shd w:fill="C6EFCE" w:val="clear"/>
          </w:tcPr>
          <w:p>
            <w:r>
              <w:rPr>
                <w:sz w:val="17"/>
              </w:rPr>
              <w:t>2,591</w:t>
            </w:r>
          </w:p>
        </w:tc>
        <w:tc>
          <w:tcPr>
            <w:tcW w:type="dxa" w:w="1440"/>
            <w:shd w:fill="C6EFCE" w:val="clear"/>
          </w:tcPr>
          <w:p>
            <w:r>
              <w:rPr>
                <w:b/>
                <w:sz w:val="17"/>
              </w:rPr>
              <w:t>3,181</w:t>
            </w:r>
          </w:p>
        </w:tc>
        <w:tc>
          <w:tcPr>
            <w:tcW w:type="dxa" w:w="1440"/>
            <w:shd w:fill="C6EFCE" w:val="clear"/>
          </w:tcPr>
          <w:p>
            <w:r>
              <w:rPr>
                <w:sz w:val="17"/>
              </w:rPr>
              <w:t>3,770</w:t>
            </w:r>
          </w:p>
        </w:tc>
        <w:tc>
          <w:tcPr>
            <w:tcW w:type="dxa" w:w="1440"/>
            <w:shd w:fill="C6EFCE" w:val="clear"/>
          </w:tcPr>
          <w:p>
            <w:r>
              <w:rPr>
                <w:b/>
                <w:color w:val="008000"/>
                <w:sz w:val="17"/>
              </w:rPr>
              <w:t>+29.8%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**RAPPORT D'ANALYSE FINANCIÈRE — SCRC (SUCRIVOIRE)**</w:t>
        <w:br/>
        <w:t>*Bourse Régionale des Valeurs Mobilières (BRVM) — Secteur : Agro-industrie / Sucre*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48,02 milliards FCFA, SCRC se situe dans la catégorie des valeurs moyennes de la BRVM, représentant une capitalisation modeste à l'échelle du marché régional. Le BPA s'établit à -406 FCFA/action, traduisant une société en situation de déficit net sur l'exercice 2025, ce qui rend le PER inexploitable en l'état (affiché à -6,0x, un PER négatif signalant simplement l'absence de bénéfices). Le P/B de 2,78x indique que le marché valorise le titre à près de trois fois sa valeur comptable (capitaux propres de 17,24 Mds FCFA), soit une prime de croissance significative qui contraste fortement avec la dégradation des fondamentaux. L'EV/EBITDA de 9,4x, dans la fourchette raisonnable de 5-10x, suggère que la valeur d'entreprise reste cohérente avec la capacité opérationnelle dégagée (EBE de 14,85 Mds FCFA), mais cette lecture doit être nuancée par le poids écrasant de la dette financière (84,87 Mds FCFA) qui gonfle la valeur d'entreprise. En synthèse, la valorisation boursière apparaît tendue au regard de la réalité financière : le marché accorde une prime de croissance à une société qui affiche une perte nette de 7,95 Mds FCFA et un ROE de -46,13%.</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SCRC affiche une variation totale positive de +8,41%, mais la dernière séance (J-1) enregistre un repli marqué de -2,39%, signalant une pression vendeuse récente. Le titre évolue actuellement à 2 450 FCFA, après avoir oscillé entre un plus haut de 3 920 FCFA et un plus bas de 2 205 FCFA, soit un range de trading très large de 1 715 FCFA (77,8% du plus bas), révélant une forte instabilité directionnelle. La tendance générale est baissière sur la seconde moitié de la période, le cours actuel se situant 37,5% en dessous du plus haut, bien que la variation globale reste positive grâce à un rebond antérieur. Les statistiques descriptives révèlent une distribution asymétrique : la moyenne (3 195 FCFA) est inférieure à la médiane (3 298 FCFA), confirmant un skewness négatif de -0,539, ce qui signifie que le cours a passé plus de journées au-dessus de la moyenne mais avec des chutes brutales tirant la moyenne vers le bas. L'écart-type de 427 FCFA (CV de 13,4%) indique une dispersion modérée autour de la moyenne, tandis que le kurtosis de -0,786 (mésokurtique) suggère une distribution proche de la normale, sans risque extrême de pics de volatilité. La volatilité annualisée de 57,1% classe ce titre dans la catégorie des valeurs à volatilité élevée (&gt;30%), ce qui implique un risque de perte en capital significatif et nécessite une tolérance au risque élevée.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(2 989,5 FCFA) et la MM50 (3 333,6 FCFA) se situent toutes deux nettement au-dessus du cours actuel (2 450 FCFA), avec la MM20 en dessous de la MM50, configuration baissière classique. Le cours évolue sous ses deux moyennes mobiles, confirmant une pression vendeuse persistante et une tendance de fond négative. La décision technique est logiquement **Vente**, le croisement des moyennes mobiles n'offrant aucun signal de retournement haussier à court terme.</w:t>
      </w:r>
    </w:p>
    <w:p>
      <w:pPr>
        <w:spacing w:after="120" w:line="276" w:lineRule="auto"/>
      </w:pPr>
      <w:r>
        <w:t>**Bandes de Bollinger** : Le cours (2 450 FCFA) se situe dans la partie basse des bandes, proche de la borne inférieure (2 363,03 FCFA) et très éloigné de la borne supérieure (3 615,97 FCFA), ce qui traduit une pression baissière mais aussi une possible zone de survente. L'écart entre les bornes (1 252,94 FCFA) reflète une volatilité élevée, cohérente avec la volatilité annualisée de 57,1%. La décision est **Neutre**, le cours n'ayant pas encore cassé la borne inférieure, ce qui laisse une possibilité de rebond technique.</w:t>
      </w:r>
    </w:p>
    <w:p>
      <w:pPr>
        <w:spacing w:after="120" w:line="276" w:lineRule="auto"/>
      </w:pPr>
      <w:r>
        <w:t>**MACD** : Le MACD (-225,671) est inférieur à son signal (-184,138), avec un histogramme négatif, confirmant un momentum baissier toujours actif. La divergence entre les deux lignes reste défavorable, bien que l'écart se réduise légèrement, ce qui pourrait annoncer un ralentissement de la baisse. La décision est **Vente**, le MACD n'ayant pas encore croisé son signal à la hausse.</w:t>
      </w:r>
    </w:p>
    <w:p>
      <w:pPr>
        <w:spacing w:after="120" w:line="276" w:lineRule="auto"/>
      </w:pPr>
      <w:r>
        <w:t>**RSI** : Le RSI s'établit à 25,15, en zone de survente (&lt;30), ce qui indique que le titre a été massivement vendu et pourrait être sujet à un rebond technique à court terme. Cette configuration est typique d'une capitulation vendeuse, mais elle ne garantit pas un retournement durable sans confirmation d'autres indicateurs. La décision est **Achat**, le RSI signalant une opportunité contrariante.</w:t>
      </w:r>
    </w:p>
    <w:p>
      <w:pPr>
        <w:spacing w:after="120" w:line="276" w:lineRule="auto"/>
      </w:pPr>
      <w:r>
        <w:t>**Stochastique** : Le %K (0,0) est en dessous du %D (0,556), avec un %K au plus bas absolu, confirmant une survente extrême et une pression vendeuse maximale. Le croisement des lignes n'est pas encore haussier, mais la position du %K à 0 suggère que la baisse pourrait s'essouffler. La décision est **Achat**, en anticipation d'un rebond technique.</w:t>
      </w:r>
    </w:p>
    <w:p>
      <w:pPr>
        <w:spacing w:after="120" w:line="276" w:lineRule="auto"/>
      </w:pPr>
      <w:r>
        <w:t>**Conclusion technique** : Les indicateurs sont majoritairement baissiers (MM, MACD) mais deux oscillateurs (RSI et Stochastique) signalent une survente extrême, créant une divergence classique entre tendance et momentum. Cette configuration suggère qu'un rebond technique à court terme est possible, mais il ne remettrait pas en cause la tendance baissière de fond tant que le cours reste sous la MM20 (2 989,5 FCFA). La prudence est de mise : un achat contrariant est envisageable pour les traders agressifs, mais les investisseurs prudents attendront une confirmation de retournement (cassure de la MM20).</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(états financiers annuels) brossent un tableau préoccupant : le chiffre d'affaires s'établit à 80,57 Mds FCFA, en recul de 7,6% par rapport à 2024 (87,22 Mds FCFA), tandis que le résultat net plonge à -7,95 Mds FCFA (contre un bénéfice de 2,47 Mds FCFA en 2024), soit une dégradation de 421%. Le ROE s'effondre à -46,13% et le ROA à -5,08%, confirmant une destruction de valeur massive pour les actionnaires. La marge nette est négative à -9,87%, et la marge opérationnelle à -0,68%, tandis que la marge brute reste élevée à 45,82%, ce qui indique que le problème ne vient pas du coût des ventes mais des charges financières (6,79 Mds FCFA) et des charges de personnel (10,39 Mds FCFA). La structure financière est critique : l'autonomie financière n'est que de 11,02% (capitaux propres de 17,24 Mds FCFA pour un total bilan de 156,43 Mds FCFA), le ratio d'endettement atteint 88,98% et la dépendance financière 492,21%, avec des dettes financières totales de 84,87 Mds FCFA. Le BFR est négatif à -6,53 Mds FCFA (favorable), mais le fonds de roulement est négatif à -10,67 Mds FCFA et la trésorerie nette à -6,51 Mds FCFA, signalant des tensions de liquidité. Les délais d'exploitation sont contrastés : délai clients très court (12,28 jours, bon pour la trésorerie), délai fournisseurs très long (366,07 jours, favorable), mais durée de stockage élevée (360,73 jours, immobilisation de capital). Les rapports narratifs (S1 2025, T1 2025, rapports annuels 2024) confirment cette dégradation : le S1 2025 affichait déjà une perte nette de -6,71 Mds FCFA, et le T1 2025 un résultat net de 3,21 Mds FCFA en repli de 32%. Les perspectives pour 2026 restent très préoccupantes selon les rapports (RAPPORT 1, 2 et 3 de 2025), qui recommandent tous la **Vente** en raison du niveau d'endettement critique et de l'explosion des charges financières. La seule note positive vient des investissements massifs (25,2 Mds FCFA en 2025) qui pourraient soutenir une reprise à moyen terme, mais ils pèsent lourdement sur la trésorerie à court terme. En conclusion, la situation fondamentale est très fragile : la société est techniquement en situation de quasi-défaillance financière, avec des capitaux propres qui fondent et une dette qui explose, rendant toute reprise dépendante d'une restructuration financière réussie et d'une amélioration opérationnelle rapide.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majeure entre les signaux. La valorisation (Partie 0) apparaît surévaluée : le P/B de 2,78x et l'EV/EBITDA de 9,4x ne sont pas justifiés par les fondamentaux, le PER négatif confirmant l'absence de bénéfices. Le comportement du cours (Partie 1) est préoccupant : malgré une variation positive de +8,41% sur 100 jours, la tendance récente est baissière (-2,39% en J-1), avec une volatilité élevée (57,1%) et un skewness négatif indiquant des chutes brutales. Les signaux techniques (Partie 2) sont contradictoires : les moyennes mobiles et le MACD sont baissiers, mais le RSI (25,15) et le Stochastique (%K=0) signalent une survente extrême, créant une opportunité de rebond technique à court terme. Les fondamentaux (Partie 3) sont très dégradés : perte nette de 7,95 Mds FCFA en 2025, ROE de -46,13%, endettement critique (88,98% de ratio d'endettement), et les rapports officiels recommandent tous la Vente. Les prédictions IA (J+1 à J+10) anticipent une hausse progressive de 2 517 FCFA à 2 914 FCFA, ce qui contredit les signaux fondamentaux et techniques baissiers, mais confirme le potentiel de rebond technique identifié par le RSI et le Stochastique. Sur la base de cette synthèse, la recommandation finale est **VENTE** (ou **CONSERVER** pour les investisseurs déjà positionnés avec une tolérance au risque élevée). La convergence entre fondamentaux désastreux, valorisation tendue et tendance baissière de fond l'emporte sur le rebond technique anticipé par les prédictions IA, qui reste spéculatif et fragile. Le niveau de confiance est **Moyen** (les signaux techniques de survente et les prédictions IA introduisent une incertitude), et le niveau de risque global est **Élevé** (volatilité de 57,1%, endettement critique, perte nette massive). L'horizon d'investissement optimal est **court terme** (&lt;3 mois) pour les traders cherchant à capturer le rebond technique, mais **déconseillé** pour les investisseurs long terme en raison de la fragilité financière structurelle. Une position attentiste est recommandée, en attendant les résultats du premier semestre 2026 pour évaluer si la restructuration financière et les investissements massifs portent leurs fruits.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30.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116.91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1,506 titres</w:t>
            </w:r>
          </w:p>
        </w:tc>
        <w:tc>
          <w:tcPr>
            <w:tcW w:type="dxa" w:w="2268"/>
            <w:shd w:fill="FFF2CC" w:val="clear"/>
          </w:tcPr>
          <w:p>
            <w:r>
              <w:rPr>
                <w:b/>
                <w:color w:val="503200"/>
                <w:sz w:val="16"/>
              </w:rPr>
              <w:t xml:space="preserve">Cours actuel : </w:t>
            </w:r>
            <w:r>
              <w:rPr>
                <w:color w:val="000000"/>
                <w:sz w:val="17"/>
              </w:rPr>
              <w:t>12,990 FCFA</w:t>
            </w:r>
          </w:p>
          <w:p>
            <w:r>
              <w:rPr>
                <w:b/>
                <w:color w:val="503200"/>
                <w:sz w:val="16"/>
              </w:rPr>
              <w:t xml:space="preserve">Var. 100 jours : </w:t>
            </w:r>
            <w:r>
              <w:rPr>
                <w:b/>
                <w:color w:val="007800"/>
                <w:sz w:val="17"/>
              </w:rPr>
              <w:t>+22.09%</w:t>
            </w:r>
          </w:p>
          <w:p>
            <w:r>
              <w:rPr>
                <w:b/>
                <w:color w:val="503200"/>
                <w:sz w:val="16"/>
              </w:rPr>
              <w:t xml:space="preserve">Plus haut 100j : </w:t>
            </w:r>
            <w:r>
              <w:rPr>
                <w:color w:val="000000"/>
                <w:sz w:val="17"/>
              </w:rPr>
              <w:t>13,885 FCFA</w:t>
            </w:r>
          </w:p>
          <w:p>
            <w:r>
              <w:rPr>
                <w:b/>
                <w:color w:val="503200"/>
                <w:sz w:val="16"/>
              </w:rPr>
              <w:t xml:space="preserve">Plus bas 100j : </w:t>
            </w:r>
            <w:r>
              <w:rPr>
                <w:color w:val="000000"/>
                <w:sz w:val="17"/>
              </w:rPr>
              <w:t>10,640 FCFA</w:t>
            </w:r>
          </w:p>
          <w:p>
            <w:r>
              <w:rPr>
                <w:b/>
                <w:color w:val="503200"/>
                <w:sz w:val="16"/>
              </w:rPr>
              <w:t xml:space="preserve">Volatilité ann. : </w:t>
            </w:r>
            <w:r>
              <w:rPr>
                <w:color w:val="000000"/>
                <w:sz w:val="17"/>
              </w:rPr>
              <w:t>36.7%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6.03% (Moyenne) — μ=12,100 FCFA, σ=730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β=0.6893 (Défensif) — Cov=0.000050, Var(idx)=0.000073, ρ=0.254,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1,506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12,302</w:t>
            </w:r>
          </w:p>
        </w:tc>
        <w:tc>
          <w:tcPr>
            <w:tcW w:type="dxa" w:w="1440"/>
            <w:shd w:fill="FAFAFA" w:val="clear"/>
          </w:tcPr>
          <w:p>
            <w:r>
              <w:rPr>
                <w:b/>
                <w:sz w:val="17"/>
              </w:rPr>
              <w:t>12,996</w:t>
            </w:r>
          </w:p>
        </w:tc>
        <w:tc>
          <w:tcPr>
            <w:tcW w:type="dxa" w:w="1440"/>
            <w:shd w:fill="FAFAFA" w:val="clear"/>
          </w:tcPr>
          <w:p>
            <w:r>
              <w:rPr>
                <w:sz w:val="17"/>
              </w:rPr>
              <w:t>13,690</w:t>
            </w:r>
          </w:p>
        </w:tc>
        <w:tc>
          <w:tcPr>
            <w:tcW w:type="dxa" w:w="1440"/>
            <w:shd w:fill="FAFAFA" w:val="clear"/>
          </w:tcPr>
          <w:p>
            <w:r>
              <w:rPr>
                <w:b/>
                <w:color w:val="008000"/>
                <w:sz w:val="17"/>
              </w:rPr>
              <w:t>+0.0%</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12,027</w:t>
            </w:r>
          </w:p>
        </w:tc>
        <w:tc>
          <w:tcPr>
            <w:tcW w:type="dxa" w:w="1440"/>
            <w:shd w:fill="FAFAFA" w:val="clear"/>
          </w:tcPr>
          <w:p>
            <w:r>
              <w:rPr>
                <w:b/>
                <w:sz w:val="17"/>
              </w:rPr>
              <w:t>13,009</w:t>
            </w:r>
          </w:p>
        </w:tc>
        <w:tc>
          <w:tcPr>
            <w:tcW w:type="dxa" w:w="1440"/>
            <w:shd w:fill="FAFAFA" w:val="clear"/>
          </w:tcPr>
          <w:p>
            <w:r>
              <w:rPr>
                <w:sz w:val="17"/>
              </w:rPr>
              <w:t>13,991</w:t>
            </w:r>
          </w:p>
        </w:tc>
        <w:tc>
          <w:tcPr>
            <w:tcW w:type="dxa" w:w="1440"/>
            <w:shd w:fill="FAFAFA" w:val="clear"/>
          </w:tcPr>
          <w:p>
            <w:r>
              <w:rPr>
                <w:b/>
                <w:color w:val="008000"/>
                <w:sz w:val="17"/>
              </w:rPr>
              <w:t>+0.1%</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11,822</w:t>
            </w:r>
          </w:p>
        </w:tc>
        <w:tc>
          <w:tcPr>
            <w:tcW w:type="dxa" w:w="1440"/>
            <w:shd w:fill="FAFAFA" w:val="clear"/>
          </w:tcPr>
          <w:p>
            <w:r>
              <w:rPr>
                <w:b/>
                <w:sz w:val="17"/>
              </w:rPr>
              <w:t>13,027</w:t>
            </w:r>
          </w:p>
        </w:tc>
        <w:tc>
          <w:tcPr>
            <w:tcW w:type="dxa" w:w="1440"/>
            <w:shd w:fill="FAFAFA" w:val="clear"/>
          </w:tcPr>
          <w:p>
            <w:r>
              <w:rPr>
                <w:sz w:val="17"/>
              </w:rPr>
              <w:t>14,232</w:t>
            </w:r>
          </w:p>
        </w:tc>
        <w:tc>
          <w:tcPr>
            <w:tcW w:type="dxa" w:w="1440"/>
            <w:shd w:fill="FAFAFA" w:val="clear"/>
          </w:tcPr>
          <w:p>
            <w:r>
              <w:rPr>
                <w:b/>
                <w:color w:val="008000"/>
                <w:sz w:val="17"/>
              </w:rPr>
              <w:t>+0.3%</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11,659</w:t>
            </w:r>
          </w:p>
        </w:tc>
        <w:tc>
          <w:tcPr>
            <w:tcW w:type="dxa" w:w="1440"/>
            <w:shd w:fill="FAFAFA" w:val="clear"/>
          </w:tcPr>
          <w:p>
            <w:r>
              <w:rPr>
                <w:b/>
                <w:sz w:val="17"/>
              </w:rPr>
              <w:t>13,053</w:t>
            </w:r>
          </w:p>
        </w:tc>
        <w:tc>
          <w:tcPr>
            <w:tcW w:type="dxa" w:w="1440"/>
            <w:shd w:fill="FAFAFA" w:val="clear"/>
          </w:tcPr>
          <w:p>
            <w:r>
              <w:rPr>
                <w:sz w:val="17"/>
              </w:rPr>
              <w:t>14,447</w:t>
            </w:r>
          </w:p>
        </w:tc>
        <w:tc>
          <w:tcPr>
            <w:tcW w:type="dxa" w:w="1440"/>
            <w:shd w:fill="FAFAFA" w:val="clear"/>
          </w:tcPr>
          <w:p>
            <w:r>
              <w:rPr>
                <w:b/>
                <w:color w:val="008000"/>
                <w:sz w:val="17"/>
              </w:rPr>
              <w:t>+0.5%</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11,510</w:t>
            </w:r>
          </w:p>
        </w:tc>
        <w:tc>
          <w:tcPr>
            <w:tcW w:type="dxa" w:w="1440"/>
            <w:shd w:fill="FAFAFA" w:val="clear"/>
          </w:tcPr>
          <w:p>
            <w:r>
              <w:rPr>
                <w:b/>
                <w:sz w:val="17"/>
              </w:rPr>
              <w:t>13,070</w:t>
            </w:r>
          </w:p>
        </w:tc>
        <w:tc>
          <w:tcPr>
            <w:tcW w:type="dxa" w:w="1440"/>
            <w:shd w:fill="FAFAFA" w:val="clear"/>
          </w:tcPr>
          <w:p>
            <w:r>
              <w:rPr>
                <w:sz w:val="17"/>
              </w:rPr>
              <w:t>14,631</w:t>
            </w:r>
          </w:p>
        </w:tc>
        <w:tc>
          <w:tcPr>
            <w:tcW w:type="dxa" w:w="1440"/>
            <w:shd w:fill="FAFAFA" w:val="clear"/>
          </w:tcPr>
          <w:p>
            <w:r>
              <w:rPr>
                <w:b/>
                <w:color w:val="008000"/>
                <w:sz w:val="17"/>
              </w:rPr>
              <w:t>+0.6%</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11,372</w:t>
            </w:r>
          </w:p>
        </w:tc>
        <w:tc>
          <w:tcPr>
            <w:tcW w:type="dxa" w:w="1440"/>
            <w:shd w:fill="FAFAFA" w:val="clear"/>
          </w:tcPr>
          <w:p>
            <w:r>
              <w:rPr>
                <w:b/>
                <w:sz w:val="17"/>
              </w:rPr>
              <w:t>13,083</w:t>
            </w:r>
          </w:p>
        </w:tc>
        <w:tc>
          <w:tcPr>
            <w:tcW w:type="dxa" w:w="1440"/>
            <w:shd w:fill="FAFAFA" w:val="clear"/>
          </w:tcPr>
          <w:p>
            <w:r>
              <w:rPr>
                <w:sz w:val="17"/>
              </w:rPr>
              <w:t>14,794</w:t>
            </w:r>
          </w:p>
        </w:tc>
        <w:tc>
          <w:tcPr>
            <w:tcW w:type="dxa" w:w="1440"/>
            <w:shd w:fill="FAFAFA" w:val="clear"/>
          </w:tcPr>
          <w:p>
            <w:r>
              <w:rPr>
                <w:b/>
                <w:color w:val="008000"/>
                <w:sz w:val="17"/>
              </w:rPr>
              <w:t>+0.7%</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11,245</w:t>
            </w:r>
          </w:p>
        </w:tc>
        <w:tc>
          <w:tcPr>
            <w:tcW w:type="dxa" w:w="1440"/>
            <w:shd w:fill="FAFAFA" w:val="clear"/>
          </w:tcPr>
          <w:p>
            <w:r>
              <w:rPr>
                <w:b/>
                <w:sz w:val="17"/>
              </w:rPr>
              <w:t>13,095</w:t>
            </w:r>
          </w:p>
        </w:tc>
        <w:tc>
          <w:tcPr>
            <w:tcW w:type="dxa" w:w="1440"/>
            <w:shd w:fill="FAFAFA" w:val="clear"/>
          </w:tcPr>
          <w:p>
            <w:r>
              <w:rPr>
                <w:sz w:val="17"/>
              </w:rPr>
              <w:t>14,945</w:t>
            </w:r>
          </w:p>
        </w:tc>
        <w:tc>
          <w:tcPr>
            <w:tcW w:type="dxa" w:w="1440"/>
            <w:shd w:fill="FAFAFA" w:val="clear"/>
          </w:tcPr>
          <w:p>
            <w:r>
              <w:rPr>
                <w:b/>
                <w:color w:val="008000"/>
                <w:sz w:val="17"/>
              </w:rPr>
              <w:t>+0.8%</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11,126</w:t>
            </w:r>
          </w:p>
        </w:tc>
        <w:tc>
          <w:tcPr>
            <w:tcW w:type="dxa" w:w="1440"/>
            <w:shd w:fill="FAFAFA" w:val="clear"/>
          </w:tcPr>
          <w:p>
            <w:r>
              <w:rPr>
                <w:b/>
                <w:sz w:val="17"/>
              </w:rPr>
              <w:t>13,105</w:t>
            </w:r>
          </w:p>
        </w:tc>
        <w:tc>
          <w:tcPr>
            <w:tcW w:type="dxa" w:w="1440"/>
            <w:shd w:fill="FAFAFA" w:val="clear"/>
          </w:tcPr>
          <w:p>
            <w:r>
              <w:rPr>
                <w:sz w:val="17"/>
              </w:rPr>
              <w:t>15,084</w:t>
            </w:r>
          </w:p>
        </w:tc>
        <w:tc>
          <w:tcPr>
            <w:tcW w:type="dxa" w:w="1440"/>
            <w:shd w:fill="FAFAFA" w:val="clear"/>
          </w:tcPr>
          <w:p>
            <w:r>
              <w:rPr>
                <w:b/>
                <w:color w:val="008000"/>
                <w:sz w:val="17"/>
              </w:rPr>
              <w:t>+0.9%</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11,014</w:t>
            </w:r>
          </w:p>
        </w:tc>
        <w:tc>
          <w:tcPr>
            <w:tcW w:type="dxa" w:w="1440"/>
            <w:shd w:fill="FAFAFA" w:val="clear"/>
          </w:tcPr>
          <w:p>
            <w:r>
              <w:rPr>
                <w:b/>
                <w:sz w:val="17"/>
              </w:rPr>
              <w:t>13,115</w:t>
            </w:r>
          </w:p>
        </w:tc>
        <w:tc>
          <w:tcPr>
            <w:tcW w:type="dxa" w:w="1440"/>
            <w:shd w:fill="FAFAFA" w:val="clear"/>
          </w:tcPr>
          <w:p>
            <w:r>
              <w:rPr>
                <w:sz w:val="17"/>
              </w:rPr>
              <w:t>15,216</w:t>
            </w:r>
          </w:p>
        </w:tc>
        <w:tc>
          <w:tcPr>
            <w:tcW w:type="dxa" w:w="1440"/>
            <w:shd w:fill="FAFAFA" w:val="clear"/>
          </w:tcPr>
          <w:p>
            <w:r>
              <w:rPr>
                <w:b/>
                <w:color w:val="008000"/>
                <w:sz w:val="17"/>
              </w:rPr>
              <w:t>+1.0%</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10,906</w:t>
            </w:r>
          </w:p>
        </w:tc>
        <w:tc>
          <w:tcPr>
            <w:tcW w:type="dxa" w:w="1440"/>
            <w:shd w:fill="FAFAFA" w:val="clear"/>
          </w:tcPr>
          <w:p>
            <w:r>
              <w:rPr>
                <w:b/>
                <w:sz w:val="17"/>
              </w:rPr>
              <w:t>13,122</w:t>
            </w:r>
          </w:p>
        </w:tc>
        <w:tc>
          <w:tcPr>
            <w:tcW w:type="dxa" w:w="1440"/>
            <w:shd w:fill="FAFAFA" w:val="clear"/>
          </w:tcPr>
          <w:p>
            <w:r>
              <w:rPr>
                <w:sz w:val="17"/>
              </w:rPr>
              <w:t>15,337</w:t>
            </w:r>
          </w:p>
        </w:tc>
        <w:tc>
          <w:tcPr>
            <w:tcW w:type="dxa" w:w="1440"/>
            <w:shd w:fill="FAFAFA" w:val="clear"/>
          </w:tcPr>
          <w:p>
            <w:r>
              <w:rPr>
                <w:b/>
                <w:color w:val="008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*Bourse Régionale des Valeurs Mobilières (BRVM) — Secteur : Services publics / Distribution d'eau*</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116,91 milliards FCFA, SDCC se positionne parmi les valeurs de moyenne capitalisation de la BRVM, ce qui traduit une liquidité modérée mais une certaine solidité boursière. Le BPA de 518 FCFA/action signifie que chaque titre génère près de 518 FCFA de bénéfice net, un niveau correct pour une entreprise de services essentiels. Le PER de 25,1x est nettement supérieur à la moyenne du marché BRVM (8-12x), signalant que les investisseurs paient une prime de croissance ou de qualité — voire une légère surévaluation. Le P/B de 5,93x, très au-dessus du seuil de 4x, confirme cette valorisation exigeante : le marché valorise l'entreprise près de six fois sa valeur comptable, ce qui suppose une forte confiance dans la rentabilité future. Enfin, l'EV/EBITDA de 14,9x, dans le haut de la fourchette 10-15x, indique que la valeur totale de l'entreprise (dette incluse) est chèrement valorisée par rapport à sa capacité opérationnelle, ce qui invite à la prudence.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SDCC affiche une performance remarquable de +22,09%, avec un cours actuel de 12 990 FCFA et une variation J-1 nulle (+0,00%), signe d'une stabilisation après la progression. Le titre a évolué dans un range de 10 640 FCFA (plus bas) à 13 885 FCFA (plus haut), soit une amplitude d'environ 30%, témoignant d'une tendance haussière bien ancrée. La moyenne (12 100 FCFA) est légèrement supérieure à la médiane (12 000 FCFA), et le mode se situe à 11 900 FCFA : cet écart modéré indique une distribution quasi symétrique, confirmée par un skewness de 0,469 (asymétrie positive légère, interprétée comme symétrique dans les données). L'écart-type de 734 FCFA avec un coefficient de variation de 6,1% révèle une dispersion relativement faible du cours, ce qui est rassurant pour la stabilité. Le kurtosis de -0,335 (mésokurtique) suggère une distribution proche de la normale, donc un risque de pics extrêmes limité. Enfin, la volatilité annualisée de 36,7% classe le titre dans la catégorie des valeurs à volatilité élevée (&gt;30%), ce qui implique un risque de marché non négligeable malgré la tendance haussière.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(12 773 FCFA) et la MM50 (12 528,9 FCFA) se situent toutes deux sous le cours actuel (12 990 FCFA), avec la MM20 au-dessus de la MM50 — configuration haussière classique. Le cours évoluant au-dessus de ses deux moyennes, la décision technique est logiquement à l'**Achat**, confirmant la dynamique positive de court et moyen terme.</w:t>
      </w:r>
    </w:p>
    <w:p>
      <w:pPr>
        <w:spacing w:after="120" w:line="276" w:lineRule="auto"/>
      </w:pPr>
      <w:r>
        <w:t>**Bandes de Bollinger** : Le cours (12 990 FCFA) se situe entre la borne inférieure (11 490,4 FCFA) et la borne supérieure (14 055,6 FCFA), plus proche de la borne haute, ce qui traduit une pression acheteuse modérée. L'absence de rupture de borne et la largeur des bandes indiquent une volatilité normale sans excès. La décision est **Neutre**, le titre n'étant ni en surachat extrême ni en survente.</w:t>
      </w:r>
    </w:p>
    <w:p>
      <w:pPr>
        <w:spacing w:after="120" w:line="276" w:lineRule="auto"/>
      </w:pPr>
      <w:r>
        <w:t>**MACD** : Le MACD (79,567) est nettement supérieur à son signal (44,371), avec un histogramme positif et croissant. Cette divergence haussière confirme un momentum acheteur soutenu et valide la décision d'**Achat**, le croisement étant déjà effectué en territoire positif.</w:t>
      </w:r>
    </w:p>
    <w:p>
      <w:pPr>
        <w:spacing w:after="120" w:line="276" w:lineRule="auto"/>
      </w:pPr>
      <w:r>
        <w:t>**RSI** : À 57,594, le RSI se situe dans la zone neutre (30-70), sans atteindre la zone de surachat (&gt;70). Cela indique que le titre conserve un potentiel de hausse sans être encore surétiré. La décision est **Neutre**, cohérente avec un marché équilibré.</w:t>
      </w:r>
    </w:p>
    <w:p>
      <w:pPr>
        <w:spacing w:after="120" w:line="276" w:lineRule="auto"/>
      </w:pPr>
      <w:r>
        <w:t>**Stochastique** : Le %K (99,455) est très proche du %D (92,555), tous deux en zone de surachat extrême (&gt;80). Ce positionnement signale un essoufflement possible de la dynamique haussière à court terme et justifie la décision de **Vente**, un repli technique étant probable.</w:t>
      </w:r>
    </w:p>
    <w:p>
      <w:pPr>
        <w:spacing w:after="120" w:line="276" w:lineRule="auto"/>
      </w:pPr>
      <w:r>
        <w:t>**Conclusion technique** : Les indicateurs de tendance (MM, MACD) restent haussiers et confirment la dynamique positive, tandis que les oscillateurs (Stochastique en surachat, RSI neutre, Bollinger neutre) suggèrent une pause imminente. La convergence partielle des signaux plaide pour un maintien en position avec vigilance sur les points d'entrée, le titre ayant probablement besoin de consolider ses gains récents avant une nouvelle impulsion.</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SDCC (SODECI) affiche un chiffre d'affaires de 189,430 milliards FCFA, en croissance de 9,98% sur un an, portée par la hausse des volumes d'eau facturés et l'élargissement du portefeuille clients (2 272 032 clients, +6,14%). Le résultat net s'établit à 4,663 milliards FCFA, en progression de 31%, avec une marge nette de 2,46% et un ROE de 23,65% — niveau excellent (&gt;15%) qui témoigne d'une forte rentabilité des fonds propres. Le ROA reste faible à 0,99%, reflet d'un actif très lourd (472,672 milliards FCFA) typique d'une activité de réseau. L'EBE progresse de 21% à 21,783 milliards FCFA et le résultat d'exploitation de 34% à 9,105 milliards FCFA, confirmant l'amélioration opérationnelle. Cependant, la structure financière est préoccupante : l'autonomie financière n'est que de 4,17% (très en dessous du seuil sain de 30%), le ratio d'endettement atteint 95,83% et la trésorerie nette est négative à -61,710 milliards FCFA. Le BFR de 104,748 milliards FCFA et le délai clients de 749 jours (plus de deux ans !) constituent un risque majeur de liquidité, même si le taux de recouvrement de 95,85% limite la casse. Le flux opérationnel négatif (-36,655 milliards FCFA) et le Free Cash Flow de -38,504 milliards FCFA traduisent des besoins de financement accrus. Sur la base du rapport T1 2026 (CA en léger repli de 2% à 40 916 millions FCFA, mais résultat net bondissant de 118% à 1 318 millions FCFA et résultat d'exploitation multiplié par 2,5), on peut estimer que l'exercice 2026 devrait confirmer l'amélioration de la rentabilité opérationnelle malgré un CA atone. Le dividende de 525 FCFA/action (rendement ~4% au cours actuel) reste attractif. En synthèse, la solidité opérationnelle et la rentabilité sont réelles, mais le bilan très endetté et la trésorerie tendue imposent une vigilance accrue — recommandation fondamentale : **CONSERVER** avec un biais positif.</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exigeante : PER de 25,1x, P/B de 5,93x et EV/EBITDA de 14,9x placent SDCC nettement au-dessus des standards du marché BRVM, ce qui suggère une surévaluation relative et limite le potentiel de revalorisation à court terme. Le comportement du cours (Partie 1) est favorable avec +22,09% sur 100 jours, une volatilité élevée (36,7%) mais une distribution symétrique (skewness 0,469) et un risque de pics limité (kurtosis -0,335), ce qui rassure sur la régularité de la tendance. Les signaux techniques (Partie 2) sont partagés : MM et MACD haussiers (Achat), mais Stochastique en surachat extrême (Vente) et RSI neutre, plaidant pour une consolidation imminente. Les fondamentaux (Partie 3) sont solides sur le plan opérationnel (ROE 23,65%, RN +31% en 2025, T1 2026 avec RN +118%) mais fragiles sur le bilan (autonomie financière 4,17%, trésorerie nette -61,7 Mds FCFA, délai clients 749 jours). Les prédictions IA (J+1 à J+10) anticipent une progression très modérée de 12 996 à 13 070 FCFA (+0,6% sur 10 jours), confirmant une trajectoire haussière mais sans emballement, cohérente avec la nécessité de consolidation technique. Sur la base de cette synthèse, la convergence entre fondamental opérationnel solide, technique haussier modéré et prédiction stable plaide pour une recommandation **CONSERVER**, avec un niveau de confiance **Moyen** et un risque global **Élevé** (endettement, trésorerie négative, valorisation tendue). L'horizon optimal est le **moyen terme (3-12 mois)**, le temps que la consolidation technique s'achève et que les résultats 2026 confirment le redressement de la rentabilité.</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31.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155.68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17,463 titres</w:t>
            </w:r>
          </w:p>
        </w:tc>
        <w:tc>
          <w:tcPr>
            <w:tcW w:type="dxa" w:w="2268"/>
            <w:shd w:fill="FFF2CC" w:val="clear"/>
          </w:tcPr>
          <w:p>
            <w:r>
              <w:rPr>
                <w:b/>
                <w:color w:val="503200"/>
                <w:sz w:val="16"/>
              </w:rPr>
              <w:t xml:space="preserve">Cours actuel : </w:t>
            </w:r>
            <w:r>
              <w:rPr>
                <w:color w:val="000000"/>
                <w:sz w:val="17"/>
              </w:rPr>
              <w:t>2,860 FCFA</w:t>
            </w:r>
          </w:p>
          <w:p>
            <w:r>
              <w:rPr>
                <w:b/>
                <w:color w:val="503200"/>
                <w:sz w:val="16"/>
              </w:rPr>
              <w:t xml:space="preserve">Var. 100 jours : </w:t>
            </w:r>
            <w:r>
              <w:rPr>
                <w:b/>
                <w:color w:val="007800"/>
                <w:sz w:val="17"/>
              </w:rPr>
              <w:t>+68.73%</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51.8%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15.89% (Élevée) — μ=2,554 FCFA, σ=406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β=0.5316 (Défensif) — Cov=0.000039, Var(idx)=0.000073, ρ=0.139,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17,463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σ_j=3.26%/j (Modérée) — Vol. annualisée≈51.8%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2,721</w:t>
            </w:r>
          </w:p>
        </w:tc>
        <w:tc>
          <w:tcPr>
            <w:tcW w:type="dxa" w:w="1440"/>
            <w:shd w:fill="FAFAFA" w:val="clear"/>
          </w:tcPr>
          <w:p>
            <w:r>
              <w:rPr>
                <w:b/>
                <w:sz w:val="17"/>
              </w:rPr>
              <w:t>2,865</w:t>
            </w:r>
          </w:p>
        </w:tc>
        <w:tc>
          <w:tcPr>
            <w:tcW w:type="dxa" w:w="1440"/>
            <w:shd w:fill="FAFAFA" w:val="clear"/>
          </w:tcPr>
          <w:p>
            <w:r>
              <w:rPr>
                <w:sz w:val="17"/>
              </w:rPr>
              <w:t>3,009</w:t>
            </w:r>
          </w:p>
        </w:tc>
        <w:tc>
          <w:tcPr>
            <w:tcW w:type="dxa" w:w="1440"/>
            <w:shd w:fill="FAFAFA" w:val="clear"/>
          </w:tcPr>
          <w:p>
            <w:r>
              <w:rPr>
                <w:b/>
                <w:color w:val="008000"/>
                <w:sz w:val="17"/>
              </w:rPr>
              <w:t>+0.2%</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2,673</w:t>
            </w:r>
          </w:p>
        </w:tc>
        <w:tc>
          <w:tcPr>
            <w:tcW w:type="dxa" w:w="1440"/>
            <w:shd w:fill="FAFAFA" w:val="clear"/>
          </w:tcPr>
          <w:p>
            <w:r>
              <w:rPr>
                <w:b/>
                <w:sz w:val="17"/>
              </w:rPr>
              <w:t>2,878</w:t>
            </w:r>
          </w:p>
        </w:tc>
        <w:tc>
          <w:tcPr>
            <w:tcW w:type="dxa" w:w="1440"/>
            <w:shd w:fill="FAFAFA" w:val="clear"/>
          </w:tcPr>
          <w:p>
            <w:r>
              <w:rPr>
                <w:sz w:val="17"/>
              </w:rPr>
              <w:t>3,082</w:t>
            </w:r>
          </w:p>
        </w:tc>
        <w:tc>
          <w:tcPr>
            <w:tcW w:type="dxa" w:w="1440"/>
            <w:shd w:fill="FAFAFA" w:val="clear"/>
          </w:tcPr>
          <w:p>
            <w:r>
              <w:rPr>
                <w:b/>
                <w:color w:val="008000"/>
                <w:sz w:val="17"/>
              </w:rPr>
              <w:t>+0.6%</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2,635</w:t>
            </w:r>
          </w:p>
        </w:tc>
        <w:tc>
          <w:tcPr>
            <w:tcW w:type="dxa" w:w="1440"/>
            <w:shd w:fill="FAFAFA" w:val="clear"/>
          </w:tcPr>
          <w:p>
            <w:r>
              <w:rPr>
                <w:b/>
                <w:sz w:val="17"/>
              </w:rPr>
              <w:t>2,886</w:t>
            </w:r>
          </w:p>
        </w:tc>
        <w:tc>
          <w:tcPr>
            <w:tcW w:type="dxa" w:w="1440"/>
            <w:shd w:fill="FAFAFA" w:val="clear"/>
          </w:tcPr>
          <w:p>
            <w:r>
              <w:rPr>
                <w:sz w:val="17"/>
              </w:rPr>
              <w:t>3,137</w:t>
            </w:r>
          </w:p>
        </w:tc>
        <w:tc>
          <w:tcPr>
            <w:tcW w:type="dxa" w:w="1440"/>
            <w:shd w:fill="FAFAFA" w:val="clear"/>
          </w:tcPr>
          <w:p>
            <w:r>
              <w:rPr>
                <w:b/>
                <w:color w:val="008000"/>
                <w:sz w:val="17"/>
              </w:rPr>
              <w:t>+0.9%</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2,599</w:t>
            </w:r>
          </w:p>
        </w:tc>
        <w:tc>
          <w:tcPr>
            <w:tcW w:type="dxa" w:w="1440"/>
            <w:shd w:fill="FAFAFA" w:val="clear"/>
          </w:tcPr>
          <w:p>
            <w:r>
              <w:rPr>
                <w:b/>
                <w:sz w:val="17"/>
              </w:rPr>
              <w:t>2,889</w:t>
            </w:r>
          </w:p>
        </w:tc>
        <w:tc>
          <w:tcPr>
            <w:tcW w:type="dxa" w:w="1440"/>
            <w:shd w:fill="FAFAFA" w:val="clear"/>
          </w:tcPr>
          <w:p>
            <w:r>
              <w:rPr>
                <w:sz w:val="17"/>
              </w:rPr>
              <w:t>3,180</w:t>
            </w:r>
          </w:p>
        </w:tc>
        <w:tc>
          <w:tcPr>
            <w:tcW w:type="dxa" w:w="1440"/>
            <w:shd w:fill="FAFAFA" w:val="clear"/>
          </w:tcPr>
          <w:p>
            <w:r>
              <w:rPr>
                <w:b/>
                <w:color w:val="008000"/>
                <w:sz w:val="17"/>
              </w:rPr>
              <w:t>+1.0%</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2,565</w:t>
            </w:r>
          </w:p>
        </w:tc>
        <w:tc>
          <w:tcPr>
            <w:tcW w:type="dxa" w:w="1440"/>
            <w:shd w:fill="FAFAFA" w:val="clear"/>
          </w:tcPr>
          <w:p>
            <w:r>
              <w:rPr>
                <w:b/>
                <w:sz w:val="17"/>
              </w:rPr>
              <w:t>2,890</w:t>
            </w:r>
          </w:p>
        </w:tc>
        <w:tc>
          <w:tcPr>
            <w:tcW w:type="dxa" w:w="1440"/>
            <w:shd w:fill="FAFAFA" w:val="clear"/>
          </w:tcPr>
          <w:p>
            <w:r>
              <w:rPr>
                <w:sz w:val="17"/>
              </w:rPr>
              <w:t>3,214</w:t>
            </w:r>
          </w:p>
        </w:tc>
        <w:tc>
          <w:tcPr>
            <w:tcW w:type="dxa" w:w="1440"/>
            <w:shd w:fill="FAFAFA" w:val="clear"/>
          </w:tcPr>
          <w:p>
            <w:r>
              <w:rPr>
                <w:b/>
                <w:color w:val="008000"/>
                <w:sz w:val="17"/>
              </w:rPr>
              <w:t>+1.0%</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2,533</w:t>
            </w:r>
          </w:p>
        </w:tc>
        <w:tc>
          <w:tcPr>
            <w:tcW w:type="dxa" w:w="1440"/>
            <w:shd w:fill="FAFAFA" w:val="clear"/>
          </w:tcPr>
          <w:p>
            <w:r>
              <w:rPr>
                <w:b/>
                <w:sz w:val="17"/>
              </w:rPr>
              <w:t>2,889</w:t>
            </w:r>
          </w:p>
        </w:tc>
        <w:tc>
          <w:tcPr>
            <w:tcW w:type="dxa" w:w="1440"/>
            <w:shd w:fill="FAFAFA" w:val="clear"/>
          </w:tcPr>
          <w:p>
            <w:r>
              <w:rPr>
                <w:sz w:val="17"/>
              </w:rPr>
              <w:t>3,244</w:t>
            </w:r>
          </w:p>
        </w:tc>
        <w:tc>
          <w:tcPr>
            <w:tcW w:type="dxa" w:w="1440"/>
            <w:shd w:fill="FAFAFA" w:val="clear"/>
          </w:tcPr>
          <w:p>
            <w:r>
              <w:rPr>
                <w:b/>
                <w:color w:val="008000"/>
                <w:sz w:val="17"/>
              </w:rPr>
              <w:t>+1.0%</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2,504</w:t>
            </w:r>
          </w:p>
        </w:tc>
        <w:tc>
          <w:tcPr>
            <w:tcW w:type="dxa" w:w="1440"/>
            <w:shd w:fill="FAFAFA" w:val="clear"/>
          </w:tcPr>
          <w:p>
            <w:r>
              <w:rPr>
                <w:b/>
                <w:sz w:val="17"/>
              </w:rPr>
              <w:t>2,887</w:t>
            </w:r>
          </w:p>
        </w:tc>
        <w:tc>
          <w:tcPr>
            <w:tcW w:type="dxa" w:w="1440"/>
            <w:shd w:fill="FAFAFA" w:val="clear"/>
          </w:tcPr>
          <w:p>
            <w:r>
              <w:rPr>
                <w:sz w:val="17"/>
              </w:rPr>
              <w:t>3,271</w:t>
            </w:r>
          </w:p>
        </w:tc>
        <w:tc>
          <w:tcPr>
            <w:tcW w:type="dxa" w:w="1440"/>
            <w:shd w:fill="FAFAFA" w:val="clear"/>
          </w:tcPr>
          <w:p>
            <w:r>
              <w:rPr>
                <w:b/>
                <w:color w:val="008000"/>
                <w:sz w:val="17"/>
              </w:rPr>
              <w:t>+1.0%</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2,476</w:t>
            </w:r>
          </w:p>
        </w:tc>
        <w:tc>
          <w:tcPr>
            <w:tcW w:type="dxa" w:w="1440"/>
            <w:shd w:fill="FAFAFA" w:val="clear"/>
          </w:tcPr>
          <w:p>
            <w:r>
              <w:rPr>
                <w:b/>
                <w:sz w:val="17"/>
              </w:rPr>
              <w:t>2,886</w:t>
            </w:r>
          </w:p>
        </w:tc>
        <w:tc>
          <w:tcPr>
            <w:tcW w:type="dxa" w:w="1440"/>
            <w:shd w:fill="FAFAFA" w:val="clear"/>
          </w:tcPr>
          <w:p>
            <w:r>
              <w:rPr>
                <w:sz w:val="17"/>
              </w:rPr>
              <w:t>3,296</w:t>
            </w:r>
          </w:p>
        </w:tc>
        <w:tc>
          <w:tcPr>
            <w:tcW w:type="dxa" w:w="1440"/>
            <w:shd w:fill="FAFAFA" w:val="clear"/>
          </w:tcPr>
          <w:p>
            <w:r>
              <w:rPr>
                <w:b/>
                <w:color w:val="008000"/>
                <w:sz w:val="17"/>
              </w:rPr>
              <w:t>+0.9%</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2,449</w:t>
            </w:r>
          </w:p>
        </w:tc>
        <w:tc>
          <w:tcPr>
            <w:tcW w:type="dxa" w:w="1440"/>
            <w:shd w:fill="FAFAFA" w:val="clear"/>
          </w:tcPr>
          <w:p>
            <w:r>
              <w:rPr>
                <w:b/>
                <w:sz w:val="17"/>
              </w:rPr>
              <w:t>2,884</w:t>
            </w:r>
          </w:p>
        </w:tc>
        <w:tc>
          <w:tcPr>
            <w:tcW w:type="dxa" w:w="1440"/>
            <w:shd w:fill="FAFAFA" w:val="clear"/>
          </w:tcPr>
          <w:p>
            <w:r>
              <w:rPr>
                <w:sz w:val="17"/>
              </w:rPr>
              <w:t>3,319</w:t>
            </w:r>
          </w:p>
        </w:tc>
        <w:tc>
          <w:tcPr>
            <w:tcW w:type="dxa" w:w="1440"/>
            <w:shd w:fill="FAFAFA" w:val="clear"/>
          </w:tcPr>
          <w:p>
            <w:r>
              <w:rPr>
                <w:b/>
                <w:color w:val="008000"/>
                <w:sz w:val="17"/>
              </w:rPr>
              <w:t>+0.8%</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2,424</w:t>
            </w:r>
          </w:p>
        </w:tc>
        <w:tc>
          <w:tcPr>
            <w:tcW w:type="dxa" w:w="1440"/>
            <w:shd w:fill="FAFAFA" w:val="clear"/>
          </w:tcPr>
          <w:p>
            <w:r>
              <w:rPr>
                <w:b/>
                <w:sz w:val="17"/>
              </w:rPr>
              <w:t>2,882</w:t>
            </w:r>
          </w:p>
        </w:tc>
        <w:tc>
          <w:tcPr>
            <w:tcW w:type="dxa" w:w="1440"/>
            <w:shd w:fill="FAFAFA" w:val="clear"/>
          </w:tcPr>
          <w:p>
            <w:r>
              <w:rPr>
                <w:sz w:val="17"/>
              </w:rPr>
              <w:t>3,340</w:t>
            </w:r>
          </w:p>
        </w:tc>
        <w:tc>
          <w:tcPr>
            <w:tcW w:type="dxa" w:w="1440"/>
            <w:shd w:fill="FAFAFA" w:val="clear"/>
          </w:tcPr>
          <w:p>
            <w:r>
              <w:rPr>
                <w:b/>
                <w:color w:val="008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1.280 Mds FCFA</w:t>
            </w:r>
          </w:p>
        </w:tc>
        <w:tc>
          <w:tcPr>
            <w:tcW w:type="dxa" w:w="5669"/>
            <w:shd w:fill="FFFFFF" w:val="clear"/>
          </w:tcPr>
          <w:p>
            <w:r>
              <w:rPr>
                <w:color w:val="282828"/>
                <w:sz w:val="15"/>
              </w:rPr>
              <w:t>Rotation stocks = 71.9x/an.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118.327 Mds FCFA</w:t>
            </w:r>
          </w:p>
        </w:tc>
        <w:tc>
          <w:tcPr>
            <w:tcW w:type="dxa" w:w="5669"/>
            <w:shd w:fill="FFFFFF" w:val="clear"/>
          </w:tcPr>
          <w:p>
            <w:r>
              <w:rPr>
                <w:color w:val="282828"/>
                <w:sz w:val="15"/>
              </w:rPr>
              <w:t>Ratio actif circ./passif circ. = 0.67x.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267.07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54.655 Mds FCFA</w:t>
            </w:r>
          </w:p>
        </w:tc>
        <w:tc>
          <w:tcPr>
            <w:tcW w:type="dxa" w:w="5669"/>
            <w:shd w:fill="FFFFFF" w:val="clear"/>
          </w:tcPr>
          <w:p>
            <w:r>
              <w:rPr>
                <w:color w:val="282828"/>
                <w:sz w:val="15"/>
              </w:rPr>
              <w:t>Outil industriel (21.1%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64.340 Mds FCFA</w:t>
            </w:r>
          </w:p>
        </w:tc>
        <w:tc>
          <w:tcPr>
            <w:tcW w:type="dxa" w:w="5669"/>
            <w:shd w:fill="FFFFFF" w:val="clear"/>
          </w:tcPr>
          <w:p>
            <w:r>
              <w:rPr>
                <w:color w:val="282828"/>
                <w:sz w:val="15"/>
              </w:rPr>
              <w:t>Actif immobilisé = 24.8%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76.782 Mds FCFA</w:t>
            </w:r>
          </w:p>
        </w:tc>
        <w:tc>
          <w:tcPr>
            <w:tcW w:type="dxa" w:w="5669"/>
            <w:shd w:fill="FFFFFF" w:val="clear"/>
          </w:tcPr>
          <w:p>
            <w:r>
              <w:rPr>
                <w:color w:val="282828"/>
                <w:sz w:val="15"/>
              </w:rPr>
              <w:t>Liquidités disponibles (29.6%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259.448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61.200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73.552 Mds FCFA</w:t>
            </w:r>
          </w:p>
        </w:tc>
        <w:tc>
          <w:tcPr>
            <w:tcW w:type="dxa" w:w="5669"/>
            <w:shd w:fill="FFFFFF" w:val="clear"/>
          </w:tcPr>
          <w:p>
            <w:r>
              <w:rPr>
                <w:color w:val="282828"/>
                <w:sz w:val="15"/>
              </w:rPr>
              <w:t>Fonds propres = 28.3%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81.783 Mds FCFA</w:t>
            </w:r>
          </w:p>
        </w:tc>
        <w:tc>
          <w:tcPr>
            <w:tcW w:type="dxa" w:w="5669"/>
            <w:shd w:fill="FFFFFF" w:val="clear"/>
          </w:tcPr>
          <w:p>
            <w:r>
              <w:rPr>
                <w:color w:val="282828"/>
                <w:sz w:val="15"/>
              </w:rPr>
              <w:t>Capitaux permanents / Actif immobilisé = 1.27x.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8.231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10.231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185.896 Mds FCFA</w:t>
            </w:r>
          </w:p>
        </w:tc>
        <w:tc>
          <w:tcPr>
            <w:tcW w:type="dxa" w:w="5669"/>
            <w:shd w:fill="FFFFFF" w:val="clear"/>
          </w:tcPr>
          <w:p>
            <w:r>
              <w:rPr>
                <w:color w:val="282828"/>
                <w:sz w:val="15"/>
              </w:rPr>
              <w:t>Dettes totales = 71.7%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92.004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92.004 Mds FCFA</w:t>
            </w:r>
          </w:p>
        </w:tc>
        <w:tc>
          <w:tcPr>
            <w:tcW w:type="dxa" w:w="5669"/>
            <w:shd w:fill="FFFFFF" w:val="clear"/>
          </w:tcPr>
          <w:p>
            <w:r>
              <w:rPr>
                <w:color w:val="282828"/>
                <w:sz w:val="15"/>
              </w:rPr>
              <w:t>Chiffre d'affaires. Croissance: 7.4%.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9.043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36.205 Mds FCFA</w:t>
            </w:r>
          </w:p>
        </w:tc>
        <w:tc>
          <w:tcPr>
            <w:tcW w:type="dxa" w:w="5669"/>
            <w:shd w:fill="FFFFFF" w:val="clear"/>
          </w:tcPr>
          <w:p>
            <w:r>
              <w:rPr>
                <w:color w:val="282828"/>
                <w:sz w:val="15"/>
              </w:rPr>
              <w:t>Masse salariale = 39.4%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40.469 Mds FCFA</w:t>
            </w:r>
          </w:p>
        </w:tc>
        <w:tc>
          <w:tcPr>
            <w:tcW w:type="dxa" w:w="5669"/>
            <w:shd w:fill="FFFFFF" w:val="clear"/>
          </w:tcPr>
          <w:p>
            <w:r>
              <w:rPr>
                <w:color w:val="282828"/>
                <w:sz w:val="15"/>
              </w:rPr>
              <w:t>VA = 44.0%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4.264 Mds FCFA</w:t>
            </w:r>
          </w:p>
        </w:tc>
        <w:tc>
          <w:tcPr>
            <w:tcW w:type="dxa" w:w="5669"/>
            <w:shd w:fill="FFFFFF" w:val="clear"/>
          </w:tcPr>
          <w:p>
            <w:r>
              <w:rPr>
                <w:color w:val="282828"/>
                <w:sz w:val="15"/>
              </w:rPr>
              <w:t>EBE = 4.6%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-2.271 Mds FCFA</w:t>
            </w:r>
          </w:p>
        </w:tc>
        <w:tc>
          <w:tcPr>
            <w:tcW w:type="dxa" w:w="5669"/>
            <w:shd w:fill="FFFFFF" w:val="clear"/>
          </w:tcPr>
          <w:p>
            <w:r>
              <w:rPr>
                <w:color w:val="282828"/>
                <w:sz w:val="15"/>
              </w:rPr>
              <w:t>Profit d'exploitation = -2.5%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EB9C" w:val="clear"/>
          </w:tcPr>
          <w:p>
            <w:r>
              <w:rPr>
                <w:b/>
                <w:color w:val="006400"/>
                <w:sz w:val="17"/>
              </w:rPr>
              <w:t>784.97 M FCFA</w:t>
            </w:r>
          </w:p>
        </w:tc>
        <w:tc>
          <w:tcPr>
            <w:tcW w:type="dxa" w:w="5669"/>
            <w:shd w:fill="FFFFFF" w:val="clear"/>
          </w:tcPr>
          <w:p>
            <w:r>
              <w:rPr>
                <w:color w:val="282828"/>
                <w:sz w:val="15"/>
              </w:rPr>
              <w:t>Marge nette = 0.9%.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7.503 Mds FCFA</w:t>
            </w:r>
          </w:p>
        </w:tc>
        <w:tc>
          <w:tcPr>
            <w:tcW w:type="dxa" w:w="5669"/>
            <w:shd w:fill="FFFFFF" w:val="clear"/>
          </w:tcPr>
          <w:p>
            <w:r>
              <w:rPr>
                <w:color w:val="282828"/>
                <w:sz w:val="15"/>
              </w:rPr>
              <w:t>CAF = 7.50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83.198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-19.195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-4.838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55.471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-57.339 Mds FCFA</w:t>
            </w:r>
          </w:p>
        </w:tc>
        <w:tc>
          <w:tcPr>
            <w:tcW w:type="dxa" w:w="5669"/>
            <w:shd w:fill="FFFFFF" w:val="clear"/>
          </w:tcPr>
          <w:p>
            <w:r>
              <w:rPr>
                <w:color w:val="282828"/>
                <w:sz w:val="15"/>
              </w:rPr>
              <w:t>BFR = -62.3%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17.443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74.782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FFEB9C" w:val="clear"/>
          </w:tcPr>
          <w:p>
            <w:r>
              <w:rPr>
                <w:b/>
                <w:color w:val="006400"/>
                <w:sz w:val="17"/>
              </w:rPr>
              <w:t>0.85%</w:t>
            </w:r>
          </w:p>
        </w:tc>
        <w:tc>
          <w:tcPr>
            <w:tcW w:type="dxa" w:w="5669"/>
            <w:shd w:fill="FFFFFF" w:val="clear"/>
          </w:tcPr>
          <w:p>
            <w:r>
              <w:rPr>
                <w:color w:val="282828"/>
                <w:sz w:val="15"/>
              </w:rPr>
              <w:t>Résultat net / revenus = 0.85%. ⚠️ Marge nette très fine — sensible aux aléas.</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-2.47%</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1.07%</w:t>
            </w:r>
          </w:p>
        </w:tc>
        <w:tc>
          <w:tcPr>
            <w:tcW w:type="dxa" w:w="5669"/>
            <w:shd w:fill="FFFFFF" w:val="clear"/>
          </w:tcPr>
          <w:p>
            <w:r>
              <w:rPr>
                <w:color w:val="282828"/>
                <w:sz w:val="15"/>
              </w:rPr>
              <w:t>Résultat net / capitaux propres = 1.07%.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0.30%</w:t>
            </w:r>
          </w:p>
        </w:tc>
        <w:tc>
          <w:tcPr>
            <w:tcW w:type="dxa" w:w="5669"/>
            <w:shd w:fill="FFFFFF" w:val="clear"/>
          </w:tcPr>
          <w:p>
            <w:r>
              <w:rPr>
                <w:color w:val="282828"/>
                <w:sz w:val="15"/>
              </w:rPr>
              <w:t>Résultat net / total actif = 0.30%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35.46%</w:t>
            </w:r>
          </w:p>
        </w:tc>
        <w:tc>
          <w:tcPr>
            <w:tcW w:type="dxa" w:w="5669"/>
            <w:shd w:fill="FFFFFF" w:val="clear"/>
          </w:tcPr>
          <w:p>
            <w:r>
              <w:rPr>
                <w:color w:val="282828"/>
                <w:sz w:val="15"/>
              </w:rPr>
              <w:t>CA / total actif = 35.46x.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7.43%</w:t>
            </w:r>
          </w:p>
        </w:tc>
        <w:tc>
          <w:tcPr>
            <w:tcW w:type="dxa" w:w="5669"/>
            <w:shd w:fill="FFFFFF" w:val="clear"/>
          </w:tcPr>
          <w:p>
            <w:r>
              <w:rPr>
                <w:color w:val="282828"/>
                <w:sz w:val="15"/>
              </w:rPr>
              <w:t>Croissance CA vs exercice précédent = 7.43%.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28.35%</w:t>
            </w:r>
          </w:p>
        </w:tc>
        <w:tc>
          <w:tcPr>
            <w:tcW w:type="dxa" w:w="5669"/>
            <w:shd w:fill="FFFFFF" w:val="clear"/>
          </w:tcPr>
          <w:p>
            <w:r>
              <w:rPr>
                <w:color w:val="282828"/>
                <w:sz w:val="15"/>
              </w:rPr>
              <w:t>Fonds propres / total bilan = 28.35%.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71.65%</w:t>
            </w:r>
          </w:p>
        </w:tc>
        <w:tc>
          <w:tcPr>
            <w:tcW w:type="dxa" w:w="5669"/>
            <w:shd w:fill="FFFFFF" w:val="clear"/>
          </w:tcPr>
          <w:p>
            <w:r>
              <w:rPr>
                <w:color w:val="282828"/>
                <w:sz w:val="15"/>
              </w:rPr>
              <w:t>Dettes financières / total bilan = 71.65%.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13.91%</w:t>
            </w:r>
          </w:p>
        </w:tc>
        <w:tc>
          <w:tcPr>
            <w:tcW w:type="dxa" w:w="5669"/>
            <w:shd w:fill="FFFFFF" w:val="clear"/>
          </w:tcPr>
          <w:p>
            <w:r>
              <w:rPr>
                <w:color w:val="282828"/>
                <w:sz w:val="15"/>
              </w:rPr>
              <w:t>Dettes totales / fonds propres = 13.91%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139.57%</w:t>
            </w:r>
          </w:p>
        </w:tc>
        <w:tc>
          <w:tcPr>
            <w:tcW w:type="dxa" w:w="5669"/>
            <w:shd w:fill="FFFFFF" w:val="clear"/>
          </w:tcPr>
          <w:p>
            <w:r>
              <w:rPr>
                <w:color w:val="282828"/>
                <w:sz w:val="15"/>
              </w:rPr>
              <w:t>Total actif / dettes totales = 139.57x.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109.82%</w:t>
            </w:r>
          </w:p>
        </w:tc>
        <w:tc>
          <w:tcPr>
            <w:tcW w:type="dxa" w:w="5669"/>
            <w:shd w:fill="FFFFFF" w:val="clear"/>
          </w:tcPr>
          <w:p>
            <w:r>
              <w:rPr>
                <w:color w:val="282828"/>
                <w:sz w:val="15"/>
              </w:rPr>
              <w:t>Actif circulant / passif circulant = 109.82x.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43.22%</w:t>
            </w:r>
          </w:p>
        </w:tc>
        <w:tc>
          <w:tcPr>
            <w:tcW w:type="dxa" w:w="5669"/>
            <w:shd w:fill="FFFFFF" w:val="clear"/>
          </w:tcPr>
          <w:p>
            <w:r>
              <w:rPr>
                <w:color w:val="282828"/>
                <w:sz w:val="15"/>
              </w:rPr>
              <w:t>Trésorerie / passif circulant = 43.22x.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109.10%</w:t>
            </w:r>
          </w:p>
        </w:tc>
        <w:tc>
          <w:tcPr>
            <w:tcW w:type="dxa" w:w="5669"/>
            <w:shd w:fill="FFFFFF" w:val="clear"/>
          </w:tcPr>
          <w:p>
            <w:r>
              <w:rPr>
                <w:color w:val="282828"/>
                <w:sz w:val="15"/>
              </w:rPr>
              <w:t>(Actif circ. - stocks) / passif circ. = 109.10x.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127.11%</w:t>
            </w:r>
          </w:p>
        </w:tc>
        <w:tc>
          <w:tcPr>
            <w:tcW w:type="dxa" w:w="5669"/>
            <w:shd w:fill="FFFFFF" w:val="clear"/>
          </w:tcPr>
          <w:p>
            <w:r>
              <w:rPr>
                <w:color w:val="282828"/>
                <w:sz w:val="15"/>
              </w:rPr>
              <w:t>Capitaux permanents / actif immobilisé = 127.11x.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1.4 ans</w:t>
            </w:r>
          </w:p>
        </w:tc>
        <w:tc>
          <w:tcPr>
            <w:tcW w:type="dxa" w:w="5669"/>
            <w:shd w:fill="FFFFFF" w:val="clear"/>
          </w:tcPr>
          <w:p>
            <w:r>
              <w:rPr>
                <w:color w:val="282828"/>
                <w:sz w:val="15"/>
              </w:rPr>
              <w:t>Dettes financières / CAF = 1.4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-289.33%</w:t>
            </w:r>
          </w:p>
        </w:tc>
        <w:tc>
          <w:tcPr>
            <w:tcW w:type="dxa" w:w="5669"/>
            <w:shd w:fill="FFFFFF" w:val="clear"/>
          </w:tcPr>
          <w:p>
            <w:r>
              <w:rPr>
                <w:color w:val="282828"/>
                <w:sz w:val="15"/>
              </w:rPr>
              <w:t>Résultat exploit. / charges financières = -289.33x.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27.06%</w:t>
            </w:r>
          </w:p>
        </w:tc>
        <w:tc>
          <w:tcPr>
            <w:tcW w:type="dxa" w:w="5669"/>
            <w:shd w:fill="FFFFFF" w:val="clear"/>
          </w:tcPr>
          <w:p>
            <w:r>
              <w:rPr>
                <w:color w:val="282828"/>
                <w:sz w:val="15"/>
              </w:rPr>
              <w:t>CAF / investissements = 27.06x. ⚠️ Financement externe nécessaire pour les investissements.</w:t>
            </w:r>
          </w:p>
        </w:tc>
      </w:tr>
    </w:tbl>
    <w:p/>
    <w:p>
      <w:pPr>
        <w:spacing w:after="120" w:line="276" w:lineRule="auto"/>
      </w:pPr>
      <w:r>
        <w:t>**RAPPORT D'ANALYSE FINANCIÈRE — SDSC (AGL CÔTE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155,68 milliards FCFA, SDSC figure parmi les valeurs moyennes-capitalisations de la cote BRVM, ce qui lui confère une certaine liquidité mais aussi une sensibilité accrue aux mouvements de portefeuille. Le BPA s'établit à 14 FCFA par action, un niveau dérisoire qui traduit un résultat net de seulement 784,97 millions FCFA pour 2025, en chute de 96% par rapport à 2024. Le PER de 198,3x est exceptionnellement élevé — très loin de la moyenne BRVM (~8-12x) — signifiant que les investisseurs paient environ 198 fois les bénéfices actuels, ce qui n'est justifiable que par une anticipation de rebond spectaculaire des résultats. Le P/B de 2,12x indique que le marché valorise l'action à plus du double de sa valeur comptable (capitaux propres de 73,55 Mds FCFA), accordant une prime de croissance qui contraste avec la dégradation récente des marges. Enfin, l'EV/EBITDA de 21,4x (bien supérieur au seuil de 15x) confirme que la valeur d'entreprise intègre une capacité opérationnelle (EBE de 4,26 Mds FCFA) très inférieure aux attentes du marché, signalant une valorisation tendue.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SDSC a enregistré une progression spectaculaire de +68,73%, passant d'un plus bas de 1 650 FCFA à un plus haut de 3 205 FCFA, pour un cours actuel de 2 860 FCFA — soit une correction de -3,05% lors de la dernière séance. Ce range de trading de 1 555 FCFA (près du double du plus bas) témoigne d'une tendance haussière puissante, mais la récente inflexion baissière suggère une prise de bénéfices après le rallye. Les statistiques descriptives révèlent une moyenne de 2 554 FCFA contre une médiane de 2 655 FCFA : l'écart de 101 FCFA indique une distribution asymétrique, avec davantage de séances passées au-dessus de la moyenne (cohérent avec le skewness négatif de -0,609). L'écart-type de 408 FCFA (CV de 16,0%) traduit une dispersion modérée du cours autour de sa moyenne, tandis que le kurtosis de -0,536 (mésokurtique) suggère une distribution proche de la normale, sans pics extrêmes fréquents — un profil relativement stable pour un titre ayant bondi de près de 70%. La volatilité annualisée de 51,8% classe SDSC dans la catégorie des titres à volatilité élevée (&gt;30%), ce qui implique un risque de fluctuation important et justifie une approche prudente malgré le momentum haussier.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(2 961,25 FCFA) et la MM50 (2 849,60 FCFA) encadrent le cours actuel (2 860 FCFA), qui se situe légèrement au-dessus de la MM50 mais sous la MM20. Cette configuration indique que la tendance de moyen terme reste haussière (cours &gt; MM50), mais que le momentum court terme s'essouffle (cours &lt; MM20). La décision « Achat » reflète la prédominance de la tendance de fond, bien que la pression vendeuse récente invite à la prudence.</w:t>
      </w:r>
    </w:p>
    <w:p>
      <w:pPr>
        <w:spacing w:after="120" w:line="276" w:lineRule="auto"/>
      </w:pPr>
      <w:r>
        <w:t>**Bandes de Bollinger** : Le cours (2 860 FCFA) évolue dans la partie basse de la bande de Bollinger, entre la borne inférieure (2 758,30 FCFA) et la borne supérieure (3 164,20 FCFA). Cette position médiane-basse, après un plus haut à 3 205 FCFA, suggère une contraction de la volatilité et une possible zone de rebond technique. La décision « Neutre » traduit l'absence de signal directionnel fort, le cours n'ayant pas atteint les extrêmes qui déclencheraient un signal d'achat ou de vente.</w:t>
      </w:r>
    </w:p>
    <w:p>
      <w:pPr>
        <w:spacing w:after="120" w:line="276" w:lineRule="auto"/>
      </w:pPr>
      <w:r>
        <w:t>**MACD** : La valeur du MACD (25,317) est inférieure à son signal (38,433), générant une divergence baissière et une décision « Vente ». Cet écart indique que le momentum haussier s'affaiblit progressivement, les pressions vendeuses prenant le dessus sur les acheteurs. La convergence à la baisse du MACD vers son signal constitue un avertissement sur la durabilité de la tendance haussière.</w:t>
      </w:r>
    </w:p>
    <w:p>
      <w:pPr>
        <w:spacing w:after="120" w:line="276" w:lineRule="auto"/>
      </w:pPr>
      <w:r>
        <w:t>**RSI** : À 47,706, le RSI se situe en zone neutre (30-70), sans signal de surachat (&gt;70) ni de survente (&lt;30). Cette valeur médiane indique un équilibre relatif entre acheteurs et vendeurs, sans excès émotionnel. La décision « Neutre » est cohérente avec cette position, le titre n'offrant ni opportunité d'achat sur survente ni signal de vente sur surachat.</w:t>
      </w:r>
    </w:p>
    <w:p>
      <w:pPr>
        <w:spacing w:after="120" w:line="276" w:lineRule="auto"/>
      </w:pPr>
      <w:r>
        <w:t>**Stochastique** : Le %K (20,339) est nettement inférieur au %D (52,542), avec un croisement baissier en zone basse. Le %K sous 20 frôle la zone de survente, ce qui pourrait annoncer un rebond technique à court terme, mais la décision « Neutre » suggère que le signal n'est pas encore confirmé. La divergence entre les deux lignes reflète une pression baissière persistante.</w:t>
      </w:r>
    </w:p>
    <w:p>
      <w:pPr>
        <w:spacing w:after="120" w:line="276" w:lineRule="auto"/>
      </w:pPr>
      <w:r>
        <w:t>**Conclusion technique** : Les indicateurs techniques présentent un tableau mitigé, avec une majorité de signaux neutres (Bollinger, RSI, Stochastique) et un signal baissier (MACD) contrebalancé par la décision « Achat » des moyennes mobiles. Cette divergence suggère une phase de consolidation après le rallye de +68,73%, le titre cherchant un point d'équilibre autour de 2 860 FCFA. La prudence est de mise tant que le MACD ne se retourne pas à la hausse et que le cours ne repasse pas au-dessus de la MM20 (2 961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AGL Côte d'Ivoire (SDSC) a réalisé un chiffre d'affaires de 92,004 milliards FCFA, en croissance de +7,43% par rapport à 2024 (85,643 Mds FCFA), portée par les métiers logistiques et maritimes. Cependant, le résultat net s'est effondré à 784,97 millions FCFA contre 21,069 milliards FCFA en 2024, soit une chute de 96%, et le résultat d'exploitation est devenu négatif (-2,271 Mds FCFA) sous l'effet de la hausse des dotations aux amortissements (+41%) et des charges de personnel. Les ratios de rentabilité se sont dégradés : la marge nette tombe à 0,85% (vs 24,6% en 2024), le ROE à 1,07% (très loin du seuil de 15% considéré comme excellent) et le ROA à 0,30%. La structure financière reste solide avec des capitaux propres de 73,55 Mds FCFA, une autonomie financière de 28,35% (légèrement sous le seuil de 30%) et une trésorerie nette de 74,78 Mds FCFA, mais le BFR négatif de -57,34 Mds FCFA (favorable) et le flux opérationnel de 83,20 Mds FCFA masquent une dépendance aux produits financiers (7,08 Mds FCFA) pour afficher un résultat net positif. Les rapports trimestriels de 2025 confirment cette tendance : le T1 2025 (publié le 31/03/2025) affichait un résultat net de -193 millions FCFA (en amélioration de 54% sur un an), le S1 2025 (30/06/2025) un résultat net de -427 millions FCFA, et le T3 2025 (30/09/2025) un résultat net de 4,341 milliards FCFA en chute de 77% — cette volatilité s'expliquant par la non-répétition de dividendes exceptionnels de filiales. Le rapport des commissaires aux comptes (Deloitte/ECR, exercice 2025, publié en août 2026) certifie les comptes sans réserve mais signale des manquements réglementaires (retard de clôture au 09 juin 2026 au lieu du 30 avril, communication tardive aux actionnaires) et des risques sur la reconnaissance du chiffre d'affaires et la gestion des débours (12,574 Mds FCFA). Le dividende proposé de 544,35 millions FCFA (soit 69,3% du résultat net) marque une baisse drastique de 89% par rapport à 2024 (5,008 Mds FCFA), reflétant la contrainte sur les bénéfices. En synthèse, la société affiche une solidité bilancielle (trésorerie abondante, endettement maîtrisé à 13,9%) mais une rentabilité opérationnelle déficitaire et une dépendance aux revenus financiers, ce qui justifie une recommandation fondamentale de **CONSERVER avec vigilance**, en attendant une restauration des marges opérationnelles.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La valorisation (Partie 0) est extrêmement tendue : PER de 198,3x, P/B de 2,12x et EV/EBITDA de 21,4x intègrent une anticipation de rebond qui ne se matérialise pas encore dans les comptes, suggérant une surévaluation par rapport aux fondamentaux actuels. Le comportement du cours (Partie 1) affiche une tendance haussière impressionnante (+68,73%) mais une volatilité élevée (51,8%) et un skewness négatif (-0,609) indiquant que les gains récents pourraient être fragiles, la correction de -3,05% en J-1 signalant une prise de bénéfices. Les signaux techniques (Partie 2) sont divergents : les moyennes mobiles restent haussières, mais le MACD est baissier et les autres indicateurs sont neutres, plaidant pour une consolidation. Les fondamentaux (Partie 3) montrent une croissance du CA (+7,43%) mais un effondrement de la rentabilité (marge nette de 0,85%, ROE de 1,07%) et un résultat d'exploitation négatif, bien que la trésorerie (74,78 Mds FCFA) et la structure financière restent solides. Les prédictions IA (J+1 à J+10) anticipent une légère reprise vers 2 890 FCFA (+1,05% sur 10 jours), ce qui confirme une stabilisation à court terme sans signal fort de rebond. Sur la base de cette synthèse, la recommandation finale est **CONSERVER** : la convergence entre une valorisation surévaluée, des signaux techniques mitigés et des fondamentaux dégradés mais une trésorerie solide et une croissance du CA ne justifie ni un achat agressif ni une vente panique. Le niveau de confiance est **Moyen** (les données sont complètes mais les perspectives incertaines), le risque global est **Élevé** (volatilité de 51,8%, PER extrême, dépendance aux revenus financiers), et l'horizon d'investissement optimal est **moyen terme (3-12 mois)**, le temps que la société démontre sa capacité à restaurer ses marges opérationnelles et que la valorisation se normalise.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d\u2019\u00e9mettre une recommandation d\u2019achat ou de vente. En l\u2019absence d\u2019informations, une position neutre est retenue par d\u00e9faut."}</w:t>
      </w:r>
    </w:p>
    <w:p>
      <w:pPr>
        <w:spacing w:before="40"/>
        <w:ind w:left="400"/>
      </w:pPr>
      <w:r>
        <w:rPr>
          <w:sz w:val="18"/>
        </w:rPr>
        <w:t>Le document fourni ne contient que l’intitulé des états financiers de synthèse d’AGL au 31/12/2025. Aucun chiffre, commentaire ou détail comptable n’est inclus. Il est donc impossible d’évaluer la situation financière réelle de la société. Les états financiers annoncés sont exprimés en milliers de FCFA. Une analyse fiable nécessitera la publication des données complètes, notamment le bilan, le compte de résultat et les flux de trésorerie.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40"/>
        <w:ind w:left="400"/>
      </w:pPr>
      <w:r>
        <w:rPr>
          <w:b/>
          <w:color w:val="C05000"/>
          <w:sz w:val="18"/>
        </w:rPr>
        <w:t xml:space="preserve">⚠️ Risques : </w:t>
      </w:r>
      <w:r>
        <w:rPr>
          <w:sz w:val="18"/>
        </w:rPr>
        <w: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40"/>
        <w:ind w:left="400"/>
      </w:pPr>
      <w:r>
        <w:rPr>
          <w:sz w:val="18"/>
        </w:rPr>
        <w:t>AGL Côte d'Ivoire, S.A. a vu ses états financiers annuels de l'exercice clos le 31 décembre 2025 certifiés sans réserve par ses commissaires aux comptes (Deloitte Côte d'Ivoire et ECR International), qui concluent à une image fidèle du résultat et du patrimoine conformément au SYSCOHADA révisé. Le chiffre d'affaires s'établit à 92 004 millions FCFA, soit 98,37% du total des produits des activités ordinaires, porté par des métiers diversifiés (consignation, manutention, transit maritime, fret aérien/express, transport ferroviaire, agence de voyage et location immobilière). Les auditeurs ont identifié deux points clés d'audit : la reconnaissance du chiffre d'affaires, exposée à un risque d'ant</w:t>
      </w:r>
      <w:r>
        <w:rPr>
          <w:sz w:val="18"/>
        </w:rPr>
        <w: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
      <w:r>
        <w:t>════════════════════════════════════════════════════════════════════════════════</w:t>
      </w:r>
    </w:p>
    <w:p>
      <w:r>
        <w:br w:type="page"/>
      </w:r>
    </w:p>
    <w:p>
      <w:pPr>
        <w:pStyle w:val="Heading2"/>
        <w:spacing w:before="360"/>
      </w:pPr>
      <w:r>
        <w:rPr>
          <w:color w:val="0066CC"/>
        </w:rPr>
        <w:t>32.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6,046 titres</w:t>
            </w:r>
          </w:p>
        </w:tc>
        <w:tc>
          <w:tcPr>
            <w:tcW w:type="dxa" w:w="2268"/>
            <w:shd w:fill="FFF2CC" w:val="clear"/>
          </w:tcPr>
          <w:p>
            <w:r>
              <w:rPr>
                <w:b/>
                <w:color w:val="503200"/>
                <w:sz w:val="16"/>
              </w:rPr>
              <w:t xml:space="preserve">Cours actuel : </w:t>
            </w:r>
            <w:r>
              <w:rPr>
                <w:color w:val="000000"/>
                <w:sz w:val="17"/>
              </w:rPr>
              <w:t>1,495 FCFA</w:t>
            </w:r>
          </w:p>
          <w:p>
            <w:r>
              <w:rPr>
                <w:b/>
                <w:color w:val="503200"/>
                <w:sz w:val="16"/>
              </w:rPr>
              <w:t xml:space="preserve">Var. 100 jours : </w:t>
            </w:r>
            <w:r>
              <w:rPr>
                <w:b/>
                <w:color w:val="B40000"/>
                <w:sz w:val="17"/>
              </w:rPr>
              <w:t>-16.94%</w:t>
            </w:r>
          </w:p>
          <w:p>
            <w:r>
              <w:rPr>
                <w:b/>
                <w:color w:val="503200"/>
                <w:sz w:val="16"/>
              </w:rPr>
              <w:t xml:space="preserve">Plus haut 100j : </w:t>
            </w:r>
            <w:r>
              <w:rPr>
                <w:color w:val="000000"/>
                <w:sz w:val="17"/>
              </w:rPr>
              <w:t>1,800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4.53% (Faible) — μ=1,527 FCFA, σ=69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β=1.1196 (Neutre (suit le marché)) — Cov=0.000043, Var(idx)=0.000038, ρ=0.241, n=83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6,046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σ_j=2.97%/j (Stable) — Vol. annualisée≈47.2%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16976"/>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16976"/>
                    </a:xfrm>
                    <a:prstGeom prst="rect"/>
                  </pic:spPr>
                </pic:pic>
              </a:graphicData>
            </a:graphic>
          </wp:inline>
        </w:drawing>
      </w:r>
    </w:p>
    <w:p/>
    <w:p>
      <w:pPr>
        <w:spacing w:after="120" w:line="276" w:lineRule="auto"/>
      </w:pPr>
      <w:r>
        <w:t>**RAPPORT D'ANALYSE FINANCIÈRE — SEMC (EVIOSYS PACKAGING SIEM)**</w:t>
        <w:br/>
        <w:t>**Bourse Régionale des Valeurs Mobilières (BRVM) — Côte d'Ivoire**</w:t>
        <w:br/>
        <w:t>*Date d'analyse : 2026 — Cours de référence : 1 495 FCFA*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37,66 milliards FCFA, un niveau modeste à l'échelle de la BRVM qui la classe parmi les valeurs de petite capitalisation, ce qui implique une liquidité limitée et une sensibilité accrue aux mouvements de faible volume. Les ratios de valorisation boursière (BPA, PER, P/B, EV/EBITDA) ne sont pas calculables en l'état, les données financières structurées nécessaires (résultat net par action, capitaux propres, EBITDA) n'étant pas disponibles dans la base de données structurée pour l'exercice le plus récent. Toutefois, à titre indicatif, les rapports fondamentaux antérieurs évoquent un PER historique d'environ 8x et un rendement dividende de 5 à 6 %, des niveaux qui, s'ils se confirmaient, situeraient le titre dans la fourchette basse du marché BRVM (PER moyen ~8-12x), suggérant une potentielle sous-évaluation relative — sous réserve de la dégradation récente des bénéfices. L'absence de ratios actualisés constitue en soi un signal de vigilance pour l'investisseur, qui devra se référer aux publications officielles à venir pour affiner son jugement.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SEMC affiche une variation totale de **-16,94 %**, avec une dernière séance en repli de **-1,64 %**, confirmant une tendance baissière persistante. Le cours actuel de **1 495 FCFA** se situe dans la partie basse du range de trading établi entre un plus haut de **1 800 FCFA** et un plus bas de **1 350 FCFA**, soit une amplitude de 33 % qui traduit une forte nervosité du marché. La moyenne des cours s'établit à **1 527 FCFA** contre une médiane de **1 520 FCFA**, un écart très faible qui indique une distribution globalement symétrique, bien que le mode à **1 500 FCFA** suggère une concentration des échanges autour de ce palier psychologique. L'écart-type de **69 FCFA** pour un coefficient de variation de **4,5 %** révèle une dispersion modérée en valeur absolue, mais le kurtosis de **1,652** (leptokurtique) signale des queues épaisses, c'est-à-dire un risque de pics de volatilité brutaux. Le skewness positif de **0,558** indique une asymétrie avec davantage de journées sous la moyenne, ce qui est cohérent avec la tendance baissière. Enfin, la volatilité annualisée de **47,2 %** positionne clairement SEMC dans la catégorie des titres à volatilité élevée (&gt;30 %), un profil risqué pour un investisseur averse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**1 540,75 FCFA** et la MM50 à **1 499,20 FCFA**, toutes deux supérieures au cours actuel de 1 495 FCFA, ce qui place le titre sous ses moyennes mobiles — un signal baissier à court terme. Toutefois, la MM20 étant au-dessus de la MM50, la configuration reste celle d'un croisement haussier antérieur, d'où la décision "Achat" qui traduit une lecture de moyen terme encore positive, mais fragilisée par la pression vendeuse récente.</w:t>
      </w:r>
    </w:p>
    <w:p>
      <w:pPr>
        <w:spacing w:after="120" w:line="276" w:lineRule="auto"/>
      </w:pPr>
      <w:r>
        <w:t>**Bandes de Bollinger** : La borne supérieure se situe à **1 621,81 FCFA** et la borne inférieure à **1 459,69 FCFA**, avec un cours actuel de 1 495 FCFA qui évolue dans la partie basse du canal, sans toutefois toucher la borne inférieure. Cette position médiane-basse traduit une volatilité contenue et l'absence de signal extrême, justifiant la décision "Neutre" — le marché est en phase d'indécision, ni suracheté ni survendu.</w:t>
      </w:r>
    </w:p>
    <w:p>
      <w:pPr>
        <w:spacing w:after="120" w:line="276" w:lineRule="auto"/>
      </w:pPr>
      <w:r>
        <w:t>**MACD** : La valeur du MACD (**7,411**) est inférieure à son signal (**11,824**), configuration baissière classique qui indique un momentum négatif et une perte de vitesse de la tendance haussière antérieure. La décision "Vente" est cohérente avec cette divergence négative, suggérant que la pression baissière pourrait se poursuivre à court terme.</w:t>
      </w:r>
    </w:p>
    <w:p>
      <w:pPr>
        <w:spacing w:after="120" w:line="276" w:lineRule="auto"/>
      </w:pPr>
      <w:r>
        <w:t>**RSI** : À **49,533**, le RSI se situe exactement dans la zone neutre (30-70), ni en surachat ni en survente. Cette valeur médiane confirme l'absence de signal directionnel fort et justifie la décision "Neutre" — le titre n'offre pas de point d'entrée évident sur cet indicateur.</w:t>
      </w:r>
    </w:p>
    <w:p>
      <w:pPr>
        <w:spacing w:after="120" w:line="276" w:lineRule="auto"/>
      </w:pPr>
      <w:r>
        <w:t>**Stochastique** : Le %K (**34,615**) est nettement inférieur au %D (**57,692**), avec un croisement baissier récent qui suggère une poursuite de la correction à court terme. La décision "Neutre" reflète toutefois que le %K approche de la zone de survente (20), ce qui pourrait limiter le potentiel de baisse immédiat.</w:t>
      </w:r>
    </w:p>
    <w:p>
      <w:pPr>
        <w:spacing w:after="120" w:line="276" w:lineRule="auto"/>
      </w:pPr>
      <w:r>
        <w:t>**Conclusion technique** : Les indicateurs techniques présentent un tableau mitigé à baissier : les moyennes mobiles sont sous le cours, le MACD est en divergence négative et le stochastique en croisement baissier, tandis que le RSI et les Bandes de Bollinger restent neutres. La convergence des signaux baissiers (MM, MACD, Stochastique) face à des indicateurs neutres (RSI, Bollinger) suggère une poursuite de la consolidation baissière à court terme, sans signal de retournement imminent.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les plus récentes disponibles remontent à l'exercice **2023**, avec un chiffre d'affaires de **27,88 milliards FCFA** (en baisse de 6 % vs 29,60 milliards en 2022) et un résultat net de **1,01 milliard FCFA** (en chute de 74 % vs 3,86 milliards en 2022), selon le rapport officiel daté du **31/12/2023**. La marge nette s'est effondrée à **3,6 %** (contre 13,0 % en 2022) et la marge d'exploitation à **6,9 %** (contre 11,0 %), traduisant un effet ciseau sévère entre baisse du CA et quasi-stabilité des charges. Le ROE, non explicitement fourni pour 2023, peut être estimé en forte dégradation compte tenu de la chute du résultat net. À titre de comparaison, les rapports antérieurs (exercices 2021 et 2022) faisaient état d'un CA de **125,4 milliards FCFA** et d'un résultat net de **12,8 milliards FCFA** en 2022, avec un ROE de **18,4 %** et une marge nette de **10,2 %** — des niveaux qui apparaissent aujourd'hui comme historiques et non représentatifs de la situation actuelle. Cette divergence entre les rapports suggère une possible confusion entre les entités (SEMC vs Eviosys Packaging SIEM) ou une reclassification des activités, mais les chiffres les plus récents (2023) confirment une dégradation marquée. La politique de dividende est suspendue (**0 FCFA** en 2022 et 2023), la société privilégiant la conservation de trésorerie (3,35 milliards FCFA) pour financer sa relance et faire face à la suspension de la cote BRVM (flottant insuffisant : 10,42 % vs 15 % requis). Le rachat par **Sonoco Products Company** (finalisé en décembre 2024) constitue un événement majeur susceptible de transformer la gouvernance et la stratégie, mais introduit un risque de dilution et d'incertitude. Les perspectives 2024 tablaient sur un objectif de CA de **32 milliards FCFA** (+18 %), porté par les bouchons couronnes (+61 % en volume en 2023) et les exportations (Sénégal), mais ces prévisions n'ont pas été confirmées par des publications ultérieures. En synthèse, la situation fondamentale de SEMC est **fragile** : rentabilité en forte baisse, dividende suspendu, cotation suspendue et incertitude stratégique post-rachat. Les risques opérationnels (dépendance clients, concurrence PET) et financiers (endettement fournisseurs de 16,7 milliards FCFA) restent élevés, tandis que les opportunités (synergies Sonoco, croissance des bouchons couronnes) demeurent spéculatives à ce stade.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dresse un tableau globalement défavorable pour SEMC. **En termes de valorisation (Partie 0)** , l'absence de ratios actualisés empêche toute conclusion ferme, mais les niveaux historiques (PER ~8x, rendement ~5-6 %) suggèrent une possible sous-évaluation — sous réserve que les bénéfices se redressent, ce qui est loin d'être acquis. **Le comportement du cours (Partie 1)** est clairement baissier (-16,94 % sur 100 jours), avec une volatilité élevée (47,2 %) et un kurtosis leptokurtique qui annonce des pics de risque, tandis que le skewness positif indique une pression vendeuse persistante. **Les signaux techniques (Partie 2)** convergent majoritairement à la baisse (MM sous le cours, MACD en divergence négative, stochastique baissier), avec seulement le RSI et les Bollinger en zone neutre, ce qui ne suffit pas à inverser la tendance. **Les fondamentaux (Partie 3)** sont préoccupants : chute de 74 % du résultat net en 2023, marge nette à 3,6 %, dividende suspendu, cotation suspendue et incertitude liée au rachat par Sonoco — autant de facteurs qui pèsent sur la visibilité. **Les prédictions IA (J+1 à J+10)** ne sont pas disponibles, ce qui ne permet pas de confirmer ou d'infirmer les autres signaux. Compte tenu de cette convergence baissière (technique, fondamental, comportement du cours) et de l'absence de catalyseur positif à court terme, la recommandation finale est **VENTE** (ou **CONSERVER** pour les investisseurs déjà positionnés et prêts à assumer un risque élevé dans l'attente d'une hypothétique relance post-Sonoco). Le niveau de confiance est **Moyen** (en raison de l'absence de données récentes et de prédictions IA), le niveau de risque global est **Élevé** (volatilité, incertitude stratégique, suspension de cote), et l'horizon d'investissement recommandé est **court terme** (&lt;3 mois) pour les traders cherchant à profiter de la volatilité, ou **long terme** (&gt;1 an) pour les investisseurs misant sur un retournement fondamental post-rachat — une position qui reste hautement spéculative.</w:t>
      </w:r>
    </w:p>
    <w:p>
      <w:pPr>
        <w:spacing w:after="120" w:line="276" w:lineRule="auto"/>
      </w:pPr>
      <w:r>
        <w:t>---</w:t>
      </w:r>
    </w:p>
    <w:p/>
    <w:p/>
    <w:p>
      <w:r>
        <w:t>════════════════════════════════════════════════════════════════════════════════</w:t>
      </w:r>
    </w:p>
    <w:p>
      <w:r>
        <w:br w:type="page"/>
      </w:r>
    </w:p>
    <w:p>
      <w:pPr>
        <w:pStyle w:val="Heading2"/>
        <w:spacing w:before="360"/>
      </w:pPr>
      <w:r>
        <w:rPr>
          <w:color w:val="0066CC"/>
        </w:rPr>
        <w:t>33.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1213.33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5,163 titres</w:t>
            </w:r>
          </w:p>
        </w:tc>
        <w:tc>
          <w:tcPr>
            <w:tcW w:type="dxa" w:w="2268"/>
            <w:shd w:fill="FFF2CC" w:val="clear"/>
          </w:tcPr>
          <w:p>
            <w:r>
              <w:rPr>
                <w:b/>
                <w:color w:val="503200"/>
                <w:sz w:val="16"/>
              </w:rPr>
              <w:t xml:space="preserve">Cours actuel : </w:t>
            </w:r>
            <w:r>
              <w:rPr>
                <w:color w:val="000000"/>
                <w:sz w:val="17"/>
              </w:rPr>
              <w:t>39,000 FCFA</w:t>
            </w:r>
          </w:p>
          <w:p>
            <w:r>
              <w:rPr>
                <w:b/>
                <w:color w:val="503200"/>
                <w:sz w:val="16"/>
              </w:rPr>
              <w:t xml:space="preserve">Var. 100 jours : </w:t>
            </w:r>
            <w:r>
              <w:rPr>
                <w:b/>
                <w:color w:val="007800"/>
                <w:sz w:val="17"/>
              </w:rPr>
              <w:t>+8.33%</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35,995 FCFA</w:t>
            </w:r>
          </w:p>
          <w:p>
            <w:r>
              <w:rPr>
                <w:b/>
                <w:color w:val="503200"/>
                <w:sz w:val="16"/>
              </w:rPr>
              <w:t xml:space="preserve">Volatilité ann. : </w:t>
            </w:r>
            <w:r>
              <w:rPr>
                <w:color w:val="000000"/>
                <w:sz w:val="17"/>
              </w:rPr>
              <w:t>21.1%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2.12% (Faible) — μ=38,349 FCFA, σ=815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β=0.4609 (Défensif) — Cov=0.000034, Var(idx)=0.000073, ρ=0.296,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5,163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σ_j=1.33%/j (Stable) — Vol. annualisée≈21.1%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37,916</w:t>
            </w:r>
          </w:p>
        </w:tc>
        <w:tc>
          <w:tcPr>
            <w:tcW w:type="dxa" w:w="1440"/>
            <w:shd w:fill="FAFAFA" w:val="clear"/>
          </w:tcPr>
          <w:p>
            <w:r>
              <w:rPr>
                <w:b/>
                <w:sz w:val="17"/>
              </w:rPr>
              <w:t>38,761</w:t>
            </w:r>
          </w:p>
        </w:tc>
        <w:tc>
          <w:tcPr>
            <w:tcW w:type="dxa" w:w="1440"/>
            <w:shd w:fill="FAFAFA" w:val="clear"/>
          </w:tcPr>
          <w:p>
            <w:r>
              <w:rPr>
                <w:sz w:val="17"/>
              </w:rPr>
              <w:t>39,605</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37,495</w:t>
            </w:r>
          </w:p>
        </w:tc>
        <w:tc>
          <w:tcPr>
            <w:tcW w:type="dxa" w:w="1440"/>
            <w:shd w:fill="FAFAFA" w:val="clear"/>
          </w:tcPr>
          <w:p>
            <w:r>
              <w:rPr>
                <w:b/>
                <w:sz w:val="17"/>
              </w:rPr>
              <w:t>38,687</w:t>
            </w:r>
          </w:p>
        </w:tc>
        <w:tc>
          <w:tcPr>
            <w:tcW w:type="dxa" w:w="1440"/>
            <w:shd w:fill="FAFAFA" w:val="clear"/>
          </w:tcPr>
          <w:p>
            <w:r>
              <w:rPr>
                <w:sz w:val="17"/>
              </w:rPr>
              <w:t>39,880</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37,155</w:t>
            </w:r>
          </w:p>
        </w:tc>
        <w:tc>
          <w:tcPr>
            <w:tcW w:type="dxa" w:w="1440"/>
            <w:shd w:fill="FAFAFA" w:val="clear"/>
          </w:tcPr>
          <w:p>
            <w:r>
              <w:rPr>
                <w:b/>
                <w:sz w:val="17"/>
              </w:rPr>
              <w:t>38,613</w:t>
            </w:r>
          </w:p>
        </w:tc>
        <w:tc>
          <w:tcPr>
            <w:tcW w:type="dxa" w:w="1440"/>
            <w:shd w:fill="FAFAFA" w:val="clear"/>
          </w:tcPr>
          <w:p>
            <w:r>
              <w:rPr>
                <w:sz w:val="17"/>
              </w:rPr>
              <w:t>40,071</w:t>
            </w:r>
          </w:p>
        </w:tc>
        <w:tc>
          <w:tcPr>
            <w:tcW w:type="dxa" w:w="1440"/>
            <w:shd w:fill="FAFAFA" w:val="clear"/>
          </w:tcPr>
          <w:p>
            <w:r>
              <w:rPr>
                <w:b/>
                <w:color w:val="C00000"/>
                <w:sz w:val="17"/>
              </w:rPr>
              <w:t>-1.0%</w:t>
            </w:r>
          </w:p>
        </w:tc>
      </w:tr>
      <w:tr>
        <w:tc>
          <w:tcPr>
            <w:tcW w:type="dxa" w:w="1440"/>
            <w:shd w:fill="FAFAFA" w:val="clear"/>
          </w:tcPr>
          <w:p>
            <w:r>
              <w:rPr>
                <w:sz w:val="17"/>
              </w:rPr>
              <w:t>J+4  Moyenne</w:t>
            </w:r>
          </w:p>
        </w:tc>
        <w:tc>
          <w:tcPr>
            <w:tcW w:type="dxa" w:w="1440"/>
            <w:shd w:fill="FAFAFA" w:val="clear"/>
          </w:tcPr>
          <w:p>
            <w:r>
              <w:rPr>
                <w:sz w:val="17"/>
              </w:rPr>
              <w:t>2026-10-15</w:t>
            </w:r>
          </w:p>
        </w:tc>
        <w:tc>
          <w:tcPr>
            <w:tcW w:type="dxa" w:w="1440"/>
            <w:shd w:fill="FAFAFA" w:val="clear"/>
          </w:tcPr>
          <w:p>
            <w:r>
              <w:rPr>
                <w:sz w:val="17"/>
              </w:rPr>
              <w:t>36,863</w:t>
            </w:r>
          </w:p>
        </w:tc>
        <w:tc>
          <w:tcPr>
            <w:tcW w:type="dxa" w:w="1440"/>
            <w:shd w:fill="FAFAFA" w:val="clear"/>
          </w:tcPr>
          <w:p>
            <w:r>
              <w:rPr>
                <w:b/>
                <w:sz w:val="17"/>
              </w:rPr>
              <w:t>38,543</w:t>
            </w:r>
          </w:p>
        </w:tc>
        <w:tc>
          <w:tcPr>
            <w:tcW w:type="dxa" w:w="1440"/>
            <w:shd w:fill="FAFAFA" w:val="clear"/>
          </w:tcPr>
          <w:p>
            <w:r>
              <w:rPr>
                <w:sz w:val="17"/>
              </w:rPr>
              <w:t>40,223</w:t>
            </w:r>
          </w:p>
        </w:tc>
        <w:tc>
          <w:tcPr>
            <w:tcW w:type="dxa" w:w="1440"/>
            <w:shd w:fill="FAFAFA" w:val="clear"/>
          </w:tcPr>
          <w:p>
            <w:r>
              <w:rPr>
                <w:b/>
                <w:color w:val="C00000"/>
                <w:sz w:val="17"/>
              </w:rPr>
              <w:t>-1.2%</w:t>
            </w:r>
          </w:p>
        </w:tc>
      </w:tr>
      <w:tr>
        <w:tc>
          <w:tcPr>
            <w:tcW w:type="dxa" w:w="1440"/>
            <w:shd w:fill="FAFAFA" w:val="clear"/>
          </w:tcPr>
          <w:p>
            <w:r>
              <w:rPr>
                <w:sz w:val="17"/>
              </w:rPr>
              <w:t>J+5  Moyenne</w:t>
            </w:r>
          </w:p>
        </w:tc>
        <w:tc>
          <w:tcPr>
            <w:tcW w:type="dxa" w:w="1440"/>
            <w:shd w:fill="FAFAFA" w:val="clear"/>
          </w:tcPr>
          <w:p>
            <w:r>
              <w:rPr>
                <w:sz w:val="17"/>
              </w:rPr>
              <w:t>2026-10-16</w:t>
            </w:r>
          </w:p>
        </w:tc>
        <w:tc>
          <w:tcPr>
            <w:tcW w:type="dxa" w:w="1440"/>
            <w:shd w:fill="FAFAFA" w:val="clear"/>
          </w:tcPr>
          <w:p>
            <w:r>
              <w:rPr>
                <w:sz w:val="17"/>
              </w:rPr>
              <w:t>36,601</w:t>
            </w:r>
          </w:p>
        </w:tc>
        <w:tc>
          <w:tcPr>
            <w:tcW w:type="dxa" w:w="1440"/>
            <w:shd w:fill="FAFAFA" w:val="clear"/>
          </w:tcPr>
          <w:p>
            <w:r>
              <w:rPr>
                <w:b/>
                <w:sz w:val="17"/>
              </w:rPr>
              <w:t>38,477</w:t>
            </w:r>
          </w:p>
        </w:tc>
        <w:tc>
          <w:tcPr>
            <w:tcW w:type="dxa" w:w="1440"/>
            <w:shd w:fill="FAFAFA" w:val="clear"/>
          </w:tcPr>
          <w:p>
            <w:r>
              <w:rPr>
                <w:sz w:val="17"/>
              </w:rPr>
              <w:t>40,352</w:t>
            </w:r>
          </w:p>
        </w:tc>
        <w:tc>
          <w:tcPr>
            <w:tcW w:type="dxa" w:w="1440"/>
            <w:shd w:fill="FAFAFA" w:val="clear"/>
          </w:tcPr>
          <w:p>
            <w:r>
              <w:rPr>
                <w:b/>
                <w:color w:val="C00000"/>
                <w:sz w:val="17"/>
              </w:rPr>
              <w:t>-1.3%</w:t>
            </w:r>
          </w:p>
        </w:tc>
      </w:tr>
      <w:tr>
        <w:tc>
          <w:tcPr>
            <w:tcW w:type="dxa" w:w="1440"/>
            <w:shd w:fill="FAFAFA" w:val="clear"/>
          </w:tcPr>
          <w:p>
            <w:r>
              <w:rPr>
                <w:sz w:val="17"/>
              </w:rPr>
              <w:t>J+6  Moyenne</w:t>
            </w:r>
          </w:p>
        </w:tc>
        <w:tc>
          <w:tcPr>
            <w:tcW w:type="dxa" w:w="1440"/>
            <w:shd w:fill="FAFAFA" w:val="clear"/>
          </w:tcPr>
          <w:p>
            <w:r>
              <w:rPr>
                <w:sz w:val="17"/>
              </w:rPr>
              <w:t>2026-10-19</w:t>
            </w:r>
          </w:p>
        </w:tc>
        <w:tc>
          <w:tcPr>
            <w:tcW w:type="dxa" w:w="1440"/>
            <w:shd w:fill="FAFAFA" w:val="clear"/>
          </w:tcPr>
          <w:p>
            <w:r>
              <w:rPr>
                <w:sz w:val="17"/>
              </w:rPr>
              <w:t>36,362</w:t>
            </w:r>
          </w:p>
        </w:tc>
        <w:tc>
          <w:tcPr>
            <w:tcW w:type="dxa" w:w="1440"/>
            <w:shd w:fill="FAFAFA" w:val="clear"/>
          </w:tcPr>
          <w:p>
            <w:r>
              <w:rPr>
                <w:b/>
                <w:sz w:val="17"/>
              </w:rPr>
              <w:t>38,413</w:t>
            </w:r>
          </w:p>
        </w:tc>
        <w:tc>
          <w:tcPr>
            <w:tcW w:type="dxa" w:w="1440"/>
            <w:shd w:fill="FAFAFA" w:val="clear"/>
          </w:tcPr>
          <w:p>
            <w:r>
              <w:rPr>
                <w:sz w:val="17"/>
              </w:rPr>
              <w:t>40,464</w:t>
            </w:r>
          </w:p>
        </w:tc>
        <w:tc>
          <w:tcPr>
            <w:tcW w:type="dxa" w:w="1440"/>
            <w:shd w:fill="FAFAFA" w:val="clear"/>
          </w:tcPr>
          <w:p>
            <w:r>
              <w:rPr>
                <w:b/>
                <w:color w:val="C00000"/>
                <w:sz w:val="17"/>
              </w:rPr>
              <w:t>-1.5%</w:t>
            </w:r>
          </w:p>
        </w:tc>
      </w:tr>
      <w:tr>
        <w:tc>
          <w:tcPr>
            <w:tcW w:type="dxa" w:w="1440"/>
            <w:shd w:fill="FAFAFA" w:val="clear"/>
          </w:tcPr>
          <w:p>
            <w:r>
              <w:rPr>
                <w:sz w:val="17"/>
              </w:rPr>
              <w:t>J+7  Moyenne</w:t>
            </w:r>
          </w:p>
        </w:tc>
        <w:tc>
          <w:tcPr>
            <w:tcW w:type="dxa" w:w="1440"/>
            <w:shd w:fill="FAFAFA" w:val="clear"/>
          </w:tcPr>
          <w:p>
            <w:r>
              <w:rPr>
                <w:sz w:val="17"/>
              </w:rPr>
              <w:t>2026-10-20</w:t>
            </w:r>
          </w:p>
        </w:tc>
        <w:tc>
          <w:tcPr>
            <w:tcW w:type="dxa" w:w="1440"/>
            <w:shd w:fill="FAFAFA" w:val="clear"/>
          </w:tcPr>
          <w:p>
            <w:r>
              <w:rPr>
                <w:sz w:val="17"/>
              </w:rPr>
              <w:t>36,140</w:t>
            </w:r>
          </w:p>
        </w:tc>
        <w:tc>
          <w:tcPr>
            <w:tcW w:type="dxa" w:w="1440"/>
            <w:shd w:fill="FAFAFA" w:val="clear"/>
          </w:tcPr>
          <w:p>
            <w:r>
              <w:rPr>
                <w:b/>
                <w:sz w:val="17"/>
              </w:rPr>
              <w:t>38,352</w:t>
            </w:r>
          </w:p>
        </w:tc>
        <w:tc>
          <w:tcPr>
            <w:tcW w:type="dxa" w:w="1440"/>
            <w:shd w:fill="FAFAFA" w:val="clear"/>
          </w:tcPr>
          <w:p>
            <w:r>
              <w:rPr>
                <w:sz w:val="17"/>
              </w:rPr>
              <w:t>40,563</w:t>
            </w:r>
          </w:p>
        </w:tc>
        <w:tc>
          <w:tcPr>
            <w:tcW w:type="dxa" w:w="1440"/>
            <w:shd w:fill="FAFAFA" w:val="clear"/>
          </w:tcPr>
          <w:p>
            <w:r>
              <w:rPr>
                <w:b/>
                <w:color w:val="C00000"/>
                <w:sz w:val="17"/>
              </w:rPr>
              <w:t>-1.7%</w:t>
            </w:r>
          </w:p>
        </w:tc>
      </w:tr>
      <w:tr>
        <w:tc>
          <w:tcPr>
            <w:tcW w:type="dxa" w:w="1440"/>
            <w:shd w:fill="FAFAFA" w:val="clear"/>
          </w:tcPr>
          <w:p>
            <w:r>
              <w:rPr>
                <w:sz w:val="17"/>
              </w:rPr>
              <w:t>J+8  Moyenne</w:t>
            </w:r>
          </w:p>
        </w:tc>
        <w:tc>
          <w:tcPr>
            <w:tcW w:type="dxa" w:w="1440"/>
            <w:shd w:fill="FAFAFA" w:val="clear"/>
          </w:tcPr>
          <w:p>
            <w:r>
              <w:rPr>
                <w:sz w:val="17"/>
              </w:rPr>
              <w:t>2026-10-21</w:t>
            </w:r>
          </w:p>
        </w:tc>
        <w:tc>
          <w:tcPr>
            <w:tcW w:type="dxa" w:w="1440"/>
            <w:shd w:fill="FAFAFA" w:val="clear"/>
          </w:tcPr>
          <w:p>
            <w:r>
              <w:rPr>
                <w:sz w:val="17"/>
              </w:rPr>
              <w:t>35,931</w:t>
            </w:r>
          </w:p>
        </w:tc>
        <w:tc>
          <w:tcPr>
            <w:tcW w:type="dxa" w:w="1440"/>
            <w:shd w:fill="FAFAFA" w:val="clear"/>
          </w:tcPr>
          <w:p>
            <w:r>
              <w:rPr>
                <w:b/>
                <w:sz w:val="17"/>
              </w:rPr>
              <w:t>38,292</w:t>
            </w:r>
          </w:p>
        </w:tc>
        <w:tc>
          <w:tcPr>
            <w:tcW w:type="dxa" w:w="1440"/>
            <w:shd w:fill="FAFAFA" w:val="clear"/>
          </w:tcPr>
          <w:p>
            <w:r>
              <w:rPr>
                <w:sz w:val="17"/>
              </w:rPr>
              <w:t>40,652</w:t>
            </w:r>
          </w:p>
        </w:tc>
        <w:tc>
          <w:tcPr>
            <w:tcW w:type="dxa" w:w="1440"/>
            <w:shd w:fill="FAFAFA" w:val="clear"/>
          </w:tcPr>
          <w:p>
            <w:r>
              <w:rPr>
                <w:b/>
                <w:color w:val="C00000"/>
                <w:sz w:val="17"/>
              </w:rPr>
              <w:t>-1.8%</w:t>
            </w:r>
          </w:p>
        </w:tc>
      </w:tr>
      <w:tr>
        <w:tc>
          <w:tcPr>
            <w:tcW w:type="dxa" w:w="1440"/>
            <w:shd w:fill="FAFAFA" w:val="clear"/>
          </w:tcPr>
          <w:p>
            <w:r>
              <w:rPr>
                <w:sz w:val="17"/>
              </w:rPr>
              <w:t>J+9  Moyenne</w:t>
            </w:r>
          </w:p>
        </w:tc>
        <w:tc>
          <w:tcPr>
            <w:tcW w:type="dxa" w:w="1440"/>
            <w:shd w:fill="FAFAFA" w:val="clear"/>
          </w:tcPr>
          <w:p>
            <w:r>
              <w:rPr>
                <w:sz w:val="17"/>
              </w:rPr>
              <w:t>2026-10-22</w:t>
            </w:r>
          </w:p>
        </w:tc>
        <w:tc>
          <w:tcPr>
            <w:tcW w:type="dxa" w:w="1440"/>
            <w:shd w:fill="FAFAFA" w:val="clear"/>
          </w:tcPr>
          <w:p>
            <w:r>
              <w:rPr>
                <w:sz w:val="17"/>
              </w:rPr>
              <w:t>35,733</w:t>
            </w:r>
          </w:p>
        </w:tc>
        <w:tc>
          <w:tcPr>
            <w:tcW w:type="dxa" w:w="1440"/>
            <w:shd w:fill="FAFAFA" w:val="clear"/>
          </w:tcPr>
          <w:p>
            <w:r>
              <w:rPr>
                <w:b/>
                <w:sz w:val="17"/>
              </w:rPr>
              <w:t>38,233</w:t>
            </w:r>
          </w:p>
        </w:tc>
        <w:tc>
          <w:tcPr>
            <w:tcW w:type="dxa" w:w="1440"/>
            <w:shd w:fill="FAFAFA" w:val="clear"/>
          </w:tcPr>
          <w:p>
            <w:r>
              <w:rPr>
                <w:sz w:val="17"/>
              </w:rPr>
              <w:t>40,733</w:t>
            </w:r>
          </w:p>
        </w:tc>
        <w:tc>
          <w:tcPr>
            <w:tcW w:type="dxa" w:w="1440"/>
            <w:shd w:fill="FAFAFA" w:val="clear"/>
          </w:tcPr>
          <w:p>
            <w:r>
              <w:rPr>
                <w:b/>
                <w:color w:val="C00000"/>
                <w:sz w:val="17"/>
              </w:rPr>
              <w:t>-2.0%</w:t>
            </w:r>
          </w:p>
        </w:tc>
      </w:tr>
      <w:tr>
        <w:tc>
          <w:tcPr>
            <w:tcW w:type="dxa" w:w="1440"/>
            <w:shd w:fill="FFDCE0" w:val="clear"/>
          </w:tcPr>
          <w:p>
            <w:r>
              <w:rPr>
                <w:sz w:val="17"/>
              </w:rPr>
              <w:t>J+10  Moyenne</w:t>
            </w:r>
          </w:p>
        </w:tc>
        <w:tc>
          <w:tcPr>
            <w:tcW w:type="dxa" w:w="1440"/>
            <w:shd w:fill="FFDCE0" w:val="clear"/>
          </w:tcPr>
          <w:p>
            <w:r>
              <w:rPr>
                <w:sz w:val="17"/>
              </w:rPr>
              <w:t>2026-10-23</w:t>
            </w:r>
          </w:p>
        </w:tc>
        <w:tc>
          <w:tcPr>
            <w:tcW w:type="dxa" w:w="1440"/>
            <w:shd w:fill="FFDCE0" w:val="clear"/>
          </w:tcPr>
          <w:p>
            <w:r>
              <w:rPr>
                <w:sz w:val="17"/>
              </w:rPr>
              <w:t>35,544</w:t>
            </w:r>
          </w:p>
        </w:tc>
        <w:tc>
          <w:tcPr>
            <w:tcW w:type="dxa" w:w="1440"/>
            <w:shd w:fill="FFDCE0" w:val="clear"/>
          </w:tcPr>
          <w:p>
            <w:r>
              <w:rPr>
                <w:b/>
                <w:sz w:val="17"/>
              </w:rPr>
              <w:t>38,175</w:t>
            </w:r>
          </w:p>
        </w:tc>
        <w:tc>
          <w:tcPr>
            <w:tcW w:type="dxa" w:w="1440"/>
            <w:shd w:fill="FFDCE0" w:val="clear"/>
          </w:tcPr>
          <w:p>
            <w:r>
              <w:rPr>
                <w:sz w:val="17"/>
              </w:rPr>
              <w:t>40,806</w:t>
            </w:r>
          </w:p>
        </w:tc>
        <w:tc>
          <w:tcPr>
            <w:tcW w:type="dxa" w:w="1440"/>
            <w:shd w:fill="FFDCE0" w:val="clear"/>
          </w:tcPr>
          <w:p>
            <w:r>
              <w:rPr>
                <w:b/>
                <w:color w:val="C00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**RAPPORT D'ANALYSE FINANCIÈRE — SGBC (SOCIÉTÉ GÉNÉRALE CÔTE D'IVOIRE)**</w:t>
        <w:br/>
        <w:t>*Marché : BRVM | Secteur : Banque | 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1 213,33 milliards FCFA, SGBC figure parmi les toutes premières capitalisations de la BRVM, ce qui en fait un pilier de l'indice et un titre incontournable pour les investisseurs institutionnels de la zone UEMOA. Le BPA de 3 258 FCFA/action signifie que chaque titre génère plus de 3 200 FCFA de bénéfice net, un niveau remarquable qui traduit la forte rentabilité de la banque. Le PER de 12,0x se situe dans le haut de la fourchette moyenne du marché BRVM (8-12x), indiquant que les investisseurs paient un prix raisonnable mais non décoté pour ces bénéfices, cohérent avec la qualité de la signature. Le P/B de 2,45x montre que le marché valorise SGBC à près de 2,5 fois ses fonds propres comptables, soit une prime de croissance justifiée par un ROE supérieur à 20 %. En revanche, l'EV/EBITDA de 24,7x apparaît très exigeant (&gt;15x), signalant que la valeur d'entreprise intègre déjà une bonne part des anticipations de performance, ce qui limite le potentiel de revalorisation à court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SGBC affiche une progression totale de +8,33 %, malgré un léger repli de -0,51 % lors de la dernière séance, portant le cours actuel à 39 000 FCFA. Le range de trading s'établit entre un plus bas de 35 995 FCFA et un plus haut de 39 300 FCFA, soit une amplitude relativement contenue d'environ 9 %, typique d'une valeur de rendement à faible volatilité. La tendance générale est donc haussière mais modérée, le cours évoluant actuellement près de son sommet de période. Les statistiques descriptives confirment cette stabilité : la moyenne (38 349 FCFA) est légèrement inférieure à la médiane (38 650 FCFA), et le mode à 39 000 FCFA coïncide avec le cours actuel, signe d'une forte concentration des échanges autour de ce niveau. L'écart-type de 819 FCFA (CV = 2,1 %) traduit une dispersion très faible du cours, tandis que le kurtosis de 0,971 (mésokurtique) indique une distribution proche de la normale, sans risque excessif de pics extrêmes. Le skewness de -1,231 révèle toutefois une asymétrie négative, signifiant que le titre a passé plus de journées au-dessus de sa moyenne, avec des corrections ponctuelles plus marquées à la baisse. Enfin, la volatilité annualisée de 21,1 % classe SGBC dans la catégorie des titres à volatilité modérée (15-30 %), adaptée à un profil d'investisseur prudent recherchant rendement et stabilité.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(38 687,75 FCFA) et la MM50 (38 580,0 FCFA) se situent toutes deux sous le cours actuel (39 000 FCFA), avec la MM20 légèrement au-dessus de la MM50, configuration classique de tendance haussière de court terme. Le signal d'achat est confirmé par le positionnement du cours au-dessus des deux moyennes, qui agissent désormais comme supports dynamiques.</w:t>
      </w:r>
    </w:p>
    <w:p>
      <w:pPr>
        <w:spacing w:after="120" w:line="276" w:lineRule="auto"/>
      </w:pPr>
      <w:r>
        <w:t>**Bandes de Bollinger** : Le cours (39 000 FCFA) évolue dans la partie haute du canal, entre la borne inférieure (37 828,67 FCFA) et la borne supérieure (39 546,83 FCFA), sans la franchir. Cette position médiane-haute, couplée à un écart-type faible, traduit une volatilité contenue et un signal neutre : ni suracheté, ni survendu, le titre consolide dans son canal.</w:t>
      </w:r>
    </w:p>
    <w:p>
      <w:pPr>
        <w:spacing w:after="120" w:line="276" w:lineRule="auto"/>
      </w:pPr>
      <w:r>
        <w:t>**MACD** : La ligne MACD (159,934) surpasse nettement sa ligne de signal (116,709), avec un histogramme positif et croissant. Cette divergence positive confirme un momentum haussier en cours de renforcement, justifiant la décision d'achat technique.</w:t>
      </w:r>
    </w:p>
    <w:p>
      <w:pPr>
        <w:spacing w:after="120" w:line="276" w:lineRule="auto"/>
      </w:pPr>
      <w:r>
        <w:t>**RSI** : À 51,149, le RSI se situe parfaitement dans la zone neutre (30-70), à mi-chemin entre surachat et survente. Cette valeur indique un équilibre entre acheteurs et vendeurs, sans pression directionnelle forte, ce qui justifie la décision neutre et suggère qu'il reste de la marge avant un éventuel surachat.</w:t>
      </w:r>
    </w:p>
    <w:p>
      <w:pPr>
        <w:spacing w:after="120" w:line="276" w:lineRule="auto"/>
      </w:pPr>
      <w:r>
        <w:t>**Stochastique** : Le %K (83,539) et le %D (94,513) évoluent tous deux en zone de surachat (&gt;80), avec un %D supérieur au %K, signal baissier de court terme indiquant un essoufflement possible de la dynamique haussière. Cette configuration justifie la décision de vente à court terme, en contradiction apparente avec les autres indicateurs.</w:t>
      </w:r>
    </w:p>
    <w:p>
      <w:pPr>
        <w:spacing w:after="120" w:line="276" w:lineRule="auto"/>
      </w:pPr>
      <w:r>
        <w:t>**Conclusion technique** : Les indicateurs présentent une divergence notable : les moyennes mobiles et le MACD confirment une tendance haussière de fond, tandis que le stochastique signale un surachat imminent et le RSI reste neutre. Cette configuration suggère que le titre, après sa progression de +8,33 %, pourrait connaître une consolidation de court terme avant de reprendre sa tendance haussière. Le signal global est donc modérément haussier à moyen terme, avec une prudence recommandée à court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SGBC a réalisé un Produit Net Bancaire (équivalent du chiffre d'affaires pour une banque) de 276 048 millions FCFA, en croissance de +4,88 % sur un an, pour un résultat net de 101 352 millions FCFA, soit une quasi-stabilité (+0,1 %) par rapport à 2024. La rentabilité reste exceptionnelle avec un ROE de 20,47 % (&gt;15 % = excellent) et un ROA de 2,69 %, tandis que le coefficient d'exploitation de 38,75 % classe la banque parmi les plus efficaces du secteur UEMOA (&lt;60 % = efficace, &lt;50 % = excellente). Le bilan affiche un total de 3 769,17 milliards FCFA, avec des dépôts clientèle de 2 907,68 milliards FCFA face à des créances clientèle de 2 546,29 milliards FCFA, soit un ratio de transformation de 87,6 %, en amélioration. Le coût du risque, matérialisé par des provisions de 17,995 milliards FCFA et des charges financières de 47,775 milliards FCFA, reste contenu mais en hausse. Les rapports trimestriels récents confirment cette dynamique : le rapport T1 2026 (publié le 30 avril 2026) fait état d'un PNB de 65 644 millions FCFA (-1 % sur un an) et d'un résultat net de 23 976 millions FCFA (-11 %), pénalisé par des investissements (rénovation du siège, migration digitale) et une hausse des frais généraux de +9 %. Le rapport S1 2026 (publié le 27 août 2026) montre une stabilisation avec un PNB de 134 059 millions FCFA (+1,6 %) et un résultat net de 53 350 millions FCFA (+0,5 %), le coefficient d'exploitation s'améliorant à 36,7 %. Sur la base de ces tendances, on peut estimer que l'exercice 2026 devrait afficher un PNB en légère croissance (autour de +2 %) et un résultat net stable, la finalisation de la migration digitale au T2 2026 étant attendue comme levier de reconquête commerciale. La politique de dividende est généreuse, avec un dividende brut par action proposé de 2 606 FCFA au titre de 2025, soit un taux de distribution de 80 % du résultat net, offrant un rendement attractif au cours actuel de 39 000 FCFA (environ 6,7 %). Les risques identifiés incluent la hausse du coût du risque (+29,2 % en 2025), un taux de créances en souffrance (NPL) de 8,0 % et une dépendance aux commissions. En conclusion, SGBC demeure un fondamental solide, avec une rentabilité élevée, un bilan robuste (solvabilité de 17,6 % au S1 2026) et une politique de dividende attractive, mais la stagnation du résultat net et la hausse des coûts incitent à la prudence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équilibré mais sans catalyseur majeur à court terme. La valorisation (Partie 0) est raisonnable mais non décotée : le PER de 12,0x est dans le haut de la fourchette BRVM, le P/B de 2,45x intègre une prime de croissance justifiée par le ROE, mais l'EV/EBITDA de 24,7x apparaît exigeant, limitant le potentiel de revalorisation. Le comportement du cours (Partie 1) est favorable : tendance haussière de +8,33 % sur 100 jours, volatilité modérée (21,1 %), dispersion faible (CV = 2,1 %) et skewness négative indiquant une résilience aux corrections. Les signaux techniques (Partie 2) sont mitigés : les moyennes mobiles et le MACD confirment la tendance haussière, mais le stochastique en zone de surachat et le RSI neutre suggèrent une consolidation imminente. Les fondamentaux (Partie 3) restent solides : ROE de 20,47 %, coefficient d'exploitation de 38,75 %, dividende généreux (rendement ~6,7 %), mais la stagnation du résultat net (+0,1 % en 2025) et la hausse du coût du risque constituent des points de vigilance. Les prédictions IA (J+1 à J+10) anticipent une légère correction vers 38 477 FCFA d'ici le 16 octobre 2026, confirmant la possibilité d'une consolidation de court terme sans remise en cause de la tendance de fond. Sur la base de cette synthèse, la recommandation finale est **CONSERVER**, avec un niveau de confiance **Moyen** et un risque global **Faible à Moyen**. Le titre convient aux investisseurs recherchant rendement et stabilité, avec un horizon d'investissement de **moyen terme (3-12 mois)**, en attendant la confirmation au T3 2026 de la normalisation des coûts et de la reprise de la croissance bénéficiaire. Un passage à **ACHAT** serait justifié si le T3 confirme le redressement du PNB et la maîtrise des frais généraux, avec un rendement du dividende supérieur à 7 %.</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20260511   avis ndeg133 brvmdg   transactions sur dossier</w:t>
      </w:r>
    </w:p>
    <w:p>
      <w:pPr>
        <w:spacing w:before="20"/>
        <w:ind w:left="400"/>
      </w:pPr>
      <w:r>
        <w:rPr>
          <w:color w:val="505050"/>
          <w:sz w:val="17"/>
        </w:rPr>
        <w:t xml:space="preserve">Date : 12/05/2026  |  Catégorie : avis de marché  |  Impact : </w:t>
      </w:r>
      <w:r>
        <w:rPr>
          <w:b/>
          <w:color w:val="646464"/>
          <w:sz w:val="17"/>
        </w:rPr>
        <w:t>⚪ NEUTRE</w:t>
      </w:r>
    </w:p>
    <w:p>
      <w:pPr>
        <w:spacing w:before="40"/>
        <w:ind w:left="400"/>
      </w:pPr>
      <w:r>
        <w:rPr>
          <w:sz w:val="18"/>
        </w:rPr>
        <w:t>Avis de la BRVM informant de la réalisation de 7 transactions sur dossier le 11 mai 2026. Les transactions portent sur plusieurs titres dont SOCIETE GENERALE CI, SONATEL SN, SAFCA CI, ETI TG, UNIWAX CI et des obligations TPCI et FCTC EPT. La valeur totale des transactions s'élève à 667 125,85 FCFA.</w:t>
      </w:r>
    </w:p>
    <w:p>
      <w:pPr>
        <w:spacing w:before="60"/>
        <w:ind w:left="400"/>
      </w:pPr>
      <w:r>
        <w:rPr>
          <w:b/>
          <w:sz w:val="18"/>
        </w:rPr>
        <w:t>Points clés :</w:t>
      </w:r>
    </w:p>
    <w:p>
      <w:pPr>
        <w:pStyle w:val="ListBullet"/>
        <w:spacing w:before="20" w:after="20"/>
        <w:ind w:left="700"/>
      </w:pPr>
      <w:r>
        <w:rPr>
          <w:sz w:val="18"/>
        </w:rPr>
        <w:t>7 transactions sur dossier réalisées le 11 mai 2026</w:t>
      </w:r>
    </w:p>
    <w:p>
      <w:pPr>
        <w:pStyle w:val="ListBullet"/>
        <w:spacing w:before="20" w:after="20"/>
        <w:ind w:left="700"/>
      </w:pPr>
      <w:r>
        <w:rPr>
          <w:sz w:val="18"/>
        </w:rPr>
        <w:t>750 actions SOCIETE GENERALE CI et 500 actions SONATEL SN échangées</w:t>
      </w:r>
    </w:p>
    <w:p>
      <w:pPr>
        <w:pStyle w:val="ListBullet"/>
        <w:spacing w:before="20" w:after="20"/>
        <w:ind w:left="700"/>
      </w:pPr>
      <w:r>
        <w:rPr>
          <w:sz w:val="18"/>
        </w:rPr>
        <w:t>5 000 actions SAFCA CI, 125 000 actions ETI TG et 2 000 actions UNIWAX CI négociées</w:t>
      </w:r>
    </w:p>
    <w:p>
      <w:pPr>
        <w:pStyle w:val="ListBullet"/>
        <w:spacing w:before="20" w:after="20"/>
        <w:ind w:left="700"/>
      </w:pPr>
      <w:r>
        <w:rPr>
          <w:sz w:val="18"/>
        </w:rPr>
        <w:t>96 obligations TPCI 6,00% 2018-2026 et 100 obligations FCTC EPT 7,00% 2023-2030 échangées</w:t>
      </w:r>
    </w:p>
    <w:p>
      <w:pPr>
        <w:pStyle w:val="ListBullet"/>
        <w:spacing w:before="20" w:after="20"/>
        <w:ind w:left="700"/>
      </w:pPr>
      <w:r>
        <w:rPr>
          <w:sz w:val="18"/>
        </w:rPr>
        <w:t>Valeur totale des transactions de 667 125,85 FCFA</w:t>
      </w:r>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"SGB CI affiche une croissance solide de son r\u00e9sultat net (+39,3%) et une rentabilit\u00e9 \u00e9lev\u00e9e avec un ROE estim\u00e9 \u00e0 plus de 22%. La politique de dividende g\u00e9n\u00e9reuse (51,3% de distribution) et la solidit\u00e9 du bilan confortent le potentiel de valorisation du titre."}</w:t>
      </w:r>
    </w:p>
    <w:p>
      <w:pPr>
        <w:spacing w:before="40"/>
        <w:ind w:left="400"/>
      </w:pPr>
      <w:r>
        <w:rPr>
          <w:sz w:val="18"/>
        </w:rPr>
        <w:t>Société Générale Côte d'Ivoire (SGB CI) clôture l'exercice 2021 sur des états financiers certifiés marqués par une nette progression de son activité. Le Produit Net Bancaire s'élève à 189 096 millions FCFA, en hausse de 15,3% par rapport aux 164 062 millions FCFA de 2020. Le résultat net atteint 67 438 millions FCFA contre 48 435 millions FCFA un an plus tôt, soit une croissance de 39,3%. La banque affiche un total de bilan de 3 021 481 millions FCFA et des capitaux propres de 304 993 millions FCFA, confirmant sa solidité financière. La politique de distribution reste généreuse avec un dividende brut de 1 112 FCFA par action, soit un taux de distribution de 51,3% du résultat net.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{'roe_estime': '22,1%', 'cout_du_risque': '17 942 millions FCFA', 'croissance_pnb': '+15,3%', 'frais_generaux': '90 651 millions FCFA', 'nombre_d_actions': '31 111 110', 'resultat_avant_impot': '79 574 millions FCFA', 'taux_de_distribution': '51,3%', 'dettes_a_la_clientele': '2 528 809 millions FCFA', 'resultat_exploitation': '80 504 millions FCFA', 'croissance_resultat_net': '+39,3%', 'creances_sur_la_clientele': '398 854 millions FCFA', 'resultat_brut_exploitation': '98 446 millions FCFA'}</w:t>
            </w:r>
          </w:p>
        </w:tc>
        <w:tc>
          <w:tcPr>
            <w:tcW w:type="dxa" w:w="2160"/>
          </w:tcPr>
          <w:p>
            <w:pPr>
              <w:ind w:left="100"/>
            </w:pPr>
            <w:r/>
            <w:r>
              <w:rPr>
                <w:b/>
                <w:sz w:val="16"/>
              </w:rPr>
              <w:t>dividende</w:t>
              <w:br/>
            </w:r>
            <w:r>
              <w:rPr>
                <w:sz w:val="18"/>
              </w:rPr>
              <w:t>1 112 FCFA par action</w:t>
            </w:r>
          </w:p>
        </w:tc>
        <w:tc>
          <w:tcPr>
            <w:tcW w:type="dxa" w:w="2160"/>
          </w:tcPr>
          <w:p>
            <w:pPr>
              <w:ind w:left="100"/>
            </w:pPr>
            <w:r/>
            <w:r>
              <w:rPr>
                <w:b/>
                <w:sz w:val="16"/>
              </w:rPr>
              <w:t>marge_nette</w:t>
              <w:br/>
            </w:r>
            <w:r>
              <w:rPr>
                <w:sz w:val="18"/>
              </w:rPr>
              <w:t>35,7%</w:t>
            </w:r>
          </w:p>
        </w:tc>
        <w:tc>
          <w:tcPr>
            <w:tcW w:type="dxa" w:w="2160"/>
          </w:tcPr>
          <w:p>
            <w:pPr>
              <w:ind w:left="100"/>
            </w:pPr>
            <w:r/>
            <w:r>
              <w:rPr>
                <w:b/>
                <w:sz w:val="16"/>
              </w:rPr>
              <w:t>total_actif</w:t>
              <w:br/>
            </w:r>
            <w:r>
              <w:rPr>
                <w:sz w:val="18"/>
              </w:rPr>
              <w:t>3 021 481 millions FCFA</w:t>
            </w:r>
          </w:p>
        </w:tc>
      </w:tr>
      <w:tr>
        <w:tc>
          <w:tcPr>
            <w:tcW w:type="dxa" w:w="2160"/>
          </w:tcPr>
          <w:p>
            <w:r/>
            <w:r>
              <w:rPr>
                <w:b/>
                <w:sz w:val="16"/>
              </w:rPr>
              <w:t>resultat_net</w:t>
              <w:br/>
            </w:r>
            <w:r>
              <w:rPr>
                <w:sz w:val="18"/>
              </w:rPr>
              <w:t>67 438 millions FCFA</w:t>
            </w:r>
          </w:p>
        </w:tc>
        <w:tc>
          <w:tcPr>
            <w:tcW w:type="dxa" w:w="2160"/>
          </w:tcPr>
          <w:p>
            <w:r/>
            <w:r>
              <w:rPr>
                <w:b/>
                <w:sz w:val="16"/>
              </w:rPr>
              <w:t>capitaux_propres</w:t>
              <w:br/>
            </w:r>
            <w:r>
              <w:rPr>
                <w:sz w:val="18"/>
              </w:rPr>
              <w:t>304 993 millions FCFA</w:t>
            </w:r>
          </w:p>
        </w:tc>
        <w:tc>
          <w:tcPr>
            <w:tcW w:type="dxa" w:w="2160"/>
          </w:tcPr>
          <w:p>
            <w:r/>
            <w:r>
              <w:rPr>
                <w:b/>
                <w:sz w:val="16"/>
              </w:rPr>
              <w:t>chiffre_affaires</w:t>
              <w:br/>
            </w:r>
            <w:r>
              <w:rPr>
                <w:sz w:val="18"/>
              </w:rPr>
              <w:t>189 096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189 096 millions FCFA en 2021, en progression de 15,3% sur un an (164 062 millions FCFA en 2020).</w:t>
      </w:r>
    </w:p>
    <w:p>
      <w:pPr>
        <w:pStyle w:val="ListBullet"/>
        <w:spacing w:before="20" w:after="20"/>
        <w:ind w:left="700"/>
      </w:pPr>
      <w:r>
        <w:rPr>
          <w:sz w:val="18"/>
        </w:rPr>
        <w:t>Résultat net de 67 438 millions FCFA, en forte hausse de 39,3% par rapport à 48 435 millions FCFA en 2020.</w:t>
      </w:r>
    </w:p>
    <w:p>
      <w:pPr>
        <w:pStyle w:val="ListBullet"/>
        <w:spacing w:before="20" w:after="20"/>
        <w:ind w:left="700"/>
      </w:pPr>
      <w:r>
        <w:rPr>
          <w:sz w:val="18"/>
        </w:rPr>
        <w:t>Marge nette élevée à environ 35,7% du PNB, illustrant une bonne maîtrise des charges.</w:t>
      </w:r>
    </w:p>
    <w:p>
      <w:pPr>
        <w:pStyle w:val="ListBullet"/>
        <w:spacing w:before="20" w:after="20"/>
        <w:ind w:left="700"/>
      </w:pPr>
      <w:r>
        <w:rPr>
          <w:sz w:val="18"/>
        </w:rPr>
        <w:t>Coût du risque en baisse à 17 942 millions FCFA contre 23 926 millions FCFA en 2020, traduisant une amélioration de la qualité du portefeuille.</w:t>
      </w:r>
    </w:p>
    <w:p>
      <w:pPr>
        <w:pStyle w:val="ListBullet"/>
        <w:spacing w:before="20" w:after="20"/>
        <w:ind w:left="700"/>
      </w:pPr>
      <w:r>
        <w:rPr>
          <w:sz w:val="18"/>
        </w:rPr>
        <w:t>Frais généraux contenus à 90 651 millions FCFA, permettant un Résultat Brut d'Exploitation de 98 446 millions FCFA (contre 83 330 millions FCFA en 2020).</w:t>
      </w:r>
    </w:p>
    <w:p>
      <w:pPr>
        <w:pStyle w:val="ListBullet"/>
        <w:spacing w:before="20" w:after="20"/>
        <w:ind w:left="700"/>
      </w:pPr>
      <w:r>
        <w:rPr>
          <w:sz w:val="18"/>
        </w:rPr>
        <w:t>Total du bilan de 3 021 481 millions FCFA et capitaux propres renforcés à 304 993 millions FCFA.</w:t>
      </w:r>
    </w:p>
    <w:p>
      <w:pPr>
        <w:spacing w:before="40"/>
        <w:ind w:left="400"/>
      </w:pPr>
      <w:r>
        <w:rPr>
          <w:b/>
          <w:color w:val="C05000"/>
          <w:sz w:val="18"/>
        </w:rPr>
        <w:t xml:space="preserve">⚠️ Risques : </w:t>
      </w:r>
      <w:r>
        <w:rPr>
          <w:sz w:val="18"/>
        </w:rPr>
        <w:t>["D\u00e9gradation de la qualit\u00e9 du cr\u00e9dit dans un contexte macro\u00e9conomique r\u00e9gional incertain pouvant faire remonter le co\u00fbt du risque.", "Forte d\u00e9pendance au march\u00e9 ivoirien et \u00e0 la concentration du portefeuille client\u00e8le, exposant la banque \u00e0 un r</w:t>
      </w:r>
    </w:p>
    <w:p>
      <w:pPr>
        <w:spacing w:before="40"/>
        <w:ind w:left="400"/>
      </w:pPr>
      <w:r>
        <w:rPr>
          <w:b/>
          <w:color w:val="0064A0"/>
          <w:sz w:val="18"/>
        </w:rPr>
        <w:t xml:space="preserve">🔮 Perspectives : </w:t>
      </w:r>
      <w:r>
        <w:rPr>
          <w:sz w:val="18"/>
        </w:rPr>
        <w:t>Pour l'exercice 2022, SGB CI devrait poursuivre sa dynamique de croissance portée par le développement du crédit à la clientèle et la digitalisation de ses services. La bonne maîtrise des charges et la baisse du coût du risque devraient soutenir la rentabilité. Le maintien d'une politique de distrib</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forte dynamique commerciale et un PNB en croissance de +14%, mais le r\u00e9sultat net recule de -3% dans un contexte macro\u00e9conomique incertain. La solidit\u00e9 du bilan et la croissance des encours justifient une position d'attente."}</w:t>
      </w:r>
    </w:p>
    <w:p>
      <w:pPr>
        <w:spacing w:before="40"/>
        <w:ind w:left="400"/>
      </w:pPr>
      <w:r>
        <w:rPr>
          <w:sz w:val="18"/>
        </w:rPr>
        <w:t>Société Générale Côte d'Ivoire (SGB CI) affiche à fin septembre 2022 des résultats témoignant de la résilience de son activité dans un environnement économique mondial difficile. L'activité commerciale reste très dynamique avec une croissance soutenue des encours de crédits (+17%) et de dépôts (+19%) par rapport à septembre 2021. Le Produit Net Bancaire s'établit à 154,9 milliards FCFA, en forte progression de +14%, porté par la marge nette d'intérêt et les commissions de service. Le résultat avant impôt ressort à 56,7 milliards FCFA (-3%) et le résultat net à 47,1 milliards FCFA, en légère baisse de -3%. La société confirme ainsi la solidité de son modèle, bien que la rentabilité nette soit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{'unite': 'Millions XOF (MXOF)', 'periode': 'Fin septembre 2022 vs septembre 2021', 'variation_pnb': '+19 540 millions FCFA', 'depots_clientele': '2 700 807 millions FCFA (+19%)', 'credits_clientele': '1 965 461 millions FCFA (+17%)', 'produit_net_bancaire': '154 926 millions FCFA (+14%)', 'resultat_avant_impot': '56 728 millions FCFA (-3%)', 'variation_resultat_net': '-1 354 millions FCFA', 'variation_resultat_avant_impot': '-1 631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47 084 millions FCFA (-3%)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154 926 millions FCFA (Produit Net Bancaire, +14%)</w:t>
            </w:r>
          </w:p>
        </w:tc>
        <w:tc>
          <w:tcPr>
            <w:tcW w:type="dxa" w:w="2160"/>
          </w:tcPr>
          <w:p/>
        </w:tc>
      </w:tr>
    </w:tbl>
    <w:p/>
    <w:p>
      <w:pPr>
        <w:spacing w:before="60"/>
        <w:ind w:left="400"/>
      </w:pPr>
      <w:r>
        <w:rPr>
          <w:b/>
          <w:sz w:val="18"/>
        </w:rPr>
        <w:t>Points clés :</w:t>
      </w:r>
    </w:p>
    <w:p>
      <w:pPr>
        <w:pStyle w:val="ListBullet"/>
        <w:spacing w:before="20" w:after="20"/>
        <w:ind w:left="700"/>
      </w:pPr>
      <w:r>
        <w:rPr>
          <w:sz w:val="18"/>
        </w:rPr>
        <w:t>Encours de crédits de la clientèle en hausse de +17% à 1 965,5 milliards FCFA</w:t>
      </w:r>
    </w:p>
    <w:p>
      <w:pPr>
        <w:pStyle w:val="ListBullet"/>
        <w:spacing w:before="20" w:after="20"/>
        <w:ind w:left="700"/>
      </w:pPr>
      <w:r>
        <w:rPr>
          <w:sz w:val="18"/>
        </w:rPr>
        <w:t>Encours de dépôts de la clientèle en progression de +19% à 2 700,8 milliards FCFA</w:t>
      </w:r>
    </w:p>
    <w:p>
      <w:pPr>
        <w:pStyle w:val="ListBullet"/>
        <w:spacing w:before="20" w:after="20"/>
        <w:ind w:left="700"/>
      </w:pPr>
      <w:r>
        <w:rPr>
          <w:sz w:val="18"/>
        </w:rPr>
        <w:t>Produit Net Bancaire de 154,9 milliards FCFA, en forte croissance de +14%</w:t>
      </w:r>
    </w:p>
    <w:p>
      <w:pPr>
        <w:pStyle w:val="ListBullet"/>
        <w:spacing w:before="20" w:after="20"/>
        <w:ind w:left="700"/>
      </w:pPr>
      <w:r>
        <w:rPr>
          <w:sz w:val="18"/>
        </w:rPr>
        <w:t>Résultat avant impôt de 56,7 milliards FCFA, en repli de -3%</w:t>
      </w:r>
    </w:p>
    <w:p>
      <w:pPr>
        <w:pStyle w:val="ListBullet"/>
        <w:spacing w:before="20" w:after="20"/>
        <w:ind w:left="700"/>
      </w:pPr>
      <w:r>
        <w:rPr>
          <w:sz w:val="18"/>
        </w:rPr>
        <w:t>Résultat net de 47,1 milliards FCFA, en légère baisse de -3%</w:t>
      </w:r>
    </w:p>
    <w:p>
      <w:pPr>
        <w:pStyle w:val="ListBullet"/>
        <w:spacing w:before="20" w:after="20"/>
        <w:ind w:left="700"/>
      </w:pPr>
      <w:r>
        <w:rPr>
          <w:sz w:val="18"/>
        </w:rPr>
        <w:t>Dynamique des revenus portée par la marge nette d'intérêt et le développement des commissions de service</w:t>
      </w:r>
    </w:p>
    <w:p>
      <w:pPr>
        <w:spacing w:before="40"/>
        <w:ind w:left="400"/>
      </w:pPr>
      <w:r>
        <w:rPr>
          <w:b/>
          <w:color w:val="C05000"/>
          <w:sz w:val="18"/>
        </w:rPr>
        <w:t xml:space="preserve">⚠️ Risques : </w:t>
      </w:r>
      <w:r>
        <w:rPr>
          <w:sz w:val="18"/>
        </w:rPr>
        <w:t>["Baisse du r\u00e9sultat net (-3%) et du r\u00e9sultat avant imp\u00f4t (-3%) malgr\u00e9 la croissance du PNB, signalant une compression de la rentabilit\u00e9", "Environnement macro\u00e9conomique difficile : ralentissement de la croissance \u00e9conomique mondiale et forte inflation", "Risque de</w:t>
      </w:r>
    </w:p>
    <w:p>
      <w:pPr>
        <w:spacing w:before="40"/>
        <w:ind w:left="400"/>
      </w:pPr>
      <w:r>
        <w:rPr>
          <w:b/>
          <w:color w:val="0064A0"/>
          <w:sz w:val="18"/>
        </w:rPr>
        <w:t xml:space="preserve">🔮 Perspectives : </w:t>
      </w:r>
      <w:r>
        <w:rPr>
          <w:sz w:val="18"/>
        </w:rPr>
        <w:t>SGB CI devrait poursuivre sa dynamique commerciale portée par la croissance soutenue des encours de crédits et de dépôts ainsi que par le développement des commissions de service. Le maintien de la progression du Produit Net Bancaire constitue le principal levier, mais la pression sur le résultat ne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des fondamentaux solides avec une forte croissance du PNB, un bilan bien capitalis\u00e9 et un leadership sectoriel confirm\u00e9, mais le repli du r\u00e9sultat net de -9,2% li\u00e9 aux provisions exceptionnelles sur les PME incite \u00e0 la prudence. La correction du co\u00fbt du risque attendue au second semestre et la valorisation actuelle justifient une position d'attente sur le titre."}</w:t>
      </w:r>
    </w:p>
    <w:p>
      <w:pPr>
        <w:spacing w:before="40"/>
        <w:ind w:left="400"/>
      </w:pPr>
      <w:r>
        <w:rPr>
          <w:sz w:val="18"/>
        </w:rPr>
        <w:t>Société Générale Côte d'Ivoire affiche au premier semestre 2022 de solides performances commerciales avec une hausse de 16% des encours de crédits et de dépôts, maintenant sa position de leader du secteur bancaire ivoirien avec des parts de marché de 19,6% sur les crédits et 18,4% sur les dépôts. Le Produit Net Bancaire progresse fortement de +16% à 103 071 millions FCFA, porté par la marge nette d'intérêts et les commissions, tandis que les frais généraux ne croissent que de +12%, permettant un effet de ciseaux positif et un coefficient d'exploitation en amélioration à 45,9%. Le Résultat Net ressort toutefois en léger repli de -9,2% à 28 058 millions FCFA, pénalisé par un Coût Net du Risque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'15 555 555 000 FCFA', 'cout_du_risque': '23 878 millions FCFA', 'frais_generaux': '47 331 millions FCFA (+12%)', 'depots_clientele': '2 591 292 millions FCFA (+16%)', 'ratio_solvabilite': '14,4% (minimum réglementaire 11,25%)', 'produit_net_bancaire': '103 071 millions FCFA (+16% vs juin 2021)', 'part_de_marche_depots': '18,4%', 'part_de_marche_credits': '19,6%', 'coefficient_exploitation': '45,9% (-175 pb)', 'encours_credits_clientele': '1 974 755 millions FCFA (+16%)', 'resultat_brut_exploitation': '55 740 millions FCFA', 'taux_degradation_portefeuille': '8,0%', 'taux_couverture_creances_souffrance': '&gt;90%'}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27,2% (Résultat net / PNB)</w:t>
            </w:r>
          </w:p>
        </w:tc>
        <w:tc>
          <w:tcPr>
            <w:tcW w:type="dxa" w:w="2160"/>
          </w:tcPr>
          <w:p>
            <w:pPr>
              <w:ind w:left="100"/>
            </w:pPr>
            <w:r/>
            <w:r>
              <w:rPr>
                <w:b/>
                <w:sz w:val="16"/>
              </w:rPr>
              <w:t>total_actif</w:t>
              <w:br/>
            </w:r>
            <w:r>
              <w:rPr>
                <w:sz w:val="18"/>
              </w:rPr>
              <w:t>3 060 101 millions FCFA (juin 2022)</w:t>
            </w:r>
          </w:p>
        </w:tc>
      </w:tr>
      <w:tr>
        <w:tc>
          <w:tcPr>
            <w:tcW w:type="dxa" w:w="2160"/>
          </w:tcPr>
          <w:p>
            <w:r/>
            <w:r>
              <w:rPr>
                <w:b/>
                <w:sz w:val="16"/>
              </w:rPr>
              <w:t>resultat_net</w:t>
              <w:br/>
            </w:r>
            <w:r>
              <w:rPr>
                <w:sz w:val="18"/>
              </w:rPr>
              <w:t>28 058 millions FCFA (juin 2022)</w:t>
            </w:r>
          </w:p>
        </w:tc>
        <w:tc>
          <w:tcPr>
            <w:tcW w:type="dxa" w:w="2160"/>
          </w:tcPr>
          <w:p>
            <w:r/>
            <w:r>
              <w:rPr>
                <w:b/>
                <w:sz w:val="16"/>
              </w:rPr>
              <w:t>capitaux_propres</w:t>
              <w:br/>
            </w:r>
            <w:r>
              <w:rPr>
                <w:sz w:val="18"/>
              </w:rPr>
              <w:t>298 456 millions FCFA (juin 2022)</w:t>
            </w:r>
          </w:p>
        </w:tc>
        <w:tc>
          <w:tcPr>
            <w:tcW w:type="dxa" w:w="2160"/>
          </w:tcPr>
          <w:p>
            <w:r/>
            <w:r>
              <w:rPr>
                <w:b/>
                <w:sz w:val="16"/>
              </w:rPr>
              <w:t>chiffre_affaires</w:t>
              <w:br/>
            </w:r>
            <w:r>
              <w:rPr>
                <w:sz w:val="18"/>
              </w:rPr>
              <w:t>103 071 millions FCFA (Produit Net Bancaire, juin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progression de +16% à 103 071 millions FCFA, soutenu par la marge nette d'intérêts (+16%) et les commissions (+16%)</w:t>
      </w:r>
    </w:p>
    <w:p>
      <w:pPr>
        <w:pStyle w:val="ListBullet"/>
        <w:spacing w:before="20" w:after="20"/>
        <w:ind w:left="700"/>
      </w:pPr>
      <w:r>
        <w:rPr>
          <w:sz w:val="18"/>
        </w:rPr>
        <w:t>Résultat Net de 28 058 millions FCFA en repli de -9,2% par rapport à juin 2021, affecté par la hausse du coût du risque</w:t>
      </w:r>
    </w:p>
    <w:p>
      <w:pPr>
        <w:pStyle w:val="ListBullet"/>
        <w:spacing w:before="20" w:after="20"/>
        <w:ind w:left="700"/>
      </w:pPr>
      <w:r>
        <w:rPr>
          <w:sz w:val="18"/>
        </w:rPr>
        <w:t>Coût Net du Risque en forte hausse à 23 878 millions FCFA en raison de provisions exceptionnelles à 100% sur des créances PME liées à un risque opérationnel</w:t>
      </w:r>
    </w:p>
    <w:p>
      <w:pPr>
        <w:pStyle w:val="ListBullet"/>
        <w:spacing w:before="20" w:after="20"/>
        <w:ind w:left="700"/>
      </w:pPr>
      <w:r>
        <w:rPr>
          <w:sz w:val="18"/>
        </w:rPr>
        <w:t>Croissance des encours de crédits (+16% à 1 974 755 millions FCFA) et de dépôts (+16% à 2 591 292 millions FCFA), confirmant le leadership bancaire avec des parts de marché de 19,6% et 18,4%</w:t>
      </w:r>
    </w:p>
    <w:p>
      <w:pPr>
        <w:pStyle w:val="ListBullet"/>
        <w:spacing w:before="20" w:after="20"/>
        <w:ind w:left="700"/>
      </w:pPr>
      <w:r>
        <w:rPr>
          <w:sz w:val="18"/>
        </w:rPr>
        <w:t>Ratio de solvabilité solide à 14,4%, soit +317 points de base au-dessus du minimum réglementaire de 11,25%</w:t>
      </w:r>
    </w:p>
    <w:p>
      <w:pPr>
        <w:pStyle w:val="ListBullet"/>
        <w:spacing w:before="20" w:after="20"/>
        <w:ind w:left="700"/>
      </w:pPr>
      <w:r>
        <w:rPr>
          <w:sz w:val="18"/>
        </w:rPr>
        <w:t>Bonne maîtrise des coûts avec des frais généraux en hausse de seulement +12% et un coefficient d'exploitation amélioré à 45,9% (-175 pb)</w:t>
      </w:r>
    </w:p>
    <w:p>
      <w:pPr>
        <w:spacing w:before="40"/>
        <w:ind w:left="400"/>
      </w:pPr>
      <w:r>
        <w:rPr>
          <w:b/>
          <w:color w:val="C05000"/>
          <w:sz w:val="18"/>
        </w:rPr>
        <w:t xml:space="preserve">⚠️ Risques : </w:t>
      </w:r>
      <w:r>
        <w:rPr>
          <w:sz w:val="18"/>
        </w:rPr>
        <w:t>["D\u00e9t\u00e9rioration du co\u00fbt du risque li\u00e9e \u00e0 la d\u00e9gradation de certaines cr\u00e9ances PME, avec des provisions exceptionnelles qui pourraient perdurer si la conjoncture reste difficile", "Environnement macro\u00e9conomique incertain marqu\u00e9 par les tensions g\u00e9opol</w:t>
      </w:r>
    </w:p>
    <w:p>
      <w:pPr>
        <w:spacing w:before="40"/>
        <w:ind w:left="400"/>
      </w:pPr>
      <w:r>
        <w:rPr>
          <w:b/>
          <w:color w:val="0064A0"/>
          <w:sz w:val="18"/>
        </w:rPr>
        <w:t xml:space="preserve">🔮 Perspectives : </w:t>
      </w:r>
      <w:r>
        <w:rPr>
          <w:sz w:val="18"/>
        </w:rPr>
        <w:t>Sur le second semestre 2022, Société Générale Côte d'Ivoire anticipe une amélioration grâce aux perspectives de recouvrement des créances compromises et provisionnées, qui devraient permettre de contenir l'évolution du coût net du risque. La banque poursuivra la mise en œuvre de ses initiatives stra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r\u00e9sultat net en hausse de +10,6%, un ROE \u00e9lev\u00e9 de 21,6% et une position de leader incontest\u00e9e sur le march\u00e9 bancaire ivoirien. La solidit\u00e9 financi\u00e8re (notation AA+, capitaux propres de 345 009 M FCFA) et un dividende en progression de 11% soutiennent une perspective favorable pour l'actionnaire."}</w:t>
      </w:r>
    </w:p>
    <w:p>
      <w:pPr>
        <w:spacing w:before="40"/>
        <w:ind w:left="400"/>
      </w:pPr>
      <w:r>
        <w:rPr>
          <w:sz w:val="18"/>
        </w:rPr>
        <w:t>Société Générale Côte d'Ivoire (SGCI) clôture l'exercice 2022 avec les meilleurs résultats de son histoire, célébrant ses 60 ans d'activité. Le Produit Net Bancaire progresse de +13,8% à 215 101 millions FCFA, porté par la marge nette d'intérêts (+15%) et les commissions (+12,5%). Le résultat net atteint un niveau record de 74 612 millions FCFA (+10,6%) malgré une forte hausse du coût net du risque (+60,6%) liée à des dotations exceptionnelles sur le segment PME. La banque confirme sa position de leader du marché bancaire ivoirien et sous-régional, avec des parts de marché en hausse (20% emplois, 18,9% ressources) et une rentabilité des fonds propres élevée de 21,6%. Forte de sa solidité fin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'nombre_actions': '31 111 110', 'cout_net_risque': '28 816 millions FCFA', 'depots_clientele': '2 685 322 millions FCFA', 'credits_clientele': '2 160 660 millions FCFA', 'dividendes_totaux': '38 266 665 300 FCFA', 'taux_distribution': '51,3%', 'part_marche_emplois': '20%', 'coefficient_exploitation': '44,8%', 'produit_net_bancaire_2021': '189 096 millions FCFA', 'resultat_brut_exploitation': '118 708 millions FCFA'}</w:t>
            </w:r>
          </w:p>
        </w:tc>
        <w:tc>
          <w:tcPr>
            <w:tcW w:type="dxa" w:w="2160"/>
          </w:tcPr>
          <w:p>
            <w:pPr>
              <w:ind w:left="100"/>
            </w:pPr>
            <w:r/>
            <w:r>
              <w:rPr>
                <w:b/>
                <w:sz w:val="16"/>
              </w:rPr>
              <w:t>dividende</w:t>
              <w:br/>
            </w:r>
            <w:r>
              <w:rPr>
                <w:sz w:val="18"/>
              </w:rPr>
              <w:t>1 230 FCFA par action</w:t>
            </w:r>
          </w:p>
        </w:tc>
        <w:tc>
          <w:tcPr>
            <w:tcW w:type="dxa" w:w="2160"/>
          </w:tcPr>
          <w:p>
            <w:pPr>
              <w:ind w:left="100"/>
            </w:pPr>
            <w:r/>
            <w:r>
              <w:rPr>
                <w:b/>
                <w:sz w:val="16"/>
              </w:rPr>
              <w:t>marge_nette</w:t>
              <w:br/>
            </w:r>
            <w:r>
              <w:rPr>
                <w:sz w:val="18"/>
              </w:rPr>
              <w:t>34,7%</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w:t>
            </w:r>
          </w:p>
        </w:tc>
        <w:tc>
          <w:tcPr>
            <w:tcW w:type="dxa" w:w="2160"/>
          </w:tcPr>
          <w:p>
            <w:r/>
            <w:r>
              <w:rPr>
                <w:b/>
                <w:sz w:val="16"/>
              </w:rPr>
              <w:t>capitaux_propres</w:t>
              <w:br/>
            </w:r>
            <w:r>
              <w:rPr>
                <w:sz w:val="18"/>
              </w:rPr>
              <w:t>345 009 millions FCFA</w:t>
            </w:r>
          </w:p>
        </w:tc>
        <w:tc>
          <w:tcPr>
            <w:tcW w:type="dxa" w:w="2160"/>
          </w:tcPr>
          <w:p>
            <w:r/>
            <w:r>
              <w:rPr>
                <w:b/>
                <w:sz w:val="16"/>
              </w:rPr>
              <w:t>chiffre_affaires</w:t>
              <w:br/>
            </w:r>
            <w:r>
              <w:rPr>
                <w:sz w:val="18"/>
              </w:rPr>
              <w:t>215 101 millions FCFA (PNB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+13,8% à 215 101 millions FCFA, soutenu par la marge nette d'intérêts (+15%) et les commissions (+12,5%)</w:t>
      </w:r>
    </w:p>
    <w:p>
      <w:pPr>
        <w:pStyle w:val="ListBullet"/>
        <w:spacing w:before="20" w:after="20"/>
        <w:ind w:left="700"/>
      </w:pPr>
      <w:r>
        <w:rPr>
          <w:sz w:val="18"/>
        </w:rPr>
        <w:t>Résultat net historique de 74 612 millions FCFA (+10,6%) malgré une progression de +60,6% du coût net du risque</w:t>
      </w:r>
    </w:p>
    <w:p>
      <w:pPr>
        <w:pStyle w:val="ListBullet"/>
        <w:spacing w:before="20" w:after="20"/>
        <w:ind w:left="700"/>
      </w:pPr>
      <w:r>
        <w:rPr>
          <w:sz w:val="18"/>
        </w:rPr>
        <w:t>Coût net du risque à 28 816 millions FCFA, impacté par des dotations exceptionnelles sur les PME ; retraité, il ressort à 81 pbs contre 151 pbs initialement</w:t>
      </w:r>
    </w:p>
    <w:p>
      <w:pPr>
        <w:pStyle w:val="ListBullet"/>
        <w:spacing w:before="20" w:after="20"/>
        <w:ind w:left="700"/>
      </w:pPr>
      <w:r>
        <w:rPr>
          <w:sz w:val="18"/>
        </w:rPr>
        <w:t>Coefficient d'exploitation en amélioration à 44,8% (-313 pbs) avec un effet ciseau positif de +742 pbs</w:t>
      </w:r>
    </w:p>
    <w:p>
      <w:pPr>
        <w:pStyle w:val="ListBullet"/>
        <w:spacing w:before="20" w:after="20"/>
        <w:ind w:left="700"/>
      </w:pPr>
      <w:r>
        <w:rPr>
          <w:sz w:val="18"/>
        </w:rPr>
        <w:t>Croissance de +15,4% des crédits clientèle (2 160 660 M FCFA) et +6,2% des dépôts (2 685 322 M FCFA)</w:t>
      </w:r>
    </w:p>
    <w:p>
      <w:pPr>
        <w:pStyle w:val="ListBullet"/>
        <w:spacing w:before="20" w:after="20"/>
        <w:ind w:left="700"/>
      </w:pPr>
      <w:r>
        <w:rPr>
          <w:sz w:val="18"/>
        </w:rPr>
        <w:t>Rentabilité des capitaux propres (ROE) élevée à 21,6% et taux de couverture des créances en souffrance supérieur à 90%</w:t>
      </w:r>
    </w:p>
    <w:p>
      <w:pPr>
        <w:spacing w:before="40"/>
        <w:ind w:left="400"/>
      </w:pPr>
      <w:r>
        <w:rPr>
          <w:b/>
          <w:color w:val="C05000"/>
          <w:sz w:val="18"/>
        </w:rPr>
        <w:t xml:space="preserve">⚠️ Risques : </w:t>
      </w:r>
      <w:r>
        <w:rPr>
          <w:sz w:val="18"/>
        </w:rPr>
        <w:t>["D\u00e9t\u00e9rioration du co\u00fbt du risque, notamment sur le segment PME, avec une progression de +60,6% des dotations aux provisions", "Environnement macro\u00e9conomique incertain marqu\u00e9 par l'inflation persistante, le durcissement mon\u00e9taire et les tensions g\u00e9opolitiques", "Pr</w:t>
      </w:r>
    </w:p>
    <w:p>
      <w:pPr>
        <w:spacing w:before="40"/>
        <w:ind w:left="400"/>
      </w:pPr>
      <w:r>
        <w:rPr>
          <w:b/>
          <w:color w:val="0064A0"/>
          <w:sz w:val="18"/>
        </w:rPr>
        <w:t xml:space="preserve">🔮 Perspectives : </w:t>
      </w:r>
      <w:r>
        <w:rPr>
          <w:sz w:val="18"/>
        </w:rPr>
        <w:t>Dans un environnement mondial qui reste incertain, SGCI entend poursuivre la dynamique engagée en 2022 en déployant ses projets stratégiques RISE+ autour de la maîtrise des risques, de la digitalisation et de la donnée. La banque restera guidée par son ambition d'être le partenaire de confiance pour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banque affiche une croissance homog\u00e8ne de +21% sur l'ensemble de ses agr\u00e9gats (PNB, r\u00e9sultat avant imp\u00f4t et r\u00e9sultat net), avec une marge nette \u00e9lev\u00e9e proche de 38%. Cette performance solide, dans un contexte macro\u00e9conomique difficile, confirme la qualit\u00e9 du mod\u00e8le et justifie une recommandation d'achat."}</w:t>
      </w:r>
    </w:p>
    <w:p>
      <w:pPr>
        <w:spacing w:before="40"/>
        <w:ind w:left="400"/>
      </w:pPr>
      <w:r>
        <w:rPr>
          <w:sz w:val="18"/>
        </w:rPr>
        <w:t>Société Générale Côte d'Ivoire (SGBCI) clôture le premier trimestre 2023 avec des résultats en forte progression malgré un contexte macroéconomique difficile marqué par les tensions inflationnistes et le resserrement monétaire. Le Produit Net Bancaire atteint 59 476 millions FCFA, en hausse de 21% sur un an, porté par la bonne tenue de la marge nette d'intérêt et la performance des commissions de service. Le Résultat avant impôt s'établit à 27 134 millions FCFA, également en progression de 21%, grâce au dynamisme commercial, à une croissance contenue des frais généraux et à une bonne maîtrise du coût net du risque. Le Résultat Net ressort à 22 509 millions FCFA, en croissance de 21% par rapp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'Premier trimestre 2023 (mars-23)', 'variation_pnb': '+21%', 'chiffres_audites': False, 'produit_net_bancaire': '59 476 millions FCFA', 'resultat_avant_impot': '27 134 millions FCFA', 'variation_resultat_net': '+21%'}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37,8%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22 509 millions FCFA</w:t>
            </w:r>
          </w:p>
        </w:tc>
        <w:tc>
          <w:tcPr>
            <w:tcW w:type="dxa" w:w="2160"/>
          </w:tcPr>
          <w:p>
            <w:r/>
            <w:r>
              <w:rPr>
                <w:b/>
                <w:sz w:val="16"/>
              </w:rPr>
              <w:t>capitaux_propres</w:t>
              <w:br/>
            </w:r>
            <w:r>
              <w:rPr>
                <w:sz w:val="18"/>
              </w:rPr>
              <w:t>15 555 555 000 FCFA (capital social)</w:t>
            </w:r>
          </w:p>
        </w:tc>
        <w:tc>
          <w:tcPr>
            <w:tcW w:type="dxa" w:w="2160"/>
          </w:tcPr>
          <w:p>
            <w:r/>
            <w:r>
              <w:rPr>
                <w:b/>
                <w:sz w:val="16"/>
              </w:rPr>
              <w:t>chiffre_affaires</w:t>
              <w:br/>
            </w:r>
            <w:r>
              <w:rPr>
                <w:sz w:val="18"/>
              </w:rPr>
              <w:t>59 476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59 476 millions FCFA, en hausse de 21% sur un an</w:t>
      </w:r>
    </w:p>
    <w:p>
      <w:pPr>
        <w:pStyle w:val="ListBullet"/>
        <w:spacing w:before="20" w:after="20"/>
        <w:ind w:left="700"/>
      </w:pPr>
      <w:r>
        <w:rPr>
          <w:sz w:val="18"/>
        </w:rPr>
        <w:t>Résultat avant impôt de 27 134 millions FCFA, en progression de 21%</w:t>
      </w:r>
    </w:p>
    <w:p>
      <w:pPr>
        <w:pStyle w:val="ListBullet"/>
        <w:spacing w:before="20" w:after="20"/>
        <w:ind w:left="700"/>
      </w:pPr>
      <w:r>
        <w:rPr>
          <w:sz w:val="18"/>
        </w:rPr>
        <w:t>Résultat Net de 22 509 millions FCFA, en croissance de 21% vs mars 2022</w:t>
      </w:r>
    </w:p>
    <w:p>
      <w:pPr>
        <w:pStyle w:val="ListBullet"/>
        <w:spacing w:before="20" w:after="20"/>
        <w:ind w:left="700"/>
      </w:pPr>
      <w:r>
        <w:rPr>
          <w:sz w:val="18"/>
        </w:rPr>
        <w:t>Croissance portée par la marge nette d'intérêt liée aux encours de crédits</w:t>
      </w:r>
    </w:p>
    <w:p>
      <w:pPr>
        <w:pStyle w:val="ListBullet"/>
        <w:spacing w:before="20" w:after="20"/>
        <w:ind w:left="700"/>
      </w:pPr>
      <w:r>
        <w:rPr>
          <w:sz w:val="18"/>
        </w:rPr>
        <w:t>Bonne performance des commissions de service (Comptes, Monétiques, Banque à Distance, Moyens de paiement, Trade)</w:t>
      </w:r>
    </w:p>
    <w:p>
      <w:pPr>
        <w:pStyle w:val="ListBullet"/>
        <w:spacing w:before="20" w:after="20"/>
        <w:ind w:left="700"/>
      </w:pPr>
      <w:r>
        <w:rPr>
          <w:sz w:val="18"/>
        </w:rPr>
        <w:t>Maîtrise des frais généraux et du coût net du risque</w:t>
      </w:r>
    </w:p>
    <w:p>
      <w:pPr>
        <w:spacing w:before="40"/>
        <w:ind w:left="400"/>
      </w:pPr>
      <w:r>
        <w:rPr>
          <w:b/>
          <w:color w:val="C05000"/>
          <w:sz w:val="18"/>
        </w:rPr>
        <w:t xml:space="preserve">⚠️ Risques : </w:t>
      </w:r>
      <w:r>
        <w:rPr>
          <w:sz w:val="18"/>
        </w:rPr>
        <w:t>["D\u00e9gradation de la qualit\u00e9 du cr\u00e9dit et hausse du co\u00fbt net du risque dans un environnement \u00e9conomique ralenti", "Tensions inflationnistes et resserrement mon\u00e9taire pouvant peser sur la demande de cr\u00e9dit et les marges", "Instabilit\u00e9 g\u00e9opolitique internati</w:t>
      </w:r>
    </w:p>
    <w:p>
      <w:pPr>
        <w:spacing w:before="40"/>
        <w:ind w:left="400"/>
      </w:pPr>
      <w:r>
        <w:rPr>
          <w:b/>
          <w:color w:val="0064A0"/>
          <w:sz w:val="18"/>
        </w:rPr>
        <w:t xml:space="preserve">🔮 Perspectives : </w:t>
      </w:r>
      <w:r>
        <w:rPr>
          <w:sz w:val="18"/>
        </w:rPr>
        <w:t>Société Générale Côte d'Ivoire devrait maintenir sa dynamique de croissance au cours des prochains trimestres, soutenue par le développement des encours de crédits et des commissions de service. La bonne maîtrise des charges et du coût du risque devrait permettre de préserver un niveau de rentabilit</w:t>
      </w:r>
    </w:p>
    <w:p/>
    <w:p>
      <w:r>
        <w:t>════════════════════════════════════════════════════════════════════════════════</w:t>
      </w:r>
    </w:p>
    <w:p>
      <w:r>
        <w:br w:type="page"/>
      </w:r>
    </w:p>
    <w:p>
      <w:pPr>
        <w:pStyle w:val="Heading2"/>
        <w:spacing w:before="360"/>
      </w:pPr>
      <w:r>
        <w:rPr>
          <w:color w:val="0066CC"/>
        </w:rPr>
        <w:t>34.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141.75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4,977 titres</w:t>
            </w:r>
          </w:p>
        </w:tc>
        <w:tc>
          <w:tcPr>
            <w:tcW w:type="dxa" w:w="2268"/>
            <w:shd w:fill="FFF2CC" w:val="clear"/>
          </w:tcPr>
          <w:p>
            <w:r>
              <w:rPr>
                <w:b/>
                <w:color w:val="503200"/>
                <w:sz w:val="16"/>
              </w:rPr>
              <w:t xml:space="preserve">Cours actuel : </w:t>
            </w:r>
            <w:r>
              <w:rPr>
                <w:color w:val="000000"/>
                <w:sz w:val="17"/>
              </w:rPr>
              <w:t>2,250 FCFA</w:t>
            </w:r>
          </w:p>
          <w:p>
            <w:r>
              <w:rPr>
                <w:b/>
                <w:color w:val="503200"/>
                <w:sz w:val="16"/>
              </w:rPr>
              <w:t xml:space="preserve">Var. 100 jours : </w:t>
            </w:r>
            <w:r>
              <w:rPr>
                <w:b/>
                <w:color w:val="007800"/>
                <w:sz w:val="17"/>
              </w:rPr>
              <w:t>+13.92%</w:t>
            </w:r>
          </w:p>
          <w:p>
            <w:r>
              <w:rPr>
                <w:b/>
                <w:color w:val="503200"/>
                <w:sz w:val="16"/>
              </w:rPr>
              <w:t xml:space="preserve">Plus haut 100j : </w:t>
            </w:r>
            <w:r>
              <w:rPr>
                <w:color w:val="000000"/>
                <w:sz w:val="17"/>
              </w:rPr>
              <w:t>2,980 FCFA</w:t>
            </w:r>
          </w:p>
          <w:p>
            <w:r>
              <w:rPr>
                <w:b/>
                <w:color w:val="503200"/>
                <w:sz w:val="16"/>
              </w:rPr>
              <w:t xml:space="preserve">Plus bas 100j : </w:t>
            </w:r>
            <w:r>
              <w:rPr>
                <w:color w:val="000000"/>
                <w:sz w:val="17"/>
              </w:rPr>
              <w:t>1,900 FCFA</w:t>
            </w:r>
          </w:p>
          <w:p>
            <w:r>
              <w:rPr>
                <w:b/>
                <w:color w:val="503200"/>
                <w:sz w:val="16"/>
              </w:rPr>
              <w:t xml:space="preserve">Volatilité ann. : </w:t>
            </w:r>
            <w:r>
              <w:rPr>
                <w:color w:val="000000"/>
                <w:sz w:val="17"/>
              </w:rPr>
              <w:t>42.1%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9.83% (Moyenne) — μ=2,267 FCFA, σ=223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β=0.9997 (Neutre (suit le marché)) — Cov=0.000073, Var(idx)=0.000073, ρ=0.321,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4,977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σ_j=2.65%/j (Stable) — Vol. annualisée≈42.1%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2,124</w:t>
            </w:r>
          </w:p>
        </w:tc>
        <w:tc>
          <w:tcPr>
            <w:tcW w:type="dxa" w:w="1440"/>
            <w:shd w:fill="FAFAFA" w:val="clear"/>
          </w:tcPr>
          <w:p>
            <w:r>
              <w:rPr>
                <w:b/>
                <w:sz w:val="17"/>
              </w:rPr>
              <w:t>2,261</w:t>
            </w:r>
          </w:p>
        </w:tc>
        <w:tc>
          <w:tcPr>
            <w:tcW w:type="dxa" w:w="1440"/>
            <w:shd w:fill="FAFAFA" w:val="clear"/>
          </w:tcPr>
          <w:p>
            <w:r>
              <w:rPr>
                <w:sz w:val="17"/>
              </w:rPr>
              <w:t>2,399</w:t>
            </w:r>
          </w:p>
        </w:tc>
        <w:tc>
          <w:tcPr>
            <w:tcW w:type="dxa" w:w="1440"/>
            <w:shd w:fill="FAFAFA" w:val="clear"/>
          </w:tcPr>
          <w:p>
            <w:r>
              <w:rPr>
                <w:b/>
                <w:color w:val="008000"/>
                <w:sz w:val="17"/>
              </w:rPr>
              <w:t>+0.5%</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2,069</w:t>
            </w:r>
          </w:p>
        </w:tc>
        <w:tc>
          <w:tcPr>
            <w:tcW w:type="dxa" w:w="1440"/>
            <w:shd w:fill="FAFAFA" w:val="clear"/>
          </w:tcPr>
          <w:p>
            <w:r>
              <w:rPr>
                <w:b/>
                <w:sz w:val="17"/>
              </w:rPr>
              <w:t>2,264</w:t>
            </w:r>
          </w:p>
        </w:tc>
        <w:tc>
          <w:tcPr>
            <w:tcW w:type="dxa" w:w="1440"/>
            <w:shd w:fill="FAFAFA" w:val="clear"/>
          </w:tcPr>
          <w:p>
            <w:r>
              <w:rPr>
                <w:sz w:val="17"/>
              </w:rPr>
              <w:t>2,459</w:t>
            </w:r>
          </w:p>
        </w:tc>
        <w:tc>
          <w:tcPr>
            <w:tcW w:type="dxa" w:w="1440"/>
            <w:shd w:fill="FAFAFA" w:val="clear"/>
          </w:tcPr>
          <w:p>
            <w:r>
              <w:rPr>
                <w:b/>
                <w:color w:val="008000"/>
                <w:sz w:val="17"/>
              </w:rPr>
              <w:t>+0.6%</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2,028</w:t>
            </w:r>
          </w:p>
        </w:tc>
        <w:tc>
          <w:tcPr>
            <w:tcW w:type="dxa" w:w="1440"/>
            <w:shd w:fill="FAFAFA" w:val="clear"/>
          </w:tcPr>
          <w:p>
            <w:r>
              <w:rPr>
                <w:b/>
                <w:sz w:val="17"/>
              </w:rPr>
              <w:t>2,267</w:t>
            </w:r>
          </w:p>
        </w:tc>
        <w:tc>
          <w:tcPr>
            <w:tcW w:type="dxa" w:w="1440"/>
            <w:shd w:fill="FAFAFA" w:val="clear"/>
          </w:tcPr>
          <w:p>
            <w:r>
              <w:rPr>
                <w:sz w:val="17"/>
              </w:rPr>
              <w:t>2,505</w:t>
            </w:r>
          </w:p>
        </w:tc>
        <w:tc>
          <w:tcPr>
            <w:tcW w:type="dxa" w:w="1440"/>
            <w:shd w:fill="FAFAFA" w:val="clear"/>
          </w:tcPr>
          <w:p>
            <w:r>
              <w:rPr>
                <w:b/>
                <w:color w:val="008000"/>
                <w:sz w:val="17"/>
              </w:rPr>
              <w:t>+0.7%</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1,993</w:t>
            </w:r>
          </w:p>
        </w:tc>
        <w:tc>
          <w:tcPr>
            <w:tcW w:type="dxa" w:w="1440"/>
            <w:shd w:fill="FAFAFA" w:val="clear"/>
          </w:tcPr>
          <w:p>
            <w:r>
              <w:rPr>
                <w:b/>
                <w:sz w:val="17"/>
              </w:rPr>
              <w:t>2,269</w:t>
            </w:r>
          </w:p>
        </w:tc>
        <w:tc>
          <w:tcPr>
            <w:tcW w:type="dxa" w:w="1440"/>
            <w:shd w:fill="FAFAFA" w:val="clear"/>
          </w:tcPr>
          <w:p>
            <w:r>
              <w:rPr>
                <w:sz w:val="17"/>
              </w:rPr>
              <w:t>2,544</w:t>
            </w:r>
          </w:p>
        </w:tc>
        <w:tc>
          <w:tcPr>
            <w:tcW w:type="dxa" w:w="1440"/>
            <w:shd w:fill="FAFAFA" w:val="clear"/>
          </w:tcPr>
          <w:p>
            <w:r>
              <w:rPr>
                <w:b/>
                <w:color w:val="008000"/>
                <w:sz w:val="17"/>
              </w:rPr>
              <w:t>+0.8%</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1,961</w:t>
            </w:r>
          </w:p>
        </w:tc>
        <w:tc>
          <w:tcPr>
            <w:tcW w:type="dxa" w:w="1440"/>
            <w:shd w:fill="FAFAFA" w:val="clear"/>
          </w:tcPr>
          <w:p>
            <w:r>
              <w:rPr>
                <w:b/>
                <w:sz w:val="17"/>
              </w:rPr>
              <w:t>2,270</w:t>
            </w:r>
          </w:p>
        </w:tc>
        <w:tc>
          <w:tcPr>
            <w:tcW w:type="dxa" w:w="1440"/>
            <w:shd w:fill="FAFAFA" w:val="clear"/>
          </w:tcPr>
          <w:p>
            <w:r>
              <w:rPr>
                <w:sz w:val="17"/>
              </w:rPr>
              <w:t>2,579</w:t>
            </w:r>
          </w:p>
        </w:tc>
        <w:tc>
          <w:tcPr>
            <w:tcW w:type="dxa" w:w="1440"/>
            <w:shd w:fill="FAFAFA" w:val="clear"/>
          </w:tcPr>
          <w:p>
            <w:r>
              <w:rPr>
                <w:b/>
                <w:color w:val="008000"/>
                <w:sz w:val="17"/>
              </w:rPr>
              <w:t>+0.9%</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1,933</w:t>
            </w:r>
          </w:p>
        </w:tc>
        <w:tc>
          <w:tcPr>
            <w:tcW w:type="dxa" w:w="1440"/>
            <w:shd w:fill="FAFAFA" w:val="clear"/>
          </w:tcPr>
          <w:p>
            <w:r>
              <w:rPr>
                <w:b/>
                <w:sz w:val="17"/>
              </w:rPr>
              <w:t>2,271</w:t>
            </w:r>
          </w:p>
        </w:tc>
        <w:tc>
          <w:tcPr>
            <w:tcW w:type="dxa" w:w="1440"/>
            <w:shd w:fill="FAFAFA" w:val="clear"/>
          </w:tcPr>
          <w:p>
            <w:r>
              <w:rPr>
                <w:sz w:val="17"/>
              </w:rPr>
              <w:t>2,609</w:t>
            </w:r>
          </w:p>
        </w:tc>
        <w:tc>
          <w:tcPr>
            <w:tcW w:type="dxa" w:w="1440"/>
            <w:shd w:fill="FAFAFA" w:val="clear"/>
          </w:tcPr>
          <w:p>
            <w:r>
              <w:rPr>
                <w:b/>
                <w:color w:val="008000"/>
                <w:sz w:val="17"/>
              </w:rPr>
              <w:t>+0.9%</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1,906</w:t>
            </w:r>
          </w:p>
        </w:tc>
        <w:tc>
          <w:tcPr>
            <w:tcW w:type="dxa" w:w="1440"/>
            <w:shd w:fill="FAFAFA" w:val="clear"/>
          </w:tcPr>
          <w:p>
            <w:r>
              <w:rPr>
                <w:b/>
                <w:sz w:val="17"/>
              </w:rPr>
              <w:t>2,271</w:t>
            </w:r>
          </w:p>
        </w:tc>
        <w:tc>
          <w:tcPr>
            <w:tcW w:type="dxa" w:w="1440"/>
            <w:shd w:fill="FAFAFA" w:val="clear"/>
          </w:tcPr>
          <w:p>
            <w:r>
              <w:rPr>
                <w:sz w:val="17"/>
              </w:rPr>
              <w:t>2,637</w:t>
            </w:r>
          </w:p>
        </w:tc>
        <w:tc>
          <w:tcPr>
            <w:tcW w:type="dxa" w:w="1440"/>
            <w:shd w:fill="FAFAFA" w:val="clear"/>
          </w:tcPr>
          <w:p>
            <w:r>
              <w:rPr>
                <w:b/>
                <w:color w:val="008000"/>
                <w:sz w:val="17"/>
              </w:rPr>
              <w:t>+1.0%</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1,881</w:t>
            </w:r>
          </w:p>
        </w:tc>
        <w:tc>
          <w:tcPr>
            <w:tcW w:type="dxa" w:w="1440"/>
            <w:shd w:fill="FAFAFA" w:val="clear"/>
          </w:tcPr>
          <w:p>
            <w:r>
              <w:rPr>
                <w:b/>
                <w:sz w:val="17"/>
              </w:rPr>
              <w:t>2,272</w:t>
            </w:r>
          </w:p>
        </w:tc>
        <w:tc>
          <w:tcPr>
            <w:tcW w:type="dxa" w:w="1440"/>
            <w:shd w:fill="FAFAFA" w:val="clear"/>
          </w:tcPr>
          <w:p>
            <w:r>
              <w:rPr>
                <w:sz w:val="17"/>
              </w:rPr>
              <w:t>2,663</w:t>
            </w:r>
          </w:p>
        </w:tc>
        <w:tc>
          <w:tcPr>
            <w:tcW w:type="dxa" w:w="1440"/>
            <w:shd w:fill="FAFAFA" w:val="clear"/>
          </w:tcPr>
          <w:p>
            <w:r>
              <w:rPr>
                <w:b/>
                <w:color w:val="008000"/>
                <w:sz w:val="17"/>
              </w:rPr>
              <w:t>+1.0%</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1,858</w:t>
            </w:r>
          </w:p>
        </w:tc>
        <w:tc>
          <w:tcPr>
            <w:tcW w:type="dxa" w:w="1440"/>
            <w:shd w:fill="FAFAFA" w:val="clear"/>
          </w:tcPr>
          <w:p>
            <w:r>
              <w:rPr>
                <w:b/>
                <w:sz w:val="17"/>
              </w:rPr>
              <w:t>2,272</w:t>
            </w:r>
          </w:p>
        </w:tc>
        <w:tc>
          <w:tcPr>
            <w:tcW w:type="dxa" w:w="1440"/>
            <w:shd w:fill="FAFAFA" w:val="clear"/>
          </w:tcPr>
          <w:p>
            <w:r>
              <w:rPr>
                <w:sz w:val="17"/>
              </w:rPr>
              <w:t>2,687</w:t>
            </w:r>
          </w:p>
        </w:tc>
        <w:tc>
          <w:tcPr>
            <w:tcW w:type="dxa" w:w="1440"/>
            <w:shd w:fill="FAFAFA" w:val="clear"/>
          </w:tcPr>
          <w:p>
            <w:r>
              <w:rPr>
                <w:b/>
                <w:color w:val="008000"/>
                <w:sz w:val="17"/>
              </w:rPr>
              <w:t>+1.0%</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1,836</w:t>
            </w:r>
          </w:p>
        </w:tc>
        <w:tc>
          <w:tcPr>
            <w:tcW w:type="dxa" w:w="1440"/>
            <w:shd w:fill="FAFAFA" w:val="clear"/>
          </w:tcPr>
          <w:p>
            <w:r>
              <w:rPr>
                <w:b/>
                <w:sz w:val="17"/>
              </w:rPr>
              <w:t>2,273</w:t>
            </w:r>
          </w:p>
        </w:tc>
        <w:tc>
          <w:tcPr>
            <w:tcW w:type="dxa" w:w="1440"/>
            <w:shd w:fill="FAFAFA" w:val="clear"/>
          </w:tcPr>
          <w:p>
            <w:r>
              <w:rPr>
                <w:sz w:val="17"/>
              </w:rPr>
              <w:t>2,710</w:t>
            </w:r>
          </w:p>
        </w:tc>
        <w:tc>
          <w:tcPr>
            <w:tcW w:type="dxa" w:w="1440"/>
            <w:shd w:fill="FAFAFA" w:val="clear"/>
          </w:tcPr>
          <w:p>
            <w:r>
              <w:rPr>
                <w:b/>
                <w:color w:val="008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 📊 RAPPORT D'ANALYSE FINANCIÈRE — SHEC (VIVO ENERGY CÔTE D'IVOIRE)</w:t>
        <w:br/>
        <w:t>**Bourse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141,75 milliards FCFA, SHEC se positionne parmi les valeurs moyennes-capitalisations de la cote BRVM, ce qui traduit une liquidité modérée mais une certaine solidité institutionnelle. Le BPA de 96 FCFA/action signifie que chaque titre génère près d'un centième de sa valeur nominale en bénéfice net, un niveau cohérent avec les marges très faibles du secteur pétrolier aval. Le PER de 23,5x est nettement supérieur à la moyenne BRVM (~8-12x), signalant que les investisseurs paient une prime significative pour les bénéfices actuels — soit en anticipant une croissance future, soit en raison d'une surévaluation manifeste. Le P/B de 5,22x, très au-dessus du seuil de 4x, confirme cette prime exigeante : le marché valorise SHEC à plus de cinq fois sa valeur comptable, ce qui laisse peu de marge de sécurité en cas de déception. Enfin, l'EV/EBITDA de 12,8x, dans la fourchette haute (10-15x), indique que la valeur d'entreprise intègre déjà une bonne partie de la capacité opérationnelle, suggérant une valorisation tendue qui nécessite une confirmation par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SHEC affiche une performance positive de +13,92%, bien que la dernière séance (J-1) enregistre un repli de -1,10%, marquant une pause dans la dynamique haussière. Le cours actuel de 2 250 FCFA se situe dans la moitié inférieure du range de trading (plus haut : 2 980 FCFA ; plus bas : 1 900 FCFA), ce qui suggère que le titre a corrigé depuis ses sommets sans toutefois retomber sur ses planchers. La tendance générale reste haussière sur la période, mais le récent repli et la position sous les plus hauts appellent à la prudence. Les statistiques descriptives révèlent une distribution asymétrique : la moyenne (2 267 FCFA) est supérieure à la médiane (2 200 FCFA), confirmant un skewness positif de 1,012 — il y a eu plus de journées sous la moyenne, mais quelques pics hauts tirent la moyenne vers le haut. L'écart-type de 224 FCFA (CV = 9,9%) indique une dispersion modérée autour de la moyenne, tandis que le kurtosis de 1,396 (leptokurtique) signale des queues épaisses, donc un risque de pics de volatilité brutaux. La volatilité annualisée de 42,1% classe le titre dans la catégorie « élevée » (&gt;30%), ce qui est cohérent avec un marché frontière et un secteur cyclique.</w:t>
      </w:r>
    </w:p>
    <w:p>
      <w:pPr>
        <w:spacing w:after="120" w:line="276" w:lineRule="auto"/>
      </w:pPr>
      <w:r>
        <w:t>---</w:t>
      </w:r>
    </w:p>
    <w:p>
      <w:pPr>
        <w:spacing w:after="120" w:line="276" w:lineRule="auto"/>
      </w:pPr>
      <w:r>
        <w:t>## PARTIE 2 : ANALYSE TECHNIQUE DÉTAILLÉE</w:t>
      </w:r>
    </w:p>
    <w:p>
      <w:pPr>
        <w:spacing w:after="120" w:line="276" w:lineRule="auto"/>
      </w:pPr>
      <w:r>
        <w:t>**Moyennes Mobiles** : La MM20 (2 520,5 FCFA) et la MM50 (2 427,4 FCFA) sont toutes deux supérieures au cours actuel (2 250 FCFA), ce qui place le titre en dessous de ses moyennes de court et moyen terme. Cette configuration est baissière à court terme, mais la décision fournie est « Achat », probablement en anticipation d'un rebond technique depuis des niveaux survendus. La MM20 &gt; MM50 indique toutefois que la tendance de fond reste haussière, et le croisement à venir sera déterminant.</w:t>
      </w:r>
    </w:p>
    <w:p>
      <w:pPr>
        <w:spacing w:after="120" w:line="276" w:lineRule="auto"/>
      </w:pPr>
      <w:r>
        <w:t>**Bandes de Bollinger** : Le cours (2 250 FCFA) évolue dans la partie basse de la bande, entre la borne inférieure (1 996,79 FCFA) et la borne supérieure (3 044,21 FCFA), sans toucher les extrêmes. La décision « Neutre » reflète cette position médiane : ni suracheté, ni survendu selon ce seul indicateur. L'amplitude des bandes (environ 1 047 FCFA) confirme une volatilité élevée, cohérente avec la volatilité annualisée de 42,1%.</w:t>
      </w:r>
    </w:p>
    <w:p>
      <w:pPr>
        <w:spacing w:after="120" w:line="276" w:lineRule="auto"/>
      </w:pPr>
      <w:r>
        <w:t>**MACD** : La valeur du MACD (-69,037) est inférieure à son signal (-27,533), avec un histogramme négatif, ce qui traduit un momentum baissier à court terme. La décision « Vente » est cohérente avec cette configuration, mais la divergence entre le MACD et les autres indicateurs (RSI, Stochastique) suggère que la pression vendeuse pourrait s'essouffler.</w:t>
      </w:r>
    </w:p>
    <w:p>
      <w:pPr>
        <w:spacing w:after="120" w:line="276" w:lineRule="auto"/>
      </w:pPr>
      <w:r>
        <w:t>**RSI** : À 26,389, le RSI est en zone de survente (&lt;30), ce qui déclenche une décision « Achat ». Cette lecture indique que le titre a été massivement vendu et qu'un rebond technique est probable à court terme, bien que la tendance baissière puisse persister si les fondamentaux ne suivent pas.</w:t>
      </w:r>
    </w:p>
    <w:p>
      <w:pPr>
        <w:spacing w:after="120" w:line="276" w:lineRule="auto"/>
      </w:pPr>
      <w:r>
        <w:t>**Stochastique** : Avec %K = 5,185 et %D = 6,216, les deux lignes sont en zone de survente extrême (&lt;20), et %K est légèrement inférieur à %D, ce qui pourrait annoncer un croisement haussier imminent. La décision « Achat » est justifiée par cette configuration, qui confirme la lecture du RSI.</w:t>
      </w:r>
    </w:p>
    <w:p>
      <w:pPr>
        <w:spacing w:after="120" w:line="276" w:lineRule="auto"/>
      </w:pPr>
      <w:r>
        <w:t>**Conclusion technique** : Les indicateurs sont divergents : les moyennes mobiles et le MACD sont baissiers, tandis que le RSI et le Stochastique sont en survente et génèrent des signaux d'achat. Cette divergence suggère un possible rebond technique à court terme, mais la prudence reste de mise tant que le cours n'aura pas reconquis la MM20 (2 520 FCFA). La convergence des signaux de survente (RSI + Stochastique) plaide pour un achat tactique, mais le MACD négatif invite à attendre une confirmation.</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SHEC a réalisé un chiffre d'affaires de 604,978 milliards FCFA, en très légère hausse de +0,71% par rapport à 2024 (600,708 Mds FCFA), selon les états financiers annuels. Le résultat net s'établit à 6,028 milliards FCFA, en progression de +12,6% (contre 5,354 Mds en 2024), grâce à une amélioration de la marge opérationnelle et une réduction des charges financières. Le ROE atteint 22,20%, un niveau excellent (&gt;15%), tandis que le ROA est de 3,11%, reflétant la faible rotation des actifs (312,55%) et la marge nette très faible (0,9964%). La marge brute de 9,35% et la marge opérationnelle de 1,93% confirment la nature à faible marge du secteur pétrolier aval. **Adapté au secteur ENTREPRISE** : le BFR est de 15,315 milliards FCFA (positif, donc défavorable), le fonds de roulement est négatif (-49,850 Mds FCFA) et la trésorerie nette est très négative (-65,264 Mds FCFA), ce qui expose la société à des tensions de liquidité. Les délais clients (23,27 jours) et fournisseurs (35,47 jours) sont maîtrisés, mais la durée de stockage (7,47 jours) est faible, ce qui est positif. L'autonomie financière (14,03%) est inférieure au seuil de 30%, et le ratio d'endettement (43,95%) est élevé. **Estimations basées sur les rapports trimestriels** : le rapport du S1 2026 (publié en 2026) indique un CA de 305 038 M FCFA, en baisse de -1% sur un an, avec un résultat net de 3 016 M FCFA et une marge nette de 0,99%. Le résultat d'exploitation progresse de +17% à 6 133 M FCFA, soutenu par le butane, mais les volumes baissent de -3% sur l'aviation, le bitume et les entreprises. On estime donc que l'exercice 2026 devrait être marqué par une stabilisation du CA autour de 600 Mds FCFA, avec un résultat net potentiellement stable ou en légère hausse si la maîtrise des charges se poursuit. **Recommandation fondamentale** : la société est solide (ROE &gt;20%, bénéfices en hausse, dividende généreux de 6,09 Mds FCFA proposé pour 2025, soit un rendement attractif), mais les risques de liquidité (trésorerie nette négative, dépendance aux découverts bancaires) et la faible marge nette (1%) limitent le potentiel de revalorisation à court terme. La recommandation fondamentale est **CONSERVER**, en attendant une amélioration de la structure financière et une reprise des volumes.</w:t>
      </w:r>
    </w:p>
    <w:p>
      <w:pPr>
        <w:spacing w:after="120" w:line="276" w:lineRule="auto"/>
      </w:pPr>
      <w:r>
        <w:t>---</w:t>
      </w:r>
    </w:p>
    <w:p>
      <w:pPr>
        <w:spacing w:after="120" w:line="276" w:lineRule="auto"/>
      </w:pPr>
      <w:r>
        <w:t>## PARTIE 4 : CONCLUSION D'INVESTISSEMENT</w:t>
      </w:r>
    </w:p>
    <w:p>
      <w:pPr>
        <w:spacing w:after="120" w:line="276" w:lineRule="auto"/>
      </w:pPr>
      <w:r>
        <w:t>**Synthèse des 4 parties** : La valorisation (Partie 0) est exigeante (PER 23,5x, P/B 5,22x, EV/EBITDA 12,8x), ce qui suggère une surévaluation relative par rapport aux bénéfices actuels et à la valeur comptable. Le comportement du cours (Partie 1) est haussier sur 100 jours (+13,92%), mais la volatilité élevée (42,1%) et le kurtosis leptokurtique (1,396) indiquent un risque de pics brutaux, tandis que le skewness positif (1,012) montre une asymétrie défavorable. Les signaux techniques (Partie 2) sont divergents : les indicateurs de survente (RSI 26,4, Stochastique 5,2) plaident pour un rebond, mais le MACD négatif et le cours sous les MM20/MM50 tempèrent l'optimisme. Les fondamentaux (Partie 3) sont mitigés : bénéfices en hausse (+12,6% en 2025), ROE excellent (22,2%), mais trésorerie nette très négative (-65,26 Mds FCFA) et endettement élevé. Les **prédictions IA** (J+1 à J+10) tablent sur une légère hausse de 2 261 à 2 270 FCFA, ce qui confirme un rebond technique modéré mais ne remet pas en cause la tendance baissière de court terme. **Recommandation finale** : **CONSERVER**. La convergence entre une valorisation tendue, des fondamentaux solides mais fragilisés par la trésorerie, et des signaux techniques divergents ne justifie ni un achat agressif ni une vente. Le niveau de confiance est **Moyen** (les signaux sont contradictoires), et le risque global est **Élevé** (volatilité, endettement, dépendance aux découverts). L'horizon d'investissement optimal est **moyen terme (3-12 mois)**, en attendant la publication des comptes définitifs 2025 et des résultats du S1 2026 pour confirmer ou infirmer la tendance. Un renforcement pourrait être envisagé si le cours reconquiert la MM20 (2 520 FCFA) et si la trésorerie nette s'améliore.</w:t>
      </w:r>
    </w:p>
    <w:p>
      <w:pPr>
        <w:spacing w:after="120" w:line="276" w:lineRule="auto"/>
      </w:pPr>
      <w:r>
        <w:t>---</w:t>
      </w:r>
    </w:p>
    <w:p>
      <w:pPr>
        <w:spacing w:after="120" w:line="276" w:lineRule="auto"/>
      </w:pPr>
      <w:r>
        <w:t>*Rapport généré le 12 octobre 2026 — Sources : BRVM, états financiers SHEC 2025, rapports trimestriels 2025-2026, analyses DeepSeek et Fallback.*</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35.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880.00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11,313 titres</w:t>
            </w:r>
          </w:p>
        </w:tc>
        <w:tc>
          <w:tcPr>
            <w:tcW w:type="dxa" w:w="2268"/>
            <w:shd w:fill="FFF2CC" w:val="clear"/>
          </w:tcPr>
          <w:p>
            <w:r>
              <w:rPr>
                <w:b/>
                <w:color w:val="503200"/>
                <w:sz w:val="16"/>
              </w:rPr>
              <w:t xml:space="preserve">Cours actuel : </w:t>
            </w:r>
            <w:r>
              <w:rPr>
                <w:color w:val="000000"/>
                <w:sz w:val="17"/>
              </w:rPr>
              <w:t>8,800 FCFA</w:t>
            </w:r>
          </w:p>
          <w:p>
            <w:r>
              <w:rPr>
                <w:b/>
                <w:color w:val="503200"/>
                <w:sz w:val="16"/>
              </w:rPr>
              <w:t xml:space="preserve">Var. 100 jours : </w:t>
            </w:r>
            <w:r>
              <w:rPr>
                <w:b/>
                <w:color w:val="007800"/>
                <w:sz w:val="17"/>
              </w:rPr>
              <w:t>+17.33%</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7,500 FCFA</w:t>
            </w:r>
          </w:p>
          <w:p>
            <w:r>
              <w:rPr>
                <w:b/>
                <w:color w:val="503200"/>
                <w:sz w:val="16"/>
              </w:rPr>
              <w:t xml:space="preserve">Volatilité ann. : </w:t>
            </w:r>
            <w:r>
              <w:rPr>
                <w:color w:val="000000"/>
                <w:sz w:val="17"/>
              </w:rPr>
              <w:t>30.9%</w:t>
            </w:r>
          </w:p>
        </w:tc>
        <w:tc>
          <w:tcPr>
            <w:tcW w:type="dxa" w:w="2835"/>
            <w:shd w:fill="FCE4D6" w:val="clear"/>
          </w:tcPr>
          <w:p>
            <w:r>
              <w:rPr>
                <w:b/>
                <w:color w:val="500000"/>
                <w:sz w:val="16"/>
              </w:rPr>
              <w:t xml:space="preserve">Recommandation : </w:t>
            </w:r>
            <w:r>
              <w:rPr>
                <w:b/>
                <w:color w:val="646400"/>
                <w:sz w:val="19"/>
              </w:rPr>
              <w:t>CONSERVER</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006400"/>
          <w:sz w:val="22"/>
        </w:rPr>
        <w:t>7.5/100 → Faible</w:t>
      </w:r>
    </w:p>
    <w:p>
      <w:pPr>
        <w:spacing w:before="40" w:after="80"/>
      </w:pPr>
      <w:r>
        <w:rPr>
          <w:rFonts w:ascii="Courier New" w:hAnsi="Courier New"/>
          <w:color w:val="006400"/>
          <w:sz w:val="18"/>
        </w:rPr>
        <w:t>█░░░░░░░░░░░░░░░░░░░  7.5/100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4.35% (Faible) — μ=8,896 FCFA, σ=387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β=0.7548 (Défensif) — Cov=0.000055, Var(idx)=0.000073, ρ=0.330,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11,313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σ_j=1.95%/j (Stable) — Vol. annualisée≈30.9%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54/100  (Moyen)</w:t>
      </w:r>
    </w:p>
    <w:p/>
    <w:p>
      <w:pPr>
        <w:jc w:val="center"/>
      </w:pPr>
      <w:r>
        <w:drawing>
          <wp:inline xmlns:a="http://schemas.openxmlformats.org/drawingml/2006/main" xmlns:pic="http://schemas.openxmlformats.org/drawingml/2006/picture">
            <wp:extent cx="5669280" cy="2635585"/>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8,473</w:t>
            </w:r>
          </w:p>
        </w:tc>
        <w:tc>
          <w:tcPr>
            <w:tcW w:type="dxa" w:w="1440"/>
            <w:shd w:fill="FAFAFA" w:val="clear"/>
          </w:tcPr>
          <w:p>
            <w:r>
              <w:rPr>
                <w:b/>
                <w:sz w:val="17"/>
              </w:rPr>
              <w:t>8,744</w:t>
            </w:r>
          </w:p>
        </w:tc>
        <w:tc>
          <w:tcPr>
            <w:tcW w:type="dxa" w:w="1440"/>
            <w:shd w:fill="FAFAFA" w:val="clear"/>
          </w:tcPr>
          <w:p>
            <w:r>
              <w:rPr>
                <w:sz w:val="17"/>
              </w:rPr>
              <w:t>9,015</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8,314</w:t>
            </w:r>
          </w:p>
        </w:tc>
        <w:tc>
          <w:tcPr>
            <w:tcW w:type="dxa" w:w="1440"/>
            <w:shd w:fill="FAFAFA" w:val="clear"/>
          </w:tcPr>
          <w:p>
            <w:r>
              <w:rPr>
                <w:b/>
                <w:sz w:val="17"/>
              </w:rPr>
              <w:t>8,696</w:t>
            </w:r>
          </w:p>
        </w:tc>
        <w:tc>
          <w:tcPr>
            <w:tcW w:type="dxa" w:w="1440"/>
            <w:shd w:fill="FAFAFA" w:val="clear"/>
          </w:tcPr>
          <w:p>
            <w:r>
              <w:rPr>
                <w:sz w:val="17"/>
              </w:rPr>
              <w:t>9,078</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8,182</w:t>
            </w:r>
          </w:p>
        </w:tc>
        <w:tc>
          <w:tcPr>
            <w:tcW w:type="dxa" w:w="1440"/>
            <w:shd w:fill="FAFAFA" w:val="clear"/>
          </w:tcPr>
          <w:p>
            <w:r>
              <w:rPr>
                <w:b/>
                <w:sz w:val="17"/>
              </w:rPr>
              <w:t>8,647</w:t>
            </w:r>
          </w:p>
        </w:tc>
        <w:tc>
          <w:tcPr>
            <w:tcW w:type="dxa" w:w="1440"/>
            <w:shd w:fill="FAFAFA" w:val="clear"/>
          </w:tcPr>
          <w:p>
            <w:r>
              <w:rPr>
                <w:sz w:val="17"/>
              </w:rPr>
              <w:t>9,112</w:t>
            </w:r>
          </w:p>
        </w:tc>
        <w:tc>
          <w:tcPr>
            <w:tcW w:type="dxa" w:w="1440"/>
            <w:shd w:fill="FAFAFA" w:val="clear"/>
          </w:tcPr>
          <w:p>
            <w:r>
              <w:rPr>
                <w:b/>
                <w:color w:val="C00000"/>
                <w:sz w:val="17"/>
              </w:rPr>
              <w:t>-1.7%</w:t>
            </w:r>
          </w:p>
        </w:tc>
      </w:tr>
      <w:tr>
        <w:tc>
          <w:tcPr>
            <w:tcW w:type="dxa" w:w="1440"/>
            <w:shd w:fill="FFDCE0" w:val="clear"/>
          </w:tcPr>
          <w:p>
            <w:r>
              <w:rPr>
                <w:sz w:val="17"/>
              </w:rPr>
              <w:t>J+4  Moyenne</w:t>
            </w:r>
          </w:p>
        </w:tc>
        <w:tc>
          <w:tcPr>
            <w:tcW w:type="dxa" w:w="1440"/>
            <w:shd w:fill="FFDCE0" w:val="clear"/>
          </w:tcPr>
          <w:p>
            <w:r>
              <w:rPr>
                <w:sz w:val="17"/>
              </w:rPr>
              <w:t>2026-10-15</w:t>
            </w:r>
          </w:p>
        </w:tc>
        <w:tc>
          <w:tcPr>
            <w:tcW w:type="dxa" w:w="1440"/>
            <w:shd w:fill="FFDCE0" w:val="clear"/>
          </w:tcPr>
          <w:p>
            <w:r>
              <w:rPr>
                <w:sz w:val="17"/>
              </w:rPr>
              <w:t>8,067</w:t>
            </w:r>
          </w:p>
        </w:tc>
        <w:tc>
          <w:tcPr>
            <w:tcW w:type="dxa" w:w="1440"/>
            <w:shd w:fill="FFDCE0" w:val="clear"/>
          </w:tcPr>
          <w:p>
            <w:r>
              <w:rPr>
                <w:b/>
                <w:sz w:val="17"/>
              </w:rPr>
              <w:t>8,601</w:t>
            </w:r>
          </w:p>
        </w:tc>
        <w:tc>
          <w:tcPr>
            <w:tcW w:type="dxa" w:w="1440"/>
            <w:shd w:fill="FFDCE0" w:val="clear"/>
          </w:tcPr>
          <w:p>
            <w:r>
              <w:rPr>
                <w:sz w:val="17"/>
              </w:rPr>
              <w:t>9,135</w:t>
            </w:r>
          </w:p>
        </w:tc>
        <w:tc>
          <w:tcPr>
            <w:tcW w:type="dxa" w:w="1440"/>
            <w:shd w:fill="FFDCE0" w:val="clear"/>
          </w:tcPr>
          <w:p>
            <w:r>
              <w:rPr>
                <w:b/>
                <w:color w:val="C00000"/>
                <w:sz w:val="17"/>
              </w:rPr>
              <w:t>-2.3%</w:t>
            </w:r>
          </w:p>
        </w:tc>
      </w:tr>
      <w:tr>
        <w:tc>
          <w:tcPr>
            <w:tcW w:type="dxa" w:w="1440"/>
            <w:shd w:fill="FFDCE0" w:val="clear"/>
          </w:tcPr>
          <w:p>
            <w:r>
              <w:rPr>
                <w:sz w:val="17"/>
              </w:rPr>
              <w:t>J+5  Moyenne</w:t>
            </w:r>
          </w:p>
        </w:tc>
        <w:tc>
          <w:tcPr>
            <w:tcW w:type="dxa" w:w="1440"/>
            <w:shd w:fill="FFDCE0" w:val="clear"/>
          </w:tcPr>
          <w:p>
            <w:r>
              <w:rPr>
                <w:sz w:val="17"/>
              </w:rPr>
              <w:t>2026-10-16</w:t>
            </w:r>
          </w:p>
        </w:tc>
        <w:tc>
          <w:tcPr>
            <w:tcW w:type="dxa" w:w="1440"/>
            <w:shd w:fill="FFDCE0" w:val="clear"/>
          </w:tcPr>
          <w:p>
            <w:r>
              <w:rPr>
                <w:sz w:val="17"/>
              </w:rPr>
              <w:t>7,964</w:t>
            </w:r>
          </w:p>
        </w:tc>
        <w:tc>
          <w:tcPr>
            <w:tcW w:type="dxa" w:w="1440"/>
            <w:shd w:fill="FFDCE0" w:val="clear"/>
          </w:tcPr>
          <w:p>
            <w:r>
              <w:rPr>
                <w:b/>
                <w:sz w:val="17"/>
              </w:rPr>
              <w:t>8,558</w:t>
            </w:r>
          </w:p>
        </w:tc>
        <w:tc>
          <w:tcPr>
            <w:tcW w:type="dxa" w:w="1440"/>
            <w:shd w:fill="FFDCE0" w:val="clear"/>
          </w:tcPr>
          <w:p>
            <w:r>
              <w:rPr>
                <w:sz w:val="17"/>
              </w:rPr>
              <w:t>9,152</w:t>
            </w:r>
          </w:p>
        </w:tc>
        <w:tc>
          <w:tcPr>
            <w:tcW w:type="dxa" w:w="1440"/>
            <w:shd w:fill="FFDCE0" w:val="clear"/>
          </w:tcPr>
          <w:p>
            <w:r>
              <w:rPr>
                <w:b/>
                <w:color w:val="C00000"/>
                <w:sz w:val="17"/>
              </w:rPr>
              <w:t>-2.7%</w:t>
            </w:r>
          </w:p>
        </w:tc>
      </w:tr>
      <w:tr>
        <w:tc>
          <w:tcPr>
            <w:tcW w:type="dxa" w:w="1440"/>
            <w:shd w:fill="FFDCE0" w:val="clear"/>
          </w:tcPr>
          <w:p>
            <w:r>
              <w:rPr>
                <w:sz w:val="17"/>
              </w:rPr>
              <w:t>J+6  Moyenne</w:t>
            </w:r>
          </w:p>
        </w:tc>
        <w:tc>
          <w:tcPr>
            <w:tcW w:type="dxa" w:w="1440"/>
            <w:shd w:fill="FFDCE0" w:val="clear"/>
          </w:tcPr>
          <w:p>
            <w:r>
              <w:rPr>
                <w:sz w:val="17"/>
              </w:rPr>
              <w:t>2026-10-19</w:t>
            </w:r>
          </w:p>
        </w:tc>
        <w:tc>
          <w:tcPr>
            <w:tcW w:type="dxa" w:w="1440"/>
            <w:shd w:fill="FFDCE0" w:val="clear"/>
          </w:tcPr>
          <w:p>
            <w:r>
              <w:rPr>
                <w:sz w:val="17"/>
              </w:rPr>
              <w:t>7,871</w:t>
            </w:r>
          </w:p>
        </w:tc>
        <w:tc>
          <w:tcPr>
            <w:tcW w:type="dxa" w:w="1440"/>
            <w:shd w:fill="FFDCE0" w:val="clear"/>
          </w:tcPr>
          <w:p>
            <w:r>
              <w:rPr>
                <w:b/>
                <w:sz w:val="17"/>
              </w:rPr>
              <w:t>8,518</w:t>
            </w:r>
          </w:p>
        </w:tc>
        <w:tc>
          <w:tcPr>
            <w:tcW w:type="dxa" w:w="1440"/>
            <w:shd w:fill="FFDCE0" w:val="clear"/>
          </w:tcPr>
          <w:p>
            <w:r>
              <w:rPr>
                <w:sz w:val="17"/>
              </w:rPr>
              <w:t>9,166</w:t>
            </w:r>
          </w:p>
        </w:tc>
        <w:tc>
          <w:tcPr>
            <w:tcW w:type="dxa" w:w="1440"/>
            <w:shd w:fill="FFDCE0" w:val="clear"/>
          </w:tcPr>
          <w:p>
            <w:r>
              <w:rPr>
                <w:b/>
                <w:color w:val="C00000"/>
                <w:sz w:val="17"/>
              </w:rPr>
              <w:t>-3.2%</w:t>
            </w:r>
          </w:p>
        </w:tc>
      </w:tr>
      <w:tr>
        <w:tc>
          <w:tcPr>
            <w:tcW w:type="dxa" w:w="1440"/>
            <w:shd w:fill="FFDCE0" w:val="clear"/>
          </w:tcPr>
          <w:p>
            <w:r>
              <w:rPr>
                <w:sz w:val="17"/>
              </w:rPr>
              <w:t>J+7  Moyenne</w:t>
            </w:r>
          </w:p>
        </w:tc>
        <w:tc>
          <w:tcPr>
            <w:tcW w:type="dxa" w:w="1440"/>
            <w:shd w:fill="FFDCE0" w:val="clear"/>
          </w:tcPr>
          <w:p>
            <w:r>
              <w:rPr>
                <w:sz w:val="17"/>
              </w:rPr>
              <w:t>2026-10-20</w:t>
            </w:r>
          </w:p>
        </w:tc>
        <w:tc>
          <w:tcPr>
            <w:tcW w:type="dxa" w:w="1440"/>
            <w:shd w:fill="FFDCE0" w:val="clear"/>
          </w:tcPr>
          <w:p>
            <w:r>
              <w:rPr>
                <w:sz w:val="17"/>
              </w:rPr>
              <w:t>7,785</w:t>
            </w:r>
          </w:p>
        </w:tc>
        <w:tc>
          <w:tcPr>
            <w:tcW w:type="dxa" w:w="1440"/>
            <w:shd w:fill="FFDCE0" w:val="clear"/>
          </w:tcPr>
          <w:p>
            <w:r>
              <w:rPr>
                <w:b/>
                <w:sz w:val="17"/>
              </w:rPr>
              <w:t>8,481</w:t>
            </w:r>
          </w:p>
        </w:tc>
        <w:tc>
          <w:tcPr>
            <w:tcW w:type="dxa" w:w="1440"/>
            <w:shd w:fill="FFDCE0" w:val="clear"/>
          </w:tcPr>
          <w:p>
            <w:r>
              <w:rPr>
                <w:sz w:val="17"/>
              </w:rPr>
              <w:t>9,178</w:t>
            </w:r>
          </w:p>
        </w:tc>
        <w:tc>
          <w:tcPr>
            <w:tcW w:type="dxa" w:w="1440"/>
            <w:shd w:fill="FFDCE0" w:val="clear"/>
          </w:tcPr>
          <w:p>
            <w:r>
              <w:rPr>
                <w:b/>
                <w:color w:val="C00000"/>
                <w:sz w:val="17"/>
              </w:rPr>
              <w:t>-3.6%</w:t>
            </w:r>
          </w:p>
        </w:tc>
      </w:tr>
      <w:tr>
        <w:tc>
          <w:tcPr>
            <w:tcW w:type="dxa" w:w="1440"/>
            <w:shd w:fill="FFDCE0" w:val="clear"/>
          </w:tcPr>
          <w:p>
            <w:r>
              <w:rPr>
                <w:sz w:val="17"/>
              </w:rPr>
              <w:t>J+8  Moyenne</w:t>
            </w:r>
          </w:p>
        </w:tc>
        <w:tc>
          <w:tcPr>
            <w:tcW w:type="dxa" w:w="1440"/>
            <w:shd w:fill="FFDCE0" w:val="clear"/>
          </w:tcPr>
          <w:p>
            <w:r>
              <w:rPr>
                <w:sz w:val="17"/>
              </w:rPr>
              <w:t>2026-10-21</w:t>
            </w:r>
          </w:p>
        </w:tc>
        <w:tc>
          <w:tcPr>
            <w:tcW w:type="dxa" w:w="1440"/>
            <w:shd w:fill="FFDCE0" w:val="clear"/>
          </w:tcPr>
          <w:p>
            <w:r>
              <w:rPr>
                <w:sz w:val="17"/>
              </w:rPr>
              <w:t>7,705</w:t>
            </w:r>
          </w:p>
        </w:tc>
        <w:tc>
          <w:tcPr>
            <w:tcW w:type="dxa" w:w="1440"/>
            <w:shd w:fill="FFDCE0" w:val="clear"/>
          </w:tcPr>
          <w:p>
            <w:r>
              <w:rPr>
                <w:b/>
                <w:sz w:val="17"/>
              </w:rPr>
              <w:t>8,446</w:t>
            </w:r>
          </w:p>
        </w:tc>
        <w:tc>
          <w:tcPr>
            <w:tcW w:type="dxa" w:w="1440"/>
            <w:shd w:fill="FFDCE0" w:val="clear"/>
          </w:tcPr>
          <w:p>
            <w:r>
              <w:rPr>
                <w:sz w:val="17"/>
              </w:rPr>
              <w:t>9,188</w:t>
            </w:r>
          </w:p>
        </w:tc>
        <w:tc>
          <w:tcPr>
            <w:tcW w:type="dxa" w:w="1440"/>
            <w:shd w:fill="FFDCE0" w:val="clear"/>
          </w:tcPr>
          <w:p>
            <w:r>
              <w:rPr>
                <w:b/>
                <w:color w:val="C00000"/>
                <w:sz w:val="17"/>
              </w:rPr>
              <w:t>-4.0%</w:t>
            </w:r>
          </w:p>
        </w:tc>
      </w:tr>
      <w:tr>
        <w:tc>
          <w:tcPr>
            <w:tcW w:type="dxa" w:w="1440"/>
            <w:shd w:fill="FFDCE0" w:val="clear"/>
          </w:tcPr>
          <w:p>
            <w:r>
              <w:rPr>
                <w:sz w:val="17"/>
              </w:rPr>
              <w:t>J+9  Moyenne</w:t>
            </w:r>
          </w:p>
        </w:tc>
        <w:tc>
          <w:tcPr>
            <w:tcW w:type="dxa" w:w="1440"/>
            <w:shd w:fill="FFDCE0" w:val="clear"/>
          </w:tcPr>
          <w:p>
            <w:r>
              <w:rPr>
                <w:sz w:val="17"/>
              </w:rPr>
              <w:t>2026-10-22</w:t>
            </w:r>
          </w:p>
        </w:tc>
        <w:tc>
          <w:tcPr>
            <w:tcW w:type="dxa" w:w="1440"/>
            <w:shd w:fill="FFDCE0" w:val="clear"/>
          </w:tcPr>
          <w:p>
            <w:r>
              <w:rPr>
                <w:sz w:val="17"/>
              </w:rPr>
              <w:t>7,630</w:t>
            </w:r>
          </w:p>
        </w:tc>
        <w:tc>
          <w:tcPr>
            <w:tcW w:type="dxa" w:w="1440"/>
            <w:shd w:fill="FFDCE0" w:val="clear"/>
          </w:tcPr>
          <w:p>
            <w:r>
              <w:rPr>
                <w:b/>
                <w:sz w:val="17"/>
              </w:rPr>
              <w:t>8,413</w:t>
            </w:r>
          </w:p>
        </w:tc>
        <w:tc>
          <w:tcPr>
            <w:tcW w:type="dxa" w:w="1440"/>
            <w:shd w:fill="FFDCE0" w:val="clear"/>
          </w:tcPr>
          <w:p>
            <w:r>
              <w:rPr>
                <w:sz w:val="17"/>
              </w:rPr>
              <w:t>9,196</w:t>
            </w:r>
          </w:p>
        </w:tc>
        <w:tc>
          <w:tcPr>
            <w:tcW w:type="dxa" w:w="1440"/>
            <w:shd w:fill="FFDCE0" w:val="clear"/>
          </w:tcPr>
          <w:p>
            <w:r>
              <w:rPr>
                <w:b/>
                <w:color w:val="C00000"/>
                <w:sz w:val="17"/>
              </w:rPr>
              <w:t>-4.4%</w:t>
            </w:r>
          </w:p>
        </w:tc>
      </w:tr>
      <w:tr>
        <w:tc>
          <w:tcPr>
            <w:tcW w:type="dxa" w:w="1440"/>
            <w:shd w:fill="FFDCE0" w:val="clear"/>
          </w:tcPr>
          <w:p>
            <w:r>
              <w:rPr>
                <w:sz w:val="17"/>
              </w:rPr>
              <w:t>J+10  Moyenne</w:t>
            </w:r>
          </w:p>
        </w:tc>
        <w:tc>
          <w:tcPr>
            <w:tcW w:type="dxa" w:w="1440"/>
            <w:shd w:fill="FFDCE0" w:val="clear"/>
          </w:tcPr>
          <w:p>
            <w:r>
              <w:rPr>
                <w:sz w:val="17"/>
              </w:rPr>
              <w:t>2026-10-23</w:t>
            </w:r>
          </w:p>
        </w:tc>
        <w:tc>
          <w:tcPr>
            <w:tcW w:type="dxa" w:w="1440"/>
            <w:shd w:fill="FFDCE0" w:val="clear"/>
          </w:tcPr>
          <w:p>
            <w:r>
              <w:rPr>
                <w:sz w:val="17"/>
              </w:rPr>
              <w:t>7,559</w:t>
            </w:r>
          </w:p>
        </w:tc>
        <w:tc>
          <w:tcPr>
            <w:tcW w:type="dxa" w:w="1440"/>
            <w:shd w:fill="FFDCE0" w:val="clear"/>
          </w:tcPr>
          <w:p>
            <w:r>
              <w:rPr>
                <w:b/>
                <w:sz w:val="17"/>
              </w:rPr>
              <w:t>8,382</w:t>
            </w:r>
          </w:p>
        </w:tc>
        <w:tc>
          <w:tcPr>
            <w:tcW w:type="dxa" w:w="1440"/>
            <w:shd w:fill="FFDCE0" w:val="clear"/>
          </w:tcPr>
          <w:p>
            <w:r>
              <w:rPr>
                <w:sz w:val="17"/>
              </w:rPr>
              <w:t>9,204</w:t>
            </w:r>
          </w:p>
        </w:tc>
        <w:tc>
          <w:tcPr>
            <w:tcW w:type="dxa" w:w="1440"/>
            <w:shd w:fill="FFDCE0" w:val="clear"/>
          </w:tcPr>
          <w:p>
            <w:r>
              <w:rPr>
                <w:b/>
                <w:color w:val="C00000"/>
                <w:sz w:val="17"/>
              </w:rPr>
              <w:t>-4.8%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**RAPPORT D'ANALYSE FINANCIÈRE — SIBC (Société Ivoirienne de Banque)**</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880,00 Mds FCFA, la SIBC s'impose comme l'une des valeurs bancaires les plus capitalisées de la BRVM, ce qui en fait un pilier de l'indice BRVM Composite et un incontournable pour les investisseurs institutionnels de la zone UEMOA. Le BPA de 556 FCFA/action signifie que chaque titre détenu génère 556 FCFA de bénéfice net, un niveau de rentabilité par action solide qui traduit la qualité des résultats de la banque. Le PER de 15,8x se situe au-dessus de la moyenne du marché BRVM (généralement comprise entre 8x et 12x), ce qui indique que les investisseurs acceptent de payer une prime pour cette valeur bancaire de qualité, sans pour autant tomber dans une exubérance manifeste. Le P/B de 4,30x constitue en revanche un signal d'alerte : le marché valorise la banque à plus de quatre fois sa valeur comptable, une prime exigeante qui suppose une confiance forte dans la capacité de la SIBC à générer durablement des rendements supérieurs à son coût du capital. Enfin, l'EV/EBITDA de 14,7x, bien que calculé sur une base imparfaite pour une banque (l'EBITDA n'étant pas un agrégat bancaire standard), confirme une valorisation élevée qui laisse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SIBC a enregistré une progression remarquable de +17,33%, avec une dernière séance en hausse de +0,57%, confirmant une dynamique haussière de fond malgré quelques accès de faiblesse récents. Le cours a évolué dans un range de 2 000 FCFA, entre un plus bas de 7 500 FCFA et un plus haut de 9 500 FCFA, ce qui témoigne d'une amplitude de trading significative pour une valeur bancaire de premier rang. La tendance générale reste haussière sur la période, portée par la solidité des fondamentaux et l'appétit des investisseurs pour les valeurs bancaires ivoiriennes. Les statistiques descriptives révèlent une distribution asymétrique : la moyenne (8 896 FCFA) est légèrement inférieure à la médiane (8 995 FCFA) et au mode (9 000 FCFA), ce qui indique que le cours a passé plus de temps au-dessus de sa moyenne, avec des épisodes baissiers ponctuels mais marqués. L'écart-type de 389 FCFA (CV de 4,4%) traduit une dispersion modérée du cours autour de sa moyenne, ce qui est rassurant pour un investisseur cherchant de la stabilité. Le kurtosis de 3,661 (leptokurtique) signale des queues épaisses, c'est-à-dire un risque de pics de volatilité brutaux, tandis que le skewness de -1,820 (asymétrie négative) confirme que les journées de baisse, bien que moins fréquentes, sont plus amples que les journées de hausse. La volatilité annualisée de 30,9% positionne le titre dans la catégorie des valeurs à volatilité élevée (&gt;30%), ce qui implique un risque de marché non négligeable et justifie une approche prudente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(9 043,5 FCFA) et la MM50 (9 113,5 FCFA) se situent toutes deux au-dessus du cours actuel (8 800 FCFA), ce qui place le titre en position de faiblesse relative par rapport à ses tendances court et moyen terme. La MM20 étant inférieure à la MM50, on observe un croisement baissier (death cross) qui confirme la pression vendeuse et justifie la décision technique de **Vente**.</w:t>
      </w:r>
    </w:p>
    <w:p>
      <w:pPr>
        <w:spacing w:after="120" w:line="276" w:lineRule="auto"/>
      </w:pPr>
      <w:r>
        <w:t>**Bandes de Bollinger** : Le cours actuel (8 800 FCFA) se situe dans la partie basse de la bande de Bollinger, entre la borne inférieure (8 628,377 FCFA) et la borne supérieure (9 458,623 FCFA), sans atteindre les extrêmes. Cette position médiane-basse indique une absence de signal fort, ce qui justifie la décision **Neutre** ; la largeur des bandes suggère une volatilité toujours présente mais sans excès.</w:t>
      </w:r>
    </w:p>
    <w:p>
      <w:pPr>
        <w:spacing w:after="120" w:line="276" w:lineRule="auto"/>
      </w:pPr>
      <w:r>
        <w:t>**MACD** : La valeur du MACD (-76,5) est inférieure à son signal (-43,528), et les deux sont en territoire négatif, ce qui confirme un momentum baissier. La divergence négative entre le MACD et son signal traduit une accélération de la pression vendeuse, justifiant la décision **Vente**.</w:t>
      </w:r>
    </w:p>
    <w:p>
      <w:pPr>
        <w:spacing w:after="120" w:line="276" w:lineRule="auto"/>
      </w:pPr>
      <w:r>
        <w:t>**RSI** : À 39,216, le RSI se situe dans la zone neutre basse (entre 30 et 70), sans atteindre le seuil de survente (30). Cela indique que le titre n'est pas encore techniquement survendu, mais qu'il s'approche d'une zone où un rebond technique pourrait se produire ; la décision est donc **Neutre**.</w:t>
      </w:r>
    </w:p>
    <w:p>
      <w:pPr>
        <w:spacing w:after="120" w:line="276" w:lineRule="auto"/>
      </w:pPr>
      <w:r>
        <w:t>**Stochastique** : Le %K (42,963) est supérieur au %D (38,025), ce qui suggère un début de croisement haussier potentiel, mais les deux valeurs restent en zone neutre-basse. Cette configuration indique une possible inflexion à court terme, sans confirmation franche, justifiant la décision **Neutre**.</w:t>
      </w:r>
    </w:p>
    <w:p>
      <w:pPr>
        <w:spacing w:after="120" w:line="276" w:lineRule="auto"/>
      </w:pPr>
      <w:r>
        <w:t>**Conclusion technique** : La convergence des signaux baissiers (MM, MACD) et neutres (Bollinger, RSI, Stochastique) dresse un tableau technique mitigé à court terme. Le titre est sous pression, mais les indicateurs de momentum (RSI, Stochastique) approchent de zones de rebond potentiel, ce qui suggère une possible stabilisation voire un rebond technique dans les prochaines séances. La prudence reste de mise tant que le cours n'aura pas reconquis la MM20 (9 043,5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fournies par la base brvm_donnees_financieres dressent le portrait d'une banque solide et rentable. Le Produit Net Bancaire (PNB), équivalent du chiffre d'affaires pour une banque, s'établit à 108,663 Mds FCFA en 2025, en croissance de 5,74% par rapport à l'exercice précédent, porté par les intérêts et produits assimilés (91,138 Mds FCFA) et les commissions (29,714 Mds FCFA). Le résultat net atteint 55,623 Mds FCFA, soit une marge nette exceptionnelle de 51,19%, ce qui témoigne d'une efficacité opérationnelle remarquable. Le ROE de 27,16% et le ROA de 2,96% confirment la capacité de la banque à générer des rendements élevés sur ses fonds propres (204,765 Mds FCFA) et sur son actif total (1 881,733 Mds FCFA). Le coefficient d'exploitation de 38,59% est excellent (&lt; 50%), signe d'une banque très efficace dans la maîtrise de ses charges. Le ratio dépôts/crédits s'établit à 1 503,441 Mds FCFA de dépôts clientèle pour 1 226,720 Mds FCFA de créances clientèle, soit un taux de transformation de 81,6%, ce qui indique une bonne capacité à recycler les dépôts en crédits. Le coût du risque, bien que le ratio fourni (363 900 000 000%) soit aberrant et non interprétable en l'état, peut être estimé à partir des provisions (14,124 Mds FCFA) rapportées au PNB, soit environ 13%, un niveau modéré. Les rapports trimestriels récents confirment cette dynamique : le rapport T1 2026 (publié le 07/05/2026) fait état d'un résultat net de 15,2 Mds FCFA (+11%) pour un PNB de 27,7 Mds FCFA (+4%), tandis que le rapport S1 2026 (publié le 29/09/2026) rapporte un PNB de 56,592 Mds FCFA (+4,2%) et un résultat net de 32,140 Mds FCFA (+9,3%), avec un coût du risque en forte baisse (-75,3% à 287 M FCFA). Sur la base de ces tendances, on peut estimer que l'exercice 2026 devrait afficher un PNB annuel d'environ 113-115 Mds FCFA et un résultat net de l'ordre de 60-62 Mds FCFA, confirmant la trajectoire de croissance régulière de la banque. La solidité financière est renforcée par un ratio de solvabilité supérieur à 11,5% (norme BCEAO) et une autonomie financière de 10,88%, typique d'une banque dont le modèle repose sur l'effet de levier des dépôts. La recommandation fondamentale est donc **CONSERVER avec biais positif**, la SIBC affichant des fondamentaux robustes, une rentabilité parmi les meilleures du secteur et une croissance régulière, malgré une valorisation boursière exigeante.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dessine un tableau contrasté. La valorisation (Partie 0) est exigeante : PER de 15,8x supérieur à la moyenne du marché, P/B de 4,30x traduisant une forte prime, et EV/EBITDA de 14,7x confirmant que le marché intègre déjà une grande partie des bonnes performances. Le comportement du cours (Partie 1) est haussier sur 100 jours (+17,33%) mais les statistiques révèlent une asymétrie négative (skewness -1,820) et un risque de pics (kurtosis 3,661), avec une volatilité élevée (30,9%), ce qui invite à la prudence. Les signaux techniques (Partie 2) sont majoritairement baissiers à court terme (MM, MACD en Vente ; Bollinger, RSI, Stochastique en Neutre), suggérant une pression vendeuse persistante. Les fondamentaux (Partie 3) restent solides : ROE de 27,16%, coefficient d'exploitation de 38,59%, croissance du résultat net de +9,3% au S1 2026, et perspectives favorables pour l'exercice 2026. Les prédictions IA (J+1 à J+10) anticipent une baisse progressive du cours de 8 744 FCFA à 8 558 FCFA, ce qui confirme les signaux techniques baissiers à court terme. Sur la base de cette synthèse, la recommandation finale est **CONSERVER**, avec un niveau de confiance **Moyen** et un risque global **Moyen**. En effet, la convergence entre la valorisation exigeante, les signaux techniques baissiers et les prédictions IA à la baisse contraste avec la solidité des fondamentaux et les perspectives de croissance, créant une divergence qui justifie une position attentiste. L'horizon d'investissement optimal est le **moyen terme (3-12 mois)**, le temps que la pression technique se dissipe et que les résultats annuels 2026 confirment la trajectoire de croissance, offrant potentiellement un point d'entrée plus attractif pour les investisseurs souhaitant renforcer leur position.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"La SIB affiche une croissance solide de ses r\u00e9sultats et une solidit\u00e9 financi\u00e8re confirm\u00e9e, avec un ratio de solvabilit\u00e9 confortable. Toutefois, l'absence d'information sur le dividende et la valorisation limite le potentiel d'achat \u00e0 court terme."}</w:t>
      </w:r>
    </w:p>
    <w:p>
      <w:pPr>
        <w:spacing w:before="40"/>
        <w:ind w:left="400"/>
      </w:pPr>
      <w:r>
        <w:rPr>
          <w:sz w:val="18"/>
        </w:rPr>
        <w:t>La Société Ivoirienne de Banque (SIB) a réalisé une performance solide au premier semestre 2026, avec un Produit Net Bancaire de 56,6 milliards FCFA en hausse de 4% et un Résultat Net de 32,1 milliards FCFA en progression de 9%. La dynamique commerciale est confirmée par une croissance de 12% des crédits à la clientèle (1 169 milliards FCFA) et des dépôts (1 581 milliards FCFA). La banque maintient une solidité financière avec un ratio de solvabilité bien supérieur au minimum réglementaire de 11,5%. Ces résultats ont été salués par une double distinction internationale aux International Banker Awards 2026. Pour le second semestre, la SIB entend poursuivre son plan stratégique en accélérant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'1 581 milliards FCFA', 'credits_clientele': '1 169 milliards FCFA', 'ratio_solvabilite': '&gt; 11,5%', 'produit_net_bancaire': '56,6 milliards FCFA', 'resultat_brut_exploitation': '36,6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1 968 296 millions FCFA</w:t>
            </w:r>
          </w:p>
        </w:tc>
      </w:tr>
      <w:tr>
        <w:tc>
          <w:tcPr>
            <w:tcW w:type="dxa" w:w="2160"/>
          </w:tcPr>
          <w:p>
            <w:r/>
            <w:r>
              <w:rPr>
                <w:b/>
                <w:sz w:val="16"/>
              </w:rPr>
              <w:t>resultat_net</w:t>
              <w:br/>
            </w:r>
            <w:r>
              <w:rPr>
                <w:sz w:val="18"/>
              </w:rPr>
              <w:t>32,1 milliards FCFA</w:t>
            </w:r>
          </w:p>
        </w:tc>
        <w:tc>
          <w:tcPr>
            <w:tcW w:type="dxa" w:w="2160"/>
          </w:tcPr>
          <w:p>
            <w:r/>
            <w:r>
              <w:rPr>
                <w:b/>
                <w:sz w:val="16"/>
              </w:rPr>
              <w:t>capitaux_propres</w:t>
              <w:br/>
            </w:r>
            <w:r>
              <w:rPr>
                <w:sz w:val="18"/>
              </w:rPr>
              <w:t>204 764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4% à 56,6 milliards FCFA</w:t>
      </w:r>
    </w:p>
    <w:p>
      <w:pPr>
        <w:pStyle w:val="ListBullet"/>
        <w:spacing w:before="20" w:after="20"/>
        <w:ind w:left="700"/>
      </w:pPr>
      <w:r>
        <w:rPr>
          <w:sz w:val="18"/>
        </w:rPr>
        <w:t>Résultat Net en progression de 9% à 32,1 milliards FCFA</w:t>
      </w:r>
    </w:p>
    <w:p>
      <w:pPr>
        <w:pStyle w:val="ListBullet"/>
        <w:spacing w:before="20" w:after="20"/>
        <w:ind w:left="700"/>
      </w:pPr>
      <w:r>
        <w:rPr>
          <w:sz w:val="18"/>
        </w:rPr>
        <w:t>Crédits à la clientèle en croissance de 12% à 1 169 milliards FCFA</w:t>
      </w:r>
    </w:p>
    <w:p>
      <w:pPr>
        <w:pStyle w:val="ListBullet"/>
        <w:spacing w:before="20" w:after="20"/>
        <w:ind w:left="700"/>
      </w:pPr>
      <w:r>
        <w:rPr>
          <w:sz w:val="18"/>
        </w:rPr>
        <w:t>Dépôts de la clientèle en hausse de 12% à 1 581 milliards FCFA</w:t>
      </w:r>
    </w:p>
    <w:p>
      <w:pPr>
        <w:pStyle w:val="ListBullet"/>
        <w:spacing w:before="20" w:after="20"/>
        <w:ind w:left="700"/>
      </w:pPr>
      <w:r>
        <w:rPr>
          <w:sz w:val="18"/>
        </w:rPr>
        <w:t>Résultat Brut d'Exploitation en augmentation de 6% à 36,6 milliards FCFA</w:t>
      </w:r>
    </w:p>
    <w:p>
      <w:pPr>
        <w:pStyle w:val="ListBullet"/>
        <w:spacing w:before="20" w:after="20"/>
        <w:ind w:left="700"/>
      </w:pPr>
      <w:r>
        <w:rPr>
          <w:sz w:val="18"/>
        </w:rPr>
        <w:t>Ratio de solvabilité largement supérieur au seuil réglementaire de 11,5%</w:t>
      </w:r>
    </w:p>
    <w:p>
      <w:pPr>
        <w:spacing w:before="40"/>
        <w:ind w:left="400"/>
      </w:pPr>
      <w:r>
        <w:rPr>
          <w:b/>
          <w:color w:val="C05000"/>
          <w:sz w:val="18"/>
        </w:rPr>
        <w:t xml:space="preserve">⚠️ Risques : </w:t>
      </w:r>
      <w:r>
        <w:rPr>
          <w:sz w:val="18"/>
        </w:rPr>
        <w:t>["Concurrence bancaire accrue dans un environnement de march\u00e9 exigeant", "Renforcement des standards r\u00e9glementaires pouvant impacter les co\u00fbts de conformit\u00e9", "Exposition \u00e0 des chocs exog\u00e8nes majeurs dans un environnement r\u00e9gional incertain"]</w:t>
      </w:r>
    </w:p>
    <w:p>
      <w:pPr>
        <w:spacing w:before="40"/>
        <w:ind w:left="400"/>
      </w:pPr>
      <w:r>
        <w:rPr>
          <w:b/>
          <w:color w:val="0064A0"/>
          <w:sz w:val="18"/>
        </w:rPr>
        <w:t xml:space="preserve">🔮 Perspectives : </w:t>
      </w:r>
      <w:r>
        <w:rPr>
          <w:sz w:val="18"/>
        </w:rPr>
        <w:t xml:space="preserve">Pour le second semestre 2026, la SIB poursuivra l'exécution de son plan stratégique en accélérant la modernisation de ses services et en renforçant ses standards de gouvernance. La banque bénéficie d'un environnement régional globalement porteur, sous réserve de l'absence de chocs exogènes majeurs.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
      <w:r>
        <w:t>════════════════════════════════════════════════════════════════════════════════</w:t>
      </w:r>
    </w:p>
    <w:p>
      <w:r>
        <w:br w:type="page"/>
      </w:r>
    </w:p>
    <w:p>
      <w:pPr>
        <w:pStyle w:val="Heading2"/>
        <w:spacing w:before="360"/>
      </w:pPr>
      <w:r>
        <w:rPr>
          <w:color w:val="0066CC"/>
        </w:rPr>
        <w:t>36.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5.04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120 titres</w:t>
            </w:r>
          </w:p>
        </w:tc>
        <w:tc>
          <w:tcPr>
            <w:tcW w:type="dxa" w:w="2268"/>
            <w:shd w:fill="FFF2CC" w:val="clear"/>
          </w:tcPr>
          <w:p>
            <w:r>
              <w:rPr>
                <w:b/>
                <w:color w:val="503200"/>
                <w:sz w:val="16"/>
              </w:rPr>
              <w:t xml:space="preserve">Cours actuel : </w:t>
            </w:r>
            <w:r>
              <w:rPr>
                <w:color w:val="000000"/>
                <w:sz w:val="17"/>
              </w:rPr>
              <w:t>8,400 FCFA</w:t>
            </w:r>
          </w:p>
          <w:p>
            <w:r>
              <w:rPr>
                <w:b/>
                <w:color w:val="503200"/>
                <w:sz w:val="16"/>
              </w:rPr>
              <w:t xml:space="preserve">Var. 100 jours : </w:t>
            </w:r>
            <w:r>
              <w:rPr>
                <w:b/>
                <w:color w:val="007800"/>
                <w:sz w:val="17"/>
              </w:rPr>
              <w:t>+95.35%</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3,985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31.02% (Élevée) — μ=5,815 FCFA, σ=1,804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β=-1.0815 (Contre-cyclique) — Cov=-0.000041, Var(idx)=0.000038, ρ=-0.175, n=83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598627"/>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598627"/>
                    </a:xfrm>
                    <a:prstGeom prst="rect"/>
                  </pic:spPr>
                </pic:pic>
              </a:graphicData>
            </a:graphic>
          </wp:inline>
        </w:drawing>
      </w:r>
    </w:p>
    <w:p/>
    <w:p>
      <w:pPr>
        <w:spacing w:after="120" w:line="276" w:lineRule="auto"/>
      </w:pPr>
      <w:r>
        <w:t>**RAPPORT D'ANALYSE FINANCIÈRE — ACTION SICC (SICOR CI)**</w:t>
        <w:br/>
        <w:t>**Bourse Régionale des Valeurs Mobilières (BRVM) — Secteur Agro-industriel**</w:t>
        <w:br/>
        <w:t>*Date d'analyse : sur la base des données de marché fournies*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SICOR s'établit à 5,04 milliards FCFA, un niveau modeste à l'échelle de la BRVM qui la classe parmi les petites capitalisations du compartiment agro-industriel, ce qui implique une liquidité limitée et une sensibilité accrue aux mouvements de faible volume. Les ratios de valorisation classiques (BPA, PER, P/B, EV/EBITDA) ne sont pas calculables en l'état, faute de données financières structurées récentes et fiables permettant de rapporter le cours actuel (8 400 FCFA) à un bénéfice par action ou à une valeur comptable normalisée. Cette absence de ratios est en soi un signal de vigilance : elle traduit une opacité relative de la communication financière et une discontinuité dans la publication des états financiers exploitables, ce qui complique toute comparaison avec la moyenne du marché BRVM (PER moyen estimé entre 8x et 12x). L'investisseur ne peut donc s'appuyer, pour l'instant, que sur les données historiques disponibles (exercices 2015 à 2023) et sur l'analyse technique pour évaluer le titre.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SICOR affiche une performance spectaculaire de **+95,35 %**, portée par un fort engouement spéculatif, même si la dernière séance marque une légère correction de **-1,12 %**. Le titre a évolué dans un range très large, entre un plus bas de **3 985 FCFA** et un plus haut de **10 200 FCFA**, soit un écart de plus de 155 % entre les deux extrêmes, ce qui traduit une tendance nettement haussière mais extrêmement nerveuse. Les statistiques descriptives confirment cette asymétrie : la moyenne (**5 815 FCFA**) est nettement supérieure à la médiane (**5 022 FCFA**), signe d'une distribution tirée vers le haut par des pics de cours récents, tandis que le mode (**4 380 FCFA**) rappelle que le titre a longtemps stagné à des niveaux bien inférieurs. L'écart-type de **1 813 FCFA** et le coefficient de variation de **31,2 %** indiquent une dispersion élevée, cohérente avec un skewness positif de **0,913** (plus de journées sous la moyenne, mais quelques journées de forte hausse) et un kurtosis de **-0,630** (distribution mésokurtique, proche de la normale, donc sans risque extrême de pics brutaux). La volatilité annualisée de **58,2 %** classe clairement SICOR dans la catégorie des titres à **volatilité élevée** (&gt;30 %), ce qui implique un risque de marché important et justifie une approche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(8 472,25 FCFA) et la MM50 (7 205,0 FCFA) sont toutes deux inférieures au cours actuel (8 400 FCFA), mais la MM20 est légèrement au-dessus du prix, ce qui crée une configuration ambiguë. La MM50 reste nettement en dessous, confirmant la tendance haussière de fond, d'où la décision **Achat** — mais la proximité du cours avec la MM20 suggère une possible consolidation.</w:t>
      </w:r>
    </w:p>
    <w:p>
      <w:pPr>
        <w:spacing w:after="120" w:line="276" w:lineRule="auto"/>
      </w:pPr>
      <w:r>
        <w:t>**Bandes de Bollinger** : Le cours (8 400 FCFA) se situe à mi-chemin entre la borne inférieure (7 354,78 FCFA) et la borne supérieure (9 589,72 FCFA), sans franchissement notable. Cette position centrale, dans un contexte de bandes relativement larges, traduit une volatilité élevée mais sans signal directionnel fort, justifiant la décision **Neutre**.</w:t>
      </w:r>
    </w:p>
    <w:p>
      <w:pPr>
        <w:spacing w:after="120" w:line="276" w:lineRule="auto"/>
      </w:pPr>
      <w:r>
        <w:t>**MACD** : La valeur du MACD (260,95) est inférieure à son signal (347,29), ce qui constitue un croisement baissier et indique un essoufflement du momentum haussier. La décision **Vente** est cohérente avec cette divergence négative, qui suggère que la dynamique récente perd de sa vigueur.</w:t>
      </w:r>
    </w:p>
    <w:p>
      <w:pPr>
        <w:spacing w:after="120" w:line="276" w:lineRule="auto"/>
      </w:pPr>
      <w:r>
        <w:t>**RSI** : À **61,16**, le RSI se situe dans la zone neutre haute (30-70), sans atteindre la zone de surachat (&gt;70). La décision **Neutre** reflète un équilibre entre pression acheteuse et vendeuse, sans signal extrême.</w:t>
      </w:r>
    </w:p>
    <w:p>
      <w:pPr>
        <w:spacing w:after="120" w:line="276" w:lineRule="auto"/>
      </w:pPr>
      <w:r>
        <w:t>**Stochastique** : Le %K (85,71) et le %D (94,76) sont tous deux en zone de surachat (&gt;80), avec un %K inférieur au %D, ce qui anticipe un croisement baissier imminent. La décision **Vente** est justifiée par ce risque de retournement à court terme.</w:t>
      </w:r>
    </w:p>
    <w:p>
      <w:pPr>
        <w:spacing w:after="120" w:line="276" w:lineRule="auto"/>
      </w:pPr>
      <w:r>
        <w:t>**Conclusion technique** : Les indicateurs sont **divergents** — les moyennes mobiles restent haussières, mais le MACD et le stochastique signalent un essoufflement, tandis que le RSI et les Bollinger sont neutres. Cette configuration suggère une **phase de consolidation voire de correction à court terme**, après la forte hausse récente, avec un risque de repli vers la MM20 (8 472 FCFA) voire la borne inférieure des Bollinger (7 354 FCFA).</w:t>
      </w:r>
    </w:p>
    <w:p>
      <w:pPr>
        <w:spacing w:after="120" w:line="276" w:lineRule="auto"/>
      </w:pPr>
      <w:r>
        <w:t>---</w:t>
      </w:r>
    </w:p>
    <w:p>
      <w:pPr>
        <w:spacing w:after="120" w:line="276" w:lineRule="auto"/>
      </w:pPr>
      <w:r>
        <w:t>### **PARTIE 3 : ANALYSE FONDAMENTALE (SECTION CRITIQUE)**</w:t>
      </w:r>
    </w:p>
    <w:p>
      <w:pPr>
        <w:spacing w:after="120" w:line="276" w:lineRule="auto"/>
      </w:pPr>
      <w:r>
        <w:t>Les données financières structurées récentes ne sont pas disponibles dans la base, mais les rapports officiels analysés fournissent un historique précieux. **En 2023** (rapport analysé par MISTRAL le 15/03/2026), SICOR a réalisé un chiffre d'affaires de **701,09 millions FCFA**, en baisse de **38,4 %** par rapport à 2022, avec un résultat net positif de **19,25 millions FCFA** (marge nette de **2,75 %**), marquant un retour à la profitabilité après une perte de **-39,95 millions FCFA en 2022** (marge nette de **-3,51 %**). **En 2022** (rapport MISTRAL du 15/03/2026), le CA s'élevait à **1 138,17 millions FCFA** (-17,58 % vs 2021) et la perte nette à **-39,95 millions FCFA**, en raison d'une chute des ventes d'huile de coprah (-64 %) et d'une hausse des charges fiscales (+193 %). **En 2021**, le bénéfice net était de **119,23 millions FCFA** (marge de 8,63 %), confirmant une dégradation progressive depuis 2018 (bénéfice de 989,4 millions FCFA, marge de 12,3 %). Les rapports plus anciens (2015-2017) montrent une société historiquement rentable mais fragile : **en 2015**, le résultat net atteignait **434,87 millions FCFA** (marge de 15,7 %), avant de chuter à **100,57 millions FCFA en 2017** (marge de 6,44 %). Les capitaux propres étaient négatifs en 2016 (**-2 324,84 millions FCFA**), un signal de risque extrême, mais les rapports ultérieurs indiquent une amélioration. La politique de dividende est inexistante depuis 2017 (aucun dividende versé en 2023, 2022, 2021, 2020, 2019), en raison de pertes cumulées de **689,86 millions FCFA** à résorber. **Perspectives** : la convocation à l'AGO du 22 mai 2026 pour approuver les comptes 2024 (document BRVM du 15/05/2026) suggère une reprise progressive de la communication financière, mais l'absence de données 2024-2025 ne permet pas de confirmer la tendance. La recommandation fondamentale est **CONSERVER avec vigilance** : la société a prouvé sa capacité à générer des bénéfices (2018-2021), mais les risques opérationnels (vols de noix de coco, dépendance à l'huile de coprah) et financiers (trésorerie tendue, dettes fiscales) restent élevés.</w:t>
      </w:r>
    </w:p>
    <w:p>
      <w:pPr>
        <w:spacing w:after="120" w:line="276" w:lineRule="auto"/>
      </w:pPr>
      <w:r>
        <w:t>---</w:t>
      </w:r>
    </w:p>
    <w:p>
      <w:pPr>
        <w:spacing w:after="120" w:line="276" w:lineRule="auto"/>
      </w:pPr>
      <w:r>
        <w:t>### **PARTIE 4 : CONCLUSION D'INVESTISSEMENT**</w:t>
      </w:r>
    </w:p>
    <w:p>
      <w:pPr>
        <w:spacing w:after="120" w:line="276" w:lineRule="auto"/>
      </w:pPr>
      <w:r>
        <w:t>La valorisation (Partie 0) est **incomplète** faute de ratios calculables, mais la capitalisation modeste (5,04 Mds FCFA) et l'absence de dividende depuis 2017 limitent l'attrait fondamental. Le comportement du cours (Partie 1) est **haussier mais extrêmement volatil** (+95,35 % sur 100 jours, volatilité annualisée de 58,2 %), avec une distribution asymétrique (skewness positif) et un risque de correction après le pic à 10 200 FCFA. Les signaux techniques (Partie 2) sont **divergents** : les moyennes mobiles restent haussières, mais le MACD et le stochastique signalent un essoufflement, tandis que le RSI et les Bollinger sont neutres — ce qui plaide pour une **consolidation à court terme**. Les fondamentaux (Partie 3) montrent une **fragilité persistante** : retour à la profitabilité en 2023 (+19,25 millions FCFA), mais CA en baisse (-38,4 %) et pertes cumulées non résorbées, avec des risques opérationnels et financiers élevés. Les prédictions IA (J+1 à J+10) ne sont pas disponibles, ce qui ne permet pas de confirmer ou contredire les autres signaux. **Synthèse** : la convergence entre une technique mitigée (signaux de vente à court terme), des fondamentaux fragiles (pas de dividende, rentabilité faible) et une valorisation incertaine (ratios absents) incite à la prudence. **Recommandation finale : CONSERVER** (avec un biais baissier à court terme). **Niveau de confiance : Moyen** (données fondamentales partielles, absence de prédictions IA). **Niveau de risque global : Élevé** (volatilité de 58,2 %, petite capitalisation, opacité financière). **Horizon d'investissement optimal : Moyen terme (3-12 mois)**, en surveillant la publication des comptes 2024 (AGO du 22 mai 2026) et l'évolution des volumes de production, qui pourraient confirmer ou infirmer la reprise amorcée en 2023.</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"vendre", "justification": "La soci\u00e9t\u00e9 affiche une perte nette importante et des capitaux propres n\u00e9gatifs, avec une tr\u00e9sorerie n\u00e9gative. La situation financi\u00e8re est tr\u00e8s d\u00e9grad\u00e9e et pr\u00e9sente un risque \u00e9lev\u00e9 pour les investisseurs."}</w:t>
      </w:r>
    </w:p>
    <w:p>
      <w:pPr>
        <w:spacing w:before="40"/>
        <w:ind w:left="400"/>
      </w:pPr>
      <w:r>
        <w:rPr>
          <w:sz w:val="18"/>
        </w:rPr>
        <w:t>SICOR a réalisé un chiffre d'affaires de 1 936 644 069 FCFA en 2016, en hausse par rapport à 1 753 708 684 FCFA en 2015. Malgré cette croissance, la société a enregistré une perte nette de 348 996 972 FCFA en 2016, contre un bénéfice de 200 831 393 FCFA en 2015. La situation financière s'est dégradée avec des capitaux propres négatifs de -2 324 836 575 FCFA et un total bilan de 1 521 953 318 FCFA. La trésorerie est négative à -182 935 385 FCFA, et la capacité d'autofinancement est négative à -216 841 179 FCFA. Les commissaires aux comptes ont certifié les comptes, mais la société fait face à des difficultés financières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'-216 841 179 FCFA', 'tresorerie_actif': '-182 935 385 FCFA', 'resultat_financier': '-35 460 457 FCFA', 'resultat_exploitation': '-198 429 842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-18,02%</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-348 996 972 FCFA</w:t>
            </w:r>
          </w:p>
        </w:tc>
        <w:tc>
          <w:tcPr>
            <w:tcW w:type="dxa" w:w="2160"/>
          </w:tcPr>
          <w:p>
            <w:r/>
            <w:r>
              <w:rPr>
                <w:b/>
                <w:sz w:val="16"/>
              </w:rPr>
              <w:t>capitaux_propres</w:t>
              <w:br/>
            </w:r>
            <w:r>
              <w:rPr>
                <w:sz w:val="18"/>
              </w:rPr>
              <w:t>-2 324 836 575 FCFA</w:t>
            </w:r>
          </w:p>
        </w:tc>
        <w:tc>
          <w:tcPr>
            <w:tcW w:type="dxa" w:w="2160"/>
          </w:tcPr>
          <w:p>
            <w:r/>
            <w:r>
              <w:rPr>
                <w:b/>
                <w:sz w:val="16"/>
              </w:rPr>
              <w:t>chiffre_affaires</w:t>
              <w:br/>
            </w:r>
            <w:r>
              <w:rPr>
                <w:sz w:val="18"/>
              </w:rPr>
              <w:t>1 936 644 069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1 936 644 069 FCFA en 2016.</w:t>
      </w:r>
    </w:p>
    <w:p>
      <w:pPr>
        <w:pStyle w:val="ListBullet"/>
        <w:spacing w:before="20" w:after="20"/>
        <w:ind w:left="700"/>
      </w:pPr>
      <w:r>
        <w:rPr>
          <w:sz w:val="18"/>
        </w:rPr>
        <w:t>Résultat net négatif de -348 996 972 FCFA contre un bénéfice de 200 831 393 FCFA en 2015.</w:t>
      </w:r>
    </w:p>
    <w:p>
      <w:pPr>
        <w:pStyle w:val="ListBullet"/>
        <w:spacing w:before="20" w:after="20"/>
        <w:ind w:left="700"/>
      </w:pPr>
      <w:r>
        <w:rPr>
          <w:sz w:val="18"/>
        </w:rPr>
        <w:t>Capitaux propres négatifs de -2 324 836 575 FCFA.</w:t>
      </w:r>
    </w:p>
    <w:p>
      <w:pPr>
        <w:pStyle w:val="ListBullet"/>
        <w:spacing w:before="20" w:after="20"/>
        <w:ind w:left="700"/>
      </w:pPr>
      <w:r>
        <w:rPr>
          <w:sz w:val="18"/>
        </w:rPr>
        <w:t>Total bilan de 1 521 953 318 FCFA en 2016 contre 3 576 424 374 FCFA en 2015.</w:t>
      </w:r>
    </w:p>
    <w:p>
      <w:pPr>
        <w:pStyle w:val="ListBullet"/>
        <w:spacing w:before="20" w:after="20"/>
        <w:ind w:left="700"/>
      </w:pPr>
      <w:r>
        <w:rPr>
          <w:sz w:val="18"/>
        </w:rPr>
        <w:t>Trésorerie négative de -182 935 385 FCFA.</w:t>
      </w:r>
    </w:p>
    <w:p>
      <w:pPr>
        <w:pStyle w:val="ListBullet"/>
        <w:spacing w:before="20" w:after="20"/>
        <w:ind w:left="700"/>
      </w:pPr>
      <w:r>
        <w:rPr>
          <w:sz w:val="18"/>
        </w:rPr>
        <w:t>Capacité d'autofinancement négative de -216 841 179 FCFA.</w:t>
      </w:r>
    </w:p>
    <w:p>
      <w:pPr>
        <w:spacing w:before="40"/>
        <w:ind w:left="400"/>
      </w:pPr>
      <w:r>
        <w:rPr>
          <w:b/>
          <w:color w:val="C05000"/>
          <w:sz w:val="18"/>
        </w:rPr>
        <w:t xml:space="preserve">⚠️ Risques : </w:t>
      </w:r>
      <w:r>
        <w:rPr>
          <w:sz w:val="18"/>
        </w:rPr>
        <w:t>["Risque de faillite ou de liquidation en raison de capitaux propres n\u00e9gatifs.", "Risque de liquidit\u00e9 avec une tr\u00e9sorerie n\u00e9gative et une capacit\u00e9 d'autofinancement n\u00e9gative.", "Risque op\u00e9rationnel avec une perte nette malgr\u00e9 la croissance du chiffre d'affaire</w:t>
      </w:r>
    </w:p>
    <w:p>
      <w:pPr>
        <w:spacing w:before="40"/>
        <w:ind w:left="400"/>
      </w:pPr>
      <w:r>
        <w:rPr>
          <w:b/>
          <w:color w:val="0064A0"/>
          <w:sz w:val="18"/>
        </w:rPr>
        <w:t xml:space="preserve">🔮 Perspectives : </w:t>
      </w:r>
      <w:r>
        <w:rPr>
          <w:sz w:val="18"/>
        </w:rPr>
        <w:t>Les perspectives pour 2017 sont incertaines. La société doit restaurer sa rentabilité et sa structure financière pour éviter la cessation de paiement. Une recapitalisation ou une restructuration pourrait être nécessaire.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
      <w:r>
        <w:t>════════════════════════════════════════════════════════════════════════════════</w:t>
      </w:r>
    </w:p>
    <w:p>
      <w:r>
        <w:br w:type="page"/>
      </w:r>
    </w:p>
    <w:p>
      <w:pPr>
        <w:pStyle w:val="Heading2"/>
        <w:spacing w:before="360"/>
      </w:pPr>
      <w:r>
        <w:rPr>
          <w:color w:val="0066CC"/>
        </w:rPr>
        <w:t>37.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17.12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5,378 titres</w:t>
            </w:r>
          </w:p>
        </w:tc>
        <w:tc>
          <w:tcPr>
            <w:tcW w:type="dxa" w:w="2268"/>
            <w:shd w:fill="FFF2CC" w:val="clear"/>
          </w:tcPr>
          <w:p>
            <w:r>
              <w:rPr>
                <w:b/>
                <w:color w:val="503200"/>
                <w:sz w:val="16"/>
              </w:rPr>
              <w:t xml:space="preserve">Cours actuel : </w:t>
            </w:r>
            <w:r>
              <w:rPr>
                <w:color w:val="000000"/>
                <w:sz w:val="17"/>
              </w:rPr>
              <w:t>1,960 FCFA</w:t>
            </w:r>
          </w:p>
          <w:p>
            <w:r>
              <w:rPr>
                <w:b/>
                <w:color w:val="503200"/>
                <w:sz w:val="16"/>
              </w:rPr>
              <w:t xml:space="preserve">Var. 100 jours : </w:t>
            </w:r>
            <w:r>
              <w:rPr>
                <w:b/>
                <w:color w:val="B40000"/>
                <w:sz w:val="17"/>
              </w:rPr>
              <w:t>-31.11%</w:t>
            </w:r>
          </w:p>
          <w:p>
            <w:r>
              <w:rPr>
                <w:b/>
                <w:color w:val="503200"/>
                <w:sz w:val="16"/>
              </w:rPr>
              <w:t xml:space="preserve">Plus haut 100j : </w:t>
            </w:r>
            <w:r>
              <w:rPr>
                <w:color w:val="000000"/>
                <w:sz w:val="17"/>
              </w:rPr>
              <w:t>2,875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53.9%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11.90% (Moyenne) — μ=2,397 FCFA, σ=285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β=0.4900 (Défensif) — Cov=0.000036, Var(idx)=0.000073, ρ=0.123,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5,378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σ_j=3.40%/j (Modérée) — Vol. annualisée≈53.9%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1,876</w:t>
            </w:r>
          </w:p>
        </w:tc>
        <w:tc>
          <w:tcPr>
            <w:tcW w:type="dxa" w:w="1440"/>
            <w:shd w:fill="FAFAFA" w:val="clear"/>
          </w:tcPr>
          <w:p>
            <w:r>
              <w:rPr>
                <w:b/>
                <w:sz w:val="17"/>
              </w:rPr>
              <w:t>1,976</w:t>
            </w:r>
          </w:p>
        </w:tc>
        <w:tc>
          <w:tcPr>
            <w:tcW w:type="dxa" w:w="1440"/>
            <w:shd w:fill="FAFAFA" w:val="clear"/>
          </w:tcPr>
          <w:p>
            <w:r>
              <w:rPr>
                <w:sz w:val="17"/>
              </w:rPr>
              <w:t>2,076</w:t>
            </w:r>
          </w:p>
        </w:tc>
        <w:tc>
          <w:tcPr>
            <w:tcW w:type="dxa" w:w="1440"/>
            <w:shd w:fill="FAFAFA" w:val="clear"/>
          </w:tcPr>
          <w:p>
            <w:r>
              <w:rPr>
                <w:b/>
                <w:color w:val="008000"/>
                <w:sz w:val="17"/>
              </w:rPr>
              <w:t>+0.8%</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1,836</w:t>
            </w:r>
          </w:p>
        </w:tc>
        <w:tc>
          <w:tcPr>
            <w:tcW w:type="dxa" w:w="1440"/>
            <w:shd w:fill="FAFAFA" w:val="clear"/>
          </w:tcPr>
          <w:p>
            <w:r>
              <w:rPr>
                <w:b/>
                <w:sz w:val="17"/>
              </w:rPr>
              <w:t>1,977</w:t>
            </w:r>
          </w:p>
        </w:tc>
        <w:tc>
          <w:tcPr>
            <w:tcW w:type="dxa" w:w="1440"/>
            <w:shd w:fill="FAFAFA" w:val="clear"/>
          </w:tcPr>
          <w:p>
            <w:r>
              <w:rPr>
                <w:sz w:val="17"/>
              </w:rPr>
              <w:t>2,118</w:t>
            </w:r>
          </w:p>
        </w:tc>
        <w:tc>
          <w:tcPr>
            <w:tcW w:type="dxa" w:w="1440"/>
            <w:shd w:fill="FAFAFA" w:val="clear"/>
          </w:tcPr>
          <w:p>
            <w:r>
              <w:rPr>
                <w:b/>
                <w:color w:val="008000"/>
                <w:sz w:val="17"/>
              </w:rPr>
              <w:t>+0.9%</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1,807</w:t>
            </w:r>
          </w:p>
        </w:tc>
        <w:tc>
          <w:tcPr>
            <w:tcW w:type="dxa" w:w="1440"/>
            <w:shd w:fill="FAFAFA" w:val="clear"/>
          </w:tcPr>
          <w:p>
            <w:r>
              <w:rPr>
                <w:b/>
                <w:sz w:val="17"/>
              </w:rPr>
              <w:t>1,981</w:t>
            </w:r>
          </w:p>
        </w:tc>
        <w:tc>
          <w:tcPr>
            <w:tcW w:type="dxa" w:w="1440"/>
            <w:shd w:fill="FAFAFA" w:val="clear"/>
          </w:tcPr>
          <w:p>
            <w:r>
              <w:rPr>
                <w:sz w:val="17"/>
              </w:rPr>
              <w:t>2,154</w:t>
            </w:r>
          </w:p>
        </w:tc>
        <w:tc>
          <w:tcPr>
            <w:tcW w:type="dxa" w:w="1440"/>
            <w:shd w:fill="FAFAFA" w:val="clear"/>
          </w:tcPr>
          <w:p>
            <w:r>
              <w:rPr>
                <w:b/>
                <w:color w:val="008000"/>
                <w:sz w:val="17"/>
              </w:rPr>
              <w:t>+1.1%</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1,784</w:t>
            </w:r>
          </w:p>
        </w:tc>
        <w:tc>
          <w:tcPr>
            <w:tcW w:type="dxa" w:w="1440"/>
            <w:shd w:fill="FAFAFA" w:val="clear"/>
          </w:tcPr>
          <w:p>
            <w:r>
              <w:rPr>
                <w:b/>
                <w:sz w:val="17"/>
              </w:rPr>
              <w:t>1,985</w:t>
            </w:r>
          </w:p>
        </w:tc>
        <w:tc>
          <w:tcPr>
            <w:tcW w:type="dxa" w:w="1440"/>
            <w:shd w:fill="FAFAFA" w:val="clear"/>
          </w:tcPr>
          <w:p>
            <w:r>
              <w:rPr>
                <w:sz w:val="17"/>
              </w:rPr>
              <w:t>2,185</w:t>
            </w:r>
          </w:p>
        </w:tc>
        <w:tc>
          <w:tcPr>
            <w:tcW w:type="dxa" w:w="1440"/>
            <w:shd w:fill="FAFAFA" w:val="clear"/>
          </w:tcPr>
          <w:p>
            <w:r>
              <w:rPr>
                <w:b/>
                <w:color w:val="008000"/>
                <w:sz w:val="17"/>
              </w:rPr>
              <w:t>+1.3%</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1,765</w:t>
            </w:r>
          </w:p>
        </w:tc>
        <w:tc>
          <w:tcPr>
            <w:tcW w:type="dxa" w:w="1440"/>
            <w:shd w:fill="FAFAFA" w:val="clear"/>
          </w:tcPr>
          <w:p>
            <w:r>
              <w:rPr>
                <w:b/>
                <w:sz w:val="17"/>
              </w:rPr>
              <w:t>1,989</w:t>
            </w:r>
          </w:p>
        </w:tc>
        <w:tc>
          <w:tcPr>
            <w:tcW w:type="dxa" w:w="1440"/>
            <w:shd w:fill="FAFAFA" w:val="clear"/>
          </w:tcPr>
          <w:p>
            <w:r>
              <w:rPr>
                <w:sz w:val="17"/>
              </w:rPr>
              <w:t>2,214</w:t>
            </w:r>
          </w:p>
        </w:tc>
        <w:tc>
          <w:tcPr>
            <w:tcW w:type="dxa" w:w="1440"/>
            <w:shd w:fill="FAFAFA" w:val="clear"/>
          </w:tcPr>
          <w:p>
            <w:r>
              <w:rPr>
                <w:b/>
                <w:color w:val="008000"/>
                <w:sz w:val="17"/>
              </w:rPr>
              <w:t>+1.5%</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1,747</w:t>
            </w:r>
          </w:p>
        </w:tc>
        <w:tc>
          <w:tcPr>
            <w:tcW w:type="dxa" w:w="1440"/>
            <w:shd w:fill="FAFAFA" w:val="clear"/>
          </w:tcPr>
          <w:p>
            <w:r>
              <w:rPr>
                <w:b/>
                <w:sz w:val="17"/>
              </w:rPr>
              <w:t>1,994</w:t>
            </w:r>
          </w:p>
        </w:tc>
        <w:tc>
          <w:tcPr>
            <w:tcW w:type="dxa" w:w="1440"/>
            <w:shd w:fill="FAFAFA" w:val="clear"/>
          </w:tcPr>
          <w:p>
            <w:r>
              <w:rPr>
                <w:sz w:val="17"/>
              </w:rPr>
              <w:t>2,241</w:t>
            </w:r>
          </w:p>
        </w:tc>
        <w:tc>
          <w:tcPr>
            <w:tcW w:type="dxa" w:w="1440"/>
            <w:shd w:fill="FAFAFA" w:val="clear"/>
          </w:tcPr>
          <w:p>
            <w:r>
              <w:rPr>
                <w:b/>
                <w:color w:val="008000"/>
                <w:sz w:val="17"/>
              </w:rPr>
              <w:t>+1.7%</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1,731</w:t>
            </w:r>
          </w:p>
        </w:tc>
        <w:tc>
          <w:tcPr>
            <w:tcW w:type="dxa" w:w="1440"/>
            <w:shd w:fill="FAFAFA" w:val="clear"/>
          </w:tcPr>
          <w:p>
            <w:r>
              <w:rPr>
                <w:b/>
                <w:sz w:val="17"/>
              </w:rPr>
              <w:t>1,998</w:t>
            </w:r>
          </w:p>
        </w:tc>
        <w:tc>
          <w:tcPr>
            <w:tcW w:type="dxa" w:w="1440"/>
            <w:shd w:fill="FAFAFA" w:val="clear"/>
          </w:tcPr>
          <w:p>
            <w:r>
              <w:rPr>
                <w:sz w:val="17"/>
              </w:rPr>
              <w:t>2,265</w:t>
            </w:r>
          </w:p>
        </w:tc>
        <w:tc>
          <w:tcPr>
            <w:tcW w:type="dxa" w:w="1440"/>
            <w:shd w:fill="FAFAFA" w:val="clear"/>
          </w:tcPr>
          <w:p>
            <w:r>
              <w:rPr>
                <w:b/>
                <w:color w:val="008000"/>
                <w:sz w:val="17"/>
              </w:rPr>
              <w:t>+2.0%</w:t>
            </w:r>
          </w:p>
        </w:tc>
      </w:tr>
      <w:tr>
        <w:tc>
          <w:tcPr>
            <w:tcW w:type="dxa" w:w="1440"/>
            <w:shd w:fill="C6EFCE" w:val="clear"/>
          </w:tcPr>
          <w:p>
            <w:r>
              <w:rPr>
                <w:sz w:val="17"/>
              </w:rPr>
              <w:t>J+8  ⭐</w:t>
            </w:r>
          </w:p>
        </w:tc>
        <w:tc>
          <w:tcPr>
            <w:tcW w:type="dxa" w:w="1440"/>
            <w:shd w:fill="C6EFCE" w:val="clear"/>
          </w:tcPr>
          <w:p>
            <w:r>
              <w:rPr>
                <w:sz w:val="17"/>
              </w:rPr>
              <w:t>2026-10-21</w:t>
            </w:r>
          </w:p>
        </w:tc>
        <w:tc>
          <w:tcPr>
            <w:tcW w:type="dxa" w:w="1440"/>
            <w:shd w:fill="C6EFCE" w:val="clear"/>
          </w:tcPr>
          <w:p>
            <w:r>
              <w:rPr>
                <w:sz w:val="17"/>
              </w:rPr>
              <w:t>1,716</w:t>
            </w:r>
          </w:p>
        </w:tc>
        <w:tc>
          <w:tcPr>
            <w:tcW w:type="dxa" w:w="1440"/>
            <w:shd w:fill="C6EFCE" w:val="clear"/>
          </w:tcPr>
          <w:p>
            <w:r>
              <w:rPr>
                <w:b/>
                <w:sz w:val="17"/>
              </w:rPr>
              <w:t>2,003</w:t>
            </w:r>
          </w:p>
        </w:tc>
        <w:tc>
          <w:tcPr>
            <w:tcW w:type="dxa" w:w="1440"/>
            <w:shd w:fill="C6EFCE" w:val="clear"/>
          </w:tcPr>
          <w:p>
            <w:r>
              <w:rPr>
                <w:sz w:val="17"/>
              </w:rPr>
              <w:t>2,289</w:t>
            </w:r>
          </w:p>
        </w:tc>
        <w:tc>
          <w:tcPr>
            <w:tcW w:type="dxa" w:w="1440"/>
            <w:shd w:fill="C6EFCE" w:val="clear"/>
          </w:tcPr>
          <w:p>
            <w:r>
              <w:rPr>
                <w:b/>
                <w:color w:val="008000"/>
                <w:sz w:val="17"/>
              </w:rPr>
              <w:t>+2.2%</w:t>
            </w:r>
          </w:p>
        </w:tc>
      </w:tr>
      <w:tr>
        <w:tc>
          <w:tcPr>
            <w:tcW w:type="dxa" w:w="1440"/>
            <w:shd w:fill="C6EFCE" w:val="clear"/>
          </w:tcPr>
          <w:p>
            <w:r>
              <w:rPr>
                <w:sz w:val="17"/>
              </w:rPr>
              <w:t>J+9  ⭐</w:t>
            </w:r>
          </w:p>
        </w:tc>
        <w:tc>
          <w:tcPr>
            <w:tcW w:type="dxa" w:w="1440"/>
            <w:shd w:fill="C6EFCE" w:val="clear"/>
          </w:tcPr>
          <w:p>
            <w:r>
              <w:rPr>
                <w:sz w:val="17"/>
              </w:rPr>
              <w:t>2026-10-22</w:t>
            </w:r>
          </w:p>
        </w:tc>
        <w:tc>
          <w:tcPr>
            <w:tcW w:type="dxa" w:w="1440"/>
            <w:shd w:fill="C6EFCE" w:val="clear"/>
          </w:tcPr>
          <w:p>
            <w:r>
              <w:rPr>
                <w:sz w:val="17"/>
              </w:rPr>
              <w:t>1,703</w:t>
            </w:r>
          </w:p>
        </w:tc>
        <w:tc>
          <w:tcPr>
            <w:tcW w:type="dxa" w:w="1440"/>
            <w:shd w:fill="C6EFCE" w:val="clear"/>
          </w:tcPr>
          <w:p>
            <w:r>
              <w:rPr>
                <w:b/>
                <w:sz w:val="17"/>
              </w:rPr>
              <w:t>2,007</w:t>
            </w:r>
          </w:p>
        </w:tc>
        <w:tc>
          <w:tcPr>
            <w:tcW w:type="dxa" w:w="1440"/>
            <w:shd w:fill="C6EFCE" w:val="clear"/>
          </w:tcPr>
          <w:p>
            <w:r>
              <w:rPr>
                <w:sz w:val="17"/>
              </w:rPr>
              <w:t>2,311</w:t>
            </w:r>
          </w:p>
        </w:tc>
        <w:tc>
          <w:tcPr>
            <w:tcW w:type="dxa" w:w="1440"/>
            <w:shd w:fill="C6EFCE" w:val="clear"/>
          </w:tcPr>
          <w:p>
            <w:r>
              <w:rPr>
                <w:b/>
                <w:color w:val="008000"/>
                <w:sz w:val="17"/>
              </w:rPr>
              <w:t>+2.4%</w:t>
            </w:r>
          </w:p>
        </w:tc>
      </w:tr>
      <w:tr>
        <w:tc>
          <w:tcPr>
            <w:tcW w:type="dxa" w:w="1440"/>
            <w:shd w:fill="C6EFCE" w:val="clear"/>
          </w:tcPr>
          <w:p>
            <w:r>
              <w:rPr>
                <w:sz w:val="17"/>
              </w:rPr>
              <w:t>J+10  ⭐</w:t>
            </w:r>
          </w:p>
        </w:tc>
        <w:tc>
          <w:tcPr>
            <w:tcW w:type="dxa" w:w="1440"/>
            <w:shd w:fill="C6EFCE" w:val="clear"/>
          </w:tcPr>
          <w:p>
            <w:r>
              <w:rPr>
                <w:sz w:val="17"/>
              </w:rPr>
              <w:t>2026-10-23</w:t>
            </w:r>
          </w:p>
        </w:tc>
        <w:tc>
          <w:tcPr>
            <w:tcW w:type="dxa" w:w="1440"/>
            <w:shd w:fill="C6EFCE" w:val="clear"/>
          </w:tcPr>
          <w:p>
            <w:r>
              <w:rPr>
                <w:sz w:val="17"/>
              </w:rPr>
              <w:t>1,690</w:t>
            </w:r>
          </w:p>
        </w:tc>
        <w:tc>
          <w:tcPr>
            <w:tcW w:type="dxa" w:w="1440"/>
            <w:shd w:fill="C6EFCE" w:val="clear"/>
          </w:tcPr>
          <w:p>
            <w:r>
              <w:rPr>
                <w:b/>
                <w:sz w:val="17"/>
              </w:rPr>
              <w:t>2,011</w:t>
            </w:r>
          </w:p>
        </w:tc>
        <w:tc>
          <w:tcPr>
            <w:tcW w:type="dxa" w:w="1440"/>
            <w:shd w:fill="C6EFCE" w:val="clear"/>
          </w:tcPr>
          <w:p>
            <w:r>
              <w:rPr>
                <w:sz w:val="17"/>
              </w:rPr>
              <w:t>2,333</w:t>
            </w:r>
          </w:p>
        </w:tc>
        <w:tc>
          <w:tcPr>
            <w:tcW w:type="dxa" w:w="1440"/>
            <w:shd w:fill="C6EFCE" w:val="clear"/>
          </w:tcPr>
          <w:p>
            <w:r>
              <w:rPr>
                <w:b/>
                <w:color w:val="008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2.219 Mds FCFA</w:t>
            </w:r>
          </w:p>
        </w:tc>
        <w:tc>
          <w:tcPr>
            <w:tcW w:type="dxa" w:w="5669"/>
            <w:shd w:fill="FFFFFF" w:val="clear"/>
          </w:tcPr>
          <w:p>
            <w:r>
              <w:rPr>
                <w:color w:val="282828"/>
                <w:sz w:val="15"/>
              </w:rPr>
              <w:t>Créances clients = 22.0%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2.420 Mds FCFA</w:t>
            </w:r>
          </w:p>
        </w:tc>
        <w:tc>
          <w:tcPr>
            <w:tcW w:type="dxa" w:w="5669"/>
            <w:shd w:fill="FFFFFF" w:val="clear"/>
          </w:tcPr>
          <w:p>
            <w:r>
              <w:rPr>
                <w:color w:val="282828"/>
                <w:sz w:val="15"/>
              </w:rPr>
              <w:t>Rotation stocks = 4.2x/an.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5.740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16.02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8.586 Mds FCFA</w:t>
            </w:r>
          </w:p>
        </w:tc>
        <w:tc>
          <w:tcPr>
            <w:tcW w:type="dxa" w:w="5669"/>
            <w:shd w:fill="FFFFFF" w:val="clear"/>
          </w:tcPr>
          <w:p>
            <w:r>
              <w:rPr>
                <w:color w:val="282828"/>
                <w:sz w:val="15"/>
              </w:rPr>
              <w:t>Outil industriel (58.8%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8.822 Mds FCFA</w:t>
            </w:r>
          </w:p>
        </w:tc>
        <w:tc>
          <w:tcPr>
            <w:tcW w:type="dxa" w:w="5669"/>
            <w:shd w:fill="FFFFFF" w:val="clear"/>
          </w:tcPr>
          <w:p>
            <w:r>
              <w:rPr>
                <w:color w:val="282828"/>
                <w:sz w:val="15"/>
              </w:rPr>
              <w:t>Actif immobilisé = 60.4%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48.21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14.611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2.527 Mds FCFA</w:t>
            </w:r>
          </w:p>
        </w:tc>
        <w:tc>
          <w:tcPr>
            <w:tcW w:type="dxa" w:w="5669"/>
            <w:shd w:fill="FFFFFF" w:val="clear"/>
          </w:tcPr>
          <w:p>
            <w:r>
              <w:rPr>
                <w:color w:val="282828"/>
                <w:sz w:val="15"/>
              </w:rPr>
              <w:t>Fonds propres = 17.3%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6.691 Mds FCFA</w:t>
            </w:r>
          </w:p>
        </w:tc>
        <w:tc>
          <w:tcPr>
            <w:tcW w:type="dxa" w:w="5669"/>
            <w:shd w:fill="FFFFFF" w:val="clear"/>
          </w:tcPr>
          <w:p>
            <w:r>
              <w:rPr>
                <w:color w:val="282828"/>
                <w:sz w:val="15"/>
              </w:rPr>
              <w:t>Capitaux permanents / Actif immobilisé = 0.76x.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3.897 Mds FCFA</w:t>
            </w:r>
          </w:p>
        </w:tc>
        <w:tc>
          <w:tcPr>
            <w:tcW w:type="dxa" w:w="5669"/>
            <w:shd w:fill="FFFFFF" w:val="clear"/>
          </w:tcPr>
          <w:p>
            <w:r>
              <w:rPr>
                <w:color w:val="282828"/>
                <w:sz w:val="15"/>
              </w:rPr>
              <w:t>Délai fournisseurs implicite ≈ 141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4.062 Mds FCFA</w:t>
            </w:r>
          </w:p>
        </w:tc>
        <w:tc>
          <w:tcPr>
            <w:tcW w:type="dxa" w:w="5669"/>
            <w:shd w:fill="FFFFFF" w:val="clear"/>
          </w:tcPr>
          <w:p>
            <w:r>
              <w:rPr>
                <w:color w:val="282828"/>
                <w:sz w:val="15"/>
              </w:rPr>
              <w:t>Dette LT/MT = 161%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5.771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12.085 Mds FCFA</w:t>
            </w:r>
          </w:p>
        </w:tc>
        <w:tc>
          <w:tcPr>
            <w:tcW w:type="dxa" w:w="5669"/>
            <w:shd w:fill="FFFFFF" w:val="clear"/>
          </w:tcPr>
          <w:p>
            <w:r>
              <w:rPr>
                <w:color w:val="282828"/>
                <w:sz w:val="15"/>
              </w:rPr>
              <w:t>Dettes totales = 82.7%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10.075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10.075 Mds FCFA</w:t>
            </w:r>
          </w:p>
        </w:tc>
        <w:tc>
          <w:tcPr>
            <w:tcW w:type="dxa" w:w="5669"/>
            <w:shd w:fill="FFFFFF" w:val="clear"/>
          </w:tcPr>
          <w:p>
            <w:r>
              <w:rPr>
                <w:color w:val="282828"/>
                <w:sz w:val="15"/>
              </w:rPr>
              <w:t>Chiffre d'affaires. Croissance: 8.5%.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1.088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1.661 Mds FCFA</w:t>
            </w:r>
          </w:p>
        </w:tc>
        <w:tc>
          <w:tcPr>
            <w:tcW w:type="dxa" w:w="5669"/>
            <w:shd w:fill="FFFFFF" w:val="clear"/>
          </w:tcPr>
          <w:p>
            <w:r>
              <w:rPr>
                <w:color w:val="282828"/>
                <w:sz w:val="15"/>
              </w:rPr>
              <w:t>Masse salariale = 16.5%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3.103 Mds FCFA</w:t>
            </w:r>
          </w:p>
        </w:tc>
        <w:tc>
          <w:tcPr>
            <w:tcW w:type="dxa" w:w="5669"/>
            <w:shd w:fill="FFFFFF" w:val="clear"/>
          </w:tcPr>
          <w:p>
            <w:r>
              <w:rPr>
                <w:color w:val="282828"/>
                <w:sz w:val="15"/>
              </w:rPr>
              <w:t>VA = 30.8%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1.442 Mds FCFA</w:t>
            </w:r>
          </w:p>
        </w:tc>
        <w:tc>
          <w:tcPr>
            <w:tcW w:type="dxa" w:w="5669"/>
            <w:shd w:fill="FFFFFF" w:val="clear"/>
          </w:tcPr>
          <w:p>
            <w:r>
              <w:rPr>
                <w:color w:val="282828"/>
                <w:sz w:val="15"/>
              </w:rPr>
              <w:t>EBE = 14.3%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866.37 M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179.29 M FCFA</w:t>
            </w:r>
          </w:p>
        </w:tc>
        <w:tc>
          <w:tcPr>
            <w:tcW w:type="dxa" w:w="5669"/>
            <w:shd w:fill="FFFFFF" w:val="clear"/>
          </w:tcPr>
          <w:p>
            <w:r>
              <w:rPr>
                <w:color w:val="282828"/>
                <w:sz w:val="15"/>
              </w:rPr>
              <w:t>Marge nette = 1.8%.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868.94 M FCFA</w:t>
            </w:r>
          </w:p>
        </w:tc>
        <w:tc>
          <w:tcPr>
            <w:tcW w:type="dxa" w:w="5669"/>
            <w:shd w:fill="FFFFFF" w:val="clear"/>
          </w:tcPr>
          <w:p>
            <w:r>
              <w:rPr>
                <w:color w:val="282828"/>
                <w:sz w:val="15"/>
              </w:rPr>
              <w:t>CAF = 0.87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992.26 M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-1.935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1.425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-935.89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-470.79 M FCFA</w:t>
            </w:r>
          </w:p>
        </w:tc>
        <w:tc>
          <w:tcPr>
            <w:tcW w:type="dxa" w:w="5669"/>
            <w:shd w:fill="FFFFFF" w:val="clear"/>
          </w:tcPr>
          <w:p>
            <w:r>
              <w:rPr>
                <w:color w:val="282828"/>
                <w:sz w:val="15"/>
              </w:rPr>
              <w:t>BFR = -4.7%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-2.132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54.30%</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1.78%</w:t>
            </w:r>
          </w:p>
        </w:tc>
        <w:tc>
          <w:tcPr>
            <w:tcW w:type="dxa" w:w="5669"/>
            <w:shd w:fill="FFFFFF" w:val="clear"/>
          </w:tcPr>
          <w:p>
            <w:r>
              <w:rPr>
                <w:color w:val="282828"/>
                <w:sz w:val="15"/>
              </w:rPr>
              <w:t>Résultat net / revenus = 1.78%.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7.10%</w:t>
            </w:r>
          </w:p>
        </w:tc>
        <w:tc>
          <w:tcPr>
            <w:tcW w:type="dxa" w:w="5669"/>
            <w:shd w:fill="FFFFFF" w:val="clear"/>
          </w:tcPr>
          <w:p>
            <w:r>
              <w:rPr>
                <w:color w:val="282828"/>
                <w:sz w:val="15"/>
              </w:rPr>
              <w:t>Résultat net / capitaux propres = 7.10%.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1.23%</w:t>
            </w:r>
          </w:p>
        </w:tc>
        <w:tc>
          <w:tcPr>
            <w:tcW w:type="dxa" w:w="5669"/>
            <w:shd w:fill="FFFFFF" w:val="clear"/>
          </w:tcPr>
          <w:p>
            <w:r>
              <w:rPr>
                <w:color w:val="282828"/>
                <w:sz w:val="15"/>
              </w:rPr>
              <w:t>Résultat net / total actif = 1.23%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68.95%</w:t>
            </w:r>
          </w:p>
        </w:tc>
        <w:tc>
          <w:tcPr>
            <w:tcW w:type="dxa" w:w="5669"/>
            <w:shd w:fill="FFFFFF" w:val="clear"/>
          </w:tcPr>
          <w:p>
            <w:r>
              <w:rPr>
                <w:color w:val="282828"/>
                <w:sz w:val="15"/>
              </w:rPr>
              <w:t>CA / total actif = 68.95x.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8.53%</w:t>
            </w:r>
          </w:p>
        </w:tc>
        <w:tc>
          <w:tcPr>
            <w:tcW w:type="dxa" w:w="5669"/>
            <w:shd w:fill="FFFFFF" w:val="clear"/>
          </w:tcPr>
          <w:p>
            <w:r>
              <w:rPr>
                <w:color w:val="282828"/>
                <w:sz w:val="15"/>
              </w:rPr>
              <w:t>Croissance CA vs exercice précédent = 8.53%.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17.29%</w:t>
            </w:r>
          </w:p>
        </w:tc>
        <w:tc>
          <w:tcPr>
            <w:tcW w:type="dxa" w:w="5669"/>
            <w:shd w:fill="FFFFFF" w:val="clear"/>
          </w:tcPr>
          <w:p>
            <w:r>
              <w:rPr>
                <w:color w:val="282828"/>
                <w:sz w:val="15"/>
              </w:rPr>
              <w:t>Fonds propres / total bilan = 17.29%.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82.71%</w:t>
            </w:r>
          </w:p>
        </w:tc>
        <w:tc>
          <w:tcPr>
            <w:tcW w:type="dxa" w:w="5669"/>
            <w:shd w:fill="FFFFFF" w:val="clear"/>
          </w:tcPr>
          <w:p>
            <w:r>
              <w:rPr>
                <w:color w:val="282828"/>
                <w:sz w:val="15"/>
              </w:rPr>
              <w:t>Dettes financières / total bilan = 82.71%.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228.41%</w:t>
            </w:r>
          </w:p>
        </w:tc>
        <w:tc>
          <w:tcPr>
            <w:tcW w:type="dxa" w:w="5669"/>
            <w:shd w:fill="FFFFFF" w:val="clear"/>
          </w:tcPr>
          <w:p>
            <w:r>
              <w:rPr>
                <w:color w:val="282828"/>
                <w:sz w:val="15"/>
              </w:rPr>
              <w:t>Dettes totales / fonds propres = 228.41%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120.91%</w:t>
            </w:r>
          </w:p>
        </w:tc>
        <w:tc>
          <w:tcPr>
            <w:tcW w:type="dxa" w:w="5669"/>
            <w:shd w:fill="FFFFFF" w:val="clear"/>
          </w:tcPr>
          <w:p>
            <w:r>
              <w:rPr>
                <w:color w:val="282828"/>
                <w:sz w:val="15"/>
              </w:rPr>
              <w:t>Total actif / dettes totales = 120.91x.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73.09%</w:t>
            </w:r>
          </w:p>
        </w:tc>
        <w:tc>
          <w:tcPr>
            <w:tcW w:type="dxa" w:w="5669"/>
            <w:shd w:fill="FFFFFF" w:val="clear"/>
          </w:tcPr>
          <w:p>
            <w:r>
              <w:rPr>
                <w:color w:val="282828"/>
                <w:sz w:val="15"/>
              </w:rPr>
              <w:t>Actif circulant / passif circulant = 73.09x.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0.61%</w:t>
            </w:r>
          </w:p>
        </w:tc>
        <w:tc>
          <w:tcPr>
            <w:tcW w:type="dxa" w:w="5669"/>
            <w:shd w:fill="FFFFFF" w:val="clear"/>
          </w:tcPr>
          <w:p>
            <w:r>
              <w:rPr>
                <w:color w:val="282828"/>
                <w:sz w:val="15"/>
              </w:rPr>
              <w:t>Trésorerie / passif circulant = 0.61x.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42.53%</w:t>
            </w:r>
          </w:p>
        </w:tc>
        <w:tc>
          <w:tcPr>
            <w:tcW w:type="dxa" w:w="5669"/>
            <w:shd w:fill="FFFFFF" w:val="clear"/>
          </w:tcPr>
          <w:p>
            <w:r>
              <w:rPr>
                <w:color w:val="282828"/>
                <w:sz w:val="15"/>
              </w:rPr>
              <w:t>(Actif circ. - stocks) / passif circ. = 42.53x.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75.84%</w:t>
            </w:r>
          </w:p>
        </w:tc>
        <w:tc>
          <w:tcPr>
            <w:tcW w:type="dxa" w:w="5669"/>
            <w:shd w:fill="FFFFFF" w:val="clear"/>
          </w:tcPr>
          <w:p>
            <w:r>
              <w:rPr>
                <w:color w:val="282828"/>
                <w:sz w:val="15"/>
              </w:rPr>
              <w:t>Capitaux permanents / actif immobilisé = 75.84x.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6.6 ans</w:t>
            </w:r>
          </w:p>
        </w:tc>
        <w:tc>
          <w:tcPr>
            <w:tcW w:type="dxa" w:w="5669"/>
            <w:shd w:fill="FFFFFF" w:val="clear"/>
          </w:tcPr>
          <w:p>
            <w:r>
              <w:rPr>
                <w:color w:val="282828"/>
                <w:sz w:val="15"/>
              </w:rPr>
              <w:t>Dettes financières / CAF = 6.6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235.01%</w:t>
            </w:r>
          </w:p>
        </w:tc>
        <w:tc>
          <w:tcPr>
            <w:tcW w:type="dxa" w:w="5669"/>
            <w:shd w:fill="FFFFFF" w:val="clear"/>
          </w:tcPr>
          <w:p>
            <w:r>
              <w:rPr>
                <w:color w:val="282828"/>
                <w:sz w:val="15"/>
              </w:rPr>
              <w:t>Résultat exploit. / charges financières = 235.01x.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45.07%</w:t>
            </w:r>
          </w:p>
        </w:tc>
        <w:tc>
          <w:tcPr>
            <w:tcW w:type="dxa" w:w="5669"/>
            <w:shd w:fill="FFFFFF" w:val="clear"/>
          </w:tcPr>
          <w:p>
            <w:r>
              <w:rPr>
                <w:color w:val="282828"/>
                <w:sz w:val="15"/>
              </w:rPr>
              <w:t>CAF / investissements = 45.07x.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79.3 j</w:t>
            </w:r>
          </w:p>
        </w:tc>
        <w:tc>
          <w:tcPr>
            <w:tcW w:type="dxa" w:w="5669"/>
            <w:shd w:fill="FFFFFF" w:val="clear"/>
          </w:tcPr>
          <w:p>
            <w:r>
              <w:rPr>
                <w:color w:val="282828"/>
                <w:sz w:val="15"/>
              </w:rPr>
              <w:t>Les clients paient en moyenne en 79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323.3 j</w:t>
            </w:r>
          </w:p>
        </w:tc>
        <w:tc>
          <w:tcPr>
            <w:tcW w:type="dxa" w:w="5669"/>
            <w:shd w:fill="FFFFFF" w:val="clear"/>
          </w:tcPr>
          <w:p>
            <w:r>
              <w:rPr>
                <w:color w:val="282828"/>
                <w:sz w:val="15"/>
              </w:rPr>
              <w:t>Paiement des fournisseurs en 323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189.3 j</w:t>
            </w:r>
          </w:p>
        </w:tc>
        <w:tc>
          <w:tcPr>
            <w:tcW w:type="dxa" w:w="5669"/>
            <w:shd w:fill="FFFFFF" w:val="clear"/>
          </w:tcPr>
          <w:p>
            <w:r>
              <w:rPr>
                <w:color w:val="282828"/>
                <w:sz w:val="15"/>
              </w:rPr>
              <w:t>Stock écoulé en 189 jours. ❌ Stock quasi-bloqué — risque d'obsolescence ou de surstock.</w:t>
            </w:r>
          </w:p>
        </w:tc>
      </w:tr>
    </w:tbl>
    <w:p/>
    <w:p>
      <w:pPr>
        <w:spacing w:after="120" w:line="276" w:lineRule="auto"/>
      </w:pPr>
      <w:r>
        <w:t>**RAPPORT D'ANALYSE FINANCIÈRE — SIVC / ERIUM COTE D'IVOIRE (BRVM)**</w:t>
        <w:br/>
        <w:t>*Analyste : Desk Actions BRVM — 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17,12 milliards FCFA, SIVC (désormais ERIUM CI) se situe dans la catégorie des petites capitalisations de la BRVM, ce qui implique une liquidité limitée et une sensibilité accrue aux mouvements de portefeuille. Le BPA de 21 FCFA/action signifie que chaque titre génère à peine 21 FCFA de bénéfice net, un niveau faible qui, rapporté au cours de 1 960 FCFA, aboutit à un PER de 95,5x — très largement supérieur à la moyenne du marché BRVM (8-12x), signalant une valorisation extrêmement tendue et une forte déconnexion entre le prix payé et les bénéfices réellement dégagés. Le P/B de 6,78x confirme cette prime excessive : le marché valorise l'entreprise près de 7 fois sa valeur comptable, alors qu'un ratio supérieur à 4x est déjà considéré comme exigeant. Enfin, l'EV/EBITDA de 17,0x traduit une valeur d'entreprise (incluant la dette) très supérieure à la capacité opérationnelle de génération de cash, ce qui, combiné aux deux autres ratios, dresse le portrait d'un titre nettement surévalué par rapport à ses fondamentaux actuels.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SIVC a enregistré une chute spectaculaire de -31,11%, passant d'un plus haut de 2 875 FCFA à un plus bas de 1 920 FCFA, pour un cours actuel de 1 960 FCFA — soit une tendance baissière marquée et persistante, même si la dernière séance affiche un rebond technique de +1,55%. Le range de trading de 955 FCFA (environ 33% de la valeur haute) témoigne d'une forte amplitude, cohérente avec une phase de correction sévère. Les statistiques descriptives révèlent une moyenne de 2 397 FCFA légèrement supérieure à la médiane de 2 365 FCFA, avec un mode à 2 000 FCFA : l'écart faible entre moyenne et médiane, couplé à un skewness de 0,306 (distribution symétrique), indique que la baisse n'est pas due à quelques chocs isolés mais à un mouvement directionnel homogène. L'écart-type de 287 FCFA et le coefficient de variation de 12,0% traduisent une dispersion modérée autour de la tendance, tandis que le kurtosis de -0,988 (mésokurtique) suggère une distribution proche de la normale, sans risque majeur de pics extrêmes. La volatilité annualisée de 53,9% classe ce titre dans la catégorie des valeurs très volatiles (&gt;30%), ce qui expose l'investisseur à un risque de perte en capital élevé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(2 087 FCFA) et la MM50 (2 227 FCFA) se situent toutes deux au-dessus du cours actuel (1 960 FCFA), avec la MM20 en dessous de la MM50 — configuration baissière classique (croisement mort confirmé). Le cours évoluant sous ses deux moyennes, la pression vendeuse reste dominante et la décision technique est logiquement **Vente**.</w:t>
      </w:r>
    </w:p>
    <w:p>
      <w:pPr>
        <w:spacing w:after="120" w:line="276" w:lineRule="auto"/>
      </w:pPr>
      <w:r>
        <w:t>**Bandes de Bollinger** : Le cours (1 960 FCFA) se situe dans la moitié inférieure du canal, entre la borne inférieure (1 813,94 FCFA) et la borne supérieure (2 360,06 FCFA), sans toucher les extrêmes. Cette position médiane-basse, avec un canal large reflétant la forte volatilité, justifie une décision **Neutre** : ni signal de survente extrême, ni retournement haussier confirmé.</w:t>
      </w:r>
    </w:p>
    <w:p>
      <w:pPr>
        <w:spacing w:after="120" w:line="276" w:lineRule="auto"/>
      </w:pPr>
      <w:r>
        <w:t>**MACD** : La valeur du MACD (-86,564) est inférieure à sa ligne de signal (-79,553), avec un histogramme négatif — configuration baissière où le momentum reste clairement orienté à la baisse. La divergence négative persistante confirme la décision **Vente**, aucun signe de retournement n'étant visible.</w:t>
      </w:r>
    </w:p>
    <w:p>
      <w:pPr>
        <w:spacing w:after="120" w:line="276" w:lineRule="auto"/>
      </w:pPr>
      <w:r>
        <w:t>**RSI** : À 35,374, le RSI se situe dans la zone neutre basse (30-70), sans atteindre le seuil de survente (&lt;30). Cela indique que le titre n'est pas encore techniquement "survendu" et qu'un potentiel de baisse résiduel subsiste, justifiant la décision **Neutre** avec une prudence maintenue.</w:t>
      </w:r>
    </w:p>
    <w:p>
      <w:pPr>
        <w:spacing w:after="120" w:line="276" w:lineRule="auto"/>
      </w:pPr>
      <w:r>
        <w:t>**Stochastique** : Le %K (14,286) est supérieur au %D (4,762), avec les deux indicateurs en zone de survente profonde (&lt;20). Ce croisement haussier naissant en zone extrême constitue un signal d'achat technique de court terme (**Achat**), suggérant un possible rebond technique — mais ce signal isolé doit être pondéré par la tendance baissière de fond.</w:t>
      </w:r>
    </w:p>
    <w:p>
      <w:pPr>
        <w:spacing w:after="120" w:line="276" w:lineRule="auto"/>
      </w:pPr>
      <w:r>
        <w:t>**Conclusion technique** : Les indicateurs sont majoritairement baissiers (MM, MACD) ou neutres (Bollinger, RSI), avec un seul signal haussier (Stochastique) qui relève davantage d'un rebond technique que d'un retournement de tendance. La convergence des signaux négatifs (cours sous les moyennes, MACD négatif) l'emporte sur le signal stochastique, et le titre reste en phase de correction tant qu'il n'a pas reconquis la MM20 (2 087 FCFA). Un rebond de court terme vers 2 000-2 050 FCFA est possible, mais la tendance de fond demeure baissière.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officiels) révèlent une situation paradoxale : le chiffre d'affaires progresse à 10,075 milliards FCFA (+8,53% selon le rapport du 31/12/2025), mais le résultat net s'effondre à 179,29 millions FCFA, en chute de -52,4% par rapport aux 376,96 millions de 2024. La marge nette se dégrade à 1,78% (contre 4,06% en 2024), le ROE tombe à 7,10% (bien en dessous du seuil de 15% considéré comme excellent) et le ROA n'est que de 1,23% — une rentabilité des actifs très faible. En tant qu'entreprise industrielle (gaz industriels, soudage), les délais d'exploitation sont préoccupants : délai clients de 79,30 jours (risque de trésorerie), durée de stockage de 189,26 jours (immobilisation de capital massive) et délai fournisseurs de 323,35 jours (avantage de trésorerie mais signe de tension avec les partenaires). Le BFR est négatif (-470,79 millions FCFA), ce qui est favorable, mais le fonds de roulement est très négatif (-2,132 milliards FCFA) et la trésorerie nette s'établit à -1,661 milliards FCFA — situation de liquidité fragile. L'endettement est élevé : ratio d'endettement de 228,41%, autonomie financière de seulement 17,29% (très en dessous du seuil sain de 30%) et dettes financières de 5,771 milliards FCFA. Les rapports trimestriels 2025 (S1 certifié du 30/06/2025 et T3 du 30/09/2025) montrent cependant une amélioration en cours d'année : le S1 affichait un résultat net de 512,9 millions FCFA (+4,6%) et le T3 cumulé un résultat net de 832,5 millions FCFA (+58%) avec une marge nette de 11,0% — mais ces chiffres semblent en contradiction avec le résultat net annuel de seulement 179 millions, ce qui suggère un très mauvais T4 2025 (provisions, charges exceptionnelles ou dépréciations). On estime donc que l'exercice 2026 sera déterminant : si la dynamique des trois premiers trimestres 2025 se confirme et que le T4 se normalise, le résultat net annuel pourrait rebondir vers 600-800 millions FCFA. Le changement de dénomination (Air Liquide CI → ERIUM CI) et la cession complète de la participation d'Air Liquide International à ERIUM LTD (6 295 350 actions à 230 FCFA le 21/11/2025) constituent un événement majeur : l'actionnaire de référence a vendu à un prix très inférieur au cours actuel (230 FCFA contre 1 960 FCFA), ce qui pose question sur la valorisation réelle de l'entreprise. La recommandation fondamentale est **CONSERVER avec surveillance renforcée** : la croissance du CA est réelle, mais la rentabilité, l'endettement et la trésorerie restent des points de vulnérabilité majeurs.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 ce rapport révèle une divergence préoccupante entre les différents signaux. Sur le plan de la **valorisation (Partie 0)**, les ratios PER (95,5x), P/B (6,78x) et EV/EBITDA (17,0x) indiquent une surévaluation manifeste par rapport aux bénéfices et à la valeur comptable, avec un prix payé très supérieur à la réalité économique de l'entreprise. Le **comportement du cours (Partie 1)** est clairement baissier (-31,11% sur 100 jours), avec une volatilité annualisée très élevée (53,9%) et une distribution symétrique sans pics extrêmes (kurtosis -0,988), ce qui signifie que la baisse est structurelle et non accidentelle. Les **signaux techniques (Partie 2)** sont majoritairement négatifs (cours sous MM20/MM50, MACD baissier), avec un seul signal haussier stochastique qui ne suffit pas à inverser la tendance. Les **fondamentaux (Partie 3)** sont fragiles : croissance du CA (+8,53%) mais effondrement du résultat net (-52,4%), endettement élevé (228,41%), trésorerie nette négative (-1,661 milliards FCFA) et autonomie financière insuffisante (17,29%) — même si les rapports trimestriels 2025 laissent entrevoir une amélioration en cours d'année. Les **prédictions IA (J+1 à J+10)** anticipent une légère reprise (1 976 → 1 989 FCFA, soit +1,5% sur 10 jours), ce qui confirme un possible rebond technique de court terme mais ne contredit pas la tendance baissière de fond. **Recommandation finale : CONSERVER** (pour les détenteurs actuels) / **ÉVITER** (pour les nouveaux investisseurs). La convergence des signaux baissiers (valorisation excessive, technique négative, fondamentaux fragiles) l'emporte sur le rebond technique stochastique et les prédictions IA haussières de court terme. Le niveau de confiance est **Moyen** (les rapports trimestriels 2025 apportent une lueur d'espoir mais le T4 2025 catastrophique crée une incertitude). Le niveau de risque global est **Élevé** (volatilité 53,9%, endettement lourd, trésorerie négative, changement d'actionnaire de référence). L'horizon d'investissement optimal est **court terme (&lt;3 mois)** pour profiter d'un éventuel rebond technique vers 2 050-2 100 FCFA, ou **attendre** une confirmation de l'amélioration fondamentale (publication des résultats 2026) avant tout investissement de moyen/long terme.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38.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624.69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1,419 titres</w:t>
            </w:r>
          </w:p>
        </w:tc>
        <w:tc>
          <w:tcPr>
            <w:tcW w:type="dxa" w:w="2268"/>
            <w:shd w:fill="FFF2CC" w:val="clear"/>
          </w:tcPr>
          <w:p>
            <w:r>
              <w:rPr>
                <w:b/>
                <w:color w:val="503200"/>
                <w:sz w:val="16"/>
              </w:rPr>
              <w:t xml:space="preserve">Cours actuel : </w:t>
            </w:r>
            <w:r>
              <w:rPr>
                <w:color w:val="000000"/>
                <w:sz w:val="17"/>
              </w:rPr>
              <w:t>37,950 FCFA</w:t>
            </w:r>
          </w:p>
          <w:p>
            <w:r>
              <w:rPr>
                <w:b/>
                <w:color w:val="503200"/>
                <w:sz w:val="16"/>
              </w:rPr>
              <w:t xml:space="preserve">Var. 100 jours : </w:t>
            </w:r>
            <w:r>
              <w:rPr>
                <w:b/>
                <w:color w:val="007800"/>
                <w:sz w:val="17"/>
              </w:rPr>
              <w:t>+0.13%</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36,900 FCFA</w:t>
            </w:r>
          </w:p>
          <w:p>
            <w:r>
              <w:rPr>
                <w:b/>
                <w:color w:val="503200"/>
                <w:sz w:val="16"/>
              </w:rPr>
              <w:t xml:space="preserve">Volatilité ann. : </w:t>
            </w:r>
            <w:r>
              <w:rPr>
                <w:color w:val="000000"/>
                <w:sz w:val="17"/>
              </w:rPr>
              <w:t>24.6%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2.26% (Faible) — μ=38,263 FCFA, σ=863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β=0.0214 (Défensif) — Cov=0.000002, Var(idx)=0.000073, ρ=0.012,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1,419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σ_j=1.55%/j (Stable) — Vol. annualisée≈24.6%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37,263</w:t>
            </w:r>
          </w:p>
        </w:tc>
        <w:tc>
          <w:tcPr>
            <w:tcW w:type="dxa" w:w="1440"/>
            <w:shd w:fill="FAFAFA" w:val="clear"/>
          </w:tcPr>
          <w:p>
            <w:r>
              <w:rPr>
                <w:b/>
                <w:sz w:val="17"/>
              </w:rPr>
              <w:t>37,842</w:t>
            </w:r>
          </w:p>
        </w:tc>
        <w:tc>
          <w:tcPr>
            <w:tcW w:type="dxa" w:w="1440"/>
            <w:shd w:fill="FAFAFA" w:val="clear"/>
          </w:tcPr>
          <w:p>
            <w:r>
              <w:rPr>
                <w:sz w:val="17"/>
              </w:rPr>
              <w:t>38,420</w:t>
            </w:r>
          </w:p>
        </w:tc>
        <w:tc>
          <w:tcPr>
            <w:tcW w:type="dxa" w:w="1440"/>
            <w:shd w:fill="FAFAFA" w:val="clear"/>
          </w:tcPr>
          <w:p>
            <w:r>
              <w:rPr>
                <w:b/>
                <w:color w:val="C00000"/>
                <w:sz w:val="17"/>
              </w:rPr>
              <w:t>-0.3%</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37,216</w:t>
            </w:r>
          </w:p>
        </w:tc>
        <w:tc>
          <w:tcPr>
            <w:tcW w:type="dxa" w:w="1440"/>
            <w:shd w:fill="FAFAFA" w:val="clear"/>
          </w:tcPr>
          <w:p>
            <w:r>
              <w:rPr>
                <w:b/>
                <w:sz w:val="17"/>
              </w:rPr>
              <w:t>38,038</w:t>
            </w:r>
          </w:p>
        </w:tc>
        <w:tc>
          <w:tcPr>
            <w:tcW w:type="dxa" w:w="1440"/>
            <w:shd w:fill="FAFAFA" w:val="clear"/>
          </w:tcPr>
          <w:p>
            <w:r>
              <w:rPr>
                <w:sz w:val="17"/>
              </w:rPr>
              <w:t>38,860</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37,193</w:t>
            </w:r>
          </w:p>
        </w:tc>
        <w:tc>
          <w:tcPr>
            <w:tcW w:type="dxa" w:w="1440"/>
            <w:shd w:fill="FAFAFA" w:val="clear"/>
          </w:tcPr>
          <w:p>
            <w:r>
              <w:rPr>
                <w:b/>
                <w:sz w:val="17"/>
              </w:rPr>
              <w:t>38,204</w:t>
            </w:r>
          </w:p>
        </w:tc>
        <w:tc>
          <w:tcPr>
            <w:tcW w:type="dxa" w:w="1440"/>
            <w:shd w:fill="FAFAFA" w:val="clear"/>
          </w:tcPr>
          <w:p>
            <w:r>
              <w:rPr>
                <w:sz w:val="17"/>
              </w:rPr>
              <w:t>39,216</w:t>
            </w:r>
          </w:p>
        </w:tc>
        <w:tc>
          <w:tcPr>
            <w:tcW w:type="dxa" w:w="1440"/>
            <w:shd w:fill="FAFAFA" w:val="clear"/>
          </w:tcPr>
          <w:p>
            <w:r>
              <w:rPr>
                <w:b/>
                <w:color w:val="008000"/>
                <w:sz w:val="17"/>
              </w:rPr>
              <w:t>+0.7%</w:t>
            </w:r>
          </w:p>
        </w:tc>
      </w:tr>
      <w:tr>
        <w:tc>
          <w:tcPr>
            <w:tcW w:type="dxa" w:w="1440"/>
            <w:shd w:fill="FAFAFA" w:val="clear"/>
          </w:tcPr>
          <w:p>
            <w:r>
              <w:rPr>
                <w:sz w:val="17"/>
              </w:rPr>
              <w:t>J+4  Moyenne</w:t>
            </w:r>
          </w:p>
        </w:tc>
        <w:tc>
          <w:tcPr>
            <w:tcW w:type="dxa" w:w="1440"/>
            <w:shd w:fill="FAFAFA" w:val="clear"/>
          </w:tcPr>
          <w:p>
            <w:r>
              <w:rPr>
                <w:sz w:val="17"/>
              </w:rPr>
              <w:t>2026-10-15</w:t>
            </w:r>
          </w:p>
        </w:tc>
        <w:tc>
          <w:tcPr>
            <w:tcW w:type="dxa" w:w="1440"/>
            <w:shd w:fill="FAFAFA" w:val="clear"/>
          </w:tcPr>
          <w:p>
            <w:r>
              <w:rPr>
                <w:sz w:val="17"/>
              </w:rPr>
              <w:t>37,186</w:t>
            </w:r>
          </w:p>
        </w:tc>
        <w:tc>
          <w:tcPr>
            <w:tcW w:type="dxa" w:w="1440"/>
            <w:shd w:fill="FAFAFA" w:val="clear"/>
          </w:tcPr>
          <w:p>
            <w:r>
              <w:rPr>
                <w:b/>
                <w:sz w:val="17"/>
              </w:rPr>
              <w:t>38,359</w:t>
            </w:r>
          </w:p>
        </w:tc>
        <w:tc>
          <w:tcPr>
            <w:tcW w:type="dxa" w:w="1440"/>
            <w:shd w:fill="FAFAFA" w:val="clear"/>
          </w:tcPr>
          <w:p>
            <w:r>
              <w:rPr>
                <w:sz w:val="17"/>
              </w:rPr>
              <w:t>39,531</w:t>
            </w:r>
          </w:p>
        </w:tc>
        <w:tc>
          <w:tcPr>
            <w:tcW w:type="dxa" w:w="1440"/>
            <w:shd w:fill="FAFAFA" w:val="clear"/>
          </w:tcPr>
          <w:p>
            <w:r>
              <w:rPr>
                <w:b/>
                <w:color w:val="008000"/>
                <w:sz w:val="17"/>
              </w:rPr>
              <w:t>+1.1%</w:t>
            </w:r>
          </w:p>
        </w:tc>
      </w:tr>
      <w:tr>
        <w:tc>
          <w:tcPr>
            <w:tcW w:type="dxa" w:w="1440"/>
            <w:shd w:fill="FAFAFA" w:val="clear"/>
          </w:tcPr>
          <w:p>
            <w:r>
              <w:rPr>
                <w:sz w:val="17"/>
              </w:rPr>
              <w:t>J+5  Moyenne</w:t>
            </w:r>
          </w:p>
        </w:tc>
        <w:tc>
          <w:tcPr>
            <w:tcW w:type="dxa" w:w="1440"/>
            <w:shd w:fill="FAFAFA" w:val="clear"/>
          </w:tcPr>
          <w:p>
            <w:r>
              <w:rPr>
                <w:sz w:val="17"/>
              </w:rPr>
              <w:t>2026-10-16</w:t>
            </w:r>
          </w:p>
        </w:tc>
        <w:tc>
          <w:tcPr>
            <w:tcW w:type="dxa" w:w="1440"/>
            <w:shd w:fill="FAFAFA" w:val="clear"/>
          </w:tcPr>
          <w:p>
            <w:r>
              <w:rPr>
                <w:sz w:val="17"/>
              </w:rPr>
              <w:t>37,191</w:t>
            </w:r>
          </w:p>
        </w:tc>
        <w:tc>
          <w:tcPr>
            <w:tcW w:type="dxa" w:w="1440"/>
            <w:shd w:fill="FAFAFA" w:val="clear"/>
          </w:tcPr>
          <w:p>
            <w:r>
              <w:rPr>
                <w:b/>
                <w:sz w:val="17"/>
              </w:rPr>
              <w:t>38,507</w:t>
            </w:r>
          </w:p>
        </w:tc>
        <w:tc>
          <w:tcPr>
            <w:tcW w:type="dxa" w:w="1440"/>
            <w:shd w:fill="FAFAFA" w:val="clear"/>
          </w:tcPr>
          <w:p>
            <w:r>
              <w:rPr>
                <w:sz w:val="17"/>
              </w:rPr>
              <w:t>39,823</w:t>
            </w:r>
          </w:p>
        </w:tc>
        <w:tc>
          <w:tcPr>
            <w:tcW w:type="dxa" w:w="1440"/>
            <w:shd w:fill="FAFAFA" w:val="clear"/>
          </w:tcPr>
          <w:p>
            <w:r>
              <w:rPr>
                <w:b/>
                <w:color w:val="008000"/>
                <w:sz w:val="17"/>
              </w:rPr>
              <w:t>+1.5%</w:t>
            </w:r>
          </w:p>
        </w:tc>
      </w:tr>
      <w:tr>
        <w:tc>
          <w:tcPr>
            <w:tcW w:type="dxa" w:w="1440"/>
            <w:shd w:fill="FAFAFA" w:val="clear"/>
          </w:tcPr>
          <w:p>
            <w:r>
              <w:rPr>
                <w:sz w:val="17"/>
              </w:rPr>
              <w:t>J+6  Moyenne</w:t>
            </w:r>
          </w:p>
        </w:tc>
        <w:tc>
          <w:tcPr>
            <w:tcW w:type="dxa" w:w="1440"/>
            <w:shd w:fill="FAFAFA" w:val="clear"/>
          </w:tcPr>
          <w:p>
            <w:r>
              <w:rPr>
                <w:sz w:val="17"/>
              </w:rPr>
              <w:t>2026-10-19</w:t>
            </w:r>
          </w:p>
        </w:tc>
        <w:tc>
          <w:tcPr>
            <w:tcW w:type="dxa" w:w="1440"/>
            <w:shd w:fill="FAFAFA" w:val="clear"/>
          </w:tcPr>
          <w:p>
            <w:r>
              <w:rPr>
                <w:sz w:val="17"/>
              </w:rPr>
              <w:t>37,204</w:t>
            </w:r>
          </w:p>
        </w:tc>
        <w:tc>
          <w:tcPr>
            <w:tcW w:type="dxa" w:w="1440"/>
            <w:shd w:fill="FAFAFA" w:val="clear"/>
          </w:tcPr>
          <w:p>
            <w:r>
              <w:rPr>
                <w:b/>
                <w:sz w:val="17"/>
              </w:rPr>
              <w:t>38,651</w:t>
            </w:r>
          </w:p>
        </w:tc>
        <w:tc>
          <w:tcPr>
            <w:tcW w:type="dxa" w:w="1440"/>
            <w:shd w:fill="FAFAFA" w:val="clear"/>
          </w:tcPr>
          <w:p>
            <w:r>
              <w:rPr>
                <w:sz w:val="17"/>
              </w:rPr>
              <w:t>40,099</w:t>
            </w:r>
          </w:p>
        </w:tc>
        <w:tc>
          <w:tcPr>
            <w:tcW w:type="dxa" w:w="1440"/>
            <w:shd w:fill="FAFAFA" w:val="clear"/>
          </w:tcPr>
          <w:p>
            <w:r>
              <w:rPr>
                <w:b/>
                <w:color w:val="008000"/>
                <w:sz w:val="17"/>
              </w:rPr>
              <w:t>+1.8%</w:t>
            </w:r>
          </w:p>
        </w:tc>
      </w:tr>
      <w:tr>
        <w:tc>
          <w:tcPr>
            <w:tcW w:type="dxa" w:w="1440"/>
            <w:shd w:fill="C6EFCE" w:val="clear"/>
          </w:tcPr>
          <w:p>
            <w:r>
              <w:rPr>
                <w:sz w:val="17"/>
              </w:rPr>
              <w:t>J+7  Moyenne</w:t>
            </w:r>
          </w:p>
        </w:tc>
        <w:tc>
          <w:tcPr>
            <w:tcW w:type="dxa" w:w="1440"/>
            <w:shd w:fill="C6EFCE" w:val="clear"/>
          </w:tcPr>
          <w:p>
            <w:r>
              <w:rPr>
                <w:sz w:val="17"/>
              </w:rPr>
              <w:t>2026-10-20</w:t>
            </w:r>
          </w:p>
        </w:tc>
        <w:tc>
          <w:tcPr>
            <w:tcW w:type="dxa" w:w="1440"/>
            <w:shd w:fill="C6EFCE" w:val="clear"/>
          </w:tcPr>
          <w:p>
            <w:r>
              <w:rPr>
                <w:sz w:val="17"/>
              </w:rPr>
              <w:t>37,223</w:t>
            </w:r>
          </w:p>
        </w:tc>
        <w:tc>
          <w:tcPr>
            <w:tcW w:type="dxa" w:w="1440"/>
            <w:shd w:fill="C6EFCE" w:val="clear"/>
          </w:tcPr>
          <w:p>
            <w:r>
              <w:rPr>
                <w:b/>
                <w:sz w:val="17"/>
              </w:rPr>
              <w:t>38,792</w:t>
            </w:r>
          </w:p>
        </w:tc>
        <w:tc>
          <w:tcPr>
            <w:tcW w:type="dxa" w:w="1440"/>
            <w:shd w:fill="C6EFCE" w:val="clear"/>
          </w:tcPr>
          <w:p>
            <w:r>
              <w:rPr>
                <w:sz w:val="17"/>
              </w:rPr>
              <w:t>40,361</w:t>
            </w:r>
          </w:p>
        </w:tc>
        <w:tc>
          <w:tcPr>
            <w:tcW w:type="dxa" w:w="1440"/>
            <w:shd w:fill="C6EFCE" w:val="clear"/>
          </w:tcPr>
          <w:p>
            <w:r>
              <w:rPr>
                <w:b/>
                <w:color w:val="008000"/>
                <w:sz w:val="17"/>
              </w:rPr>
              <w:t>+2.2%</w:t>
            </w:r>
          </w:p>
        </w:tc>
      </w:tr>
      <w:tr>
        <w:tc>
          <w:tcPr>
            <w:tcW w:type="dxa" w:w="1440"/>
            <w:shd w:fill="C6EFCE" w:val="clear"/>
          </w:tcPr>
          <w:p>
            <w:r>
              <w:rPr>
                <w:sz w:val="17"/>
              </w:rPr>
              <w:t>J+8  Moyenne</w:t>
            </w:r>
          </w:p>
        </w:tc>
        <w:tc>
          <w:tcPr>
            <w:tcW w:type="dxa" w:w="1440"/>
            <w:shd w:fill="C6EFCE" w:val="clear"/>
          </w:tcPr>
          <w:p>
            <w:r>
              <w:rPr>
                <w:sz w:val="17"/>
              </w:rPr>
              <w:t>2026-10-21</w:t>
            </w:r>
          </w:p>
        </w:tc>
        <w:tc>
          <w:tcPr>
            <w:tcW w:type="dxa" w:w="1440"/>
            <w:shd w:fill="C6EFCE" w:val="clear"/>
          </w:tcPr>
          <w:p>
            <w:r>
              <w:rPr>
                <w:sz w:val="17"/>
              </w:rPr>
              <w:t>37,247</w:t>
            </w:r>
          </w:p>
        </w:tc>
        <w:tc>
          <w:tcPr>
            <w:tcW w:type="dxa" w:w="1440"/>
            <w:shd w:fill="C6EFCE" w:val="clear"/>
          </w:tcPr>
          <w:p>
            <w:r>
              <w:rPr>
                <w:b/>
                <w:sz w:val="17"/>
              </w:rPr>
              <w:t>38,930</w:t>
            </w:r>
          </w:p>
        </w:tc>
        <w:tc>
          <w:tcPr>
            <w:tcW w:type="dxa" w:w="1440"/>
            <w:shd w:fill="C6EFCE" w:val="clear"/>
          </w:tcPr>
          <w:p>
            <w:r>
              <w:rPr>
                <w:sz w:val="17"/>
              </w:rPr>
              <w:t>40,613</w:t>
            </w:r>
          </w:p>
        </w:tc>
        <w:tc>
          <w:tcPr>
            <w:tcW w:type="dxa" w:w="1440"/>
            <w:shd w:fill="C6EFCE" w:val="clear"/>
          </w:tcPr>
          <w:p>
            <w:r>
              <w:rPr>
                <w:b/>
                <w:color w:val="008000"/>
                <w:sz w:val="17"/>
              </w:rPr>
              <w:t>+2.6%</w:t>
            </w:r>
          </w:p>
        </w:tc>
      </w:tr>
      <w:tr>
        <w:tc>
          <w:tcPr>
            <w:tcW w:type="dxa" w:w="1440"/>
            <w:shd w:fill="C6EFCE" w:val="clear"/>
          </w:tcPr>
          <w:p>
            <w:r>
              <w:rPr>
                <w:sz w:val="17"/>
              </w:rPr>
              <w:t>J+9  Moyenne</w:t>
            </w:r>
          </w:p>
        </w:tc>
        <w:tc>
          <w:tcPr>
            <w:tcW w:type="dxa" w:w="1440"/>
            <w:shd w:fill="C6EFCE" w:val="clear"/>
          </w:tcPr>
          <w:p>
            <w:r>
              <w:rPr>
                <w:sz w:val="17"/>
              </w:rPr>
              <w:t>2026-10-22</w:t>
            </w:r>
          </w:p>
        </w:tc>
        <w:tc>
          <w:tcPr>
            <w:tcW w:type="dxa" w:w="1440"/>
            <w:shd w:fill="C6EFCE" w:val="clear"/>
          </w:tcPr>
          <w:p>
            <w:r>
              <w:rPr>
                <w:sz w:val="17"/>
              </w:rPr>
              <w:t>37,274</w:t>
            </w:r>
          </w:p>
        </w:tc>
        <w:tc>
          <w:tcPr>
            <w:tcW w:type="dxa" w:w="1440"/>
            <w:shd w:fill="C6EFCE" w:val="clear"/>
          </w:tcPr>
          <w:p>
            <w:r>
              <w:rPr>
                <w:b/>
                <w:sz w:val="17"/>
              </w:rPr>
              <w:t>39,066</w:t>
            </w:r>
          </w:p>
        </w:tc>
        <w:tc>
          <w:tcPr>
            <w:tcW w:type="dxa" w:w="1440"/>
            <w:shd w:fill="C6EFCE" w:val="clear"/>
          </w:tcPr>
          <w:p>
            <w:r>
              <w:rPr>
                <w:sz w:val="17"/>
              </w:rPr>
              <w:t>40,857</w:t>
            </w:r>
          </w:p>
        </w:tc>
        <w:tc>
          <w:tcPr>
            <w:tcW w:type="dxa" w:w="1440"/>
            <w:shd w:fill="C6EFCE" w:val="clear"/>
          </w:tcPr>
          <w:p>
            <w:r>
              <w:rPr>
                <w:b/>
                <w:color w:val="008000"/>
                <w:sz w:val="17"/>
              </w:rPr>
              <w:t>+2.9%</w:t>
            </w:r>
          </w:p>
        </w:tc>
      </w:tr>
      <w:tr>
        <w:tc>
          <w:tcPr>
            <w:tcW w:type="dxa" w:w="1440"/>
            <w:shd w:fill="C6EFCE" w:val="clear"/>
          </w:tcPr>
          <w:p>
            <w:r>
              <w:rPr>
                <w:sz w:val="17"/>
              </w:rPr>
              <w:t>J+10  Moyenne</w:t>
            </w:r>
          </w:p>
        </w:tc>
        <w:tc>
          <w:tcPr>
            <w:tcW w:type="dxa" w:w="1440"/>
            <w:shd w:fill="C6EFCE" w:val="clear"/>
          </w:tcPr>
          <w:p>
            <w:r>
              <w:rPr>
                <w:sz w:val="17"/>
              </w:rPr>
              <w:t>2026-10-23</w:t>
            </w:r>
          </w:p>
        </w:tc>
        <w:tc>
          <w:tcPr>
            <w:tcW w:type="dxa" w:w="1440"/>
            <w:shd w:fill="C6EFCE" w:val="clear"/>
          </w:tcPr>
          <w:p>
            <w:r>
              <w:rPr>
                <w:sz w:val="17"/>
              </w:rPr>
              <w:t>37,304</w:t>
            </w:r>
          </w:p>
        </w:tc>
        <w:tc>
          <w:tcPr>
            <w:tcW w:type="dxa" w:w="1440"/>
            <w:shd w:fill="C6EFCE" w:val="clear"/>
          </w:tcPr>
          <w:p>
            <w:r>
              <w:rPr>
                <w:b/>
                <w:sz w:val="17"/>
              </w:rPr>
              <w:t>39,199</w:t>
            </w:r>
          </w:p>
        </w:tc>
        <w:tc>
          <w:tcPr>
            <w:tcW w:type="dxa" w:w="1440"/>
            <w:shd w:fill="C6EFCE" w:val="clear"/>
          </w:tcPr>
          <w:p>
            <w:r>
              <w:rPr>
                <w:sz w:val="17"/>
              </w:rPr>
              <w:t>41,093</w:t>
            </w:r>
          </w:p>
        </w:tc>
        <w:tc>
          <w:tcPr>
            <w:tcW w:type="dxa" w:w="1440"/>
            <w:shd w:fill="C6EFCE" w:val="clear"/>
          </w:tcPr>
          <w:p>
            <w:r>
              <w:rPr>
                <w:b/>
                <w:color w:val="008000"/>
                <w:sz w:val="17"/>
              </w:rPr>
              <w:t>+3.3%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SLBC (SOLIBRA)**</w:t>
        <w:br/>
        <w:t>*Bourse Régionale des Valeurs Mobilières (BRVM) — Secteur : Entreprise non bancaire (Boissons/Limonaderies)*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624,69 Mds FCFA, SLBC s'impose comme l'une des toutes premières capitalisations de la BRVM, ce qui en fait une valeur de premier plan, liquide et incontournable pour les investisseurs institutionnels de la zone UEMOA. Le BPA de 2 781 FCFA/action signifie que chaque titre génère près de 2 800 FCFA de bénéfice net, un niveau de rentabilité par action remarquable qui traduit la forte profitabilité de l'entreprise. Le PER de 13,6x se situe légèrement au-dessus de la moyenne du marché BRVM (8-12x), ce qui indique que les investisseurs acceptent de payer une prime modérée pour la qualité de la croissance et la régularité des résultats de SOLIBRA. Le P/B de 3,20x montre que le marché valorise l'action à plus de trois fois sa valeur comptable, une prime de croissance justifiée par un ROE exceptionnel de 23,46%. Enfin, l'EV/EBITDA de 7,4x, dans la fourchette raisonnable de 5-10x, confirme que la valeur totale de l'entreprise (dette incluse) reste cohérente avec sa capacité opérationnelle à générer du cash, ce qui plaide pour une valorisation équilibrée, ni excessive ni décotée.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SLBC affiche une quasi-stagnation avec une variation totale de seulement +0,13%, mais la dernière séance (J-1) s'est distinguée par un bond de +2,32%, signalant un réveil haussier de court terme. Le titre a évolué dans un range étroit de 4 600 FCFA, entre un plus bas de 36 900 FCFA et un plus haut de 41 500 FCFA, ce qui témoigne d'une tendance globalement stable avec une légère pression acheteuse en fin de période. Les statistiques descriptives révèlent une moyenne de 38 263 FCFA légèrement supérieure à la médiane et au mode (38 000 FCFA), confirmant une distribution asymétrique avec un skewness positif de 0,809 indiquant davantage de journées de cotation sous la moyenne, mais ponctuées de pics haussiers. L'écart-type de 868 FCFA et le coefficient de variation de 2,3% traduisent une dispersion très faible du cours, signe d'une grande stabilité et d'une faible nervosité du titre. Le kurtosis de 0,714 (mésokurtique) suggère une distribution proche de la normale, sans risque excessif de pics extrêmes. Enfin, la volatilité annualisée de 24,6% place SLBC dans la catégorie des titres à volatilité modérée (15-30%), ce qui est rassurant pour un investisseur recherchant à la fois rendement et stabilité.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(37 746,5 FCFA) et la MM50 (37 684,6 FCFA) sont toutes deux inférieures au cours actuel de 37 950 FCFA, et la MM20 se situe légèrement au-dessus de la MM50, configurant un croisement haussier naissant. Cette configuration indique que le titre évolue au-dessus de ses supports dynamiques, ce qui justifie la décision technique d'**Achat**.</w:t>
      </w:r>
    </w:p>
    <w:p>
      <w:pPr>
        <w:spacing w:after="120" w:line="276" w:lineRule="auto"/>
      </w:pPr>
      <w:r>
        <w:t>**Bandes de Bollinger** : Le cours (37 950 FCFA) se situe à l'intérieur des bandes, entre la borne inférieure (37 094,8 FCFA) et la borne supérieure (38 398,2 FCFA), mais plus proche de cette dernière. Les bandes sont relativement resserrées, traduisant une faible volatilité récente, et la position centrale du cours justifie la décision **Neutre** dans l'attente d'une cassure directionnelle.</w:t>
      </w:r>
    </w:p>
    <w:p>
      <w:pPr>
        <w:spacing w:after="120" w:line="276" w:lineRule="auto"/>
      </w:pPr>
      <w:r>
        <w:t>**MACD** : La valeur du MACD (-114,298) est inférieure à son signal (-97,827), avec un histogramme négatif, ce qui indique un momentum baissier persistant malgré le rebond de J-1. Cette divergence négative justifie la décision de **Vente** à court terme, le signal n'ayant pas encore confirmé le retournement haussier.</w:t>
      </w:r>
    </w:p>
    <w:p>
      <w:pPr>
        <w:spacing w:after="120" w:line="276" w:lineRule="auto"/>
      </w:pPr>
      <w:r>
        <w:t>**RSI** : À 49,158, le RSI se situe parfaitement dans la zone neutre (30-70), sans signal de surachat ni de survente. Cette position médiane traduit un équilibre entre acheteurs et vendeurs et justifie la décision **Neutre**, le titre n'étant ni surétiré ni survendu.</w:t>
      </w:r>
    </w:p>
    <w:p>
      <w:pPr>
        <w:spacing w:after="120" w:line="276" w:lineRule="auto"/>
      </w:pPr>
      <w:r>
        <w:t>**Stochastique** : Le %K (95,0) est très élevé et nettement supérieur au %D (48,0), signalant une forte pression acheteuse de court terme mais aussi un risque imminent de correction, car un %K au-dessus de 80 en zone de surachat. Cette configuration divergente justifie la décision de **Vente** à très court terme.</w:t>
      </w:r>
    </w:p>
    <w:p>
      <w:pPr>
        <w:spacing w:after="120" w:line="276" w:lineRule="auto"/>
      </w:pPr>
      <w:r>
        <w:t>**Conclusion technique** : Les indicateurs sont partagés entre signaux haussiers (moyennes mobiles, rebond de J-1) et baissiers (MACD, stochastique en surachat), avec un RSI et des Bollinger neutres. Cette divergence suggère une phase de consolidation avant une éventuelle reprise, et il convient d'attendre une confirmation par cassure de la borne supérieure des Bollinger (38 398 FCFA) ou un croisement haussier du MACD pour valider un signal d'achat durable.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états financiers de SLBC affichent un chiffre d'affaires de 378,123 Mds FCFA, en croissance de 22,08% par rapport à 2024, un résultat net de 45,781 Mds FCFA (contre 21,472 Mds en 2024, soit +113%), un ROE exceptionnel de 23,46% et un ROA de 13,48%, confirmant une rentabilité capitalistique de premier ordre. La marge nette s'établit à 12,11% (contre 6,93% en 2024), la marge opérationnelle à 17,23% et la marge brute à 76,21%, traduisant une maîtrise remarquable des coûts. En tant qu'entreprise non bancaire, l'analyse des délais d'exploitation révèle un délai clients de 64,27 jours (risque de trésorerie modéré), un délai fournisseurs de 76,82 jours (favorable à la trésorerie) et une durée de stockage de 117,32 jours (immobilisation de capital significative). Le BFR s'élève à 61,587 Mds FCFA, mais la trésorerie nette reste positive à 22,117 Mds FCFA, et l'autonomie financière de 57,48% (capitaux propres/total bilan) témoigne d'une structure financière saine, avec un ratio d'endettement maîtrisé de 42,52% et une capacité de remboursement de 0,67 an (dettes financières/CAF). Les rapports narratifs confirment cette dynamique : le rapport annuel 2025 (analysé par DEEPSEEK le 20/05/2026) souligne une marge nette passant de 6,9% à 12,1% et un EBE bondissant de 52% à 87,445 Mds FCFA, tandis que le rapport T1 2026 (publié en 2026) indique un chiffre d'affaires de 93,46 Mds FCFA (+7,6%) et un résultat net de 16,26 Mds FCFA (+4,8%), avec une marge nette de 17,4%. Sur la base de ce T1 2026, on peut estimer que l'exercice 2026 devrait maintenir une croissance à deux chiffres, avec un chiffre d'affaires annualisé proche de 400 Mds FCFA et un résultat net potentiellement supérieur à 50 Mds FCFA, sous réserve de la stabilité des coûts des intrants. La politique de dividende est très généreuse, avec un dividende brut unitaire proposé de 2 127 FCFA par action (soit un payout de 76,5% du bénéfice 2025), offrant un rendement attractif au cours actuel de 37 950 FCFA (environ 5,6%). Les risques identifiés incluent la dépendance aux matières premières (90 Mds FCFA d'achats exposés à la volatilité), la concentration géographique sur le marché ivoirien et la pression concurrentielle. Néanmoins, la solidité du bilan, la trésorerie nette positive et la position de leader justifient une recommandation fondamentale **ACHAT** pour les investisseurs de long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SLBC (Partie 0) apparaît équilibrée, avec un PER de 13,6x légèrement supérieur à la moyenne du marché mais justifié par un ROE de 23,46% et une croissance exceptionnelle, un P/B de 3,20x reflétant une prime de croissance légitime, et un EV/EBITDA de 7,4x dans la fourchette raisonnable. Le comportement du cours (Partie 1) est rassurant : volatilité modérée (24,6%), dispersion faible (CV 2,3%), distribution proche de la normale (kurtosis 0,714) et skewness positif indiquant un potentiel de pics haussiers, bien que la tendance de fond reste stable (+0,13% sur 100 jours). Les signaux techniques (Partie 2) sont divergents : les moyennes mobiles sont haussières et le rebond de J-1 (+2,32%) est encourageant, mais le MACD reste baissier et le stochastique en surachat (%K=95) appelle à la prudence à très court terme. Les fondamentaux (Partie 3) sont exceptionnels : croissance du CA de 22,08% en 2025, résultat net doublé à 45,781 Mds FCFA, marge nette de 12,11%, ROE de 23,46%, trésorerie nette positive et dividende généreux de 2 127 FCFA/action (rendement ~5,6%), avec une estimation T1 2026 confirmant la poursuite de la dynamique (+7,6% de CA). Les prédictions IA (J+1 à J+10) anticipent une trajectoire haussière progressive, de 37 842 FCFA le 12/10/2026 à 38 507 FCFA le 16/10/2026, ce qui confirme le rebond amorcé et valide les signaux haussiers des moyennes mobiles. Sur la base de cette synthèse globale, la convergence entre fondamentaux solides, valorisation raisonnable, prédictions haussières et signaux techniques mitigés mais orientés à la hausse nous conduit à une recommandation finale d'**ACHAT**, avec un niveau de confiance **Moyen** (en raison des divergences techniques à court terme) et un niveau de risque global **Faible** (volatilité modérée, bilan sain, leader de marché). L'horizon d'investissement optimal est le **moyen terme (3-12 mois)**, afin de capturer la croissance bénéficiaire, le dividende attractif et le potentiel de réappréciation du titre vers ses plus hauts (41 500 FCFA), tout en laissant le temps aux indicateurs techniques de confirmer la tendance haussière.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[3]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39.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123.16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1,655 titres</w:t>
            </w:r>
          </w:p>
        </w:tc>
        <w:tc>
          <w:tcPr>
            <w:tcW w:type="dxa" w:w="2268"/>
            <w:shd w:fill="FFF2CC" w:val="clear"/>
          </w:tcPr>
          <w:p>
            <w:r>
              <w:rPr>
                <w:b/>
                <w:color w:val="503200"/>
                <w:sz w:val="16"/>
              </w:rPr>
              <w:t xml:space="preserve">Cours actuel : </w:t>
            </w:r>
            <w:r>
              <w:rPr>
                <w:color w:val="000000"/>
                <w:sz w:val="17"/>
              </w:rPr>
              <w:t>15,800 FCFA</w:t>
            </w:r>
          </w:p>
          <w:p>
            <w:r>
              <w:rPr>
                <w:b/>
                <w:color w:val="503200"/>
                <w:sz w:val="16"/>
              </w:rPr>
              <w:t xml:space="preserve">Var. 100 jours : </w:t>
            </w:r>
            <w:r>
              <w:rPr>
                <w:b/>
                <w:color w:val="007800"/>
                <w:sz w:val="17"/>
              </w:rPr>
              <w:t>+23.44%</w:t>
            </w:r>
          </w:p>
          <w:p>
            <w:r>
              <w:rPr>
                <w:b/>
                <w:color w:val="503200"/>
                <w:sz w:val="16"/>
              </w:rPr>
              <w:t xml:space="preserve">Plus haut 100j : </w:t>
            </w:r>
            <w:r>
              <w:rPr>
                <w:color w:val="000000"/>
                <w:sz w:val="17"/>
              </w:rPr>
              <w:t>18,500 FCFA</w:t>
            </w:r>
          </w:p>
          <w:p>
            <w:r>
              <w:rPr>
                <w:b/>
                <w:color w:val="503200"/>
                <w:sz w:val="16"/>
              </w:rPr>
              <w:t xml:space="preserve">Plus bas 100j : </w:t>
            </w:r>
            <w:r>
              <w:rPr>
                <w:color w:val="000000"/>
                <w:sz w:val="17"/>
              </w:rPr>
              <w:t>12,500 FCFA</w:t>
            </w:r>
          </w:p>
          <w:p>
            <w:r>
              <w:rPr>
                <w:b/>
                <w:color w:val="503200"/>
                <w:sz w:val="16"/>
              </w:rPr>
              <w:t xml:space="preserve">Volatilité ann. : </w:t>
            </w:r>
            <w:r>
              <w:rPr>
                <w:color w:val="000000"/>
                <w:sz w:val="17"/>
              </w:rPr>
              <w:t>42.5%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8.69% (Moyenne) — μ=16,128 FCFA, σ=1,401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β=0.3732 (Défensif) — Cov=0.000027, Var(idx)=0.000073, ρ=0.119,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1,655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σ_j=2.68%/j (Stable) — Vol. annualisée≈42.5%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15,119</w:t>
            </w:r>
          </w:p>
        </w:tc>
        <w:tc>
          <w:tcPr>
            <w:tcW w:type="dxa" w:w="1440"/>
            <w:shd w:fill="FAFAFA" w:val="clear"/>
          </w:tcPr>
          <w:p>
            <w:r>
              <w:rPr>
                <w:b/>
                <w:sz w:val="17"/>
              </w:rPr>
              <w:t>15,909</w:t>
            </w:r>
          </w:p>
        </w:tc>
        <w:tc>
          <w:tcPr>
            <w:tcW w:type="dxa" w:w="1440"/>
            <w:shd w:fill="FAFAFA" w:val="clear"/>
          </w:tcPr>
          <w:p>
            <w:r>
              <w:rPr>
                <w:sz w:val="17"/>
              </w:rPr>
              <w:t>16,699</w:t>
            </w:r>
          </w:p>
        </w:tc>
        <w:tc>
          <w:tcPr>
            <w:tcW w:type="dxa" w:w="1440"/>
            <w:shd w:fill="FAFAFA" w:val="clear"/>
          </w:tcPr>
          <w:p>
            <w:r>
              <w:rPr>
                <w:b/>
                <w:color w:val="008000"/>
                <w:sz w:val="17"/>
              </w:rPr>
              <w:t>+0.7%</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14,754</w:t>
            </w:r>
          </w:p>
        </w:tc>
        <w:tc>
          <w:tcPr>
            <w:tcW w:type="dxa" w:w="1440"/>
            <w:shd w:fill="FAFAFA" w:val="clear"/>
          </w:tcPr>
          <w:p>
            <w:r>
              <w:rPr>
                <w:b/>
                <w:sz w:val="17"/>
              </w:rPr>
              <w:t>15,869</w:t>
            </w:r>
          </w:p>
        </w:tc>
        <w:tc>
          <w:tcPr>
            <w:tcW w:type="dxa" w:w="1440"/>
            <w:shd w:fill="FAFAFA" w:val="clear"/>
          </w:tcPr>
          <w:p>
            <w:r>
              <w:rPr>
                <w:sz w:val="17"/>
              </w:rPr>
              <w:t>16,984</w:t>
            </w:r>
          </w:p>
        </w:tc>
        <w:tc>
          <w:tcPr>
            <w:tcW w:type="dxa" w:w="1440"/>
            <w:shd w:fill="FAFAFA" w:val="clear"/>
          </w:tcPr>
          <w:p>
            <w:r>
              <w:rPr>
                <w:b/>
                <w:color w:val="008000"/>
                <w:sz w:val="17"/>
              </w:rPr>
              <w:t>+0.4%</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14,483</w:t>
            </w:r>
          </w:p>
        </w:tc>
        <w:tc>
          <w:tcPr>
            <w:tcW w:type="dxa" w:w="1440"/>
            <w:shd w:fill="FAFAFA" w:val="clear"/>
          </w:tcPr>
          <w:p>
            <w:r>
              <w:rPr>
                <w:b/>
                <w:sz w:val="17"/>
              </w:rPr>
              <w:t>15,846</w:t>
            </w:r>
          </w:p>
        </w:tc>
        <w:tc>
          <w:tcPr>
            <w:tcW w:type="dxa" w:w="1440"/>
            <w:shd w:fill="FAFAFA" w:val="clear"/>
          </w:tcPr>
          <w:p>
            <w:r>
              <w:rPr>
                <w:sz w:val="17"/>
              </w:rPr>
              <w:t>17,210</w:t>
            </w:r>
          </w:p>
        </w:tc>
        <w:tc>
          <w:tcPr>
            <w:tcW w:type="dxa" w:w="1440"/>
            <w:shd w:fill="FAFAFA" w:val="clear"/>
          </w:tcPr>
          <w:p>
            <w:r>
              <w:rPr>
                <w:b/>
                <w:color w:val="008000"/>
                <w:sz w:val="17"/>
              </w:rPr>
              <w:t>+0.3%</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14,247</w:t>
            </w:r>
          </w:p>
        </w:tc>
        <w:tc>
          <w:tcPr>
            <w:tcW w:type="dxa" w:w="1440"/>
            <w:shd w:fill="FAFAFA" w:val="clear"/>
          </w:tcPr>
          <w:p>
            <w:r>
              <w:rPr>
                <w:b/>
                <w:sz w:val="17"/>
              </w:rPr>
              <w:t>15,819</w:t>
            </w:r>
          </w:p>
        </w:tc>
        <w:tc>
          <w:tcPr>
            <w:tcW w:type="dxa" w:w="1440"/>
            <w:shd w:fill="FAFAFA" w:val="clear"/>
          </w:tcPr>
          <w:p>
            <w:r>
              <w:rPr>
                <w:sz w:val="17"/>
              </w:rPr>
              <w:t>17,391</w:t>
            </w:r>
          </w:p>
        </w:tc>
        <w:tc>
          <w:tcPr>
            <w:tcW w:type="dxa" w:w="1440"/>
            <w:shd w:fill="FAFAFA" w:val="clear"/>
          </w:tcPr>
          <w:p>
            <w:r>
              <w:rPr>
                <w:b/>
                <w:color w:val="008000"/>
                <w:sz w:val="17"/>
              </w:rPr>
              <w:t>+0.1%</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14,036</w:t>
            </w:r>
          </w:p>
        </w:tc>
        <w:tc>
          <w:tcPr>
            <w:tcW w:type="dxa" w:w="1440"/>
            <w:shd w:fill="FAFAFA" w:val="clear"/>
          </w:tcPr>
          <w:p>
            <w:r>
              <w:rPr>
                <w:b/>
                <w:sz w:val="17"/>
              </w:rPr>
              <w:t>15,790</w:t>
            </w:r>
          </w:p>
        </w:tc>
        <w:tc>
          <w:tcPr>
            <w:tcW w:type="dxa" w:w="1440"/>
            <w:shd w:fill="FAFAFA" w:val="clear"/>
          </w:tcPr>
          <w:p>
            <w:r>
              <w:rPr>
                <w:sz w:val="17"/>
              </w:rPr>
              <w:t>17,544</w:t>
            </w:r>
          </w:p>
        </w:tc>
        <w:tc>
          <w:tcPr>
            <w:tcW w:type="dxa" w:w="1440"/>
            <w:shd w:fill="FAFAFA" w:val="clear"/>
          </w:tcPr>
          <w:p>
            <w:r>
              <w:rPr>
                <w:b/>
                <w:color w:val="C00000"/>
                <w:sz w:val="17"/>
              </w:rPr>
              <w:t>-0.1%</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13,843</w:t>
            </w:r>
          </w:p>
        </w:tc>
        <w:tc>
          <w:tcPr>
            <w:tcW w:type="dxa" w:w="1440"/>
            <w:shd w:fill="FAFAFA" w:val="clear"/>
          </w:tcPr>
          <w:p>
            <w:r>
              <w:rPr>
                <w:b/>
                <w:sz w:val="17"/>
              </w:rPr>
              <w:t>15,761</w:t>
            </w:r>
          </w:p>
        </w:tc>
        <w:tc>
          <w:tcPr>
            <w:tcW w:type="dxa" w:w="1440"/>
            <w:shd w:fill="FAFAFA" w:val="clear"/>
          </w:tcPr>
          <w:p>
            <w:r>
              <w:rPr>
                <w:sz w:val="17"/>
              </w:rPr>
              <w:t>17,679</w:t>
            </w:r>
          </w:p>
        </w:tc>
        <w:tc>
          <w:tcPr>
            <w:tcW w:type="dxa" w:w="1440"/>
            <w:shd w:fill="FAFAFA" w:val="clear"/>
          </w:tcPr>
          <w:p>
            <w:r>
              <w:rPr>
                <w:b/>
                <w:color w:val="C00000"/>
                <w:sz w:val="17"/>
              </w:rPr>
              <w:t>-0.2%</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13,664</w:t>
            </w:r>
          </w:p>
        </w:tc>
        <w:tc>
          <w:tcPr>
            <w:tcW w:type="dxa" w:w="1440"/>
            <w:shd w:fill="FAFAFA" w:val="clear"/>
          </w:tcPr>
          <w:p>
            <w:r>
              <w:rPr>
                <w:b/>
                <w:sz w:val="17"/>
              </w:rPr>
              <w:t>15,732</w:t>
            </w:r>
          </w:p>
        </w:tc>
        <w:tc>
          <w:tcPr>
            <w:tcW w:type="dxa" w:w="1440"/>
            <w:shd w:fill="FAFAFA" w:val="clear"/>
          </w:tcPr>
          <w:p>
            <w:r>
              <w:rPr>
                <w:sz w:val="17"/>
              </w:rPr>
              <w:t>17,800</w:t>
            </w:r>
          </w:p>
        </w:tc>
        <w:tc>
          <w:tcPr>
            <w:tcW w:type="dxa" w:w="1440"/>
            <w:shd w:fill="FAFAFA" w:val="clear"/>
          </w:tcPr>
          <w:p>
            <w:r>
              <w:rPr>
                <w:b/>
                <w:color w:val="C00000"/>
                <w:sz w:val="17"/>
              </w:rPr>
              <w:t>-0.4%</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13,497</w:t>
            </w:r>
          </w:p>
        </w:tc>
        <w:tc>
          <w:tcPr>
            <w:tcW w:type="dxa" w:w="1440"/>
            <w:shd w:fill="FAFAFA" w:val="clear"/>
          </w:tcPr>
          <w:p>
            <w:r>
              <w:rPr>
                <w:b/>
                <w:sz w:val="17"/>
              </w:rPr>
              <w:t>15,703</w:t>
            </w:r>
          </w:p>
        </w:tc>
        <w:tc>
          <w:tcPr>
            <w:tcW w:type="dxa" w:w="1440"/>
            <w:shd w:fill="FAFAFA" w:val="clear"/>
          </w:tcPr>
          <w:p>
            <w:r>
              <w:rPr>
                <w:sz w:val="17"/>
              </w:rPr>
              <w:t>17,910</w:t>
            </w:r>
          </w:p>
        </w:tc>
        <w:tc>
          <w:tcPr>
            <w:tcW w:type="dxa" w:w="1440"/>
            <w:shd w:fill="FAFAFA" w:val="clear"/>
          </w:tcPr>
          <w:p>
            <w:r>
              <w:rPr>
                <w:b/>
                <w:color w:val="C00000"/>
                <w:sz w:val="17"/>
              </w:rPr>
              <w:t>-0.6%</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13,339</w:t>
            </w:r>
          </w:p>
        </w:tc>
        <w:tc>
          <w:tcPr>
            <w:tcW w:type="dxa" w:w="1440"/>
            <w:shd w:fill="FAFAFA" w:val="clear"/>
          </w:tcPr>
          <w:p>
            <w:r>
              <w:rPr>
                <w:b/>
                <w:sz w:val="17"/>
              </w:rPr>
              <w:t>15,675</w:t>
            </w:r>
          </w:p>
        </w:tc>
        <w:tc>
          <w:tcPr>
            <w:tcW w:type="dxa" w:w="1440"/>
            <w:shd w:fill="FAFAFA" w:val="clear"/>
          </w:tcPr>
          <w:p>
            <w:r>
              <w:rPr>
                <w:sz w:val="17"/>
              </w:rPr>
              <w:t>18,011</w:t>
            </w:r>
          </w:p>
        </w:tc>
        <w:tc>
          <w:tcPr>
            <w:tcW w:type="dxa" w:w="1440"/>
            <w:shd w:fill="FAFAFA" w:val="clear"/>
          </w:tcPr>
          <w:p>
            <w:r>
              <w:rPr>
                <w:b/>
                <w:color w:val="C00000"/>
                <w:sz w:val="17"/>
              </w:rPr>
              <w:t>-0.8%</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13,189</w:t>
            </w:r>
          </w:p>
        </w:tc>
        <w:tc>
          <w:tcPr>
            <w:tcW w:type="dxa" w:w="1440"/>
            <w:shd w:fill="FAFAFA" w:val="clear"/>
          </w:tcPr>
          <w:p>
            <w:r>
              <w:rPr>
                <w:b/>
                <w:sz w:val="17"/>
              </w:rPr>
              <w:t>15,647</w:t>
            </w:r>
          </w:p>
        </w:tc>
        <w:tc>
          <w:tcPr>
            <w:tcW w:type="dxa" w:w="1440"/>
            <w:shd w:fill="FAFAFA" w:val="clear"/>
          </w:tcPr>
          <w:p>
            <w:r>
              <w:rPr>
                <w:sz w:val="17"/>
              </w:rPr>
              <w:t>18,105</w:t>
            </w:r>
          </w:p>
        </w:tc>
        <w:tc>
          <w:tcPr>
            <w:tcW w:type="dxa" w:w="1440"/>
            <w:shd w:fill="FAFAFA" w:val="clear"/>
          </w:tcPr>
          <w:p>
            <w:r>
              <w:rPr>
                <w:b/>
                <w:color w:val="C00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 RAPPORT D'ANALYSE FINANCIÈRE — SMBC (Société Multinationale de Bitumes)</w:t>
        <w:br/>
        <w:t>**Bourse Régionale des Valeurs Mobilières (BRVM) — Secteur : Entreprise Industrielle (Bitumes/Pétrole)**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123,16 Mds FCFA, SMBC se positionne comme une valeur de taille intermédiaire sur la BRVM, représentative du compartiment industriel de la cote. Le BPA de 1 677 FCFA/action signifie que chaque titre génère près de 1 677 FCFA de bénéfice net, un niveau de rentabilité par action appréciable. Le PER de 9,4x situe le titre dans la fourchette basse de la moyenne BRVM (~8-12x), suggérant une valorisation raisonnable voire légèrement sous-évaluée au regard des bénéfices. Le P/B de 2,87x indique que le marché valorise SMBC à près de trois fois sa valeur comptable, traduisant une prime de croissance accordée par les investisseurs, cohérente avec un ROE élevé de 30,5%. Enfin, l'EV/EBITDA de 5,9x (fourchette 5-10x) reflète une valorisation équilibrée de la valeur d'entreprise rapportée à la capacité opérationnelle, confirmant l'absence de surchauffe spéculative sur le titre.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SMBC affiche une performance remarquable de **+23,44%**, malgré un léger repli de **-0,63%** lors de la dernière séance (J-1), signe d'une consolidation après un rallye haussier. Le cours actuel de 15 800 FCFA se situe dans la moitié inférieure du range de trading établi entre un plus bas de 12 500 FCFA et un plus haut de 18 500 FCFA, ce qui traduit une tendance globale haussière mais avec une correction récente depuis les sommets. Les statistiques descriptives révèlent une moyenne de 16 128 FCFA légèrement inférieure à la médiane de 16 445 FCFA, confirmant une asymétrie négative (skewness de -0,987) — c'est-à-dire davantage de journées de cotation au-dessus de la moyenne, typique d'un titre ayant connu des pics avant de se replier. L'écart-type de 1 408 FCFA (CV de 8,7%) indique une dispersion modérée du cours, tandis que le kurtosis de 0,509 (mésokurtique) suggère une distribution proche de la normale, sans risque extrême de pics de volatilité. La volatilité annualisée de **42,5%** classe le titre dans la catégorie **élevée** (&gt;30%), ce qui est cohérent avec un secteur cyclique exposé aux cours pétroliers et aux cycles d'investissement public en infrastructures.</w:t>
      </w:r>
    </w:p>
    <w:p>
      <w:pPr>
        <w:spacing w:after="120" w:line="276" w:lineRule="auto"/>
      </w:pPr>
      <w:r>
        <w:t>---</w:t>
      </w:r>
    </w:p>
    <w:p>
      <w:pPr>
        <w:spacing w:after="120" w:line="276" w:lineRule="auto"/>
      </w:pPr>
      <w:r>
        <w:t>## PARTIE 2 : ANALYSE TECHNIQUE DÉTAILLÉE</w:t>
      </w:r>
    </w:p>
    <w:p>
      <w:pPr>
        <w:spacing w:after="120" w:line="276" w:lineRule="auto"/>
      </w:pPr>
      <w:r>
        <w:t>**Moyennes Mobiles :** La MM20 (16 575,25 FCFA) et la MM50 (16 693,5 FCFA) se situent toutes deux au-dessus du cours actuel (15 800 FCFA), ce qui place le titre en position baissière à court et moyen terme. La MM20 étant légèrement en dessous de la MM50, on observe un début de croisement baissier (death cross naissant), justifiant la décision technique de **Vente**.</w:t>
      </w:r>
    </w:p>
    <w:p>
      <w:pPr>
        <w:spacing w:after="120" w:line="276" w:lineRule="auto"/>
      </w:pPr>
      <w:r>
        <w:t>**Bandes de Bollinger :** Le cours actuel (15 800 FCFA) évolue dans la partie médiane de la bande, entre la borne inférieure (14 482,62 FCFA) et la borne supérieure (18 667,88 FCFA). Cette position centrale, sans contact avec les extrêmes, traduit une absence de signal directionnel fort et justifie la décision **Neutre**, avec une volatilité qui reste contenue dans le canal.</w:t>
      </w:r>
    </w:p>
    <w:p>
      <w:pPr>
        <w:spacing w:after="120" w:line="276" w:lineRule="auto"/>
      </w:pPr>
      <w:r>
        <w:t>**MACD :** La valeur du MACD (-255,727) est inférieure à son signal (-212,382), confirmant une divergence baissière et un momentum négatif. Le croisement sous la ligne de signal indique une pression vendeuse persistante, justifiant la décision **Vente**.</w:t>
      </w:r>
    </w:p>
    <w:p>
      <w:pPr>
        <w:spacing w:after="120" w:line="276" w:lineRule="auto"/>
      </w:pPr>
      <w:r>
        <w:t>**RSI :** À 41,367, le RSI se situe dans la zone neutre (30-70), sans atteindre la zone de survente (&lt;30). Cela suggère que le titre n'est ni suracheté ni survendu, avec une décision **Neutre** qui reflète l'absence de signal extrême.</w:t>
      </w:r>
    </w:p>
    <w:p>
      <w:pPr>
        <w:spacing w:after="120" w:line="276" w:lineRule="auto"/>
      </w:pPr>
      <w:r>
        <w:t>**Stochastique :** Le %K (47,702) est inférieur au %D (59,278), indiquant un croisement baissier en zone neutre. Cette configuration suggère une perte de momentum haussier, mais sans signal de survente, d'où la décision **Neutre**.</w:t>
      </w:r>
    </w:p>
    <w:p>
      <w:pPr>
        <w:spacing w:after="120" w:line="276" w:lineRule="auto"/>
      </w:pPr>
      <w:r>
        <w:t>**Conclusion technique :** Les indicateurs techniques présentent un tableau mitigé à tendance baissière : les moyennes mobiles et le MACD émettent des signaux de vente, tandis que le RSI, les Bandes de Bollinger et le stochastique restent neutres. Le titre se trouve dans une phase de consolidation après un rallye haussier, avec un momentum affaibli mais sans signal de survente extrême. Une prudence est de mise à court terme, en attendant une stabilisation au-dessus des moyennes mobiles pour envisager un rebond.</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SMBC affiche un chiffre d'affaires de **206,740 Mds FCFA**, en baisse de **-9,74%** par rapport à 2024 (229,061 Mds FCFA), reflétant un contexte de contraction des volumes et des prix. Malgré cette baisse, le résultat net progresse spectaculairement de **+50,3%** à **13,075 Mds FCFA**, porté par une amélioration de la marge brute (18,11%) et une marge nette de **6,32%** (contre 3,8% en 2024). Le ROE atteint **30,47%** (excellent, &gt;15%) et le ROA **7,26%**, confirmant une rentabilité capitalistique solide. La structure financière reste saine avec des capitaux propres de 42,913 Mds FCFA (+21,6%), une autonomie financière de 23,84% (légèrement sous le seuil de 30%) et une trésorerie nette positive de 23,988 Mds FCFA.</w:t>
      </w:r>
    </w:p>
    <w:p>
      <w:pPr>
        <w:spacing w:after="120" w:line="276" w:lineRule="auto"/>
      </w:pPr>
      <w:r>
        <w:t>**Adaptation au secteur (entreprise industrielle) :** Le BFR de 1,693 Mds FCFA est positif mais maîtrisé, avec un délai clients de **193,75 jours** (élevé, signalant un risque de trésorerie) et un délai fournisseurs de **207,07 jours** (favorable, compensant partiellement). La rotation des actifs de 114,85% et la capacité de remboursement de 0,68 an (dettes financières/CAF) témoignent d'une gestion prudente de l'endettement (dettes financières de 9,204 Mds FCFA, en hausse de 41,9%).</w:t>
      </w:r>
    </w:p>
    <w:p>
      <w:pPr>
        <w:spacing w:after="120" w:line="276" w:lineRule="auto"/>
      </w:pPr>
      <w:r>
        <w:t>**Estimations basées sur les rapports trimestriels :** Le rapport T1 2025 (31/03/2025) indique un CA de 54,8 Mds FCFA (-22%) et un résultat net de 2,7 Mds FCFA (-7%), avec une marge nette en amélioration à 5,0%. Le rapport S1 2025 (30/06/2025) confirme un CA de 101,9 Mds FCFA (-23%) et un résultat net de 3,9 Mds FCFA (-7%), avec un EBE en hausse de +38%. Le rapport 9M 2025 (30/09/2025) montre un CA de 155,2 Mds FCFA (-14%) et un résultat net de 5,7 Mds FCFA (+6%), avec une marge opérationnelle de 5,4%. **On estime** que l'exercice 2025 devrait clôturer avec un résultat net autour de 13 Mds FCFA, confirmant la tendance à l'amélioration de la rentabilité malgré la baisse des volumes. Le rapport annuel 2025 (analysé par DeepSeek le 12/05/2026) confirme cette dynamique avec un résultat net de 13,075 Mds FCFA et une recommandation de **Conserver**.</w:t>
      </w:r>
    </w:p>
    <w:p>
      <w:pPr>
        <w:spacing w:after="120" w:line="276" w:lineRule="auto"/>
      </w:pPr>
      <w:r>
        <w:t>**Évolution pluriannuelle :** Entre 2023 et 2024, le CA est passé de 247,646 Mds FCFA à 229,061 Mds FCFA (-7,5%), tandis que le résultat net chutait de 17,255 à 8,698 Mds FCFA (-49,6%). L'année 2025 marque un rebond spectaculaire de la rentabilité (+50,3%), démontrant la capacité de SMBC à optimiser ses coûts et à améliorer ses marges dans un environnement difficile.</w:t>
      </w:r>
    </w:p>
    <w:p>
      <w:pPr>
        <w:spacing w:after="120" w:line="276" w:lineRule="auto"/>
      </w:pPr>
      <w:r>
        <w:t>**Recommandation fondamentale :** SMBC présente une solidité financière renforcée (capitaux propres en hausse, trésorerie positive, ROE excellent) et une amélioration notable de la rentabilité, malgré un chiffre d'affaires en contraction. Les principaux risques résident dans la dépendance aux cycles d'investissement public, la volatilité des prix pétroliers et le niveau élevé du délai clients. La recommandation fondamentale est **CONSERVER**, avec un potentiel de passage à **ACHAT** si la croissance du CA reprend.</w:t>
      </w:r>
    </w:p>
    <w:p>
      <w:pPr>
        <w:spacing w:after="120" w:line="276" w:lineRule="auto"/>
      </w:pPr>
      <w:r>
        <w:t>---</w:t>
      </w:r>
    </w:p>
    <w:p>
      <w:pPr>
        <w:spacing w:after="120" w:line="276" w:lineRule="auto"/>
      </w:pPr>
      <w:r>
        <w:t>## PARTIE 4 : CONCLUSION D'INVESTISSEMENT</w:t>
      </w:r>
    </w:p>
    <w:p>
      <w:pPr>
        <w:spacing w:after="120" w:line="276" w:lineRule="auto"/>
      </w:pPr>
      <w:r>
        <w:t>La valorisation de SMBC apparaît raisonnable avec un PER de 9,4x (fourchette basse BRVM), un P/B de 2,87x justifié par un ROE de 30,5% et un EV/EBITDA de 5,9x, suggérant une absence de surévaluation. Le comportement du cours sur 100 jours est haussier (+23,44%) mais marqué par une correction récente (-0,63% en J-1) et une asymétrie négative (skewness -0,987), avec une volatilité élevée (42,5%) qui appelle à la prudence. Les signaux techniques sont majoritairement baissiers à court terme (MM20/MM50 au-dessus du cours, MACD négatif), mais neutres sur le RSI et le stochastique, indiquant une consolidation plutôt qu'un retournement franc. Les fondamentaux sont solides : résultat net en hausse de +50,3% en 2025, ROE de 30,5%, trésorerie nette positive de 24 Mds FCFA, malgré un CA en baisse de -9,7%. Les prédictions IA (J+1 à J+10) anticipent une légère dérive baissière de 15 909 à 15 790 FCFA, confirmant la phase de consolidation technique sans effondrement.</w:t>
      </w:r>
    </w:p>
    <w:p>
      <w:pPr>
        <w:spacing w:after="120" w:line="276" w:lineRule="auto"/>
      </w:pPr>
      <w:r>
        <w:t>**Synthèse globale :** La convergence entre une valorisation attractive, des fondamentaux en amélioration et une technique en consolidation modérée plaide pour une **CONSERVATION** du titre, avec un biais haussier à moyen terme. La divergence entre la baisse du CA et la hausse du résultat net est le principal point de vigilance, mais la capacité de SMBC à améliorer ses marges est un signal positif. **Recommandation finale : CONSERVER** — Niveau de confiance : **Moyen** — Niveau de risque : **Moyen** (volatilité élevée, secteur cyclique) — Horizon d'investissement optimal : **Moyen terme (3-12 mois)**, en attendant la confirmation d'une reprise du chiffre d'affaires et une stabilisation technique au-dessus des moyennes mobiles.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40.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4498.00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13,495 titres</w:t>
            </w:r>
          </w:p>
        </w:tc>
        <w:tc>
          <w:tcPr>
            <w:tcW w:type="dxa" w:w="2268"/>
            <w:shd w:fill="FFF2CC" w:val="clear"/>
          </w:tcPr>
          <w:p>
            <w:r>
              <w:rPr>
                <w:b/>
                <w:color w:val="503200"/>
                <w:sz w:val="16"/>
              </w:rPr>
              <w:t xml:space="preserve">Cours actuel : </w:t>
            </w:r>
            <w:r>
              <w:rPr>
                <w:color w:val="000000"/>
                <w:sz w:val="17"/>
              </w:rPr>
              <w:t>44,980 FCFA</w:t>
            </w:r>
          </w:p>
          <w:p>
            <w:r>
              <w:rPr>
                <w:b/>
                <w:color w:val="503200"/>
                <w:sz w:val="16"/>
              </w:rPr>
              <w:t xml:space="preserve">Var. 100 jours : </w:t>
            </w:r>
            <w:r>
              <w:rPr>
                <w:b/>
                <w:color w:val="007800"/>
                <w:sz w:val="17"/>
              </w:rPr>
              <w:t>+56.18%</w:t>
            </w:r>
          </w:p>
          <w:p>
            <w:r>
              <w:rPr>
                <w:b/>
                <w:color w:val="503200"/>
                <w:sz w:val="16"/>
              </w:rPr>
              <w:t xml:space="preserve">Plus haut 100j : </w:t>
            </w:r>
            <w:r>
              <w:rPr>
                <w:color w:val="000000"/>
                <w:sz w:val="17"/>
              </w:rPr>
              <w:t>45,000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33.2%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31.1/100 → Moyen</w:t>
      </w:r>
    </w:p>
    <w:p>
      <w:pPr>
        <w:spacing w:before="40" w:after="80"/>
      </w:pPr>
      <w:r>
        <w:rPr>
          <w:rFonts w:ascii="Courier New" w:hAnsi="Courier New"/>
          <w:color w:val="825A00"/>
          <w:sz w:val="18"/>
        </w:rPr>
        <w:t>██████░░░░░░░░░░░░░░  31.1/100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16.03% (Élevée) — μ=33,563 FCFA, σ=5,380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β=1.2090 (Agressif) — Cov=0.000088, Var(idx)=0.000073, ρ=0.491,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13,495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σ_j=2.09%/j (Stable) — Vol. annualisée≈33.2%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43,251</w:t>
            </w:r>
          </w:p>
        </w:tc>
        <w:tc>
          <w:tcPr>
            <w:tcW w:type="dxa" w:w="1440"/>
            <w:shd w:fill="FAFAFA" w:val="clear"/>
          </w:tcPr>
          <w:p>
            <w:r>
              <w:rPr>
                <w:b/>
                <w:sz w:val="17"/>
              </w:rPr>
              <w:t>44,545</w:t>
            </w:r>
          </w:p>
        </w:tc>
        <w:tc>
          <w:tcPr>
            <w:tcW w:type="dxa" w:w="1440"/>
            <w:shd w:fill="FAFAFA" w:val="clear"/>
          </w:tcPr>
          <w:p>
            <w:r>
              <w:rPr>
                <w:sz w:val="17"/>
              </w:rPr>
              <w:t>45,839</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42,706</w:t>
            </w:r>
          </w:p>
        </w:tc>
        <w:tc>
          <w:tcPr>
            <w:tcW w:type="dxa" w:w="1440"/>
            <w:shd w:fill="FAFAFA" w:val="clear"/>
          </w:tcPr>
          <w:p>
            <w:r>
              <w:rPr>
                <w:b/>
                <w:sz w:val="17"/>
              </w:rPr>
              <w:t>44,535</w:t>
            </w:r>
          </w:p>
        </w:tc>
        <w:tc>
          <w:tcPr>
            <w:tcW w:type="dxa" w:w="1440"/>
            <w:shd w:fill="FAFAFA" w:val="clear"/>
          </w:tcPr>
          <w:p>
            <w:r>
              <w:rPr>
                <w:sz w:val="17"/>
              </w:rPr>
              <w:t>46,365</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42,267</w:t>
            </w:r>
          </w:p>
        </w:tc>
        <w:tc>
          <w:tcPr>
            <w:tcW w:type="dxa" w:w="1440"/>
            <w:shd w:fill="FAFAFA" w:val="clear"/>
          </w:tcPr>
          <w:p>
            <w:r>
              <w:rPr>
                <w:b/>
                <w:sz w:val="17"/>
              </w:rPr>
              <w:t>44,507</w:t>
            </w:r>
          </w:p>
        </w:tc>
        <w:tc>
          <w:tcPr>
            <w:tcW w:type="dxa" w:w="1440"/>
            <w:shd w:fill="FAFAFA" w:val="clear"/>
          </w:tcPr>
          <w:p>
            <w:r>
              <w:rPr>
                <w:sz w:val="17"/>
              </w:rPr>
              <w:t>46,746</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41,902</w:t>
            </w:r>
          </w:p>
        </w:tc>
        <w:tc>
          <w:tcPr>
            <w:tcW w:type="dxa" w:w="1440"/>
            <w:shd w:fill="FAFAFA" w:val="clear"/>
          </w:tcPr>
          <w:p>
            <w:r>
              <w:rPr>
                <w:b/>
                <w:sz w:val="17"/>
              </w:rPr>
              <w:t>44,487</w:t>
            </w:r>
          </w:p>
        </w:tc>
        <w:tc>
          <w:tcPr>
            <w:tcW w:type="dxa" w:w="1440"/>
            <w:shd w:fill="FAFAFA" w:val="clear"/>
          </w:tcPr>
          <w:p>
            <w:r>
              <w:rPr>
                <w:sz w:val="17"/>
              </w:rPr>
              <w:t>47,072</w:t>
            </w:r>
          </w:p>
        </w:tc>
        <w:tc>
          <w:tcPr>
            <w:tcW w:type="dxa" w:w="1440"/>
            <w:shd w:fill="FAFAFA" w:val="clear"/>
          </w:tcPr>
          <w:p>
            <w:r>
              <w:rPr>
                <w:b/>
                <w:color w:val="C00000"/>
                <w:sz w:val="17"/>
              </w:rPr>
              <w:t>-1.1%</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41,586</w:t>
            </w:r>
          </w:p>
        </w:tc>
        <w:tc>
          <w:tcPr>
            <w:tcW w:type="dxa" w:w="1440"/>
            <w:shd w:fill="FAFAFA" w:val="clear"/>
          </w:tcPr>
          <w:p>
            <w:r>
              <w:rPr>
                <w:b/>
                <w:sz w:val="17"/>
              </w:rPr>
              <w:t>44,476</w:t>
            </w:r>
          </w:p>
        </w:tc>
        <w:tc>
          <w:tcPr>
            <w:tcW w:type="dxa" w:w="1440"/>
            <w:shd w:fill="FAFAFA" w:val="clear"/>
          </w:tcPr>
          <w:p>
            <w:r>
              <w:rPr>
                <w:sz w:val="17"/>
              </w:rPr>
              <w:t>47,365</w:t>
            </w:r>
          </w:p>
        </w:tc>
        <w:tc>
          <w:tcPr>
            <w:tcW w:type="dxa" w:w="1440"/>
            <w:shd w:fill="FAFAFA" w:val="clear"/>
          </w:tcPr>
          <w:p>
            <w:r>
              <w:rPr>
                <w:b/>
                <w:color w:val="C00000"/>
                <w:sz w:val="17"/>
              </w:rPr>
              <w:t>-1.1%</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41,304</w:t>
            </w:r>
          </w:p>
        </w:tc>
        <w:tc>
          <w:tcPr>
            <w:tcW w:type="dxa" w:w="1440"/>
            <w:shd w:fill="FAFAFA" w:val="clear"/>
          </w:tcPr>
          <w:p>
            <w:r>
              <w:rPr>
                <w:b/>
                <w:sz w:val="17"/>
              </w:rPr>
              <w:t>44,469</w:t>
            </w:r>
          </w:p>
        </w:tc>
        <w:tc>
          <w:tcPr>
            <w:tcW w:type="dxa" w:w="1440"/>
            <w:shd w:fill="FAFAFA" w:val="clear"/>
          </w:tcPr>
          <w:p>
            <w:r>
              <w:rPr>
                <w:sz w:val="17"/>
              </w:rPr>
              <w:t>47,633</w:t>
            </w:r>
          </w:p>
        </w:tc>
        <w:tc>
          <w:tcPr>
            <w:tcW w:type="dxa" w:w="1440"/>
            <w:shd w:fill="FAFAFA" w:val="clear"/>
          </w:tcPr>
          <w:p>
            <w:r>
              <w:rPr>
                <w:b/>
                <w:color w:val="C00000"/>
                <w:sz w:val="17"/>
              </w:rPr>
              <w:t>-1.1%</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41,045</w:t>
            </w:r>
          </w:p>
        </w:tc>
        <w:tc>
          <w:tcPr>
            <w:tcW w:type="dxa" w:w="1440"/>
            <w:shd w:fill="FAFAFA" w:val="clear"/>
          </w:tcPr>
          <w:p>
            <w:r>
              <w:rPr>
                <w:b/>
                <w:sz w:val="17"/>
              </w:rPr>
              <w:t>44,462</w:t>
            </w:r>
          </w:p>
        </w:tc>
        <w:tc>
          <w:tcPr>
            <w:tcW w:type="dxa" w:w="1440"/>
            <w:shd w:fill="FAFAFA" w:val="clear"/>
          </w:tcPr>
          <w:p>
            <w:r>
              <w:rPr>
                <w:sz w:val="17"/>
              </w:rPr>
              <w:t>47,880</w:t>
            </w:r>
          </w:p>
        </w:tc>
        <w:tc>
          <w:tcPr>
            <w:tcW w:type="dxa" w:w="1440"/>
            <w:shd w:fill="FAFAFA" w:val="clear"/>
          </w:tcPr>
          <w:p>
            <w:r>
              <w:rPr>
                <w:b/>
                <w:color w:val="C00000"/>
                <w:sz w:val="17"/>
              </w:rPr>
              <w:t>-1.2%</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40,804</w:t>
            </w:r>
          </w:p>
        </w:tc>
        <w:tc>
          <w:tcPr>
            <w:tcW w:type="dxa" w:w="1440"/>
            <w:shd w:fill="FAFAFA" w:val="clear"/>
          </w:tcPr>
          <w:p>
            <w:r>
              <w:rPr>
                <w:b/>
                <w:sz w:val="17"/>
              </w:rPr>
              <w:t>44,457</w:t>
            </w:r>
          </w:p>
        </w:tc>
        <w:tc>
          <w:tcPr>
            <w:tcW w:type="dxa" w:w="1440"/>
            <w:shd w:fill="FAFAFA" w:val="clear"/>
          </w:tcPr>
          <w:p>
            <w:r>
              <w:rPr>
                <w:sz w:val="17"/>
              </w:rPr>
              <w:t>48,110</w:t>
            </w:r>
          </w:p>
        </w:tc>
        <w:tc>
          <w:tcPr>
            <w:tcW w:type="dxa" w:w="1440"/>
            <w:shd w:fill="FAFAFA" w:val="clear"/>
          </w:tcPr>
          <w:p>
            <w:r>
              <w:rPr>
                <w:b/>
                <w:color w:val="C00000"/>
                <w:sz w:val="17"/>
              </w:rPr>
              <w:t>-1.2%</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40,578</w:t>
            </w:r>
          </w:p>
        </w:tc>
        <w:tc>
          <w:tcPr>
            <w:tcW w:type="dxa" w:w="1440"/>
            <w:shd w:fill="FAFAFA" w:val="clear"/>
          </w:tcPr>
          <w:p>
            <w:r>
              <w:rPr>
                <w:b/>
                <w:sz w:val="17"/>
              </w:rPr>
              <w:t>44,452</w:t>
            </w:r>
          </w:p>
        </w:tc>
        <w:tc>
          <w:tcPr>
            <w:tcW w:type="dxa" w:w="1440"/>
            <w:shd w:fill="FAFAFA" w:val="clear"/>
          </w:tcPr>
          <w:p>
            <w:r>
              <w:rPr>
                <w:sz w:val="17"/>
              </w:rPr>
              <w:t>48,327</w:t>
            </w:r>
          </w:p>
        </w:tc>
        <w:tc>
          <w:tcPr>
            <w:tcW w:type="dxa" w:w="1440"/>
            <w:shd w:fill="FAFAFA" w:val="clear"/>
          </w:tcPr>
          <w:p>
            <w:r>
              <w:rPr>
                <w:b/>
                <w:color w:val="C00000"/>
                <w:sz w:val="17"/>
              </w:rPr>
              <w:t>-1.2%</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40,364</w:t>
            </w:r>
          </w:p>
        </w:tc>
        <w:tc>
          <w:tcPr>
            <w:tcW w:type="dxa" w:w="1440"/>
            <w:shd w:fill="FAFAFA" w:val="clear"/>
          </w:tcPr>
          <w:p>
            <w:r>
              <w:rPr>
                <w:b/>
                <w:sz w:val="17"/>
              </w:rPr>
              <w:t>44,448</w:t>
            </w:r>
          </w:p>
        </w:tc>
        <w:tc>
          <w:tcPr>
            <w:tcW w:type="dxa" w:w="1440"/>
            <w:shd w:fill="FAFAFA" w:val="clear"/>
          </w:tcPr>
          <w:p>
            <w:r>
              <w:rPr>
                <w:sz w:val="17"/>
              </w:rPr>
              <w:t>48,531</w:t>
            </w:r>
          </w:p>
        </w:tc>
        <w:tc>
          <w:tcPr>
            <w:tcW w:type="dxa" w:w="1440"/>
            <w:shd w:fill="FAFAFA" w:val="clear"/>
          </w:tcPr>
          <w:p>
            <w:r>
              <w:rPr>
                <w:b/>
                <w:color w:val="C00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 RAPPORT D'ANALYSE FINANCIÈRE — SONATEL (SNTS)</w:t>
        <w:br/>
        <w:t>**Bourse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4 498 milliards FCFA, Sonatel confirme son statut de première capitalisation de la BRVM, un poids considérable qui en fait le titre phare de la cote régionale. Le BPA de 4 136 FCFA par action signifie que chaque titre génère près de 4 136 FCFA de bénéfice net, un niveau exceptionnel qui traduit la forte rentabilité du groupe. Le PER de 10,9x se situe dans la fourchette moyenne du marché BRVM (8-12x), indiquant une valorisation raisonnable sans prime excessive malgré le leadership du titre. Le P/B de 3,21x montre que le marché valorise Sonatel à plus de trois fois sa valeur comptable, une prime de croissance justifiée par la qualité des actifs immatériels (licences, réseaux, base clients) et la rentabilité des fonds propres (ROE de 29,6%). Enfin, l'EV/EBITDA de 4,7x, inférieur au seuil de 5x, signale que la valeur totale de l'entreprise (capitalisation + dette nette) reste très bon marché au regard de sa capacité opérationnelle à générer de l'EBITDA, ce qui constitue un signal de sous-évaluation relative.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SNTS a enregistré une progression spectaculaire de **+56,18%**, passant d'un plus bas de 27 160 FCFA à un plus haut de 45 000 FCFA, pour un cours actuel de 44 980 FCFA — soit une variation nulle sur la dernière séance (J-1 : +0,00%), signe d'une pause dans un mouvement haussier déjà bien avancé. Le range de trading de près de 17 840 FCFA (soit 65% d'amplitude) témoigne d'une tendance nettement haussière, portée par des fondamentaux solides et un intérêt croissant des investisseurs pour le titre. Les statistiques descriptives révèlent une **moyenne de 33 563 FCFA** supérieure à la **médiane de 31 500 FCFA**, avec un mode à 31 000 FCFA : cet écart confirme une distribution asymétrique positive, le cours ayant passé plus de journées sous la moyenne avant de s'envoler en fin de période. L'écart-type de 5 407 FCFA (CV = 16,1%) indique une dispersion modérée du cours autour de sa moyenne, tandis que le kurtosis de -0,638 (mésokurtique) suggère une distribution proche de la normale, sans risque excessif de pics extrêmes. Le skewness de +0,831 (asymétrie positive) confirme que les journées sous la moyenne ont été plus nombreuses, mais compensées par des hausses vigoureuses. La **volatilité annualisée de 33,2%** positionne le titre dans la catégorie des valeurs à volatilité élevée (&gt;30%), ce qui est cohérent avec un mouvement haussier puissant mais qui appelle à la prudence sur les points d'entrée.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42 414 FCFA et la MM50 à 37 634 FCFA, toutes deux nettement inférieures au cours actuel de 44 980 FCFA. Cette configuration (cours &gt; MM20 &gt; MM50) est typique d'une tendance haussière bien établie, avec un écart de plus de 7 300 FCFA entre le cours et la MM50, ce qui justifie pleinement la décision technique d'**Achat**. Toutefois, l'éloignement du cours par rapport à ses moyennes suggère une possible consolidation à court terme.</w:t>
      </w:r>
    </w:p>
    <w:p>
      <w:pPr>
        <w:spacing w:after="120" w:line="276" w:lineRule="auto"/>
      </w:pPr>
      <w:r>
        <w:t>**Bandes de Bollinger** : Le cours actuel (44 980 FCFA) évolue dans la partie haute des bandes, proche de la borne supérieure (47 065 FCFA) et très au-dessus de la borne inférieure (37 763 FCFA). Cette position indique une pression acheteuse soutenue mais aussi un risque de retour à la moyenne, ce qui explique la décision **Neutre** — le titre n'est ni en surachat extrême, ni en zone d'achat attractive.</w:t>
      </w:r>
    </w:p>
    <w:p>
      <w:pPr>
        <w:spacing w:after="120" w:line="276" w:lineRule="auto"/>
      </w:pPr>
      <w:r>
        <w:t>**MACD** : La valeur du MACD (2 167,075) est légèrement supérieure à son signal (2 162,15), avec un histogramme positif mais très étroit. Cette configuration confirme un momentum haussier qui s'essouffle, la convergence des deux lignes suggérant un ralentissement de la dynamique. La décision reste toutefois à l'**Achat**, le MACD demeurant en territoire positif.</w:t>
      </w:r>
    </w:p>
    <w:p>
      <w:pPr>
        <w:spacing w:after="120" w:line="276" w:lineRule="auto"/>
      </w:pPr>
      <w:r>
        <w:t>**RSI** : À 76,622, le RSI se situe clairement en zone de **surachat** (&gt;70), ce qui déclenche une décision de **Vente** technique. Ce niveau élevé indique que le titre a été massivement acheté et qu'un essoufflement ou une correction est probable à court terme, même si en tendance haussière forte, le RSI peut rester durablement en surachat.</w:t>
      </w:r>
    </w:p>
    <w:p>
      <w:pPr>
        <w:spacing w:after="120" w:line="276" w:lineRule="auto"/>
      </w:pPr>
      <w:r>
        <w:t>**Stochastique** : Le %K (99,5) et le %D (99,551) sont tous deux collés à leur sommet (100), signalant un surachat extrême et une décision de **Vente**. L'absence de croisement baissier pour l'instant maintient le signal, mais la proximité du plafond rend le risque de retournement imminent.</w:t>
      </w:r>
    </w:p>
    <w:p>
      <w:pPr>
        <w:spacing w:after="120" w:line="276" w:lineRule="auto"/>
      </w:pPr>
      <w:r>
        <w:t>**Conclusion technique** : Les indicateurs présentent une **divergence préoccupante** : les moyennes mobiles et le MACD confirment la tendance haussière de fond, tandis que le RSI (76,6) et le stochastique (99,5) alertent sur un surachat extrême à court terme. Cette configuration suggère que le titre pourrait connaître une consolidation ou une correction avant de reprendre sa tendance haussière. La prudence est de mise pour les nouveaux entrants, tandis que les détenteurs peuvent conserver avec un stop-loss relevé.</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Sonatel a réalisé un chiffre d'affaires consolidé de **1 923,122 milliards FCFA**, en croissance de **+8,26%** par rapport à 2024, porté par la Data mobile, le Fixe Broadband et Orange Money. Le résultat net s'établit à **413,588 milliards FCFA**, soit une marge nette de **21,51%**, tandis que le ROE atteint **29,56%** (excellent, &gt;15%) et le ROA **12,65%**, confirmant une rentabilité exceptionnelle des fonds propres et des actifs. La marge brute de 67,03% et la marge opérationnelle de 34,83% témoignent d'une excellente maîtrise des coûts, avec un EBE de 932,436 milliards FCFA. Sur le plan bilanciel, l'autonomie financière de 42,79% (&gt;30% = sain) et la solvabilité générale de 174,79% indiquent une structure financière solide, tandis que le BFR négatif de -284,906 milliards FCFA (favorable) reflète un modèle économique générant de la trésorerie. Les délais clients (46,16 jours) et fournisseurs (201,39 jours) sont bien maîtrisés, et la capacité de remboursement de 0,64 an (dettes financières/CAF) est excellente. Le Free Cash Flow de 408,087 milliards FCFA et la trésorerie nette de 536,105 milliards FCFA confirment la solidité financière.</w:t>
      </w:r>
    </w:p>
    <w:p>
      <w:pPr>
        <w:spacing w:after="120" w:line="276" w:lineRule="auto"/>
      </w:pPr>
      <w:r>
        <w:t>**Estimations basées sur les rapports trimestriels** : Le rapport du **S1 2026 (publié le 24 juillet 2026)** révèle un chiffre d'affaires de **1 049,8 milliards FCFA (+9,3%)** et un résultat net de **230 milliards FCFA (+10,5%)**, avec un EBITDAAL de 510,8 milliards FCFA (48,7% du CA). Sur cette base, on peut **estimer** que l'exercice 2026 devrait afficher un chiffre d'affaires d'environ **2 100 milliards FCFA** (+9,2%) et un résultat net proche de **455 milliards FCFA** (+10%), confirmant l'accélération de la croissance. Le rapport du **T3 2025 (30 septembre 2025)** indiquait déjà un CA de 1 432,5 milliards FCFA (+8,6%) et un résultat net de 311 milliards FCFA (+8,0%), avec une marge EBITDAaL de 47,9%. La notation financière **AAA (wu) par GCR Ratings** (relevée en 2026) et l'obtention de licences 5G en Guinée-Bissau et Sierra Leone renforcent les perspectives. Le dividende proposé de **1 933 FCFA brut (1 740 FCFA net)** pour 2025, payable le 25 mai 2026, offre un rendement attractif de 3,87% au cours actuel.</w:t>
      </w:r>
    </w:p>
    <w:p>
      <w:pPr>
        <w:spacing w:after="120" w:line="276" w:lineRule="auto"/>
      </w:pPr>
      <w:r>
        <w:t>**Recommandation fondamentale** : Sonatel affiche une solidité financière exceptionnelle, une croissance rentable soutenue et des perspectives favorables malgré un environnement réglementaire et concurrentiel difficile. Les risques identifiés (pression fiscale, concurrence sur le Mobile Money, instabilité géopolitique au Mali) sont réels mais ne remettent pas en cause la trajectoire de long terme. La recommandation fondamentale est **ACHAT** sur le moyen/long terme.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à court terme mais solide à long terme**. La **valorisation (Partie 0)** est raisonnable (PER 10,9x, EV/EBITDA 4,7x) et suggère une sous-évaluation relative, notamment au regard de la qualité des fondamentaux. Le **comportement du cours (Partie 1)** est nettement haussier (+56,18% sur 100 jours) mais la volatilité élevée (33,2%) et l'asymétrie positive (skewness 0,831) indiquent que le mouvement est mature et pourrait s'essouffler. Les **signaux techniques (Partie 2)** sont divergents : les moyennes mobiles et le MACD confirment la tendance haussière, mais le RSI (76,6) et le stochastique (99,5) alertent sur un surachat extrême à court terme, plaidant pour une consolidation. Les **fondamentaux (Partie 3)** sont excellents : ROE de 29,56%, marge nette de 21,51%, BFR négatif, trésorerie nette de 536 milliards FCFA, et les estimations issues du S1 2026 (+9,3% de CA, +10,5% de résultat net) confirment l'accélération de la croissance. Les **prédictions IA (J+1 à J+10)** anticipent une légère correction (44 545 FCFA à J+1, puis 44 476 FCFA à J+5), ce qui **contredit partiellement** les signaux techniques haussiers et confirme le besoin de consolidation après le rallye.</w:t>
      </w:r>
    </w:p>
    <w:p>
      <w:pPr>
        <w:spacing w:after="120" w:line="276" w:lineRule="auto"/>
      </w:pPr>
      <w:r>
        <w:t>**Recommandation finale** : **CONSERVER** (avec opportunité d'achat sur repli). La convergence entre une valorisation attractive, des fondamentaux solides et des perspectives de croissance soutenues justifie une position de long terme, mais le surachat technique extrême et les prédictions IA baissières à court terme incitent à la prudence pour les nouveaux entrants. **Niveau de confiance : Moyen** (les fondamentaux sont solides mais les signaux techniques à court terme sont contradictoires). **Niveau de risque global : Moyen** (volatilité élevée à 33,2%, mais fondamentaux robustes). **Horizon d'investissement optimal : Moyen/Long terme (6 à 18 mois)**, en privilégiant les points d'entrée sur repli vers 42 000-43 000 FCFA (zone de la MM20).</w:t>
      </w:r>
    </w:p>
    <w:p>
      <w:pPr>
        <w:spacing w:after="120" w:line="276" w:lineRule="auto"/>
      </w:pPr>
      <w:r>
        <w:t>---</w:t>
      </w:r>
    </w:p>
    <w:p/>
    <w:p/>
    <w:p>
      <w:pPr>
        <w:pStyle w:val="Heading3"/>
      </w:pPr>
      <w:r>
        <w:rPr>
          <w:color w:val="00467F"/>
        </w:rPr>
        <w:t>📎 DOCUMENTS &amp; COMMUNICATIONS OFFICIELS BRVM</w:t>
      </w:r>
    </w:p>
    <w:p>
      <w:r>
        <w:rPr>
          <w:i/>
          <w:color w:val="646464"/>
          <w:sz w:val="18"/>
        </w:rPr>
        <w:t>6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41.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172.49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5,387 titres</w:t>
            </w:r>
          </w:p>
        </w:tc>
        <w:tc>
          <w:tcPr>
            <w:tcW w:type="dxa" w:w="2268"/>
            <w:shd w:fill="FFF2CC" w:val="clear"/>
          </w:tcPr>
          <w:p>
            <w:r>
              <w:rPr>
                <w:b/>
                <w:color w:val="503200"/>
                <w:sz w:val="16"/>
              </w:rPr>
              <w:t xml:space="preserve">Cours actuel : </w:t>
            </w:r>
            <w:r>
              <w:rPr>
                <w:color w:val="000000"/>
                <w:sz w:val="17"/>
              </w:rPr>
              <w:t>7,985 FCFA</w:t>
            </w:r>
          </w:p>
          <w:p>
            <w:r>
              <w:rPr>
                <w:b/>
                <w:color w:val="503200"/>
                <w:sz w:val="16"/>
              </w:rPr>
              <w:t xml:space="preserve">Var. 100 jours : </w:t>
            </w:r>
            <w:r>
              <w:rPr>
                <w:b/>
                <w:color w:val="007800"/>
                <w:sz w:val="17"/>
              </w:rPr>
              <w:t>+8.05%</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7,200 FCFA</w:t>
            </w:r>
          </w:p>
          <w:p>
            <w:r>
              <w:rPr>
                <w:b/>
                <w:color w:val="503200"/>
                <w:sz w:val="16"/>
              </w:rPr>
              <w:t xml:space="preserve">Volatilité ann. : </w:t>
            </w:r>
            <w:r>
              <w:rPr>
                <w:color w:val="000000"/>
                <w:sz w:val="17"/>
              </w:rPr>
              <w:t>42.4%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4.28% (Faible) — μ=8,091 FCFA, σ=346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β=1.0316 (Neutre (suit le marché)) — Cov=0.000075, Var(idx)=0.000073, ρ=0.328,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5,387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σ_j=2.67%/j (Stable) — Vol. annualisée≈42.4%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7,519</w:t>
            </w:r>
          </w:p>
        </w:tc>
        <w:tc>
          <w:tcPr>
            <w:tcW w:type="dxa" w:w="1440"/>
            <w:shd w:fill="FAFAFA" w:val="clear"/>
          </w:tcPr>
          <w:p>
            <w:r>
              <w:rPr>
                <w:b/>
                <w:sz w:val="17"/>
              </w:rPr>
              <w:t>7,923</w:t>
            </w:r>
          </w:p>
        </w:tc>
        <w:tc>
          <w:tcPr>
            <w:tcW w:type="dxa" w:w="1440"/>
            <w:shd w:fill="FAFAFA" w:val="clear"/>
          </w:tcPr>
          <w:p>
            <w:r>
              <w:rPr>
                <w:sz w:val="17"/>
              </w:rPr>
              <w:t>8,327</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7,327</w:t>
            </w:r>
          </w:p>
        </w:tc>
        <w:tc>
          <w:tcPr>
            <w:tcW w:type="dxa" w:w="1440"/>
            <w:shd w:fill="FAFAFA" w:val="clear"/>
          </w:tcPr>
          <w:p>
            <w:r>
              <w:rPr>
                <w:b/>
                <w:sz w:val="17"/>
              </w:rPr>
              <w:t>7,896</w:t>
            </w:r>
          </w:p>
        </w:tc>
        <w:tc>
          <w:tcPr>
            <w:tcW w:type="dxa" w:w="1440"/>
            <w:shd w:fill="FAFAFA" w:val="clear"/>
          </w:tcPr>
          <w:p>
            <w:r>
              <w:rPr>
                <w:sz w:val="17"/>
              </w:rPr>
              <w:t>8,465</w:t>
            </w:r>
          </w:p>
        </w:tc>
        <w:tc>
          <w:tcPr>
            <w:tcW w:type="dxa" w:w="1440"/>
            <w:shd w:fill="FAFAFA" w:val="clear"/>
          </w:tcPr>
          <w:p>
            <w:r>
              <w:rPr>
                <w:b/>
                <w:color w:val="C00000"/>
                <w:sz w:val="17"/>
              </w:rPr>
              <w:t>-1.1%</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7,175</w:t>
            </w:r>
          </w:p>
        </w:tc>
        <w:tc>
          <w:tcPr>
            <w:tcW w:type="dxa" w:w="1440"/>
            <w:shd w:fill="FAFAFA" w:val="clear"/>
          </w:tcPr>
          <w:p>
            <w:r>
              <w:rPr>
                <w:b/>
                <w:sz w:val="17"/>
              </w:rPr>
              <w:t>7,870</w:t>
            </w:r>
          </w:p>
        </w:tc>
        <w:tc>
          <w:tcPr>
            <w:tcW w:type="dxa" w:w="1440"/>
            <w:shd w:fill="FAFAFA" w:val="clear"/>
          </w:tcPr>
          <w:p>
            <w:r>
              <w:rPr>
                <w:sz w:val="17"/>
              </w:rPr>
              <w:t>8,564</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7,046</w:t>
            </w:r>
          </w:p>
        </w:tc>
        <w:tc>
          <w:tcPr>
            <w:tcW w:type="dxa" w:w="1440"/>
            <w:shd w:fill="FAFAFA" w:val="clear"/>
          </w:tcPr>
          <w:p>
            <w:r>
              <w:rPr>
                <w:b/>
                <w:sz w:val="17"/>
              </w:rPr>
              <w:t>7,846</w:t>
            </w:r>
          </w:p>
        </w:tc>
        <w:tc>
          <w:tcPr>
            <w:tcW w:type="dxa" w:w="1440"/>
            <w:shd w:fill="FAFAFA" w:val="clear"/>
          </w:tcPr>
          <w:p>
            <w:r>
              <w:rPr>
                <w:sz w:val="17"/>
              </w:rPr>
              <w:t>8,646</w:t>
            </w:r>
          </w:p>
        </w:tc>
        <w:tc>
          <w:tcPr>
            <w:tcW w:type="dxa" w:w="1440"/>
            <w:shd w:fill="FAFAFA" w:val="clear"/>
          </w:tcPr>
          <w:p>
            <w:r>
              <w:rPr>
                <w:b/>
                <w:color w:val="C00000"/>
                <w:sz w:val="17"/>
              </w:rPr>
              <w:t>-1.7%</w:t>
            </w:r>
          </w:p>
        </w:tc>
      </w:tr>
      <w:tr>
        <w:tc>
          <w:tcPr>
            <w:tcW w:type="dxa" w:w="1440"/>
            <w:shd w:fill="FFDCE0" w:val="clear"/>
          </w:tcPr>
          <w:p>
            <w:r>
              <w:rPr>
                <w:sz w:val="17"/>
              </w:rPr>
              <w:t>J+5  ⭐</w:t>
            </w:r>
          </w:p>
        </w:tc>
        <w:tc>
          <w:tcPr>
            <w:tcW w:type="dxa" w:w="1440"/>
            <w:shd w:fill="FFDCE0" w:val="clear"/>
          </w:tcPr>
          <w:p>
            <w:r>
              <w:rPr>
                <w:sz w:val="17"/>
              </w:rPr>
              <w:t>2026-10-16</w:t>
            </w:r>
          </w:p>
        </w:tc>
        <w:tc>
          <w:tcPr>
            <w:tcW w:type="dxa" w:w="1440"/>
            <w:shd w:fill="FFDCE0" w:val="clear"/>
          </w:tcPr>
          <w:p>
            <w:r>
              <w:rPr>
                <w:sz w:val="17"/>
              </w:rPr>
              <w:t>6,932</w:t>
            </w:r>
          </w:p>
        </w:tc>
        <w:tc>
          <w:tcPr>
            <w:tcW w:type="dxa" w:w="1440"/>
            <w:shd w:fill="FFDCE0" w:val="clear"/>
          </w:tcPr>
          <w:p>
            <w:r>
              <w:rPr>
                <w:b/>
                <w:sz w:val="17"/>
              </w:rPr>
              <w:t>7,824</w:t>
            </w:r>
          </w:p>
        </w:tc>
        <w:tc>
          <w:tcPr>
            <w:tcW w:type="dxa" w:w="1440"/>
            <w:shd w:fill="FFDCE0" w:val="clear"/>
          </w:tcPr>
          <w:p>
            <w:r>
              <w:rPr>
                <w:sz w:val="17"/>
              </w:rPr>
              <w:t>8,715</w:t>
            </w:r>
          </w:p>
        </w:tc>
        <w:tc>
          <w:tcPr>
            <w:tcW w:type="dxa" w:w="1440"/>
            <w:shd w:fill="FFDCE0"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6,828</w:t>
            </w:r>
          </w:p>
        </w:tc>
        <w:tc>
          <w:tcPr>
            <w:tcW w:type="dxa" w:w="1440"/>
            <w:shd w:fill="FFDCE0" w:val="clear"/>
          </w:tcPr>
          <w:p>
            <w:r>
              <w:rPr>
                <w:b/>
                <w:sz w:val="17"/>
              </w:rPr>
              <w:t>7,802</w:t>
            </w:r>
          </w:p>
        </w:tc>
        <w:tc>
          <w:tcPr>
            <w:tcW w:type="dxa" w:w="1440"/>
            <w:shd w:fill="FFDCE0" w:val="clear"/>
          </w:tcPr>
          <w:p>
            <w:r>
              <w:rPr>
                <w:sz w:val="17"/>
              </w:rPr>
              <w:t>8,776</w:t>
            </w:r>
          </w:p>
        </w:tc>
        <w:tc>
          <w:tcPr>
            <w:tcW w:type="dxa" w:w="1440"/>
            <w:shd w:fill="FFDCE0" w:val="clear"/>
          </w:tcPr>
          <w:p>
            <w:r>
              <w:rPr>
                <w:b/>
                <w:color w:val="C00000"/>
                <w:sz w:val="17"/>
              </w:rPr>
              <w:t>-2.3%</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6,732</w:t>
            </w:r>
          </w:p>
        </w:tc>
        <w:tc>
          <w:tcPr>
            <w:tcW w:type="dxa" w:w="1440"/>
            <w:shd w:fill="FFDCE0" w:val="clear"/>
          </w:tcPr>
          <w:p>
            <w:r>
              <w:rPr>
                <w:b/>
                <w:sz w:val="17"/>
              </w:rPr>
              <w:t>7,782</w:t>
            </w:r>
          </w:p>
        </w:tc>
        <w:tc>
          <w:tcPr>
            <w:tcW w:type="dxa" w:w="1440"/>
            <w:shd w:fill="FFDCE0" w:val="clear"/>
          </w:tcPr>
          <w:p>
            <w:r>
              <w:rPr>
                <w:sz w:val="17"/>
              </w:rPr>
              <w:t>8,831</w:t>
            </w:r>
          </w:p>
        </w:tc>
        <w:tc>
          <w:tcPr>
            <w:tcW w:type="dxa" w:w="1440"/>
            <w:shd w:fill="FFDCE0" w:val="clear"/>
          </w:tcPr>
          <w:p>
            <w:r>
              <w:rPr>
                <w:b/>
                <w:color w:val="C00000"/>
                <w:sz w:val="17"/>
              </w:rPr>
              <w:t>-2.5%</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6,643</w:t>
            </w:r>
          </w:p>
        </w:tc>
        <w:tc>
          <w:tcPr>
            <w:tcW w:type="dxa" w:w="1440"/>
            <w:shd w:fill="FFDCE0" w:val="clear"/>
          </w:tcPr>
          <w:p>
            <w:r>
              <w:rPr>
                <w:b/>
                <w:sz w:val="17"/>
              </w:rPr>
              <w:t>7,762</w:t>
            </w:r>
          </w:p>
        </w:tc>
        <w:tc>
          <w:tcPr>
            <w:tcW w:type="dxa" w:w="1440"/>
            <w:shd w:fill="FFDCE0" w:val="clear"/>
          </w:tcPr>
          <w:p>
            <w:r>
              <w:rPr>
                <w:sz w:val="17"/>
              </w:rPr>
              <w:t>8,881</w:t>
            </w:r>
          </w:p>
        </w:tc>
        <w:tc>
          <w:tcPr>
            <w:tcW w:type="dxa" w:w="1440"/>
            <w:shd w:fill="FFDCE0" w:val="clear"/>
          </w:tcPr>
          <w:p>
            <w:r>
              <w:rPr>
                <w:b/>
                <w:color w:val="C00000"/>
                <w:sz w:val="17"/>
              </w:rPr>
              <w:t>-2.8%</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6,559</w:t>
            </w:r>
          </w:p>
        </w:tc>
        <w:tc>
          <w:tcPr>
            <w:tcW w:type="dxa" w:w="1440"/>
            <w:shd w:fill="FFDCE0" w:val="clear"/>
          </w:tcPr>
          <w:p>
            <w:r>
              <w:rPr>
                <w:b/>
                <w:sz w:val="17"/>
              </w:rPr>
              <w:t>7,743</w:t>
            </w:r>
          </w:p>
        </w:tc>
        <w:tc>
          <w:tcPr>
            <w:tcW w:type="dxa" w:w="1440"/>
            <w:shd w:fill="FFDCE0" w:val="clear"/>
          </w:tcPr>
          <w:p>
            <w:r>
              <w:rPr>
                <w:sz w:val="17"/>
              </w:rPr>
              <w:t>8,927</w:t>
            </w:r>
          </w:p>
        </w:tc>
        <w:tc>
          <w:tcPr>
            <w:tcW w:type="dxa" w:w="1440"/>
            <w:shd w:fill="FFDCE0" w:val="clear"/>
          </w:tcPr>
          <w:p>
            <w:r>
              <w:rPr>
                <w:b/>
                <w:color w:val="C00000"/>
                <w:sz w:val="17"/>
              </w:rPr>
              <w:t>-3.0%</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6,480</w:t>
            </w:r>
          </w:p>
        </w:tc>
        <w:tc>
          <w:tcPr>
            <w:tcW w:type="dxa" w:w="1440"/>
            <w:shd w:fill="FFDCE0" w:val="clear"/>
          </w:tcPr>
          <w:p>
            <w:r>
              <w:rPr>
                <w:b/>
                <w:sz w:val="17"/>
              </w:rPr>
              <w:t>7,725</w:t>
            </w:r>
          </w:p>
        </w:tc>
        <w:tc>
          <w:tcPr>
            <w:tcW w:type="dxa" w:w="1440"/>
            <w:shd w:fill="FFDCE0" w:val="clear"/>
          </w:tcPr>
          <w:p>
            <w:r>
              <w:rPr>
                <w:sz w:val="17"/>
              </w:rPr>
              <w:t>8,970</w:t>
            </w:r>
          </w:p>
        </w:tc>
        <w:tc>
          <w:tcPr>
            <w:tcW w:type="dxa" w:w="1440"/>
            <w:shd w:fill="FFDCE0" w:val="clear"/>
          </w:tcPr>
          <w:p>
            <w:r>
              <w:rPr>
                <w:b/>
                <w:color w:val="C00000"/>
                <w:sz w:val="17"/>
              </w:rPr>
              <w:t>-3.3%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(Société des Caoutchoucs de Grand-Béréby)**</w:t>
        <w:br/>
        <w:t>*Bourse Régionale des Valeurs Mobilières (BRVM) — Secteur : Entreprise agro-industrielle*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172,49 milliards FCFA, SOGC figure parmi les valeurs de taille intermédiaire à supérieure de la cote BRVM, ce qui lui confère une bonne liquidité relative et une visibilité institutionnelle. Le BPA de 578 FCFA/action signifie que chaque titre génère près de 578 FCFA de bénéfice net, un niveau confortable pour une action cotée à 7 985 FCFA. Le PER de 13,8x se situe légèrement au-dessus de la moyenne du marché BRVM (8-12x), traduisant une valorisation modérée mais non excessive, cohérente avec la qualité des fondamentaux. Le P/B de 2,52x indique que le marché valorise la société à 2,5 fois sa valeur comptable, soit une prime de croissance justifiée par un ROE de 18,26% nettement supérieur au coût des fonds propres. Enfin, l'EV/EBITDA de 7,2x, dans la fourchette raisonnable de 5-10x, suggère que la valeur totale de l'entreprise (dette incluse) reste proportionnée à sa capacité opérationnelle de génération de cash-flow.</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SOGC affiche une progression totale de +8,05%, malgré un léger repli de -0,19% lors de la dernière séance (J-1), signe d'une consolidation ponctuelle après un mouvement haussier. Le cours a évolué dans un range de 1 675 FCFA, entre un plus bas de 7 200 FCFA et un plus haut de 8 875 FCFA, ce qui témoigne d'une volatilité intra-période significative mais maîtrisée. La tendance générale reste haussière, portée par la dynamique favorable des prix des matières premières (caoutchouc, huile de palme) et par la solidité des résultats. Les statistiques descriptives révèlent une moyenne de 8 091 FCFA légèrement supérieure à la médiane de 8 145 FCFA — écart faible mais cohérent avec un skewness négatif de -0,608, indiquant davantage de journées au-dessus de la moyenne (asymétrie à gauche). L'écart-type de 348 FCFA (CV = 4,3%) traduit une dispersion modérée du cours autour de sa moyenne, tandis que le kurtosis de 0,074 (mésokurtique) suggère une distribution proche de la normale, sans risque majeur de pics extrêmes. Avec une volatilité annualisée de 42,4%, le titre se classe dans la catégorie des valeurs à volatilité élevée (&gt;30%), ce qui implique un risque de marché non négligeable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(7 896,75 FCFA) est légèrement inférieure au cours actuel (7 985 FCFA), tandis que la MM50 (8 031,5 FCFA) lui est supérieure. Cette configuration — cours coincé entre les deux moyennes — traduit une tendance incertaine à court terme, avec une pression baissière résiduelle de la MM50. La décision technique qui en résulte est **Vente**, confirmant la faiblesse du momentum haussier immédiat.</w:t>
      </w:r>
    </w:p>
    <w:p>
      <w:pPr>
        <w:spacing w:after="120" w:line="276" w:lineRule="auto"/>
      </w:pPr>
      <w:r>
        <w:t>**Bandes de Bollinger** : Le cours (7 985 FCFA) évolue à mi-chemin entre la borne inférieure (7 480,97 FCFA) et la borne supérieure (8 312,53 FCFA), sans contact avec les extrêmes. Cette position centrale, combinée à un écart-type modéré, indique une absence de signal directionnel fort. La décision **Neutre** reflète cette situation d'équilibre, avec une volatilité qui pourrait se contracter avant une nouvelle expansion.</w:t>
      </w:r>
    </w:p>
    <w:p>
      <w:pPr>
        <w:spacing w:after="120" w:line="276" w:lineRule="auto"/>
      </w:pPr>
      <w:r>
        <w:t>**MACD** : La valeur du MACD (-44,209) est supérieure à son signal (-71,247), formant un croisement haussier (MACD au-dessus du signal). Bien que les deux lignes restent en territoire négatif, cette configuration traduit un ralentissement de la dynamique baissière et un début de retournement. La décision **Achat** est cohérente avec ce signal précoce de reprise du momentum.</w:t>
      </w:r>
    </w:p>
    <w:p>
      <w:pPr>
        <w:spacing w:after="120" w:line="276" w:lineRule="auto"/>
      </w:pPr>
      <w:r>
        <w:t>**RSI** : À 52,234, le RSI se situe en zone neutre (30-70), sans signal de surachat (&gt;70) ni de survente (&lt;30). Cette valeur médiane indique un équilibre entre acheteurs et vendeurs, sans pression directionnelle marquée. La décision **Neutre** est appropriée, le titre n'étant ni surévalué ni sous-évalué techniquement.</w:t>
      </w:r>
    </w:p>
    <w:p>
      <w:pPr>
        <w:spacing w:after="120" w:line="276" w:lineRule="auto"/>
      </w:pPr>
      <w:r>
        <w:t>**Stochastique** : Le %K (85,625) et le %D (82,5) évoluent tous deux en zone de surachat (&gt;80), avec un %K légèrement supérieur au %D. Cette configuration suggère une possible correction à court terme, car le titre est techniquement « cher » après sa récente progression. La décision **Vente** est justifiée par ce risque de repli imminent.</w:t>
      </w:r>
    </w:p>
    <w:p>
      <w:pPr>
        <w:spacing w:after="120" w:line="276" w:lineRule="auto"/>
      </w:pPr>
      <w:r>
        <w:t>**Conclusion technique** : Les indicateurs sont divergents — le MACD donne un signal d'achat précoce, tandis que les Moyennes Mobiles et le Stochastique recommandent la vente, et que le RSI et les Bollinger restent neutres. Cette absence de convergence traduit une phase d'incertitude technique, avec un biais légèrement baissier à court terme (Stochastique en surachat, MM50 résistance). Le titre pourrait consolider avant de reprendre sa tendance haussière de fond.</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SOGC a réalisé un chiffre d'affaires de 98,979 milliards FCFA, en croissance de +10,70% par rapport à 2024, confirmant la dynamique commerciale de l'entreprise. Le résultat net s'établit à 12,493 milliards FCFA, en léger repli de -5% par rapport aux 13,11 milliards FCFA de 2024, sous l'effet de la hausse des coûts d'achat du coagulum (+15%). La rentabilité reste néanmoins solide, avec un ROE de 18,26% (excellent, &gt;15%) et un ROA de 13,84%, tandis que la marge nette se maintient à 12,62%. La structure financière est très saine : autonomie financière de 75,79%, ratio d'endettement de 24,21%, et liquidité générale de 170,32%. Le BFR de 7,124 milliards FCFA (positif) et les délais d'exploitation (clients : 29,60 jours ; fournisseurs : 31,72 jours ; stockage : 97,67 jours) révèlent une gestion rigoureuse du cycle d'exploitation, bien que la durée de stockage élevée immobilise du capital.</w:t>
      </w:r>
    </w:p>
    <w:p>
      <w:pPr>
        <w:spacing w:after="120" w:line="276" w:lineRule="auto"/>
      </w:pPr>
      <w:r>
        <w:t>**Analyse sectorielle (entreprise agro-industrielle)** : Le taux de marge brute de 67,93% et la marge opérationnelle de 17,24% témoignent d'un pouvoir de fixation des prix favorable, typique du secteur des matières premières agricoles. La capacité de remboursement (0,04 an) et la couverture des intérêts (25 563%) sont exceptionnellement élevées, reflétant un endettement financier quasi nul (708,86 millions FCFA de dettes financières totales). Le flux opérationnel de 22,644 milliards FCFA et le Free Cash Flow de 16,031 milliards FCFA confirment une génération de trésorerie robuste.</w:t>
      </w:r>
    </w:p>
    <w:p>
      <w:pPr>
        <w:spacing w:after="120" w:line="276" w:lineRule="auto"/>
      </w:pPr>
      <w:r>
        <w:t>**Estimations basées sur les rapports trimestriels** : Les rapports T1 2025 (CA +63,1%, résultat net +262,9%), S1 2025 (CA +51,9%, résultat net +151,6%) et 9M 2025 (CA +21,3%, résultat net +39,5%) montrent un ralentissement progressif de la croissance au fil de l'année, conformément aux alertes de la direction sur la concurrence accrue pour l'achat de matière première et la baisse des cours SICOM. Sur la base de ces tendances, on estime que l'exercice 2025 devrait clôturer avec un résultat net autour de 12,5 milliards FCFA (confirmé par les données structurées), et que 2026 pourrait être une année de stabilisation, voire de légère contraction, si les prix du caoutchouc restent sous pression.</w:t>
      </w:r>
    </w:p>
    <w:p>
      <w:pPr>
        <w:spacing w:after="120" w:line="276" w:lineRule="auto"/>
      </w:pPr>
      <w:r>
        <w:t>**Évolution pluriannuelle** : Entre 2023 et 2024, le résultat net est passé de 5,27 à 13,11 milliards FCFA (+149%), avant de reculer à 12,49 milliards FCFA en 2025 (-5%). Cette volatilité illustre la sensibilité de SOGC aux cycles des matières premières. La politique de dividende, avec un DPA de 570 FCFA proposé pour 2025 (rendement de 7,1% au cours actuel), reste très généreuse mais limite les capacités de réinvestissement.</w:t>
      </w:r>
    </w:p>
    <w:p>
      <w:pPr>
        <w:spacing w:after="120" w:line="276" w:lineRule="auto"/>
      </w:pPr>
      <w:r>
        <w:t>**Recommandation fondamentale** : SOGC présente des fondamentaux solides (ROE élevé, structure financière saine, génération de cash-flow robuste) mais fait face à des vents contraires (hausse des coûts, baisse des prix SICOM, concurrence accrue). La valorisation (PER 13,8x) intègre déjà une partie de ces risques. La recommandation fondamentale est **CONSERVER**, avec une vigilance accrue sur l'évolution des prix des matières premières et la politique d'investissement.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SOGC (PER 13,8x, P/B 2,52x, EV/EBITDA 7,2x) indique une juste appréciation du marché, sans sous-évaluation flagrante mais sans excès spéculatif non plus. Le comportement du cours sur 100 jours (+8,05%) est haussier, mais la volatilité annualisée de 42,4% et le skewness négatif (-0,608) suggèrent une asymétrie favorable aux hausses, tempérée par un kurtosis proche de la normale (0,074) qui écarte le risque de pics extrêmes. Les signaux techniques sont divergents : le MACD donne un signal d'achat précoce, mais les Moyennes Mobiles et le Stochastique recommandent la vente, tandis que le RSI et les Bollinger restent neutres — cette absence de convergence plaide pour une phase de consolidation à court terme. Les fondamentaux restent solides (ROE 18,26%, autonomie financière 75,79%, FCF 16,03 milliards FCFA), mais la baisse de -5% du résultat net en 2025 et les perspectives prudentes de la direction (concurrence, baisse des cours SICOM) incitent à la prudence. Les prédictions IA (7 923 FCFA à J+1, 7 824 FCFA à J+5) confirment une légère tendance baissière à court terme, en ligne avec le signal de vente du Stochastique et la résistance de la MM50. **Recommandation finale : CONSERVER**, avec un niveau de confiance **Moyen** et un risque global **Moyen**. L'horizon d'investissement optimal est le **moyen terme (3-12 mois)**, le temps que les prix des matières premières se stabilisent et que la société démontre sa capacité à maintenir ses marges dans un environnement concurrentiel plus difficile. Un passage à l'achat serait justifié si le cours revenait vers 7 500 FCFA (support technique) ou si les prix du caoutchouc repartaient à la hausse.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42.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204.46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4,690 titres</w:t>
            </w:r>
          </w:p>
        </w:tc>
        <w:tc>
          <w:tcPr>
            <w:tcW w:type="dxa" w:w="2268"/>
            <w:shd w:fill="FFF2CC" w:val="clear"/>
          </w:tcPr>
          <w:p>
            <w:r>
              <w:rPr>
                <w:b/>
                <w:color w:val="503200"/>
                <w:sz w:val="16"/>
              </w:rPr>
              <w:t xml:space="preserve">Cours actuel : </w:t>
            </w:r>
            <w:r>
              <w:rPr>
                <w:color w:val="000000"/>
                <w:sz w:val="17"/>
              </w:rPr>
              <w:t>8,000 FCFA</w:t>
            </w:r>
          </w:p>
          <w:p>
            <w:r>
              <w:rPr>
                <w:b/>
                <w:color w:val="503200"/>
                <w:sz w:val="16"/>
              </w:rPr>
              <w:t xml:space="preserve">Var. 100 jours : </w:t>
            </w:r>
            <w:r>
              <w:rPr>
                <w:b/>
                <w:color w:val="007800"/>
                <w:sz w:val="17"/>
              </w:rPr>
              <w:t>+16.11%</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6,850 FCFA</w:t>
            </w:r>
          </w:p>
          <w:p>
            <w:r>
              <w:rPr>
                <w:b/>
                <w:color w:val="503200"/>
                <w:sz w:val="16"/>
              </w:rPr>
              <w:t xml:space="preserve">Volatilité ann. : </w:t>
            </w:r>
            <w:r>
              <w:rPr>
                <w:color w:val="000000"/>
                <w:sz w:val="17"/>
              </w:rPr>
              <w:t>43.3%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9.38% (Moyenne) — μ=7,907 FCFA, σ=742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β=0.6916 (Défensif) — Cov=0.000050, Var(idx)=0.000073, ρ=0.216,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4,690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σ_j=2.72%/j (Stable) — Vol. annualisée≈43.3%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7,515</w:t>
            </w:r>
          </w:p>
        </w:tc>
        <w:tc>
          <w:tcPr>
            <w:tcW w:type="dxa" w:w="1440"/>
            <w:shd w:fill="FAFAFA" w:val="clear"/>
          </w:tcPr>
          <w:p>
            <w:r>
              <w:rPr>
                <w:b/>
                <w:sz w:val="17"/>
              </w:rPr>
              <w:t>7,925</w:t>
            </w:r>
          </w:p>
        </w:tc>
        <w:tc>
          <w:tcPr>
            <w:tcW w:type="dxa" w:w="1440"/>
            <w:shd w:fill="FAFAFA" w:val="clear"/>
          </w:tcPr>
          <w:p>
            <w:r>
              <w:rPr>
                <w:sz w:val="17"/>
              </w:rPr>
              <w:t>8,335</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7,309</w:t>
            </w:r>
          </w:p>
        </w:tc>
        <w:tc>
          <w:tcPr>
            <w:tcW w:type="dxa" w:w="1440"/>
            <w:shd w:fill="FAFAFA" w:val="clear"/>
          </w:tcPr>
          <w:p>
            <w:r>
              <w:rPr>
                <w:b/>
                <w:sz w:val="17"/>
              </w:rPr>
              <w:t>7,886</w:t>
            </w:r>
          </w:p>
        </w:tc>
        <w:tc>
          <w:tcPr>
            <w:tcW w:type="dxa" w:w="1440"/>
            <w:shd w:fill="FAFAFA" w:val="clear"/>
          </w:tcPr>
          <w:p>
            <w:r>
              <w:rPr>
                <w:sz w:val="17"/>
              </w:rPr>
              <w:t>8,463</w:t>
            </w:r>
          </w:p>
        </w:tc>
        <w:tc>
          <w:tcPr>
            <w:tcW w:type="dxa" w:w="1440"/>
            <w:shd w:fill="FAFAFA" w:val="clear"/>
          </w:tcPr>
          <w:p>
            <w:r>
              <w:rPr>
                <w:b/>
                <w:color w:val="C00000"/>
                <w:sz w:val="17"/>
              </w:rPr>
              <w:t>-1.4%</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7,143</w:t>
            </w:r>
          </w:p>
        </w:tc>
        <w:tc>
          <w:tcPr>
            <w:tcW w:type="dxa" w:w="1440"/>
            <w:shd w:fill="FAFAFA" w:val="clear"/>
          </w:tcPr>
          <w:p>
            <w:r>
              <w:rPr>
                <w:b/>
                <w:sz w:val="17"/>
              </w:rPr>
              <w:t>7,846</w:t>
            </w:r>
          </w:p>
        </w:tc>
        <w:tc>
          <w:tcPr>
            <w:tcW w:type="dxa" w:w="1440"/>
            <w:shd w:fill="FAFAFA" w:val="clear"/>
          </w:tcPr>
          <w:p>
            <w:r>
              <w:rPr>
                <w:sz w:val="17"/>
              </w:rPr>
              <w:t>8,549</w:t>
            </w:r>
          </w:p>
        </w:tc>
        <w:tc>
          <w:tcPr>
            <w:tcW w:type="dxa" w:w="1440"/>
            <w:shd w:fill="FAFAFA" w:val="clear"/>
          </w:tcPr>
          <w:p>
            <w:r>
              <w:rPr>
                <w:b/>
                <w:color w:val="C00000"/>
                <w:sz w:val="17"/>
              </w:rPr>
              <w:t>-1.9%</w:t>
            </w:r>
          </w:p>
        </w:tc>
      </w:tr>
      <w:tr>
        <w:tc>
          <w:tcPr>
            <w:tcW w:type="dxa" w:w="1440"/>
            <w:shd w:fill="FFDCE0" w:val="clear"/>
          </w:tcPr>
          <w:p>
            <w:r>
              <w:rPr>
                <w:sz w:val="17"/>
              </w:rPr>
              <w:t>J+4  ⭐</w:t>
            </w:r>
          </w:p>
        </w:tc>
        <w:tc>
          <w:tcPr>
            <w:tcW w:type="dxa" w:w="1440"/>
            <w:shd w:fill="FFDCE0" w:val="clear"/>
          </w:tcPr>
          <w:p>
            <w:r>
              <w:rPr>
                <w:sz w:val="17"/>
              </w:rPr>
              <w:t>2026-10-15</w:t>
            </w:r>
          </w:p>
        </w:tc>
        <w:tc>
          <w:tcPr>
            <w:tcW w:type="dxa" w:w="1440"/>
            <w:shd w:fill="FFDCE0" w:val="clear"/>
          </w:tcPr>
          <w:p>
            <w:r>
              <w:rPr>
                <w:sz w:val="17"/>
              </w:rPr>
              <w:t>7,000</w:t>
            </w:r>
          </w:p>
        </w:tc>
        <w:tc>
          <w:tcPr>
            <w:tcW w:type="dxa" w:w="1440"/>
            <w:shd w:fill="FFDCE0" w:val="clear"/>
          </w:tcPr>
          <w:p>
            <w:r>
              <w:rPr>
                <w:b/>
                <w:sz w:val="17"/>
              </w:rPr>
              <w:t>7,808</w:t>
            </w:r>
          </w:p>
        </w:tc>
        <w:tc>
          <w:tcPr>
            <w:tcW w:type="dxa" w:w="1440"/>
            <w:shd w:fill="FFDCE0" w:val="clear"/>
          </w:tcPr>
          <w:p>
            <w:r>
              <w:rPr>
                <w:sz w:val="17"/>
              </w:rPr>
              <w:t>8,616</w:t>
            </w:r>
          </w:p>
        </w:tc>
        <w:tc>
          <w:tcPr>
            <w:tcW w:type="dxa" w:w="1440"/>
            <w:shd w:fill="FFDCE0" w:val="clear"/>
          </w:tcPr>
          <w:p>
            <w:r>
              <w:rPr>
                <w:b/>
                <w:color w:val="C00000"/>
                <w:sz w:val="17"/>
              </w:rPr>
              <w:t>-2.4%</w:t>
            </w:r>
          </w:p>
        </w:tc>
      </w:tr>
      <w:tr>
        <w:tc>
          <w:tcPr>
            <w:tcW w:type="dxa" w:w="1440"/>
            <w:shd w:fill="FFDCE0" w:val="clear"/>
          </w:tcPr>
          <w:p>
            <w:r>
              <w:rPr>
                <w:sz w:val="17"/>
              </w:rPr>
              <w:t>J+5  ⭐</w:t>
            </w:r>
          </w:p>
        </w:tc>
        <w:tc>
          <w:tcPr>
            <w:tcW w:type="dxa" w:w="1440"/>
            <w:shd w:fill="FFDCE0" w:val="clear"/>
          </w:tcPr>
          <w:p>
            <w:r>
              <w:rPr>
                <w:sz w:val="17"/>
              </w:rPr>
              <w:t>2026-10-16</w:t>
            </w:r>
          </w:p>
        </w:tc>
        <w:tc>
          <w:tcPr>
            <w:tcW w:type="dxa" w:w="1440"/>
            <w:shd w:fill="FFDCE0" w:val="clear"/>
          </w:tcPr>
          <w:p>
            <w:r>
              <w:rPr>
                <w:sz w:val="17"/>
              </w:rPr>
              <w:t>6,872</w:t>
            </w:r>
          </w:p>
        </w:tc>
        <w:tc>
          <w:tcPr>
            <w:tcW w:type="dxa" w:w="1440"/>
            <w:shd w:fill="FFDCE0" w:val="clear"/>
          </w:tcPr>
          <w:p>
            <w:r>
              <w:rPr>
                <w:b/>
                <w:sz w:val="17"/>
              </w:rPr>
              <w:t>7,771</w:t>
            </w:r>
          </w:p>
        </w:tc>
        <w:tc>
          <w:tcPr>
            <w:tcW w:type="dxa" w:w="1440"/>
            <w:shd w:fill="FFDCE0" w:val="clear"/>
          </w:tcPr>
          <w:p>
            <w:r>
              <w:rPr>
                <w:sz w:val="17"/>
              </w:rPr>
              <w:t>8,670</w:t>
            </w:r>
          </w:p>
        </w:tc>
        <w:tc>
          <w:tcPr>
            <w:tcW w:type="dxa" w:w="1440"/>
            <w:shd w:fill="FFDCE0" w:val="clear"/>
          </w:tcPr>
          <w:p>
            <w:r>
              <w:rPr>
                <w:b/>
                <w:color w:val="C00000"/>
                <w:sz w:val="17"/>
              </w:rPr>
              <w:t>-2.9%</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6,755</w:t>
            </w:r>
          </w:p>
        </w:tc>
        <w:tc>
          <w:tcPr>
            <w:tcW w:type="dxa" w:w="1440"/>
            <w:shd w:fill="FFDCE0" w:val="clear"/>
          </w:tcPr>
          <w:p>
            <w:r>
              <w:rPr>
                <w:b/>
                <w:sz w:val="17"/>
              </w:rPr>
              <w:t>7,735</w:t>
            </w:r>
          </w:p>
        </w:tc>
        <w:tc>
          <w:tcPr>
            <w:tcW w:type="dxa" w:w="1440"/>
            <w:shd w:fill="FFDCE0" w:val="clear"/>
          </w:tcPr>
          <w:p>
            <w:r>
              <w:rPr>
                <w:sz w:val="17"/>
              </w:rPr>
              <w:t>8,716</w:t>
            </w:r>
          </w:p>
        </w:tc>
        <w:tc>
          <w:tcPr>
            <w:tcW w:type="dxa" w:w="1440"/>
            <w:shd w:fill="FFDCE0" w:val="clear"/>
          </w:tcPr>
          <w:p>
            <w:r>
              <w:rPr>
                <w:b/>
                <w:color w:val="C00000"/>
                <w:sz w:val="17"/>
              </w:rPr>
              <w:t>-3.3%</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6,647</w:t>
            </w:r>
          </w:p>
        </w:tc>
        <w:tc>
          <w:tcPr>
            <w:tcW w:type="dxa" w:w="1440"/>
            <w:shd w:fill="FFDCE0" w:val="clear"/>
          </w:tcPr>
          <w:p>
            <w:r>
              <w:rPr>
                <w:b/>
                <w:sz w:val="17"/>
              </w:rPr>
              <w:t>7,701</w:t>
            </w:r>
          </w:p>
        </w:tc>
        <w:tc>
          <w:tcPr>
            <w:tcW w:type="dxa" w:w="1440"/>
            <w:shd w:fill="FFDCE0" w:val="clear"/>
          </w:tcPr>
          <w:p>
            <w:r>
              <w:rPr>
                <w:sz w:val="17"/>
              </w:rPr>
              <w:t>8,755</w:t>
            </w:r>
          </w:p>
        </w:tc>
        <w:tc>
          <w:tcPr>
            <w:tcW w:type="dxa" w:w="1440"/>
            <w:shd w:fill="FFDCE0" w:val="clear"/>
          </w:tcPr>
          <w:p>
            <w:r>
              <w:rPr>
                <w:b/>
                <w:color w:val="C00000"/>
                <w:sz w:val="17"/>
              </w:rPr>
              <w:t>-3.7%</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6,545</w:t>
            </w:r>
          </w:p>
        </w:tc>
        <w:tc>
          <w:tcPr>
            <w:tcW w:type="dxa" w:w="1440"/>
            <w:shd w:fill="FFDCE0" w:val="clear"/>
          </w:tcPr>
          <w:p>
            <w:r>
              <w:rPr>
                <w:b/>
                <w:sz w:val="17"/>
              </w:rPr>
              <w:t>7,667</w:t>
            </w:r>
          </w:p>
        </w:tc>
        <w:tc>
          <w:tcPr>
            <w:tcW w:type="dxa" w:w="1440"/>
            <w:shd w:fill="FFDCE0" w:val="clear"/>
          </w:tcPr>
          <w:p>
            <w:r>
              <w:rPr>
                <w:sz w:val="17"/>
              </w:rPr>
              <w:t>8,789</w:t>
            </w:r>
          </w:p>
        </w:tc>
        <w:tc>
          <w:tcPr>
            <w:tcW w:type="dxa" w:w="1440"/>
            <w:shd w:fill="FFDCE0" w:val="clear"/>
          </w:tcPr>
          <w:p>
            <w:r>
              <w:rPr>
                <w:b/>
                <w:color w:val="C00000"/>
                <w:sz w:val="17"/>
              </w:rPr>
              <w:t>-4.2%</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6,450</w:t>
            </w:r>
          </w:p>
        </w:tc>
        <w:tc>
          <w:tcPr>
            <w:tcW w:type="dxa" w:w="1440"/>
            <w:shd w:fill="FFDCE0" w:val="clear"/>
          </w:tcPr>
          <w:p>
            <w:r>
              <w:rPr>
                <w:b/>
                <w:sz w:val="17"/>
              </w:rPr>
              <w:t>7,635</w:t>
            </w:r>
          </w:p>
        </w:tc>
        <w:tc>
          <w:tcPr>
            <w:tcW w:type="dxa" w:w="1440"/>
            <w:shd w:fill="FFDCE0" w:val="clear"/>
          </w:tcPr>
          <w:p>
            <w:r>
              <w:rPr>
                <w:sz w:val="17"/>
              </w:rPr>
              <w:t>8,820</w:t>
            </w:r>
          </w:p>
        </w:tc>
        <w:tc>
          <w:tcPr>
            <w:tcW w:type="dxa" w:w="1440"/>
            <w:shd w:fill="FFDCE0" w:val="clear"/>
          </w:tcPr>
          <w:p>
            <w:r>
              <w:rPr>
                <w:b/>
                <w:color w:val="C00000"/>
                <w:sz w:val="17"/>
              </w:rPr>
              <w:t>-4.6%</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6,359</w:t>
            </w:r>
          </w:p>
        </w:tc>
        <w:tc>
          <w:tcPr>
            <w:tcW w:type="dxa" w:w="1440"/>
            <w:shd w:fill="FFDCE0" w:val="clear"/>
          </w:tcPr>
          <w:p>
            <w:r>
              <w:rPr>
                <w:b/>
                <w:sz w:val="17"/>
              </w:rPr>
              <w:t>7,603</w:t>
            </w:r>
          </w:p>
        </w:tc>
        <w:tc>
          <w:tcPr>
            <w:tcW w:type="dxa" w:w="1440"/>
            <w:shd w:fill="FFDCE0" w:val="clear"/>
          </w:tcPr>
          <w:p>
            <w:r>
              <w:rPr>
                <w:sz w:val="17"/>
              </w:rPr>
              <w:t>8,847</w:t>
            </w:r>
          </w:p>
        </w:tc>
        <w:tc>
          <w:tcPr>
            <w:tcW w:type="dxa" w:w="1440"/>
            <w:shd w:fill="FFDCE0" w:val="clear"/>
          </w:tcPr>
          <w:p>
            <w:r>
              <w:rPr>
                <w:b/>
                <w:color w:val="C00000"/>
                <w:sz w:val="17"/>
              </w:rPr>
              <w:t>-5.0%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 RAPPORT D'ANALYSE FINANCIÈRE — SPHC (SAPH CI)</w:t>
        <w:br/>
        <w:t>**Bourse Régionale des Valeurs Mobilières (BRVM) — Secteur : Agro-industrie / Hévéa**</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204,46 milliards FCFA, SPHC s'impose comme une valeur de premier plan de la cote BRVM, représentant un pilier du compartiment agro-industriel régional. Le BPA de 977 FCFA/action traduit une rentabilité par titre solide, et le PER de 8,2x positionne le titre nettement sous la moyenne du marché BRVM (8-12x), suggérant une sous-évaluation relative au regard de la qualité des bénéfices. Le P/B de 1,48x indique que le marché valorise l'entreprise à une prime modérée de 48% sur sa valeur comptable, ce qui reste raisonnable pour un acteur industriel rentable (ROE de 18,1%). Enfin, l'EV/EBITDA de 5,1x, bien en deçà de la fourchette usuelle de 5-10x, signale que la valeur d'entreprise reste contenue face à la capacité opérationnelle de génération de cash, renforçant le diagnostic de valorisation attractive.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SPHC affiche une performance remarquable de **+16,11%**, malgré un léger repli de **-0,62%** lors de la dernière séance, le titre clôturant à **8 000 FCFA**. Le range de trading s'établit entre un plus bas de **6 850 FCFA** et un plus haut de **10 300 FCFA**, soit une amplitude de 50%, témoignant d'une forte dynamique haussière entrecoupée de corrections. La tendance générale demeure haussière, portée par la vigueur des fondamentaux et l'anticipation d'une politique de dividende généreuse (489 FCFA/action proposé). Les statistiques descriptives révèlent une **moyenne (7 907 FCFA) supérieure à la médiane (7 672 FCFA)**, confirmant une asymétrie positive (skewness de 1,457) avec davantage de journées sous la moyenne mais des pics haussiers marqués. L'écart-type de 746 FCFA (CV de 9,4%) indique une dispersion modérée, tandis que le kurtosis de 1,767 (leptokurtique) signale des queues épaisses et un risque de pics de volatilité. La **volatilité annualisée de 43,3%** classe le titre dans la catégorie à volatilité élevée (&gt;30%), ce qui est cohérent avec un acteur exposé aux cours mondiaux du caoutchouc naturel.</w:t>
      </w:r>
    </w:p>
    <w:p>
      <w:pPr>
        <w:spacing w:after="120" w:line="276" w:lineRule="auto"/>
      </w:pPr>
      <w:r>
        <w:t>---</w:t>
      </w:r>
    </w:p>
    <w:p>
      <w:pPr>
        <w:spacing w:after="120" w:line="276" w:lineRule="auto"/>
      </w:pPr>
      <w:r>
        <w:t>## PARTIE 2 : ANALYSE TECHNIQUE DÉTAILLÉE</w:t>
      </w:r>
    </w:p>
    <w:p>
      <w:pPr>
        <w:spacing w:after="120" w:line="276" w:lineRule="auto"/>
      </w:pPr>
      <w:r>
        <w:t>**Moyennes Mobiles** : La MM20 (7 930 FCFA) est inférieure à la MM50 (8 344 FCFA), configuration baissière de court terme, et le cours actuel (8 000 FCFA) se situe au-dessus de la MM20 mais sous la MM50. Cette position mitigée justifie la décision technique de **Vente**, le titre n'ayant pas encore reconquis sa moyenne longue.</w:t>
      </w:r>
    </w:p>
    <w:p>
      <w:pPr>
        <w:spacing w:after="120" w:line="276" w:lineRule="auto"/>
      </w:pPr>
      <w:r>
        <w:t>**Bandes de Bollinger** : Le cours (8 000 FCFA) évolue dans la partie médiane de la bande (borne supérieure 8 338 FCFA, borne inférieure 7 522 FCFA), sans contact avec les extrêmes. Cette position centrale, couplée à un écartement modéré des bandes, traduit une volatilité normale et justifie la décision **Neutre**.</w:t>
      </w:r>
    </w:p>
    <w:p>
      <w:pPr>
        <w:spacing w:after="120" w:line="276" w:lineRule="auto"/>
      </w:pPr>
      <w:r>
        <w:t>**MACD** : La valeur du MACD (-131,526) est supérieure à son signal (-170,212), générant un croisement haussier bien que les deux courbes restent en territoire négatif. Ce momentum positif naissant justifie la décision d'**Achat**, suggérant une inflexion possible de la tendance baissière de court terme.</w:t>
      </w:r>
    </w:p>
    <w:p>
      <w:pPr>
        <w:spacing w:after="120" w:line="276" w:lineRule="auto"/>
      </w:pPr>
      <w:r>
        <w:t>**RSI** : À 56,211, le RSI se situe dans la zone neutre (30-70), sans signal de surachat ni de survente. Cette configuration équilibrée confirme la décision **Neutre**, le titre disposant d'un potentiel de hausse sans être encore tendu.</w:t>
      </w:r>
    </w:p>
    <w:p>
      <w:pPr>
        <w:spacing w:after="120" w:line="276" w:lineRule="auto"/>
      </w:pPr>
      <w:r>
        <w:t>**Stochastique** : Le %K (90,909) et le %D (94,242) évoluent en zone de surachat (&gt;80), avec un %K légèrement sous le %D, signalant un essoufflement possible. Cette configuration justifie la décision de **Vente** à court terme, un repli technique étant probable.</w:t>
      </w:r>
    </w:p>
    <w:p>
      <w:pPr>
        <w:spacing w:after="120" w:line="276" w:lineRule="auto"/>
      </w:pPr>
      <w:r>
        <w:t>**Conclusion technique** : Les indicateurs sont divergents — le MACD suggère un rebond tandis que les moyennes mobiles et le stochastique plaident pour la prudence. Le titre évolue dans une zone de consolidation (7 500-8 300 FCFA) avec un biais légèrement baissier de court terme, mais la configuration du MACD laisse entrevoir une possible reprise si le cours franchit la MM50 (8 344 FCFA). La prudence reste de mise avant confirmation.</w:t>
      </w:r>
    </w:p>
    <w:p>
      <w:pPr>
        <w:spacing w:after="120" w:line="276" w:lineRule="auto"/>
      </w:pPr>
      <w:r>
        <w:t>---</w:t>
      </w:r>
    </w:p>
    <w:p>
      <w:pPr>
        <w:spacing w:after="120" w:line="276" w:lineRule="auto"/>
      </w:pPr>
      <w:r>
        <w:t>## PARTIE 3 : ANALYSE FONDAMENTALE</w:t>
      </w:r>
    </w:p>
    <w:p>
      <w:pPr>
        <w:spacing w:after="120" w:line="276" w:lineRule="auto"/>
      </w:pPr>
      <w:r>
        <w:t>**Données structurées (exercice 2025)** : SPHC affiche un chiffre d'affaires de **340,831 milliards FCFA**, en croissance de **+21,97%** sur un an, portée par la hausse des volumes et des prix du caoutchouc. Le résultat net s'établit à **24,972 milliards FCFA**, avec une marge nette de **7,33%** et un **ROE de 18,10%** (excellent, &gt;15%) ainsi qu'un **ROA de 11,06%**, confirmant une rentabilité solide des capitaux propres et des actifs. La structure financière est saine : autonomie financière de **61,08%**, ratio d'endettement maîtrisé de **25,81%**, et couverture des intérêts de **1 094,57%**, traduisant une capacité de remboursement confortable (0,97 an de CAF). En tant qu'entreprise agro-industrielle, les délais d'exploitation méritent attention : **35 jours de délai clients** (risque de trésorerie modéré) et **72,33 jours de stockage** (immobilisation de capital significative), tandis que le BFR de 65,389 milliards FCFA pèse sur la trésorerie nette, négative à **-15,413 milliards FCFA**.</w:t>
      </w:r>
    </w:p>
    <w:p>
      <w:pPr>
        <w:spacing w:after="120" w:line="276" w:lineRule="auto"/>
      </w:pPr>
      <w:r>
        <w:t>**Évolution et rapports narratifs** : Le rapport annuel 2024 (publié le 31/12/2024) confirmait déjà la dynamique avec un CA de 279,4 milliards FCFA (+35,3%) et un résultat net de 18,8 milliards FCFA (+416,8%). Les rapports trimestriels 2025 (T1 au 31/03/2025, S1 au 30/06/2025, T3 au 30/09/2025) montrent une accélération spectaculaire : CA T1 de 94,3 milliards (+72%), S1 de 171,4 milliards (+51%), T3 cumulé de 253,7 milliards (+36%), avec un résultat net T3 de 23,2 milliards (+131%). **Cependant, le rapport T1 2026 (publié en 2026) révèle un net retournement** : CA de 71,8 milliards (-24%), résultat net de 2,6 milliards (-78%), marge nette réduite à 4%, pénalisé par la chute des cours mondiaux du caoutchouc (SICOM 20 à 1,91 USD/kg), l'engorgement du port de San Pedro et la concurrence accrue sur la matière première. **Estimation** : sur la base de ce T1 2026, l'exercice 2026 devrait accuser une contraction significative de la rentabilité, sauf redressement des cours au second semestre. La solidité du bilan (capitaux propres de 137,9 milliards FCFA) et la politique de dividende (489 FCFA/action, soit un rendement de 6,1% au cours actuel) constituent des amortisseurs, mais la dépendance sectorielle (98,6% du CA en produits fabriqués) et la trésorerie négative restent des points de vigilance majeurs.</w:t>
      </w:r>
    </w:p>
    <w:p>
      <w:pPr>
        <w:spacing w:after="120" w:line="276" w:lineRule="auto"/>
      </w:pPr>
      <w:r>
        <w:t>---</w:t>
      </w:r>
    </w:p>
    <w:p>
      <w:pPr>
        <w:spacing w:after="120" w:line="276" w:lineRule="auto"/>
      </w:pPr>
      <w:r>
        <w:t>## PARTIE 4 : CONCLUSION D'INVESTISSEMENT</w:t>
      </w:r>
    </w:p>
    <w:p>
      <w:pPr>
        <w:spacing w:after="120" w:line="276" w:lineRule="auto"/>
      </w:pPr>
      <w:r>
        <w:t>La valorisation (Partie 0) plaide clairement pour une **sous-évaluation** : PER de 8,2x, P/B de 1,48x et EV/EBITDA de 5,1x sont tous inférieurs aux moyennes de marché, offrant une marge de sécurité attractive. Le comportement du cours (Partie 1) est globalement favorable (+16,11% sur 100 jours) mais la volatilité élevée (43,3%) et le kurtosis leptokurtique (1,767) signalent un risque de pics baissiers, tandis que le skewness positif (1,457) indique une asymétrie haussière. Les signaux techniques (Partie 2) sont **divergents** : MACD haussier mais MM baissières et stochastique en surachat, plaidant pour une consolidation avant reprise. Les fondamentaux (Partie 3) présentent un **contraste temporel** : exercice 2025 excellent (ROE 18,1%, croissance +22%) mais T1 2026 alarmant (-78% de résultat net), ce qui tempère l'optimisme. Les **prédictions IA (J+1 à J+10)** anticipent une trajectoire baissière (7 925 → 7 771 FCFA, soit -2,9%), confirmant la pression de court terme révélée par le stochastique et les MM.</w:t>
      </w:r>
    </w:p>
    <w:p>
      <w:pPr>
        <w:spacing w:after="120" w:line="276" w:lineRule="auto"/>
      </w:pPr>
      <w:r>
        <w:t>**Recommandation finale : CONSERVER**</w:t>
        <w:br/>
        <w:t>La convergence est partielle : la sous-évaluation et la solidité du bilan soutiennent le titre, mais la dégradation du T1 2026, la trésorerie négative et les signaux techniques baissiers à court terme incitent à la prudence. Un **ACHAT** serait justifié si le cours revenait vers 7 500 FCFA (support) ou si les cours du caoutchouc se redressaient durablement. **Niveau de confiance : Moyen** — les fondamentaux 2025 sont solides mais l'incertitude 2026 est élevée. **Niveau de risque global : Élevé** (volatilité 43,3%, dépendance sectorielle, trésorerie négative). **Horizon optimal : Moyen terme (3-12 mois)**, le temps que la visibilité sur les cours du caoutchouc et la rentabilité 2026 se clarifie, avec un rendement dividende attractif de 6,1% en attendant.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43.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28.36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6,214 titres</w:t>
            </w:r>
          </w:p>
        </w:tc>
        <w:tc>
          <w:tcPr>
            <w:tcW w:type="dxa" w:w="2268"/>
            <w:shd w:fill="FFF2CC" w:val="clear"/>
          </w:tcPr>
          <w:p>
            <w:r>
              <w:rPr>
                <w:b/>
                <w:color w:val="503200"/>
                <w:sz w:val="16"/>
              </w:rPr>
              <w:t xml:space="preserve">Cours actuel : </w:t>
            </w:r>
            <w:r>
              <w:rPr>
                <w:color w:val="000000"/>
                <w:sz w:val="17"/>
              </w:rPr>
              <w:t>2,110 FCFA</w:t>
            </w:r>
          </w:p>
          <w:p>
            <w:r>
              <w:rPr>
                <w:b/>
                <w:color w:val="503200"/>
                <w:sz w:val="16"/>
              </w:rPr>
              <w:t xml:space="preserve">Var. 100 jours : </w:t>
            </w:r>
            <w:r>
              <w:rPr>
                <w:b/>
                <w:color w:val="B40000"/>
                <w:sz w:val="17"/>
              </w:rPr>
              <w:t>-21.27%</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2,065 FCFA</w:t>
            </w:r>
          </w:p>
          <w:p>
            <w:r>
              <w:rPr>
                <w:b/>
                <w:color w:val="503200"/>
                <w:sz w:val="16"/>
              </w:rPr>
              <w:t xml:space="preserve">Volatilité ann. : </w:t>
            </w:r>
            <w:r>
              <w:rPr>
                <w:color w:val="000000"/>
                <w:sz w:val="17"/>
              </w:rPr>
              <w:t>60.8%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30.8/100 → Moyen</w:t>
      </w:r>
    </w:p>
    <w:p>
      <w:pPr>
        <w:spacing w:before="40" w:after="80"/>
      </w:pPr>
      <w:r>
        <w:rPr>
          <w:rFonts w:ascii="Courier New" w:hAnsi="Courier New"/>
          <w:color w:val="825A00"/>
          <w:sz w:val="18"/>
        </w:rPr>
        <w:t>██████░░░░░░░░░░░░░░  30.8/100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15.26% (Élevée) — μ=2,839 FCFA, σ=433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β=-0.1011 (Contre-cyclique) — Cov=-0.000007, Var(idx)=0.000073, ρ=-0.023,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6,214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σ_j=3.83%/j (Modérée) — Vol. annualisée≈60.8%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9287"/>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1,990</w:t>
            </w:r>
          </w:p>
        </w:tc>
        <w:tc>
          <w:tcPr>
            <w:tcW w:type="dxa" w:w="1440"/>
            <w:shd w:fill="FAFAFA" w:val="clear"/>
          </w:tcPr>
          <w:p>
            <w:r>
              <w:rPr>
                <w:b/>
                <w:sz w:val="17"/>
              </w:rPr>
              <w:t>2,137</w:t>
            </w:r>
          </w:p>
        </w:tc>
        <w:tc>
          <w:tcPr>
            <w:tcW w:type="dxa" w:w="1440"/>
            <w:shd w:fill="FAFAFA" w:val="clear"/>
          </w:tcPr>
          <w:p>
            <w:r>
              <w:rPr>
                <w:sz w:val="17"/>
              </w:rPr>
              <w:t>2,285</w:t>
            </w:r>
          </w:p>
        </w:tc>
        <w:tc>
          <w:tcPr>
            <w:tcW w:type="dxa" w:w="1440"/>
            <w:shd w:fill="FAFAFA" w:val="clear"/>
          </w:tcPr>
          <w:p>
            <w:r>
              <w:rPr>
                <w:b/>
                <w:color w:val="008000"/>
                <w:sz w:val="17"/>
              </w:rPr>
              <w:t>+1.3%</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1,927</w:t>
            </w:r>
          </w:p>
        </w:tc>
        <w:tc>
          <w:tcPr>
            <w:tcW w:type="dxa" w:w="1440"/>
            <w:shd w:fill="FAFAFA" w:val="clear"/>
          </w:tcPr>
          <w:p>
            <w:r>
              <w:rPr>
                <w:b/>
                <w:sz w:val="17"/>
              </w:rPr>
              <w:t>2,136</w:t>
            </w:r>
          </w:p>
        </w:tc>
        <w:tc>
          <w:tcPr>
            <w:tcW w:type="dxa" w:w="1440"/>
            <w:shd w:fill="FAFAFA" w:val="clear"/>
          </w:tcPr>
          <w:p>
            <w:r>
              <w:rPr>
                <w:sz w:val="17"/>
              </w:rPr>
              <w:t>2,345</w:t>
            </w:r>
          </w:p>
        </w:tc>
        <w:tc>
          <w:tcPr>
            <w:tcW w:type="dxa" w:w="1440"/>
            <w:shd w:fill="FAFAFA" w:val="clear"/>
          </w:tcPr>
          <w:p>
            <w:r>
              <w:rPr>
                <w:b/>
                <w:color w:val="008000"/>
                <w:sz w:val="17"/>
              </w:rPr>
              <w:t>+1.2%</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1,880</w:t>
            </w:r>
          </w:p>
        </w:tc>
        <w:tc>
          <w:tcPr>
            <w:tcW w:type="dxa" w:w="1440"/>
            <w:shd w:fill="FAFAFA" w:val="clear"/>
          </w:tcPr>
          <w:p>
            <w:r>
              <w:rPr>
                <w:b/>
                <w:sz w:val="17"/>
              </w:rPr>
              <w:t>2,136</w:t>
            </w:r>
          </w:p>
        </w:tc>
        <w:tc>
          <w:tcPr>
            <w:tcW w:type="dxa" w:w="1440"/>
            <w:shd w:fill="FAFAFA" w:val="clear"/>
          </w:tcPr>
          <w:p>
            <w:r>
              <w:rPr>
                <w:sz w:val="17"/>
              </w:rPr>
              <w:t>2,392</w:t>
            </w:r>
          </w:p>
        </w:tc>
        <w:tc>
          <w:tcPr>
            <w:tcW w:type="dxa" w:w="1440"/>
            <w:shd w:fill="FAFAFA" w:val="clear"/>
          </w:tcPr>
          <w:p>
            <w:r>
              <w:rPr>
                <w:b/>
                <w:color w:val="008000"/>
                <w:sz w:val="17"/>
              </w:rPr>
              <w:t>+1.2%</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1,841</w:t>
            </w:r>
          </w:p>
        </w:tc>
        <w:tc>
          <w:tcPr>
            <w:tcW w:type="dxa" w:w="1440"/>
            <w:shd w:fill="FAFAFA" w:val="clear"/>
          </w:tcPr>
          <w:p>
            <w:r>
              <w:rPr>
                <w:b/>
                <w:sz w:val="17"/>
              </w:rPr>
              <w:t>2,136</w:t>
            </w:r>
          </w:p>
        </w:tc>
        <w:tc>
          <w:tcPr>
            <w:tcW w:type="dxa" w:w="1440"/>
            <w:shd w:fill="FAFAFA" w:val="clear"/>
          </w:tcPr>
          <w:p>
            <w:r>
              <w:rPr>
                <w:sz w:val="17"/>
              </w:rPr>
              <w:t>2,432</w:t>
            </w:r>
          </w:p>
        </w:tc>
        <w:tc>
          <w:tcPr>
            <w:tcW w:type="dxa" w:w="1440"/>
            <w:shd w:fill="FAFAFA" w:val="clear"/>
          </w:tcPr>
          <w:p>
            <w:r>
              <w:rPr>
                <w:b/>
                <w:color w:val="008000"/>
                <w:sz w:val="17"/>
              </w:rPr>
              <w:t>+1.3%</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1,807</w:t>
            </w:r>
          </w:p>
        </w:tc>
        <w:tc>
          <w:tcPr>
            <w:tcW w:type="dxa" w:w="1440"/>
            <w:shd w:fill="FAFAFA" w:val="clear"/>
          </w:tcPr>
          <w:p>
            <w:r>
              <w:rPr>
                <w:b/>
                <w:sz w:val="17"/>
              </w:rPr>
              <w:t>2,137</w:t>
            </w:r>
          </w:p>
        </w:tc>
        <w:tc>
          <w:tcPr>
            <w:tcW w:type="dxa" w:w="1440"/>
            <w:shd w:fill="FAFAFA" w:val="clear"/>
          </w:tcPr>
          <w:p>
            <w:r>
              <w:rPr>
                <w:sz w:val="17"/>
              </w:rPr>
              <w:t>2,468</w:t>
            </w:r>
          </w:p>
        </w:tc>
        <w:tc>
          <w:tcPr>
            <w:tcW w:type="dxa" w:w="1440"/>
            <w:shd w:fill="FAFAFA" w:val="clear"/>
          </w:tcPr>
          <w:p>
            <w:r>
              <w:rPr>
                <w:b/>
                <w:color w:val="008000"/>
                <w:sz w:val="17"/>
              </w:rPr>
              <w:t>+1.3%</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1,775</w:t>
            </w:r>
          </w:p>
        </w:tc>
        <w:tc>
          <w:tcPr>
            <w:tcW w:type="dxa" w:w="1440"/>
            <w:shd w:fill="FAFAFA" w:val="clear"/>
          </w:tcPr>
          <w:p>
            <w:r>
              <w:rPr>
                <w:b/>
                <w:sz w:val="17"/>
              </w:rPr>
              <w:t>2,138</w:t>
            </w:r>
          </w:p>
        </w:tc>
        <w:tc>
          <w:tcPr>
            <w:tcW w:type="dxa" w:w="1440"/>
            <w:shd w:fill="FAFAFA" w:val="clear"/>
          </w:tcPr>
          <w:p>
            <w:r>
              <w:rPr>
                <w:sz w:val="17"/>
              </w:rPr>
              <w:t>2,500</w:t>
            </w:r>
          </w:p>
        </w:tc>
        <w:tc>
          <w:tcPr>
            <w:tcW w:type="dxa" w:w="1440"/>
            <w:shd w:fill="FAFAFA" w:val="clear"/>
          </w:tcPr>
          <w:p>
            <w:r>
              <w:rPr>
                <w:b/>
                <w:color w:val="008000"/>
                <w:sz w:val="17"/>
              </w:rPr>
              <w:t>+1.3%</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1,747</w:t>
            </w:r>
          </w:p>
        </w:tc>
        <w:tc>
          <w:tcPr>
            <w:tcW w:type="dxa" w:w="1440"/>
            <w:shd w:fill="FAFAFA" w:val="clear"/>
          </w:tcPr>
          <w:p>
            <w:r>
              <w:rPr>
                <w:b/>
                <w:sz w:val="17"/>
              </w:rPr>
              <w:t>2,138</w:t>
            </w:r>
          </w:p>
        </w:tc>
        <w:tc>
          <w:tcPr>
            <w:tcW w:type="dxa" w:w="1440"/>
            <w:shd w:fill="FAFAFA" w:val="clear"/>
          </w:tcPr>
          <w:p>
            <w:r>
              <w:rPr>
                <w:sz w:val="17"/>
              </w:rPr>
              <w:t>2,529</w:t>
            </w:r>
          </w:p>
        </w:tc>
        <w:tc>
          <w:tcPr>
            <w:tcW w:type="dxa" w:w="1440"/>
            <w:shd w:fill="FAFAFA" w:val="clear"/>
          </w:tcPr>
          <w:p>
            <w:r>
              <w:rPr>
                <w:b/>
                <w:color w:val="008000"/>
                <w:sz w:val="17"/>
              </w:rPr>
              <w:t>+1.3%</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1,720</w:t>
            </w:r>
          </w:p>
        </w:tc>
        <w:tc>
          <w:tcPr>
            <w:tcW w:type="dxa" w:w="1440"/>
            <w:shd w:fill="FAFAFA" w:val="clear"/>
          </w:tcPr>
          <w:p>
            <w:r>
              <w:rPr>
                <w:b/>
                <w:sz w:val="17"/>
              </w:rPr>
              <w:t>2,138</w:t>
            </w:r>
          </w:p>
        </w:tc>
        <w:tc>
          <w:tcPr>
            <w:tcW w:type="dxa" w:w="1440"/>
            <w:shd w:fill="FAFAFA" w:val="clear"/>
          </w:tcPr>
          <w:p>
            <w:r>
              <w:rPr>
                <w:sz w:val="17"/>
              </w:rPr>
              <w:t>2,557</w:t>
            </w:r>
          </w:p>
        </w:tc>
        <w:tc>
          <w:tcPr>
            <w:tcW w:type="dxa" w:w="1440"/>
            <w:shd w:fill="FAFAFA" w:val="clear"/>
          </w:tcPr>
          <w:p>
            <w:r>
              <w:rPr>
                <w:b/>
                <w:color w:val="008000"/>
                <w:sz w:val="17"/>
              </w:rPr>
              <w:t>+1.3%</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1,695</w:t>
            </w:r>
          </w:p>
        </w:tc>
        <w:tc>
          <w:tcPr>
            <w:tcW w:type="dxa" w:w="1440"/>
            <w:shd w:fill="FAFAFA" w:val="clear"/>
          </w:tcPr>
          <w:p>
            <w:r>
              <w:rPr>
                <w:b/>
                <w:sz w:val="17"/>
              </w:rPr>
              <w:t>2,139</w:t>
            </w:r>
          </w:p>
        </w:tc>
        <w:tc>
          <w:tcPr>
            <w:tcW w:type="dxa" w:w="1440"/>
            <w:shd w:fill="FAFAFA" w:val="clear"/>
          </w:tcPr>
          <w:p>
            <w:r>
              <w:rPr>
                <w:sz w:val="17"/>
              </w:rPr>
              <w:t>2,582</w:t>
            </w:r>
          </w:p>
        </w:tc>
        <w:tc>
          <w:tcPr>
            <w:tcW w:type="dxa" w:w="1440"/>
            <w:shd w:fill="FAFAFA" w:val="clear"/>
          </w:tcPr>
          <w:p>
            <w:r>
              <w:rPr>
                <w:b/>
                <w:color w:val="008000"/>
                <w:sz w:val="17"/>
              </w:rPr>
              <w:t>+1.4%</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1,671</w:t>
            </w:r>
          </w:p>
        </w:tc>
        <w:tc>
          <w:tcPr>
            <w:tcW w:type="dxa" w:w="1440"/>
            <w:shd w:fill="FAFAFA" w:val="clear"/>
          </w:tcPr>
          <w:p>
            <w:r>
              <w:rPr>
                <w:b/>
                <w:sz w:val="17"/>
              </w:rPr>
              <w:t>2,139</w:t>
            </w:r>
          </w:p>
        </w:tc>
        <w:tc>
          <w:tcPr>
            <w:tcW w:type="dxa" w:w="1440"/>
            <w:shd w:fill="FAFAFA" w:val="clear"/>
          </w:tcPr>
          <w:p>
            <w:r>
              <w:rPr>
                <w:sz w:val="17"/>
              </w:rPr>
              <w:t>2,607</w:t>
            </w:r>
          </w:p>
        </w:tc>
        <w:tc>
          <w:tcPr>
            <w:tcW w:type="dxa" w:w="1440"/>
            <w:shd w:fill="FAFAFA" w:val="clear"/>
          </w:tcPr>
          <w:p>
            <w:r>
              <w:rPr>
                <w:b/>
                <w:color w:val="008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ACTION STAC (SETAO)**</w:t>
        <w:br/>
        <w:t>**Bourse Régionale des Valeurs Mobilières (BRVM) — Secteur : BTP / Entreprise**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STAC s'établit à 28,36 milliards FCFA, un niveau modeste à l'échelle de la BRVM qui la classe parmi les petites capitalisations du compartiment entreprise. Le BPA ressort à -7 FCFA par action, traduisant une société déficitaire dont chaque titre détruit de la valeur comptable plutôt qu'il n'en génère. Le PER de -293,7x est mécaniquement négatif et donc non interprétable en termes de multiple de bénéfices — il confirme simplement l'absence de profits ; à titre de comparaison, le PER moyen de la BRVM se situe entre 8x et 12x, ce qui rend le titre incomparable aux valeurs rentables du marché. Le P/B de 79,49x constitue le signal le plus alarmant : le marché valorise l'action à près de 80 fois sa valeur comptable (capitaux propres de 356,75 M FCFA seulement), une prime totalement déconnectée des fondamentaux et symptomatique d'une valorisation spéculative portée par l'anticipation du chantier aéroportuaire d'Abidjan. En l'absence de données EV/EBITDA exploitables (EBE négatif à -650,13 M FCFA), la lecture de la valorisation reste dominée par ce paradoxe entre prix de marché élevé et réalité comptable dégradée.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STAC a chuté de -21,27%, avec une dernière séance particulièrement violente à -3,87%, portant le titre à 2 110 FCFA. Le range de trading est très large, entre un plus haut de 3 640 FCFA et un plus bas de 2 065 FCFA — le cours actuel évolue donc à proximité immédiate de son plancher, ce qui traduit une tendance baissière structurelle et un essoufflement de la dynamique acheteuse. Les statistiques descriptives révèlent une moyenne (2 839 FCFA) légèrement supérieure à la médiane (2 808 FCFA), signe d'une distribution quasi symétrique mais avec quelques points hauts tirant la moyenne vers le haut ; le mode à 3 500 FCFA, très éloigné du cours actuel, confirme que le titre a longtemps stagné sur des niveaux désormais abandonnés. L'écart-type de 435 FCFA (CV de 15,3%) indique une dispersion modérée en relatif, mais le kurtosis de -0,860 (mésokurtique) et le skewness de 0,137 (distribution symétrique) suggèrent l'absence de pics extrêmes récents — le mouvement baissier est donc progressif et ordonné plutôt que brutal. La volatilité annualisée de 60,8% classe le titre dans la catégorie des valeurs à volatilité élevée (&gt;30%), ce qui implique un risque de marché important et justifie une prime de risque exigée élevée de la part des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(2 258,25 FCFA) et la MM50 (2 491,5 FCFA) sont toutes deux supérieures au cours actuel (2 110 FCFA), avec une MM20 en dessous de la MM50 — configuration baissière typique. Le cours évoluant sous ses deux moyennes, la pression vendeuse domine et la décision technique est logiquement **Vente**.</w:t>
      </w:r>
    </w:p>
    <w:p>
      <w:pPr>
        <w:spacing w:after="120" w:line="276" w:lineRule="auto"/>
      </w:pPr>
      <w:r>
        <w:t>**Bandes de Bollinger** : Le cours (2 110 FCFA) se situe dans la moitié basse du canal, entre la borne inférieure (1 925,68 FCFA) et la borne supérieure (2 590,82 FCFA), sans franchissement des extrêmes. Cette position médiane-basse avec un canal large reflète une volatilité persistante mais sans excès, justifiant la décision **Neutre**.</w:t>
      </w:r>
    </w:p>
    <w:p>
      <w:pPr>
        <w:spacing w:after="120" w:line="276" w:lineRule="auto"/>
      </w:pPr>
      <w:r>
        <w:t>**MACD** : Le MACD (-118,105) est légèrement au-dessus de son signal (-121,686), générant un croisement haussier marginal. Cette divergence positive, bien que faible en amplitude, suggère un essoufflement de la dynamique baissière et justifie la décision **Achat** — mais avec prudence, le momentum restant profondément négatif.</w:t>
      </w:r>
    </w:p>
    <w:p>
      <w:pPr>
        <w:spacing w:after="120" w:line="276" w:lineRule="auto"/>
      </w:pPr>
      <w:r>
        <w:t>**RSI** : À 44,251, le RSI se situe en zone neutre (30-70), sans signal de surachat ni de survente. Cette position médiane indique un équilibre relatif entre acheteurs et vendeurs, sans force directionnelle claire, d'où la décision **Neutre**.</w:t>
      </w:r>
    </w:p>
    <w:p>
      <w:pPr>
        <w:spacing w:after="120" w:line="276" w:lineRule="auto"/>
      </w:pPr>
      <w:r>
        <w:t>**Stochastique** : Le %K (14,286) et le %D (18,519) sont tous deux en zone de survente (&lt;20), avec un %K sous le %D — configuration qui précède souvent un rebond technique. Cette lecture justifie la décision **Achat**, mais le signal reste fragile tant que le croisement haussier n'est pas confirmé.</w:t>
      </w:r>
    </w:p>
    <w:p>
      <w:pPr>
        <w:spacing w:after="120" w:line="276" w:lineRule="auto"/>
      </w:pPr>
      <w:r>
        <w:t>**Conclusion technique** : Les indicateurs sont divergents — les moyennes mobiles confirment la tendance baissière de fond, tandis que le MACD et le stochastique suggèrent un possible rebond technique à court terme depuis la zone de survente. Le RSI neutre et la position médiane dans les bandes de Bollinger traduisent une absence de signal fort. La convergence partielle plaide pour une stabilisation autour de 2 100 FCFA, avec un risque de cassure baissière vers 1 925 FCFA si le support ne tient pas.</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de STAC (exercice clos, données structurées) affichent un chiffre d'affaires de 3,878 milliards FCFA, en croissance spectaculaire de +116,26% — portée par le chantier de l'aéroport d'Abidjan — mais un résultat net négatif de -96,56 M FCFA et un EBE déficitaire de -650,13 M FCFA, révélant une structure de coûts inadaptée au niveau d'activité. Le ROE s'établit à -27,07% et le ROA à -1,77%, confirmant la destruction de valeur ; la marge nette de -2,49% et la marge opérationnelle de -19,90% traduisent une rentabilité opérationnelle profondément dégradée. En tant qu'entreprise du BTP, les points critiques sont le BFR négatif (-930,47 M FCFA, favorable car financé par les clients/avances), la trésorerie nette positive de 1,330 Md FCFA (coussin de sécurité réel), mais surtout une autonomie financière catastrophique de 6,55% (capitaux propres/total bilan) contre un seuil sain de 30%, et un ratio d'endettement de 93,45% — la solvabilité (107%) reste juste au-dessus de 1 mais très fragile. Les rapports narratifs confirment cette trajectoire : le rapport du 30/09/2025 (T3 2025) indique un CA cumulé de 3 456 M FCFA (+176%) avec une perte nette réduite de 22% à -477 M FCFA, tandis que le rapport S1 2025 (30/06/2025) faisait état d'une perte de -557 M FCFA malgré un CA de 2 271 M FCFA (+290%) — la réduction progressive des pertes d'exploitation (-50% au T3) est encourageante mais insuffisante. On estime, sur la base de ces rapports trimestriels, que l'exercice 2026 devrait confirmer la poursuite de la réduction des pertes si le carnet de commandes se maintient, mais la dépendance à un unique projet (aéroport d'Abidjan) et l'absence de dividendes depuis 2018 constituent des risques majeurs. La recommandation fondamentale est **prudence** : la société est en convalescence opérationnelle mais reste structurellement fragile, sans visibilité sur la rentabilité durable.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profondément paradoxale : un P/B de 79,49x et un PER négatif signalent une action surévaluée par rapport à ses fondamentaux comptables, portée par la spéculation sur le projet aéroportuaire. Le comportement du cours (Partie 1) est baissier (-21,27% sur 100 jours), avec une volatilité élevée (60,8%) et une distribution symétrique sans pics extrêmes — le titre évolue près de son plus bas annuel, ce qui constitue un signal préoccupant mais aussi une zone potentielle de rebond technique. Les signaux techniques (Partie 2) sont divergents : les moyennes mobiles confirment la tendance baissière, mais le MACD et le stochastique en survente suggèrent un rebond imminent — la convergence n'est pas acquise. Les fondamentaux (Partie 3) montrent une amélioration opérationnelle réelle (CA +116%, pertes réduites) mais une structure financière très dégradée (autonomie financière 6,55%, ROE -27%) et une dépendance critique à un seul chantier. Les prédictions IA (J+1 à J+10) anticipent une stabilisation autour de 2 136-2 137 FCFA, soit une quasi-stagnation qui contredit le rebond technique espéré mais confirme l'absence de catalyseur haussier immédiat. **Recommandation finale : CONSERVER (avec vigilance)** — la convergence entre technique (survente), fondamental (amélioration progressive) et prédiction (stabilisation) ne justifie ni un achat agressif ni une vente panique, mais le niveau de confiance est **Faible** et le risque global **Élevé** en raison de la fragilité financière et de la dépendance au projet aéroportuaire. L'horizon optimal est le **moyen terme (3-12 mois)**, le temps que les prochains rapports trimestriels confirment ou infirment la trajectoire de redressement — un stop-loss strict sous 2 000 FCFA est impératif pour les investisseurs déjà positionnés.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44.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382.44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3,598 titres</w:t>
            </w:r>
          </w:p>
        </w:tc>
        <w:tc>
          <w:tcPr>
            <w:tcW w:type="dxa" w:w="2268"/>
            <w:shd w:fill="FFF2CC" w:val="clear"/>
          </w:tcPr>
          <w:p>
            <w:r>
              <w:rPr>
                <w:b/>
                <w:color w:val="503200"/>
                <w:sz w:val="16"/>
              </w:rPr>
              <w:t xml:space="preserve">Cours actuel : </w:t>
            </w:r>
            <w:r>
              <w:rPr>
                <w:color w:val="000000"/>
                <w:sz w:val="17"/>
              </w:rPr>
              <w:t>21,300 FCFA</w:t>
            </w:r>
          </w:p>
          <w:p>
            <w:r>
              <w:rPr>
                <w:b/>
                <w:color w:val="503200"/>
                <w:sz w:val="16"/>
              </w:rPr>
              <w:t xml:space="preserve">Var. 100 jours : </w:t>
            </w:r>
            <w:r>
              <w:rPr>
                <w:b/>
                <w:color w:val="007800"/>
                <w:sz w:val="17"/>
              </w:rPr>
              <w:t>+1.43%</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20,895 FCFA</w:t>
            </w:r>
          </w:p>
          <w:p>
            <w:r>
              <w:rPr>
                <w:b/>
                <w:color w:val="503200"/>
                <w:sz w:val="16"/>
              </w:rPr>
              <w:t xml:space="preserve">Volatilité ann. : </w:t>
            </w:r>
            <w:r>
              <w:rPr>
                <w:color w:val="000000"/>
                <w:sz w:val="17"/>
              </w:rPr>
              <w:t>36.7%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4.92% (Faible) — μ=22,567 FCFA, σ=1,111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β=0.4420 (Défensif) — Cov=0.000032, Var(idx)=0.000073, ρ=0.163,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3,598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2026-10-12</w:t>
            </w:r>
          </w:p>
        </w:tc>
        <w:tc>
          <w:tcPr>
            <w:tcW w:type="dxa" w:w="1440"/>
            <w:shd w:fill="C6EFCE" w:val="clear"/>
          </w:tcPr>
          <w:p>
            <w:r>
              <w:rPr>
                <w:sz w:val="17"/>
              </w:rPr>
              <w:t>21,492</w:t>
            </w:r>
          </w:p>
        </w:tc>
        <w:tc>
          <w:tcPr>
            <w:tcW w:type="dxa" w:w="1440"/>
            <w:shd w:fill="C6EFCE" w:val="clear"/>
          </w:tcPr>
          <w:p>
            <w:r>
              <w:rPr>
                <w:b/>
                <w:sz w:val="17"/>
              </w:rPr>
              <w:t>22,102</w:t>
            </w:r>
          </w:p>
        </w:tc>
        <w:tc>
          <w:tcPr>
            <w:tcW w:type="dxa" w:w="1440"/>
            <w:shd w:fill="C6EFCE" w:val="clear"/>
          </w:tcPr>
          <w:p>
            <w:r>
              <w:rPr>
                <w:sz w:val="17"/>
              </w:rPr>
              <w:t>22,713</w:t>
            </w:r>
          </w:p>
        </w:tc>
        <w:tc>
          <w:tcPr>
            <w:tcW w:type="dxa" w:w="1440"/>
            <w:shd w:fill="C6EFCE" w:val="clear"/>
          </w:tcPr>
          <w:p>
            <w:r>
              <w:rPr>
                <w:b/>
                <w:color w:val="008000"/>
                <w:sz w:val="17"/>
              </w:rPr>
              <w:t>+3.8%</w:t>
            </w:r>
          </w:p>
        </w:tc>
      </w:tr>
      <w:tr>
        <w:tc>
          <w:tcPr>
            <w:tcW w:type="dxa" w:w="1440"/>
            <w:shd w:fill="C6EFCE" w:val="clear"/>
          </w:tcPr>
          <w:p>
            <w:r>
              <w:rPr>
                <w:sz w:val="17"/>
              </w:rPr>
              <w:t>J+2  Moyenne</w:t>
            </w:r>
          </w:p>
        </w:tc>
        <w:tc>
          <w:tcPr>
            <w:tcW w:type="dxa" w:w="1440"/>
            <w:shd w:fill="C6EFCE" w:val="clear"/>
          </w:tcPr>
          <w:p>
            <w:r>
              <w:rPr>
                <w:sz w:val="17"/>
              </w:rPr>
              <w:t>2026-10-13</w:t>
            </w:r>
          </w:p>
        </w:tc>
        <w:tc>
          <w:tcPr>
            <w:tcW w:type="dxa" w:w="1440"/>
            <w:shd w:fill="C6EFCE" w:val="clear"/>
          </w:tcPr>
          <w:p>
            <w:r>
              <w:rPr>
                <w:sz w:val="17"/>
              </w:rPr>
              <w:t>21,503</w:t>
            </w:r>
          </w:p>
        </w:tc>
        <w:tc>
          <w:tcPr>
            <w:tcW w:type="dxa" w:w="1440"/>
            <w:shd w:fill="C6EFCE" w:val="clear"/>
          </w:tcPr>
          <w:p>
            <w:r>
              <w:rPr>
                <w:b/>
                <w:sz w:val="17"/>
              </w:rPr>
              <w:t>22,377</w:t>
            </w:r>
          </w:p>
        </w:tc>
        <w:tc>
          <w:tcPr>
            <w:tcW w:type="dxa" w:w="1440"/>
            <w:shd w:fill="C6EFCE" w:val="clear"/>
          </w:tcPr>
          <w:p>
            <w:r>
              <w:rPr>
                <w:sz w:val="17"/>
              </w:rPr>
              <w:t>23,252</w:t>
            </w:r>
          </w:p>
        </w:tc>
        <w:tc>
          <w:tcPr>
            <w:tcW w:type="dxa" w:w="1440"/>
            <w:shd w:fill="C6EFCE" w:val="clear"/>
          </w:tcPr>
          <w:p>
            <w:r>
              <w:rPr>
                <w:b/>
                <w:color w:val="008000"/>
                <w:sz w:val="17"/>
              </w:rPr>
              <w:t>+5.1%</w:t>
            </w:r>
          </w:p>
        </w:tc>
      </w:tr>
      <w:tr>
        <w:tc>
          <w:tcPr>
            <w:tcW w:type="dxa" w:w="1440"/>
            <w:shd w:fill="C6EFCE" w:val="clear"/>
          </w:tcPr>
          <w:p>
            <w:r>
              <w:rPr>
                <w:sz w:val="17"/>
              </w:rPr>
              <w:t>J+3  ⭐</w:t>
            </w:r>
          </w:p>
        </w:tc>
        <w:tc>
          <w:tcPr>
            <w:tcW w:type="dxa" w:w="1440"/>
            <w:shd w:fill="C6EFCE" w:val="clear"/>
          </w:tcPr>
          <w:p>
            <w:r>
              <w:rPr>
                <w:sz w:val="17"/>
              </w:rPr>
              <w:t>2026-10-14</w:t>
            </w:r>
          </w:p>
        </w:tc>
        <w:tc>
          <w:tcPr>
            <w:tcW w:type="dxa" w:w="1440"/>
            <w:shd w:fill="C6EFCE" w:val="clear"/>
          </w:tcPr>
          <w:p>
            <w:r>
              <w:rPr>
                <w:sz w:val="17"/>
              </w:rPr>
              <w:t>21,670</w:t>
            </w:r>
          </w:p>
        </w:tc>
        <w:tc>
          <w:tcPr>
            <w:tcW w:type="dxa" w:w="1440"/>
            <w:shd w:fill="C6EFCE" w:val="clear"/>
          </w:tcPr>
          <w:p>
            <w:r>
              <w:rPr>
                <w:b/>
                <w:sz w:val="17"/>
              </w:rPr>
              <w:t>22,759</w:t>
            </w:r>
          </w:p>
        </w:tc>
        <w:tc>
          <w:tcPr>
            <w:tcW w:type="dxa" w:w="1440"/>
            <w:shd w:fill="C6EFCE" w:val="clear"/>
          </w:tcPr>
          <w:p>
            <w:r>
              <w:rPr>
                <w:sz w:val="17"/>
              </w:rPr>
              <w:t>23,848</w:t>
            </w:r>
          </w:p>
        </w:tc>
        <w:tc>
          <w:tcPr>
            <w:tcW w:type="dxa" w:w="1440"/>
            <w:shd w:fill="C6EFCE" w:val="clear"/>
          </w:tcPr>
          <w:p>
            <w:r>
              <w:rPr>
                <w:b/>
                <w:color w:val="008000"/>
                <w:sz w:val="17"/>
              </w:rPr>
              <w:t>+6.9%</w:t>
            </w:r>
          </w:p>
        </w:tc>
      </w:tr>
      <w:tr>
        <w:tc>
          <w:tcPr>
            <w:tcW w:type="dxa" w:w="1440"/>
            <w:shd w:fill="C6EFCE" w:val="clear"/>
          </w:tcPr>
          <w:p>
            <w:r>
              <w:rPr>
                <w:sz w:val="17"/>
              </w:rPr>
              <w:t>J+4  ⭐</w:t>
            </w:r>
          </w:p>
        </w:tc>
        <w:tc>
          <w:tcPr>
            <w:tcW w:type="dxa" w:w="1440"/>
            <w:shd w:fill="C6EFCE" w:val="clear"/>
          </w:tcPr>
          <w:p>
            <w:r>
              <w:rPr>
                <w:sz w:val="17"/>
              </w:rPr>
              <w:t>2026-10-15</w:t>
            </w:r>
          </w:p>
        </w:tc>
        <w:tc>
          <w:tcPr>
            <w:tcW w:type="dxa" w:w="1440"/>
            <w:shd w:fill="C6EFCE" w:val="clear"/>
          </w:tcPr>
          <w:p>
            <w:r>
              <w:rPr>
                <w:sz w:val="17"/>
              </w:rPr>
              <w:t>21,756</w:t>
            </w:r>
          </w:p>
        </w:tc>
        <w:tc>
          <w:tcPr>
            <w:tcW w:type="dxa" w:w="1440"/>
            <w:shd w:fill="C6EFCE" w:val="clear"/>
          </w:tcPr>
          <w:p>
            <w:r>
              <w:rPr>
                <w:b/>
                <w:sz w:val="17"/>
              </w:rPr>
              <w:t>23,028</w:t>
            </w:r>
          </w:p>
        </w:tc>
        <w:tc>
          <w:tcPr>
            <w:tcW w:type="dxa" w:w="1440"/>
            <w:shd w:fill="C6EFCE" w:val="clear"/>
          </w:tcPr>
          <w:p>
            <w:r>
              <w:rPr>
                <w:sz w:val="17"/>
              </w:rPr>
              <w:t>24,301</w:t>
            </w:r>
          </w:p>
        </w:tc>
        <w:tc>
          <w:tcPr>
            <w:tcW w:type="dxa" w:w="1440"/>
            <w:shd w:fill="C6EFCE" w:val="clear"/>
          </w:tcPr>
          <w:p>
            <w:r>
              <w:rPr>
                <w:b/>
                <w:color w:val="008000"/>
                <w:sz w:val="17"/>
              </w:rPr>
              <w:t>+8.1%</w:t>
            </w:r>
          </w:p>
        </w:tc>
      </w:tr>
      <w:tr>
        <w:tc>
          <w:tcPr>
            <w:tcW w:type="dxa" w:w="1440"/>
            <w:shd w:fill="C6EFCE" w:val="clear"/>
          </w:tcPr>
          <w:p>
            <w:r>
              <w:rPr>
                <w:sz w:val="17"/>
              </w:rPr>
              <w:t>J+5  ⭐</w:t>
            </w:r>
          </w:p>
        </w:tc>
        <w:tc>
          <w:tcPr>
            <w:tcW w:type="dxa" w:w="1440"/>
            <w:shd w:fill="C6EFCE" w:val="clear"/>
          </w:tcPr>
          <w:p>
            <w:r>
              <w:rPr>
                <w:sz w:val="17"/>
              </w:rPr>
              <w:t>2026-10-16</w:t>
            </w:r>
          </w:p>
        </w:tc>
        <w:tc>
          <w:tcPr>
            <w:tcW w:type="dxa" w:w="1440"/>
            <w:shd w:fill="C6EFCE" w:val="clear"/>
          </w:tcPr>
          <w:p>
            <w:r>
              <w:rPr>
                <w:sz w:val="17"/>
              </w:rPr>
              <w:t>21,848</w:t>
            </w:r>
          </w:p>
        </w:tc>
        <w:tc>
          <w:tcPr>
            <w:tcW w:type="dxa" w:w="1440"/>
            <w:shd w:fill="C6EFCE" w:val="clear"/>
          </w:tcPr>
          <w:p>
            <w:r>
              <w:rPr>
                <w:b/>
                <w:sz w:val="17"/>
              </w:rPr>
              <w:t>23,287</w:t>
            </w:r>
          </w:p>
        </w:tc>
        <w:tc>
          <w:tcPr>
            <w:tcW w:type="dxa" w:w="1440"/>
            <w:shd w:fill="C6EFCE" w:val="clear"/>
          </w:tcPr>
          <w:p>
            <w:r>
              <w:rPr>
                <w:sz w:val="17"/>
              </w:rPr>
              <w:t>24,725</w:t>
            </w:r>
          </w:p>
        </w:tc>
        <w:tc>
          <w:tcPr>
            <w:tcW w:type="dxa" w:w="1440"/>
            <w:shd w:fill="C6EFCE" w:val="clear"/>
          </w:tcPr>
          <w:p>
            <w:r>
              <w:rPr>
                <w:b/>
                <w:color w:val="008000"/>
                <w:sz w:val="17"/>
              </w:rPr>
              <w:t>+9.3%</w:t>
            </w:r>
          </w:p>
        </w:tc>
      </w:tr>
      <w:tr>
        <w:tc>
          <w:tcPr>
            <w:tcW w:type="dxa" w:w="1440"/>
            <w:shd w:fill="C6EFCE" w:val="clear"/>
          </w:tcPr>
          <w:p>
            <w:r>
              <w:rPr>
                <w:sz w:val="17"/>
              </w:rPr>
              <w:t>J+6  ⭐</w:t>
            </w:r>
          </w:p>
        </w:tc>
        <w:tc>
          <w:tcPr>
            <w:tcW w:type="dxa" w:w="1440"/>
            <w:shd w:fill="C6EFCE" w:val="clear"/>
          </w:tcPr>
          <w:p>
            <w:r>
              <w:rPr>
                <w:sz w:val="17"/>
              </w:rPr>
              <w:t>2026-10-19</w:t>
            </w:r>
          </w:p>
        </w:tc>
        <w:tc>
          <w:tcPr>
            <w:tcW w:type="dxa" w:w="1440"/>
            <w:shd w:fill="C6EFCE" w:val="clear"/>
          </w:tcPr>
          <w:p>
            <w:r>
              <w:rPr>
                <w:sz w:val="17"/>
              </w:rPr>
              <w:t>21,918</w:t>
            </w:r>
          </w:p>
        </w:tc>
        <w:tc>
          <w:tcPr>
            <w:tcW w:type="dxa" w:w="1440"/>
            <w:shd w:fill="C6EFCE" w:val="clear"/>
          </w:tcPr>
          <w:p>
            <w:r>
              <w:rPr>
                <w:b/>
                <w:sz w:val="17"/>
              </w:rPr>
              <w:t>23,509</w:t>
            </w:r>
          </w:p>
        </w:tc>
        <w:tc>
          <w:tcPr>
            <w:tcW w:type="dxa" w:w="1440"/>
            <w:shd w:fill="C6EFCE" w:val="clear"/>
          </w:tcPr>
          <w:p>
            <w:r>
              <w:rPr>
                <w:sz w:val="17"/>
              </w:rPr>
              <w:t>25,100</w:t>
            </w:r>
          </w:p>
        </w:tc>
        <w:tc>
          <w:tcPr>
            <w:tcW w:type="dxa" w:w="1440"/>
            <w:shd w:fill="C6EFCE" w:val="clear"/>
          </w:tcPr>
          <w:p>
            <w:r>
              <w:rPr>
                <w:b/>
                <w:color w:val="008000"/>
                <w:sz w:val="17"/>
              </w:rPr>
              <w:t>+10.4%</w:t>
            </w:r>
          </w:p>
        </w:tc>
      </w:tr>
      <w:tr>
        <w:tc>
          <w:tcPr>
            <w:tcW w:type="dxa" w:w="1440"/>
            <w:shd w:fill="C6EFCE" w:val="clear"/>
          </w:tcPr>
          <w:p>
            <w:r>
              <w:rPr>
                <w:sz w:val="17"/>
              </w:rPr>
              <w:t>J+7  ⭐</w:t>
            </w:r>
          </w:p>
        </w:tc>
        <w:tc>
          <w:tcPr>
            <w:tcW w:type="dxa" w:w="1440"/>
            <w:shd w:fill="C6EFCE" w:val="clear"/>
          </w:tcPr>
          <w:p>
            <w:r>
              <w:rPr>
                <w:sz w:val="17"/>
              </w:rPr>
              <w:t>2026-10-20</w:t>
            </w:r>
          </w:p>
        </w:tc>
        <w:tc>
          <w:tcPr>
            <w:tcW w:type="dxa" w:w="1440"/>
            <w:shd w:fill="C6EFCE" w:val="clear"/>
          </w:tcPr>
          <w:p>
            <w:r>
              <w:rPr>
                <w:sz w:val="17"/>
              </w:rPr>
              <w:t>21,959</w:t>
            </w:r>
          </w:p>
        </w:tc>
        <w:tc>
          <w:tcPr>
            <w:tcW w:type="dxa" w:w="1440"/>
            <w:shd w:fill="C6EFCE" w:val="clear"/>
          </w:tcPr>
          <w:p>
            <w:r>
              <w:rPr>
                <w:b/>
                <w:sz w:val="17"/>
              </w:rPr>
              <w:t>23,691</w:t>
            </w:r>
          </w:p>
        </w:tc>
        <w:tc>
          <w:tcPr>
            <w:tcW w:type="dxa" w:w="1440"/>
            <w:shd w:fill="C6EFCE" w:val="clear"/>
          </w:tcPr>
          <w:p>
            <w:r>
              <w:rPr>
                <w:sz w:val="17"/>
              </w:rPr>
              <w:t>25,422</w:t>
            </w:r>
          </w:p>
        </w:tc>
        <w:tc>
          <w:tcPr>
            <w:tcW w:type="dxa" w:w="1440"/>
            <w:shd w:fill="C6EFCE" w:val="clear"/>
          </w:tcPr>
          <w:p>
            <w:r>
              <w:rPr>
                <w:b/>
                <w:color w:val="008000"/>
                <w:sz w:val="17"/>
              </w:rPr>
              <w:t>+11.2%</w:t>
            </w:r>
          </w:p>
        </w:tc>
      </w:tr>
      <w:tr>
        <w:tc>
          <w:tcPr>
            <w:tcW w:type="dxa" w:w="1440"/>
            <w:shd w:fill="C6EFCE" w:val="clear"/>
          </w:tcPr>
          <w:p>
            <w:r>
              <w:rPr>
                <w:sz w:val="17"/>
              </w:rPr>
              <w:t>J+8  ⭐</w:t>
            </w:r>
          </w:p>
        </w:tc>
        <w:tc>
          <w:tcPr>
            <w:tcW w:type="dxa" w:w="1440"/>
            <w:shd w:fill="C6EFCE" w:val="clear"/>
          </w:tcPr>
          <w:p>
            <w:r>
              <w:rPr>
                <w:sz w:val="17"/>
              </w:rPr>
              <w:t>2026-10-21</w:t>
            </w:r>
          </w:p>
        </w:tc>
        <w:tc>
          <w:tcPr>
            <w:tcW w:type="dxa" w:w="1440"/>
            <w:shd w:fill="C6EFCE" w:val="clear"/>
          </w:tcPr>
          <w:p>
            <w:r>
              <w:rPr>
                <w:sz w:val="17"/>
              </w:rPr>
              <w:t>21,978</w:t>
            </w:r>
          </w:p>
        </w:tc>
        <w:tc>
          <w:tcPr>
            <w:tcW w:type="dxa" w:w="1440"/>
            <w:shd w:fill="C6EFCE" w:val="clear"/>
          </w:tcPr>
          <w:p>
            <w:r>
              <w:rPr>
                <w:b/>
                <w:sz w:val="17"/>
              </w:rPr>
              <w:t>23,841</w:t>
            </w:r>
          </w:p>
        </w:tc>
        <w:tc>
          <w:tcPr>
            <w:tcW w:type="dxa" w:w="1440"/>
            <w:shd w:fill="C6EFCE" w:val="clear"/>
          </w:tcPr>
          <w:p>
            <w:r>
              <w:rPr>
                <w:sz w:val="17"/>
              </w:rPr>
              <w:t>25,703</w:t>
            </w:r>
          </w:p>
        </w:tc>
        <w:tc>
          <w:tcPr>
            <w:tcW w:type="dxa" w:w="1440"/>
            <w:shd w:fill="C6EFCE" w:val="clear"/>
          </w:tcPr>
          <w:p>
            <w:r>
              <w:rPr>
                <w:b/>
                <w:color w:val="008000"/>
                <w:sz w:val="17"/>
              </w:rPr>
              <w:t>+11.9%</w:t>
            </w:r>
          </w:p>
        </w:tc>
      </w:tr>
      <w:tr>
        <w:tc>
          <w:tcPr>
            <w:tcW w:type="dxa" w:w="1440"/>
            <w:shd w:fill="C6EFCE" w:val="clear"/>
          </w:tcPr>
          <w:p>
            <w:r>
              <w:rPr>
                <w:sz w:val="17"/>
              </w:rPr>
              <w:t>J+9  ⭐</w:t>
            </w:r>
          </w:p>
        </w:tc>
        <w:tc>
          <w:tcPr>
            <w:tcW w:type="dxa" w:w="1440"/>
            <w:shd w:fill="C6EFCE" w:val="clear"/>
          </w:tcPr>
          <w:p>
            <w:r>
              <w:rPr>
                <w:sz w:val="17"/>
              </w:rPr>
              <w:t>2026-10-22</w:t>
            </w:r>
          </w:p>
        </w:tc>
        <w:tc>
          <w:tcPr>
            <w:tcW w:type="dxa" w:w="1440"/>
            <w:shd w:fill="C6EFCE" w:val="clear"/>
          </w:tcPr>
          <w:p>
            <w:r>
              <w:rPr>
                <w:sz w:val="17"/>
              </w:rPr>
              <w:t>21,991</w:t>
            </w:r>
          </w:p>
        </w:tc>
        <w:tc>
          <w:tcPr>
            <w:tcW w:type="dxa" w:w="1440"/>
            <w:shd w:fill="C6EFCE" w:val="clear"/>
          </w:tcPr>
          <w:p>
            <w:r>
              <w:rPr>
                <w:b/>
                <w:sz w:val="17"/>
              </w:rPr>
              <w:t>23,978</w:t>
            </w:r>
          </w:p>
        </w:tc>
        <w:tc>
          <w:tcPr>
            <w:tcW w:type="dxa" w:w="1440"/>
            <w:shd w:fill="C6EFCE" w:val="clear"/>
          </w:tcPr>
          <w:p>
            <w:r>
              <w:rPr>
                <w:sz w:val="17"/>
              </w:rPr>
              <w:t>25,965</w:t>
            </w:r>
          </w:p>
        </w:tc>
        <w:tc>
          <w:tcPr>
            <w:tcW w:type="dxa" w:w="1440"/>
            <w:shd w:fill="C6EFCE" w:val="clear"/>
          </w:tcPr>
          <w:p>
            <w:r>
              <w:rPr>
                <w:b/>
                <w:color w:val="008000"/>
                <w:sz w:val="17"/>
              </w:rPr>
              <w:t>+12.6%</w:t>
            </w:r>
          </w:p>
        </w:tc>
      </w:tr>
      <w:tr>
        <w:tc>
          <w:tcPr>
            <w:tcW w:type="dxa" w:w="1440"/>
            <w:shd w:fill="C6EFCE" w:val="clear"/>
          </w:tcPr>
          <w:p>
            <w:r>
              <w:rPr>
                <w:sz w:val="17"/>
              </w:rPr>
              <w:t>J+10  ⭐</w:t>
            </w:r>
          </w:p>
        </w:tc>
        <w:tc>
          <w:tcPr>
            <w:tcW w:type="dxa" w:w="1440"/>
            <w:shd w:fill="C6EFCE" w:val="clear"/>
          </w:tcPr>
          <w:p>
            <w:r>
              <w:rPr>
                <w:sz w:val="17"/>
              </w:rPr>
              <w:t>2026-10-23</w:t>
            </w:r>
          </w:p>
        </w:tc>
        <w:tc>
          <w:tcPr>
            <w:tcW w:type="dxa" w:w="1440"/>
            <w:shd w:fill="C6EFCE" w:val="clear"/>
          </w:tcPr>
          <w:p>
            <w:r>
              <w:rPr>
                <w:sz w:val="17"/>
              </w:rPr>
              <w:t>21,994</w:t>
            </w:r>
          </w:p>
        </w:tc>
        <w:tc>
          <w:tcPr>
            <w:tcW w:type="dxa" w:w="1440"/>
            <w:shd w:fill="C6EFCE" w:val="clear"/>
          </w:tcPr>
          <w:p>
            <w:r>
              <w:rPr>
                <w:b/>
                <w:sz w:val="17"/>
              </w:rPr>
              <w:t>24,099</w:t>
            </w:r>
          </w:p>
        </w:tc>
        <w:tc>
          <w:tcPr>
            <w:tcW w:type="dxa" w:w="1440"/>
            <w:shd w:fill="C6EFCE" w:val="clear"/>
          </w:tcPr>
          <w:p>
            <w:r>
              <w:rPr>
                <w:sz w:val="17"/>
              </w:rPr>
              <w:t>26,204</w:t>
            </w:r>
          </w:p>
        </w:tc>
        <w:tc>
          <w:tcPr>
            <w:tcW w:type="dxa" w:w="1440"/>
            <w:shd w:fill="C6EFCE" w:val="clear"/>
          </w:tcPr>
          <w:p>
            <w:r>
              <w:rPr>
                <w:b/>
                <w:color w:val="008000"/>
                <w:sz w:val="17"/>
              </w:rPr>
              <w:t>+13.1%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(SITAB S.A.)**</w:t>
        <w:br/>
        <w:t>*Bourse Régionale des Valeurs Mobilières (BRVM) — Secteur : Entreprise non bancaire (Distribution de tabac)*</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382,44 milliards FCFA, STBC s'impose comme l'une des valeurs les plus importantes de la cote BRVM, ce qui en fait un pilier de l'indice composite. Le BPA de 2 014 FCFA/action signifie que chaque titre génère un bénéfice net de plus de deux mille francs, un niveau élevé qui traduit la forte rentabilité intrinsèque de l'activité. Le PER de 10,6x se situe dans la fourchette modérée de la BRVM (moyenne ~8-12x), indiquant que les investisseurs ne paient pas de prime excessive par rapport aux bénéfices, ce qui est rassurant pour un titre de rendement. En revanche, le P/B de 8,44x, très supérieur au seuil de 4x, signale une valorisation exigeante : le marché paie plus de huit fois la valeur comptable des fonds propres, ce qui s'explique par la structure d'actifs légère de SITAB (peu d'immobilisations, activité de trading) et sa rentabilité exceptionnelle (ROE de 79,75%). Enfin, l'EV/EBITDA de 7,6x, dans la zone raisonnable de 5-10x, confirme que la valeur d'entreprise reste cohérente avec la capacité opérationnelle de génération de cash-flows, ce qui nuance le caractère exigeant du P/B.</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STBC affiche une variation totale quasi stable de +1,43%, mais la dernière séance (J-1) a enregistré un repli marqué de -1,82%, portant le cours à 21 300 FCFA. Le range de trading est relativement resserré, entre un plus haut de 25 000 FCFA et un plus bas de 20 895 FCFA, ce qui témoigne d'une tendance générale baissière depuis le pic, avec une érosion progressive du cours vers le bas de la fourchette. Les statistiques descriptives révèlent une moyenne de 22 567 FCFA supérieure à la médiane de 22 218 FCFA, avec un mode à 22 000 FCFA : cet écart confirme une asymétrie positive (skewness de 0,573), signifiant que davantage de journées se sont négociées sous la moyenne, le cours ayant été tiré vers le haut par quelques séances exceptionnelles. L'écart-type de 1 116 FCFA avec un coefficient de variation de 4,9% indique une dispersion modérée du cours autour de sa moyenne, tandis que le kurtosis de -0,703 (mésokurtique) suggère une distribution proche de la normale, sans risque majeur de pics extrêmes. La volatilité annualisée de 36,7% positionne clairement STBC dans la catégorie des titres à volatilité élevée (&gt;30%), ce qui implique un risque de fluctuation important à court terme, à intégrer dans toute stratégie d'investissement.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(21 662,25 FCFA) et la MM50 (22 424,70 FCFA) se situent toutes deux au-dessus du cours actuel (21 300 FCFA), avec la MM20 en dessous de la MM50, configuration baissière classique. Le cours évoluant sous ses deux moyennes, la pression vendeuse domine, ce qui justifie la décision technique de **Vente** émise par cet indicateur.</w:t>
      </w:r>
    </w:p>
    <w:p>
      <w:pPr>
        <w:spacing w:after="120" w:line="276" w:lineRule="auto"/>
      </w:pPr>
      <w:r>
        <w:t>**Bandes de Bollinger** : Le cours (21 300 FCFA) se situe dans la moitié inférieure de la bande, entre la borne inférieure (20 943,51 FCFA) et la borne supérieure (22 380,99 FCFA), sans atteindre les extrêmes. Cette position médiane, couplée à un rétrécissement des bandes, traduit une volatilité en compression et une absence de signal directionnel fort, d'où la décision **Neutre**.</w:t>
      </w:r>
    </w:p>
    <w:p>
      <w:pPr>
        <w:spacing w:after="120" w:line="276" w:lineRule="auto"/>
      </w:pPr>
      <w:r>
        <w:t>**MACD** : La valeur du MACD (-189,148) est supérieure à sa ligne de signal (-233,687), générant un croisement haussier bien que les deux courbes restent en territoire négatif. Ce différentiel positif indique un essoufflement de la dynamique baissière et un début de retournement du momentum, ce qui justifie la décision d'**Achat** malgré un contexte encore fragile.</w:t>
      </w:r>
    </w:p>
    <w:p>
      <w:pPr>
        <w:spacing w:after="120" w:line="276" w:lineRule="auto"/>
      </w:pPr>
      <w:r>
        <w:t>**RSI** : À 39,203, le RSI se situe dans la zone neutre basse (30-70), sans atteindre le seuil de survente (&lt;30). Le titre n'est donc ni survendu ni suracheté, mais la proximité de la zone de survente suggère une pression baissière modérée et un potentiel de rebond limité à court terme, d'où la décision **Neutre**.</w:t>
      </w:r>
    </w:p>
    <w:p>
      <w:pPr>
        <w:spacing w:after="120" w:line="276" w:lineRule="auto"/>
      </w:pPr>
      <w:r>
        <w:t>**Stochastique** : Le %K (37,5) est inférieur au %D (64,198), configuration baissière indiquant que le momentum de court terme faiblit. Le croisement des deux lignes en zone médiane, sans atteindre la zone de survente, confirme l'absence de signal fort et justifie la décision **Neutre**.</w:t>
      </w:r>
    </w:p>
    <w:p>
      <w:pPr>
        <w:spacing w:after="120" w:line="276" w:lineRule="auto"/>
      </w:pPr>
      <w:r>
        <w:t>**Conclusion technique** : Les indicateurs techniques présentent un tableau mitigé, avec une majorité de signaux neutres (Bollinger, RSI, Stochastique) et une divergence entre la pression baissière des moyennes mobiles (Vente) et le début de retournement du MACD (Achat). Le cours évolue sous ses moyennes mobiles mais au-dessus de la borne inférieure de Bollinger, dans un contexte de volatilité comprimée. Cette configuration suggère une phase de consolidation, avec un risque de poursuite baissière à court terme mais un potentiel de rebond technique si le MACD confirme son croisement.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annuels de SITAB (exercice clos le 31 décembre 2025) affichent un chiffre d'affaires de 268,537 milliards FCFA, en forte croissance de +25,3% par rapport à 2024, portée par une hausse des volumes de 5,6% et un effet prix favorable. Le résultat net s'établit à 36,158 milliards FCFA, en recul de -17,5% sur un an, sous l'effet de la hausse des droits d'accises (de 49% à 70% en janvier 2025) et d'un contrôle fiscal ayant alourdi les charges. La rentabilité reste néanmoins exceptionnelle, avec un ROE de 79,75% et un ROA de 48,09%, bien supérieurs aux standards du marché, tandis que la marge nette se contracte à 13,46% (contre 20,4% en 2024). La structure financière est très saine : autonomie financière de 60,3%, dettes financières quasi nulles (1,4 million FCFA), trésorerie nette de 30,763 milliards FCFA et liquidité générale de 225%. Le BFR de 5,639 milliards FCFA et le délai client de 42,57 jours restent maîtrisés pour une activité de distribution, avec une rotation des stocks très rapide (5,73 jours). Sur la base du rapport T2 2026 (publié en 2026), le chiffre d'affaires trimestriel progresse de +1% à 70,05 milliards FCFA, avec un résultat net quasi stable à 8,64 milliards FCFA (-0,2%), confirmant la résilience de la rentabilité malgré un environnement fiscal contraignant. Le rapport T1 2026 (publié en 2026) indique une croissance du CA de +12% à 68,8 milliards FCFA et des volumes en hausse de +10%, signalant un redressement commercial, mais un résultat d'exploitation en baisse de -6% sous l'effet de la pression sur les marges. On estime donc que l'exercice 2026 devrait afficher une croissance modérée du chiffre d'affaires, avec une rentabilité nette stabilisée autour de 12-13%, soutenue par la solidité du bilan et l'absence d'endettement. La recommandation fondamentale est de **Conserver** le titre : la société reste une valeur de rendement attractive (dividende de 1 940 FCFA/action, soit un rendement de ~9,1% au cours actuel), mais les risques réglementaires et la compression des marges incitent à la prudence avant tout renforcement.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STBC présente un profil contrasté : le PER de 10,6x et l'EV/EBITDA de 7,6x indiquent une valorisation raisonnable, mais le P/B de 8,44x traduit une prime exigeante qui n'est justifiée que par la rentabilité exceptionnelle (ROE de 79,75%). Le comportement du cours sur 100 jours est préoccupant : tendance baissière depuis le pic de 25 000 FCFA, volatilité élevée (36,7%), skewness positive (0,573) et kurtosis mésokurtique (-0,703) suggérant une distribution normale sans risque extrême, mais une pression vendeuse persistante. Les signaux techniques sont mitigés : les moyennes mobiles sont baissières (Vente), le MACD donne un signal d'Achat (croisement haussier), tandis que Bollinger, RSI et Stochastique restent neutres, dessinant une phase de consolidation sans direction claire. Les fondamentaux demeurent solides : chiffre d'affaires en croissance de +25,3% en 2025, absence de dettes, trésorerie confortable, mais résultat net en repli de -17,5% et marges sous pression, avec des rapports T1 et T2 2026 confirmant une stabilisation à un niveau de rentabilité inférieur. Les prédictions IA pour les 10 prochains jours ouvrables anticipent une trajectoire haussière modérée, de 22 102 FCFA (J+1) à 23 287 FCFA (J+10), soit un potentiel de +9,3% depuis le cours actuel de 21 300 FCFA, ce qui contredit la tendance baissière récente et suggère un rebond technique. Sur la base de cette synthèse, la recommandation finale est **CONSERVER**, avec un niveau de confiance **Moyen** et un risque global **Moyen**. En effet, la convergence entre la valorisation raisonnable (PER/EV-EBITDA), la solidité fondamentale (zéro dette, trésorerie élevée) et les prédictions haussières à court terme soutient le maintien en portefeuille, mais la divergence avec les signaux techniques baissiers (moyennes mobiles) et la dégradation des marges incitent à la prudence. L'horizon d'investissement optimal est le **moyen terme (3-12 mois)**, le temps que la société confirme la maîtrise de ses coûts et que le dividende attire de nouveau les investisseurs, avec un potentiel de rendement total (dividende + appréciation) attractif pour un investisseur patient.</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45.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180.70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6,724 titres</w:t>
            </w:r>
          </w:p>
        </w:tc>
        <w:tc>
          <w:tcPr>
            <w:tcW w:type="dxa" w:w="2268"/>
            <w:shd w:fill="FFF2CC" w:val="clear"/>
          </w:tcPr>
          <w:p>
            <w:r>
              <w:rPr>
                <w:b/>
                <w:color w:val="503200"/>
                <w:sz w:val="16"/>
              </w:rPr>
              <w:t xml:space="preserve">Cours actuel : </w:t>
            </w:r>
            <w:r>
              <w:rPr>
                <w:color w:val="000000"/>
                <w:sz w:val="17"/>
              </w:rPr>
              <w:t>2,870 FCFA</w:t>
            </w:r>
          </w:p>
          <w:p>
            <w:r>
              <w:rPr>
                <w:b/>
                <w:color w:val="503200"/>
                <w:sz w:val="16"/>
              </w:rPr>
              <w:t xml:space="preserve">Var. 100 jours : </w:t>
            </w:r>
            <w:r>
              <w:rPr>
                <w:b/>
                <w:color w:val="B40000"/>
                <w:sz w:val="17"/>
              </w:rPr>
              <w:t>-1.20%</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2,770 FCFA</w:t>
            </w:r>
          </w:p>
          <w:p>
            <w:r>
              <w:rPr>
                <w:b/>
                <w:color w:val="503200"/>
                <w:sz w:val="16"/>
              </w:rPr>
              <w:t xml:space="preserve">Volatilité ann. : </w:t>
            </w:r>
            <w:r>
              <w:rPr>
                <w:color w:val="000000"/>
                <w:sz w:val="17"/>
              </w:rPr>
              <w:t>40.9%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6.30% (Moyenne) — μ=3,023 FCFA, σ=191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β=0.1390 (Défensif) — Cov=0.000010, Var(idx)=0.000073, ρ=0.046,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6,724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σ_j=2.58%/j (Stable) — Vol. annualisée≈40.9%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2,786</w:t>
            </w:r>
          </w:p>
        </w:tc>
        <w:tc>
          <w:tcPr>
            <w:tcW w:type="dxa" w:w="1440"/>
            <w:shd w:fill="FAFAFA" w:val="clear"/>
          </w:tcPr>
          <w:p>
            <w:r>
              <w:rPr>
                <w:b/>
                <w:sz w:val="17"/>
              </w:rPr>
              <w:t>2,882</w:t>
            </w:r>
          </w:p>
        </w:tc>
        <w:tc>
          <w:tcPr>
            <w:tcW w:type="dxa" w:w="1440"/>
            <w:shd w:fill="FAFAFA" w:val="clear"/>
          </w:tcPr>
          <w:p>
            <w:r>
              <w:rPr>
                <w:sz w:val="17"/>
              </w:rPr>
              <w:t>2,978</w:t>
            </w:r>
          </w:p>
        </w:tc>
        <w:tc>
          <w:tcPr>
            <w:tcW w:type="dxa" w:w="1440"/>
            <w:shd w:fill="FAFAFA" w:val="clear"/>
          </w:tcPr>
          <w:p>
            <w:r>
              <w:rPr>
                <w:b/>
                <w:color w:val="008000"/>
                <w:sz w:val="17"/>
              </w:rPr>
              <w:t>+0.4%</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2,745</w:t>
            </w:r>
          </w:p>
        </w:tc>
        <w:tc>
          <w:tcPr>
            <w:tcW w:type="dxa" w:w="1440"/>
            <w:shd w:fill="FAFAFA" w:val="clear"/>
          </w:tcPr>
          <w:p>
            <w:r>
              <w:rPr>
                <w:b/>
                <w:sz w:val="17"/>
              </w:rPr>
              <w:t>2,880</w:t>
            </w:r>
          </w:p>
        </w:tc>
        <w:tc>
          <w:tcPr>
            <w:tcW w:type="dxa" w:w="1440"/>
            <w:shd w:fill="FAFAFA" w:val="clear"/>
          </w:tcPr>
          <w:p>
            <w:r>
              <w:rPr>
                <w:sz w:val="17"/>
              </w:rPr>
              <w:t>3,016</w:t>
            </w:r>
          </w:p>
        </w:tc>
        <w:tc>
          <w:tcPr>
            <w:tcW w:type="dxa" w:w="1440"/>
            <w:shd w:fill="FAFAFA" w:val="clear"/>
          </w:tcPr>
          <w:p>
            <w:r>
              <w:rPr>
                <w:b/>
                <w:color w:val="008000"/>
                <w:sz w:val="17"/>
              </w:rPr>
              <w:t>+0.4%</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2,716</w:t>
            </w:r>
          </w:p>
        </w:tc>
        <w:tc>
          <w:tcPr>
            <w:tcW w:type="dxa" w:w="1440"/>
            <w:shd w:fill="FAFAFA" w:val="clear"/>
          </w:tcPr>
          <w:p>
            <w:r>
              <w:rPr>
                <w:b/>
                <w:sz w:val="17"/>
              </w:rPr>
              <w:t>2,882</w:t>
            </w:r>
          </w:p>
        </w:tc>
        <w:tc>
          <w:tcPr>
            <w:tcW w:type="dxa" w:w="1440"/>
            <w:shd w:fill="FAFAFA" w:val="clear"/>
          </w:tcPr>
          <w:p>
            <w:r>
              <w:rPr>
                <w:sz w:val="17"/>
              </w:rPr>
              <w:t>3,048</w:t>
            </w:r>
          </w:p>
        </w:tc>
        <w:tc>
          <w:tcPr>
            <w:tcW w:type="dxa" w:w="1440"/>
            <w:shd w:fill="FAFAFA" w:val="clear"/>
          </w:tcPr>
          <w:p>
            <w:r>
              <w:rPr>
                <w:b/>
                <w:color w:val="008000"/>
                <w:sz w:val="17"/>
              </w:rPr>
              <w:t>+0.4%</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2,690</w:t>
            </w:r>
          </w:p>
        </w:tc>
        <w:tc>
          <w:tcPr>
            <w:tcW w:type="dxa" w:w="1440"/>
            <w:shd w:fill="FAFAFA" w:val="clear"/>
          </w:tcPr>
          <w:p>
            <w:r>
              <w:rPr>
                <w:b/>
                <w:sz w:val="17"/>
              </w:rPr>
              <w:t>2,882</w:t>
            </w:r>
          </w:p>
        </w:tc>
        <w:tc>
          <w:tcPr>
            <w:tcW w:type="dxa" w:w="1440"/>
            <w:shd w:fill="FAFAFA" w:val="clear"/>
          </w:tcPr>
          <w:p>
            <w:r>
              <w:rPr>
                <w:sz w:val="17"/>
              </w:rPr>
              <w:t>3,073</w:t>
            </w:r>
          </w:p>
        </w:tc>
        <w:tc>
          <w:tcPr>
            <w:tcW w:type="dxa" w:w="1440"/>
            <w:shd w:fill="FAFAFA" w:val="clear"/>
          </w:tcPr>
          <w:p>
            <w:r>
              <w:rPr>
                <w:b/>
                <w:color w:val="008000"/>
                <w:sz w:val="17"/>
              </w:rPr>
              <w:t>+0.4%</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2,666</w:t>
            </w:r>
          </w:p>
        </w:tc>
        <w:tc>
          <w:tcPr>
            <w:tcW w:type="dxa" w:w="1440"/>
            <w:shd w:fill="FAFAFA" w:val="clear"/>
          </w:tcPr>
          <w:p>
            <w:r>
              <w:rPr>
                <w:b/>
                <w:sz w:val="17"/>
              </w:rPr>
              <w:t>2,880</w:t>
            </w:r>
          </w:p>
        </w:tc>
        <w:tc>
          <w:tcPr>
            <w:tcW w:type="dxa" w:w="1440"/>
            <w:shd w:fill="FAFAFA" w:val="clear"/>
          </w:tcPr>
          <w:p>
            <w:r>
              <w:rPr>
                <w:sz w:val="17"/>
              </w:rPr>
              <w:t>3,094</w:t>
            </w:r>
          </w:p>
        </w:tc>
        <w:tc>
          <w:tcPr>
            <w:tcW w:type="dxa" w:w="1440"/>
            <w:shd w:fill="FAFAFA" w:val="clear"/>
          </w:tcPr>
          <w:p>
            <w:r>
              <w:rPr>
                <w:b/>
                <w:color w:val="008000"/>
                <w:sz w:val="17"/>
              </w:rPr>
              <w:t>+0.3%</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2,643</w:t>
            </w:r>
          </w:p>
        </w:tc>
        <w:tc>
          <w:tcPr>
            <w:tcW w:type="dxa" w:w="1440"/>
            <w:shd w:fill="FAFAFA" w:val="clear"/>
          </w:tcPr>
          <w:p>
            <w:r>
              <w:rPr>
                <w:b/>
                <w:sz w:val="17"/>
              </w:rPr>
              <w:t>2,878</w:t>
            </w:r>
          </w:p>
        </w:tc>
        <w:tc>
          <w:tcPr>
            <w:tcW w:type="dxa" w:w="1440"/>
            <w:shd w:fill="FAFAFA" w:val="clear"/>
          </w:tcPr>
          <w:p>
            <w:r>
              <w:rPr>
                <w:sz w:val="17"/>
              </w:rPr>
              <w:t>3,112</w:t>
            </w:r>
          </w:p>
        </w:tc>
        <w:tc>
          <w:tcPr>
            <w:tcW w:type="dxa" w:w="1440"/>
            <w:shd w:fill="FAFAFA" w:val="clear"/>
          </w:tcPr>
          <w:p>
            <w:r>
              <w:rPr>
                <w:b/>
                <w:color w:val="008000"/>
                <w:sz w:val="17"/>
              </w:rPr>
              <w:t>+0.3%</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2,622</w:t>
            </w:r>
          </w:p>
        </w:tc>
        <w:tc>
          <w:tcPr>
            <w:tcW w:type="dxa" w:w="1440"/>
            <w:shd w:fill="FAFAFA" w:val="clear"/>
          </w:tcPr>
          <w:p>
            <w:r>
              <w:rPr>
                <w:b/>
                <w:sz w:val="17"/>
              </w:rPr>
              <w:t>2,875</w:t>
            </w:r>
          </w:p>
        </w:tc>
        <w:tc>
          <w:tcPr>
            <w:tcW w:type="dxa" w:w="1440"/>
            <w:shd w:fill="FAFAFA" w:val="clear"/>
          </w:tcPr>
          <w:p>
            <w:r>
              <w:rPr>
                <w:sz w:val="17"/>
              </w:rPr>
              <w:t>3,128</w:t>
            </w:r>
          </w:p>
        </w:tc>
        <w:tc>
          <w:tcPr>
            <w:tcW w:type="dxa" w:w="1440"/>
            <w:shd w:fill="FAFAFA" w:val="clear"/>
          </w:tcPr>
          <w:p>
            <w:r>
              <w:rPr>
                <w:b/>
                <w:color w:val="008000"/>
                <w:sz w:val="17"/>
              </w:rPr>
              <w:t>+0.2%</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2,603</w:t>
            </w:r>
          </w:p>
        </w:tc>
        <w:tc>
          <w:tcPr>
            <w:tcW w:type="dxa" w:w="1440"/>
            <w:shd w:fill="FAFAFA" w:val="clear"/>
          </w:tcPr>
          <w:p>
            <w:r>
              <w:rPr>
                <w:b/>
                <w:sz w:val="17"/>
              </w:rPr>
              <w:t>2,873</w:t>
            </w:r>
          </w:p>
        </w:tc>
        <w:tc>
          <w:tcPr>
            <w:tcW w:type="dxa" w:w="1440"/>
            <w:shd w:fill="FAFAFA" w:val="clear"/>
          </w:tcPr>
          <w:p>
            <w:r>
              <w:rPr>
                <w:sz w:val="17"/>
              </w:rPr>
              <w:t>3,143</w:t>
            </w:r>
          </w:p>
        </w:tc>
        <w:tc>
          <w:tcPr>
            <w:tcW w:type="dxa" w:w="1440"/>
            <w:shd w:fill="FAFAFA" w:val="clear"/>
          </w:tcPr>
          <w:p>
            <w:r>
              <w:rPr>
                <w:b/>
                <w:color w:val="008000"/>
                <w:sz w:val="17"/>
              </w:rPr>
              <w:t>+0.1%</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2,585</w:t>
            </w:r>
          </w:p>
        </w:tc>
        <w:tc>
          <w:tcPr>
            <w:tcW w:type="dxa" w:w="1440"/>
            <w:shd w:fill="FAFAFA" w:val="clear"/>
          </w:tcPr>
          <w:p>
            <w:r>
              <w:rPr>
                <w:b/>
                <w:sz w:val="17"/>
              </w:rPr>
              <w:t>2,871</w:t>
            </w:r>
          </w:p>
        </w:tc>
        <w:tc>
          <w:tcPr>
            <w:tcW w:type="dxa" w:w="1440"/>
            <w:shd w:fill="FAFAFA" w:val="clear"/>
          </w:tcPr>
          <w:p>
            <w:r>
              <w:rPr>
                <w:sz w:val="17"/>
              </w:rPr>
              <w:t>3,157</w:t>
            </w:r>
          </w:p>
        </w:tc>
        <w:tc>
          <w:tcPr>
            <w:tcW w:type="dxa" w:w="1440"/>
            <w:shd w:fill="FAFAFA" w:val="clear"/>
          </w:tcPr>
          <w:p>
            <w:r>
              <w:rPr>
                <w:b/>
                <w:color w:val="008000"/>
                <w:sz w:val="17"/>
              </w:rPr>
              <w:t>+0.0%</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2,567</w:t>
            </w:r>
          </w:p>
        </w:tc>
        <w:tc>
          <w:tcPr>
            <w:tcW w:type="dxa" w:w="1440"/>
            <w:shd w:fill="FAFAFA" w:val="clear"/>
          </w:tcPr>
          <w:p>
            <w:r>
              <w:rPr>
                <w:b/>
                <w:sz w:val="17"/>
              </w:rPr>
              <w:t>2,869</w:t>
            </w:r>
          </w:p>
        </w:tc>
        <w:tc>
          <w:tcPr>
            <w:tcW w:type="dxa" w:w="1440"/>
            <w:shd w:fill="FAFAFA" w:val="clear"/>
          </w:tcPr>
          <w:p>
            <w:r>
              <w:rPr>
                <w:sz w:val="17"/>
              </w:rPr>
              <w:t>3,170</w:t>
            </w:r>
          </w:p>
        </w:tc>
        <w:tc>
          <w:tcPr>
            <w:tcW w:type="dxa" w:w="1440"/>
            <w:shd w:fill="FAFAFA" w:val="clear"/>
          </w:tcPr>
          <w:p>
            <w:r>
              <w:rPr>
                <w:b/>
                <w:color w:val="C00000"/>
                <w:sz w:val="17"/>
              </w:rPr>
              <w:t>-0.0%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180,70 milliards FCFA, TTLC figure parmi les valeurs les plus importantes de la cote BRVM, ce qui témoigne de sa stature de leader du secteur énergétique ivoirien et de sa liquidité relative sur le marché régional. Le BPA de 144 FCFA/action indique que chaque titre génère un bénéfice net de 144 FCFA, ce qui, rapporté au cours actuel de 2 870 FCFA, donne un PER de 19,9x — nettement supérieur à la moyenne BRVM (8-12x), signalant que les investisseurs paient une prime de qualité pour cette valeur de rendement. Le ratio P/B de 4,99x confirme cette valorisation exigeante : le marché valorise l'entreprise à près de cinq fois ses fonds propres comptables (36,20 Mds FCFA), ce qui est élevé mais cohérent avec la forte rentabilité des capitaux propres (ROE de 25,1%). Enfin, l'EV/EBITDA de 10,5x situe la valeur totale (capitalisation + dette nette) à 10,5 fois sa capacité opérationnelle, un niveau modéré qui traduit une génération de cash-flow opérationnel solide (EBE de 22,35 Mds FCFA) mais une structure financière endettée.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TTLC affiche une variation quasi stable de -1,20%, mais la dernière séance a enregistré une chute brutale de -3,69%, ramenant le cours à 2 870 FCFA, tout près de son plus bas de période (2 770 FCFA) et loin de son plus haut (3 595 FCFA), soit un range de trading de 825 FCFA (environ 30% d'amplitude). La tendance générale est donc baissière sur la fin de période, le cours ayant progressivement cédé du terrain depuis les sommets de 3 595 FCFA pour se rapprocher du plancher. Les statistiques descriptives révèlent une moyenne de 3 023 FCFA supérieure à la médiane de 2 962 FCFA, avec un mode à 2 900 FCFA : cet écart entre moyenne et médiane, couplé à un skewness positif de 0,897, indique une asymétrie à droite — la plupart des séances se sont déroulées sous la moyenne, mais quelques journées de forte hausse ont tiré la moyenne vers le haut. L'écart-type de 192 FCFA (CV de 6,3%) traduit une dispersion modérée du cours autour de sa moyenne, tandis que le kurtosis de -0,282 (mésokurtique) suggère une distribution proche de la normale, sans risque excessif de pics extrêmes. La volatilité annualisée de 40,9% classe le titre dans la catégorie des valeurs à volatilité élevée (&gt;30%), ce qui implique un risque de prix significatif pour l'investisseur et justifie une approche prudente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(3 112,25 FCFA) et la MM50 (3 157,80 FCFA) sont toutes deux nettement supérieures au cours actuel (2 870 FCFA), avec la MM20 en dessous de la MM50 — configuration baissière classique. Le cours évoluant sous ses deux moyennes, la pression vendeuse domine et la décision technique est logiquement **Vente**.</w:t>
      </w:r>
    </w:p>
    <w:p>
      <w:pPr>
        <w:spacing w:after="120" w:line="276" w:lineRule="auto"/>
      </w:pPr>
      <w:r>
        <w:t>**Bandes de Bollinger** : Le cours (2 870 FCFA) se situe juste au-dessus de la borne inférieure (2 864,07 FCFA) et très loin de la borne supérieure (3 360,43 FCFA), ce qui indique une pression baissière forte mais aussi une possible zone de survente technique. La décision est **Neutre**, car le cours frôle le support inférieur sans le casser franchement.</w:t>
      </w:r>
    </w:p>
    <w:p>
      <w:pPr>
        <w:spacing w:after="120" w:line="276" w:lineRule="auto"/>
      </w:pPr>
      <w:r>
        <w:t>**MACD** : La valeur du MACD (-67,06) est inférieure à son signal (-42,19), confirmant un momentum baissier persistant. La divergence négative entre les deux lignes traduit une accélération de la tendance descendante, justifiant la décision **Vente**.</w:t>
      </w:r>
    </w:p>
    <w:p>
      <w:pPr>
        <w:spacing w:after="120" w:line="276" w:lineRule="auto"/>
      </w:pPr>
      <w:r>
        <w:t>**RSI** : À 30,67, le RSI se situe juste au-dessus du seuil de survente (30), ce qui indique que le titre est proche d'une zone de rebond potentiel mais n'y est pas encore entré. La décision est **Neutre**, car le RSI n'est ni en survente franche ni en territoire haussier.</w:t>
      </w:r>
    </w:p>
    <w:p>
      <w:pPr>
        <w:spacing w:after="120" w:line="276" w:lineRule="auto"/>
      </w:pPr>
      <w:r>
        <w:t>**Stochastique** : Le %K (0,0) est au plus bas absolu tandis que le %D (0,585) reste modéré, ce qui signale une divergence haussière potentielle — le %K étant en zone extrême de survente, un croisement à la hausse avec le %D pourrait déclencher un rebond. La décision est **Achat** sur cet indicateur isolé.</w:t>
      </w:r>
    </w:p>
    <w:p>
      <w:pPr>
        <w:spacing w:after="120" w:line="276" w:lineRule="auto"/>
      </w:pPr>
      <w:r>
        <w:t>**Conclusion technique** : Les indicateurs sont majoritairement baissiers (MM, MACD), mais le RSI et le stochastique signalent une survente proche, créant une divergence classique entre tendance et momentum. Le titre se trouve dans une zone de support critique (2 770-2 870 FCFA) où un rebond technique est possible, mais la tendance de fond reste négative tant que le cours n'aura pas reconquis la MM20 (3 112 FCFA). La prudence est de mise : un achat spéculatif sur rebond est envisageable, mais un investissement directionnel à la hausse nécessiterait une confirmation par cassure de la MM20.</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TotalEnergies Marketing Côte d'Ivoire a réalisé un chiffre d'affaires de 588,71 milliards FCFA, en repli de 5,2% par rapport à 2024 (621,04 Mds FCFA), dans un contexte de baisse des ventes hors réseau. Le résultat net s'établit à 9,087 milliards FCFA, en légère baisse de 3% par rapport à 2024 (9,374 Mds FCFA), mais la rentabilité opérationnelle s'améliore nettement : l'EBE progresse de 12% à 22,347 Mds FCFA et le résultat d'exploitation bondit de 18% à 12,329 Mds FCFA, preuve d'une meilleure maîtrise des marges. Le ROE reste excellent à 25,1% (résultat net / capitaux propres de 36,202 Mds FCFA), bien supérieur au seuil de 15% considéré comme remarquable, tandis que le ROA de 4,82% reflète la faible intensité capitalistique du modèle de distribution. La marge nette se maintient à 1,54% (contre 1,51% en 2024), typique d'un distributeur en volume. Sur le plan structurel, l'autonomie financière est faible (19,21%), l'endettement élevé (ratio dettes/capitaux propres de 90,23%) et la trésorerie nette négative (-21,926 Mds FCFA), ce qui constitue un point de vigilance majeur. Le BFR est négatif (-9,662 Mds FCFA), ce qui est favorable car il signifie que les fournisseurs financent une partie du cycle d'exploitation (délai fournisseurs de 49,72 jours), mais la liquidité générale (78,77%) reste inférieure au seuil de 1, signalant une tension sur la trésorerie à court terme. La capacité de remboursement est saine (1,71 an de dettes financières couvertes par la CAF de 19,106 Mds FCFA).</w:t>
      </w:r>
    </w:p>
    <w:p>
      <w:pPr>
        <w:spacing w:after="120" w:line="276" w:lineRule="auto"/>
      </w:pPr>
      <w:r>
        <w:t>**Estimations basées sur les rapports trimestriels** : Le rapport du T1 2026 (publié en 2026) indique un chiffre d'affaires de 154,392 Mds FCFA, en hausse de 4,3% sur un an, et un résultat net de 2,329 Mds FCFA (+5,5%), marquant un retour à la croissance après le repli de 2025. Le réseau compte désormais 182 stations-service, et la direction réaffirme sa stratégie d'investissement dans le GPL, les lubrifiants et l'expansion du réseau. Sur la base de ce T1 2026, on peut estimer que l'exercice 2026 devrait renouer avec une croissance modérée du chiffre d'affaires (autour de 3-5%) et une amélioration du résultat net, sous réserve de l'absence de chocs sur les prix pétroliers. Le rapport annuel 2025 (publié en 2026) confirme un dividende brut de 10 Mds FCFA, soit un taux de distribution supérieur à 100% du résultat net, ce qui traduit une politique généreuse mais potentiellement non soutenable à long terme compte tenu de la trésorerie nette négative.</w:t>
      </w:r>
    </w:p>
    <w:p>
      <w:pPr>
        <w:spacing w:after="120" w:line="276" w:lineRule="auto"/>
      </w:pPr>
      <w:r>
        <w:t>**Recommandation fondamentale** : TTLC est une entreprise solide et rentable, leader de son marché, avec un ROE élevé et une amélioration de ses marges opérationnelles. Cependant, la faiblesse de l'autonomie financière, l'endettement élevé et la trésorerie nette négative constituent des risques à surveiller. La reprise de la croissance au T1 2026 est encourageante, mais la valorisation boursière exigeante (PER 19,9x, P/B 4,99x) laisse peu de marge d'erreur. La recommandation fondamentale est **CONSERVER**, avec un biais positif si la croissance du T1 2026 se confirme sur les trimestres suivants.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**Valorisation (Partie 0)** : le PER de 19,9x et le P/B de 4,99x indiquent une valeur chèrement valorisée par rapport à la moyenne BRVM, ce qui limite le potentiel de hausse à court terme mais se justifie par la qualité de l'entreprise et son ROE de 25,1%. **Comportement du cours (Partie 1)** : la tendance récente est baissière (-3,69% en J-1, cours proche du plus bas), avec une volatilité élevée (40,9%) et une asymétrie positive (skewness 0,897) qui suggère que les baisses sont plus fréquentes que les hausses — un signal préoccupant à court terme. **Signaux techniques (Partie 2)** : les indicateurs sont majoritairement baissiers (MM, MACD), mais le RSI (30,67) et le stochastique (%K à 0) signalent une survente proche, créant une divergence qui pourrait précéder un rebond technique. **Fondamentaux (Partie 3)** : l'entreprise est solide (ROE 25,1%, EBE +12% en 2025) et le T1 2026 montre une reprise de la croissance (+4,3% de CA, +5,5% de résultat net), mais la trésorerie nette négative et le payout &gt;100% sont des risques. **Prédictions IA (J+1 à J+10)** : la trajectoire prévue (2 880-2 882 FCFA) est quasi stable, sans rebond significatif, ce qui contredit l'hypothèse d'un rebond technique immédiat mais confirme la stabilité autour du support de 2 870 FCFA. **Recommandation finale : CONSERVER**. La convergence entre une valorisation exigeante, des signaux techniques baissiers à court terme et des fondamentaux solides mais sans catalyseur immédiat plaide pour une position attentiste. Le niveau de confiance est **Moyen** (les signaux sont contradictoires entre technique et fondamental) et le niveau de risque global est **Moyen à Élevé** (volatilité de 40,9%, endettement élevé, trésorerie négative). L'horizon d'investissement optimal est le **moyen terme (3-12 mois)**, en attendant la confirmation de la reprise de la croissance au T2 2026 et une amélioration de la structure financière. Un investisseur déjà positionné peut conserver le titre pour son rendement (dividende généreux) et sa qualité fondamentale, tandis qu'un nouvel investisseur devrait attendre une cassure confirmée de la MM20 (3 112 FCFA) ou un repli plus prononcé vers 2 770 FCFA pour envisager une entrée.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46.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118.91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3,328 titres</w:t>
            </w:r>
          </w:p>
        </w:tc>
        <w:tc>
          <w:tcPr>
            <w:tcW w:type="dxa" w:w="2268"/>
            <w:shd w:fill="FFF2CC" w:val="clear"/>
          </w:tcPr>
          <w:p>
            <w:r>
              <w:rPr>
                <w:b/>
                <w:color w:val="503200"/>
                <w:sz w:val="16"/>
              </w:rPr>
              <w:t xml:space="preserve">Cours actuel : </w:t>
            </w:r>
            <w:r>
              <w:rPr>
                <w:color w:val="000000"/>
                <w:sz w:val="17"/>
              </w:rPr>
              <w:t>3,650 FCFA</w:t>
            </w:r>
          </w:p>
          <w:p>
            <w:r>
              <w:rPr>
                <w:b/>
                <w:color w:val="503200"/>
                <w:sz w:val="16"/>
              </w:rPr>
              <w:t xml:space="preserve">Var. 100 jours : </w:t>
            </w:r>
            <w:r>
              <w:rPr>
                <w:b/>
                <w:color w:val="007800"/>
                <w:sz w:val="17"/>
              </w:rPr>
              <w:t>+22.07%</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2,990 FCFA</w:t>
            </w:r>
          </w:p>
          <w:p>
            <w:r>
              <w:rPr>
                <w:b/>
                <w:color w:val="503200"/>
                <w:sz w:val="16"/>
              </w:rPr>
              <w:t xml:space="preserve">Volatilité ann. : </w:t>
            </w:r>
            <w:r>
              <w:rPr>
                <w:color w:val="000000"/>
                <w:sz w:val="17"/>
              </w:rPr>
              <w:t>43.1%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7.73% (Moyenne) — μ=3,697 FCFA, σ=286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β=0.4640 (Défensif) — Cov=0.000034, Var(idx)=0.000073, ρ=0.147,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3,328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σ_j=2.72%/j (Stable) — Vol. annualisée≈43.1%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3,532</w:t>
            </w:r>
          </w:p>
        </w:tc>
        <w:tc>
          <w:tcPr>
            <w:tcW w:type="dxa" w:w="1440"/>
            <w:shd w:fill="FAFAFA" w:val="clear"/>
          </w:tcPr>
          <w:p>
            <w:r>
              <w:rPr>
                <w:b/>
                <w:sz w:val="17"/>
              </w:rPr>
              <w:t>3,660</w:t>
            </w:r>
          </w:p>
        </w:tc>
        <w:tc>
          <w:tcPr>
            <w:tcW w:type="dxa" w:w="1440"/>
            <w:shd w:fill="FAFAFA" w:val="clear"/>
          </w:tcPr>
          <w:p>
            <w:r>
              <w:rPr>
                <w:sz w:val="17"/>
              </w:rPr>
              <w:t>3,788</w:t>
            </w:r>
          </w:p>
        </w:tc>
        <w:tc>
          <w:tcPr>
            <w:tcW w:type="dxa" w:w="1440"/>
            <w:shd w:fill="FAFAFA" w:val="clear"/>
          </w:tcPr>
          <w:p>
            <w:r>
              <w:rPr>
                <w:b/>
                <w:color w:val="008000"/>
                <w:sz w:val="17"/>
              </w:rPr>
              <w:t>+0.3%</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3,467</w:t>
            </w:r>
          </w:p>
        </w:tc>
        <w:tc>
          <w:tcPr>
            <w:tcW w:type="dxa" w:w="1440"/>
            <w:shd w:fill="FAFAFA" w:val="clear"/>
          </w:tcPr>
          <w:p>
            <w:r>
              <w:rPr>
                <w:b/>
                <w:sz w:val="17"/>
              </w:rPr>
              <w:t>3,647</w:t>
            </w:r>
          </w:p>
        </w:tc>
        <w:tc>
          <w:tcPr>
            <w:tcW w:type="dxa" w:w="1440"/>
            <w:shd w:fill="FAFAFA" w:val="clear"/>
          </w:tcPr>
          <w:p>
            <w:r>
              <w:rPr>
                <w:sz w:val="17"/>
              </w:rPr>
              <w:t>3,828</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3,418</w:t>
            </w:r>
          </w:p>
        </w:tc>
        <w:tc>
          <w:tcPr>
            <w:tcW w:type="dxa" w:w="1440"/>
            <w:shd w:fill="FAFAFA" w:val="clear"/>
          </w:tcPr>
          <w:p>
            <w:r>
              <w:rPr>
                <w:b/>
                <w:sz w:val="17"/>
              </w:rPr>
              <w:t>3,638</w:t>
            </w:r>
          </w:p>
        </w:tc>
        <w:tc>
          <w:tcPr>
            <w:tcW w:type="dxa" w:w="1440"/>
            <w:shd w:fill="FAFAFA" w:val="clear"/>
          </w:tcPr>
          <w:p>
            <w:r>
              <w:rPr>
                <w:sz w:val="17"/>
              </w:rPr>
              <w:t>3,858</w:t>
            </w:r>
          </w:p>
        </w:tc>
        <w:tc>
          <w:tcPr>
            <w:tcW w:type="dxa" w:w="1440"/>
            <w:shd w:fill="FAFAFA" w:val="clear"/>
          </w:tcPr>
          <w:p>
            <w:r>
              <w:rPr>
                <w:b/>
                <w:color w:val="C00000"/>
                <w:sz w:val="17"/>
              </w:rPr>
              <w:t>-0.3%</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3,376</w:t>
            </w:r>
          </w:p>
        </w:tc>
        <w:tc>
          <w:tcPr>
            <w:tcW w:type="dxa" w:w="1440"/>
            <w:shd w:fill="FAFAFA" w:val="clear"/>
          </w:tcPr>
          <w:p>
            <w:r>
              <w:rPr>
                <w:b/>
                <w:sz w:val="17"/>
              </w:rPr>
              <w:t>3,630</w:t>
            </w:r>
          </w:p>
        </w:tc>
        <w:tc>
          <w:tcPr>
            <w:tcW w:type="dxa" w:w="1440"/>
            <w:shd w:fill="FAFAFA" w:val="clear"/>
          </w:tcPr>
          <w:p>
            <w:r>
              <w:rPr>
                <w:sz w:val="17"/>
              </w:rPr>
              <w:t>3,884</w:t>
            </w:r>
          </w:p>
        </w:tc>
        <w:tc>
          <w:tcPr>
            <w:tcW w:type="dxa" w:w="1440"/>
            <w:shd w:fill="FAFAFA" w:val="clear"/>
          </w:tcPr>
          <w:p>
            <w:r>
              <w:rPr>
                <w:b/>
                <w:color w:val="C00000"/>
                <w:sz w:val="17"/>
              </w:rPr>
              <w:t>-0.5%</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3,340</w:t>
            </w:r>
          </w:p>
        </w:tc>
        <w:tc>
          <w:tcPr>
            <w:tcW w:type="dxa" w:w="1440"/>
            <w:shd w:fill="FAFAFA" w:val="clear"/>
          </w:tcPr>
          <w:p>
            <w:r>
              <w:rPr>
                <w:b/>
                <w:sz w:val="17"/>
              </w:rPr>
              <w:t>3,623</w:t>
            </w:r>
          </w:p>
        </w:tc>
        <w:tc>
          <w:tcPr>
            <w:tcW w:type="dxa" w:w="1440"/>
            <w:shd w:fill="FAFAFA" w:val="clear"/>
          </w:tcPr>
          <w:p>
            <w:r>
              <w:rPr>
                <w:sz w:val="17"/>
              </w:rPr>
              <w:t>3,906</w:t>
            </w:r>
          </w:p>
        </w:tc>
        <w:tc>
          <w:tcPr>
            <w:tcW w:type="dxa" w:w="1440"/>
            <w:shd w:fill="FAFAFA" w:val="clear"/>
          </w:tcPr>
          <w:p>
            <w:r>
              <w:rPr>
                <w:b/>
                <w:color w:val="C00000"/>
                <w:sz w:val="17"/>
              </w:rPr>
              <w:t>-0.7%</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3,306</w:t>
            </w:r>
          </w:p>
        </w:tc>
        <w:tc>
          <w:tcPr>
            <w:tcW w:type="dxa" w:w="1440"/>
            <w:shd w:fill="FAFAFA" w:val="clear"/>
          </w:tcPr>
          <w:p>
            <w:r>
              <w:rPr>
                <w:b/>
                <w:sz w:val="17"/>
              </w:rPr>
              <w:t>3,616</w:t>
            </w:r>
          </w:p>
        </w:tc>
        <w:tc>
          <w:tcPr>
            <w:tcW w:type="dxa" w:w="1440"/>
            <w:shd w:fill="FAFAFA" w:val="clear"/>
          </w:tcPr>
          <w:p>
            <w:r>
              <w:rPr>
                <w:sz w:val="17"/>
              </w:rPr>
              <w:t>3,926</w:t>
            </w:r>
          </w:p>
        </w:tc>
        <w:tc>
          <w:tcPr>
            <w:tcW w:type="dxa" w:w="1440"/>
            <w:shd w:fill="FAFAFA" w:val="clear"/>
          </w:tcPr>
          <w:p>
            <w:r>
              <w:rPr>
                <w:b/>
                <w:color w:val="C00000"/>
                <w:sz w:val="17"/>
              </w:rPr>
              <w:t>-0.9%</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3,275</w:t>
            </w:r>
          </w:p>
        </w:tc>
        <w:tc>
          <w:tcPr>
            <w:tcW w:type="dxa" w:w="1440"/>
            <w:shd w:fill="FAFAFA" w:val="clear"/>
          </w:tcPr>
          <w:p>
            <w:r>
              <w:rPr>
                <w:b/>
                <w:sz w:val="17"/>
              </w:rPr>
              <w:t>3,609</w:t>
            </w:r>
          </w:p>
        </w:tc>
        <w:tc>
          <w:tcPr>
            <w:tcW w:type="dxa" w:w="1440"/>
            <w:shd w:fill="FAFAFA" w:val="clear"/>
          </w:tcPr>
          <w:p>
            <w:r>
              <w:rPr>
                <w:sz w:val="17"/>
              </w:rPr>
              <w:t>3,943</w:t>
            </w:r>
          </w:p>
        </w:tc>
        <w:tc>
          <w:tcPr>
            <w:tcW w:type="dxa" w:w="1440"/>
            <w:shd w:fill="FAFAFA" w:val="clear"/>
          </w:tcPr>
          <w:p>
            <w:r>
              <w:rPr>
                <w:b/>
                <w:color w:val="C00000"/>
                <w:sz w:val="17"/>
              </w:rPr>
              <w:t>-1.1%</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3,246</w:t>
            </w:r>
          </w:p>
        </w:tc>
        <w:tc>
          <w:tcPr>
            <w:tcW w:type="dxa" w:w="1440"/>
            <w:shd w:fill="FAFAFA" w:val="clear"/>
          </w:tcPr>
          <w:p>
            <w:r>
              <w:rPr>
                <w:b/>
                <w:sz w:val="17"/>
              </w:rPr>
              <w:t>3,603</w:t>
            </w:r>
          </w:p>
        </w:tc>
        <w:tc>
          <w:tcPr>
            <w:tcW w:type="dxa" w:w="1440"/>
            <w:shd w:fill="FAFAFA" w:val="clear"/>
          </w:tcPr>
          <w:p>
            <w:r>
              <w:rPr>
                <w:sz w:val="17"/>
              </w:rPr>
              <w:t>3,959</w:t>
            </w:r>
          </w:p>
        </w:tc>
        <w:tc>
          <w:tcPr>
            <w:tcW w:type="dxa" w:w="1440"/>
            <w:shd w:fill="FAFAFA" w:val="clear"/>
          </w:tcPr>
          <w:p>
            <w:r>
              <w:rPr>
                <w:b/>
                <w:color w:val="C00000"/>
                <w:sz w:val="17"/>
              </w:rPr>
              <w:t>-1.3%</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3,219</w:t>
            </w:r>
          </w:p>
        </w:tc>
        <w:tc>
          <w:tcPr>
            <w:tcW w:type="dxa" w:w="1440"/>
            <w:shd w:fill="FAFAFA" w:val="clear"/>
          </w:tcPr>
          <w:p>
            <w:r>
              <w:rPr>
                <w:b/>
                <w:sz w:val="17"/>
              </w:rPr>
              <w:t>3,596</w:t>
            </w:r>
          </w:p>
        </w:tc>
        <w:tc>
          <w:tcPr>
            <w:tcW w:type="dxa" w:w="1440"/>
            <w:shd w:fill="FAFAFA" w:val="clear"/>
          </w:tcPr>
          <w:p>
            <w:r>
              <w:rPr>
                <w:sz w:val="17"/>
              </w:rPr>
              <w:t>3,974</w:t>
            </w:r>
          </w:p>
        </w:tc>
        <w:tc>
          <w:tcPr>
            <w:tcW w:type="dxa" w:w="1440"/>
            <w:shd w:fill="FAFAFA" w:val="clear"/>
          </w:tcPr>
          <w:p>
            <w:r>
              <w:rPr>
                <w:b/>
                <w:color w:val="C00000"/>
                <w:sz w:val="17"/>
              </w:rPr>
              <w:t>-1.5%</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3,193</w:t>
            </w:r>
          </w:p>
        </w:tc>
        <w:tc>
          <w:tcPr>
            <w:tcW w:type="dxa" w:w="1440"/>
            <w:shd w:fill="FAFAFA" w:val="clear"/>
          </w:tcPr>
          <w:p>
            <w:r>
              <w:rPr>
                <w:b/>
                <w:sz w:val="17"/>
              </w:rPr>
              <w:t>3,590</w:t>
            </w:r>
          </w:p>
        </w:tc>
        <w:tc>
          <w:tcPr>
            <w:tcW w:type="dxa" w:w="1440"/>
            <w:shd w:fill="FAFAFA" w:val="clear"/>
          </w:tcPr>
          <w:p>
            <w:r>
              <w:rPr>
                <w:sz w:val="17"/>
              </w:rPr>
              <w:t>3,988</w:t>
            </w:r>
          </w:p>
        </w:tc>
        <w:tc>
          <w:tcPr>
            <w:tcW w:type="dxa" w:w="1440"/>
            <w:shd w:fill="FAFAFA" w:val="clear"/>
          </w:tcPr>
          <w:p>
            <w:r>
              <w:rPr>
                <w:b/>
                <w:color w:val="C00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 📊 RAPPORT D'ANALYSE FINANCIÈRE — TOTALENERGIES MARKETING SÉNÉGAL (TTLS)</w:t>
        <w:br/>
        <w:t>**Bourse Régionale des Valeurs Mobilières (BRVM) — Secteur : Distribution pétrolière / Énergie**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**118,91 milliards FCFA**, TTLS figure parmi les valeurs moyennes-capitalisations de la cote BRVM, ce qui traduit une entreprise solide mais non systémique à l'échelle régionale. Le BPA de **208 FCFA/action** indique que chaque titre génère un bénéfice net unitaire modeste, cohérent avec la marge nette structurellement faible du secteur (1,5%). Le PER de **17,5x** situe le titre nettement au-dessus de la moyenne BRVM (~8-12x), signalant que les investisseurs paient une prime de qualité pour ce leader sectoriel — valorisation raisonnable mais non bon marché. Le P/B de **4,21x** confirme cette prime exigeante : le marché valorise TTLS à plus de quatre fois ses fonds propres comptables (28,24 Mds FCFA), ce qui suppose une forte confiance dans la rentabilité future. Enfin, l'EV/EBITDA de **7,4x** reste dans la fourchette raisonnable (5-10x), suggérant que la valeur d'entreprise reste cohérente avec la capacité opérationnelle de génération de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TTLS affiche une **variation totale de +22,07%**, portée par un net rebond depuis le plus bas de **2 990 FCFA** jusqu'au plus haut de **4 500 FCFA**, avant de se replier à **3 650 FCFA** (soit une correction de **-3,95% sur la dernière séance J-1**). Le range de trading de 1 510 FCFA (≈50% du cours bas) témoigne d'une dynamique haussière marquée mais ponctuée de prises de bénéfices récentes. Les statistiques descriptives révèlent une distribution **quasi-normale** : la moyenne (3 697 FCFA) et la médiane (3 695 FCFA) sont pratiquement confondues, confirmant l'absence d'asymétrie marquée (skewness de 0,191 → distribution symétrique). L'écart-type de 287 FCFA avec un **coefficient de variation de 7,8%** indique une dispersion modérée du cours autour de sa moyenne, tandis que le **kurtosis de 0,452 (mésokurtique)** suggère un risque de pics extrêmes proche de celui d'une loi normale — pas de risque de queue épaisse significatif. La **volatilité annualisée de 43,1%** classe le titre dans la catégorie **élevée (&gt;30%)**, ce qui est cohérent avec un marché frontière peu liquide (volume moyen de 3 328 titres/jour) et une sensibilité aux annonces réglementaires sénégalaises.</w:t>
      </w:r>
    </w:p>
    <w:p>
      <w:pPr>
        <w:spacing w:after="120" w:line="276" w:lineRule="auto"/>
      </w:pPr>
      <w:r>
        <w:t>---</w:t>
      </w:r>
    </w:p>
    <w:p>
      <w:pPr>
        <w:spacing w:after="120" w:line="276" w:lineRule="auto"/>
      </w:pPr>
      <w:r>
        <w:t>## PARTIE 2 : ANALYSE TECHNIQUE DÉTAILLÉE</w:t>
      </w:r>
    </w:p>
    <w:p>
      <w:pPr>
        <w:spacing w:after="120" w:line="276" w:lineRule="auto"/>
      </w:pPr>
      <w:r>
        <w:t>**Moyennes Mobiles** — La MM20 (3 774 FCFA) et la MM50 (3 747 FCFA) se situent toutes deux **au-dessus du cours actuel** (3 650 FCFA), ce qui traduit une pression baissière de court terme. Toutefois, la MM20 reste légèrement supérieure à la MM50, maintenant une configuration haussière de fond. La décision fournie est **Achat**, mais elle doit être nuancée : le croisement baissier du cours sous ses moyennes invite à la prudence.</w:t>
      </w:r>
    </w:p>
    <w:p>
      <w:pPr>
        <w:spacing w:after="120" w:line="276" w:lineRule="auto"/>
      </w:pPr>
      <w:r>
        <w:t>**Bandes de Bollinger** — Le cours (3 650 FCFA) évolue dans la moitié inférieure du canal, entre la borne inférieure (3 501,09 FCFA) et la borne supérieure (4 046,91 FCFA). La largeur du canal (≈546 FCFA) reflète une volatilité encore soutenue. La décision **Neutre** est cohérente : le titre n'est ni en survente extrême ni en surachat, mais la proximité de la borne basse suggère un potentiel de rebond technique limité.</w:t>
      </w:r>
    </w:p>
    <w:p>
      <w:pPr>
        <w:spacing w:after="120" w:line="276" w:lineRule="auto"/>
      </w:pPr>
      <w:r>
        <w:t>**MACD** — Le MACD (-44,838) est **nettement sous sa ligne de signal** (-35,755), avec un histogramme négatif. Cette configuration confirme un **momentum baissier** en cours, justifiant la décision **Vente**. La divergence négative persistante invite à ne pas anticiper un retournement haussier à court terme.</w:t>
      </w:r>
    </w:p>
    <w:p>
      <w:pPr>
        <w:spacing w:after="120" w:line="276" w:lineRule="auto"/>
      </w:pPr>
      <w:r>
        <w:t>**RSI** — À **32,759**, le RSI se situe juste au-dessus du seuil de survente (30), dans une zone **neutre basse**. La décision **Neutre** est appropriée : le titre n'est pas encore survendu, mais la pression vendeuse reste dominante. Un passage sous 30 déclencherait un signal d'achat contrarien.</w:t>
      </w:r>
    </w:p>
    <w:p>
      <w:pPr>
        <w:spacing w:after="120" w:line="276" w:lineRule="auto"/>
      </w:pPr>
      <w:r>
        <w:t>**Stochastique** — Le %K (20,0) est **sous le %D (26,667)**, configuration baissière classique. Les deux lignes évoluent en zone basse (proche de 20), ce qui indique une **survente naissante** mais sans croisement haussier confirmé. La décision **Neutre** reflète cette incertitude : un croisement %K au-dessus de %D serait un signal d'achat technique.</w:t>
      </w:r>
    </w:p>
    <w:p>
      <w:pPr>
        <w:spacing w:after="120" w:line="276" w:lineRule="auto"/>
      </w:pPr>
      <w:r>
        <w:t>**Conclusion technique** — Les indicateurs sont **majoritairement baissiers à court terme** (MACD vendeur, cours sous les MM, stochastique négatif), mais le RSI et les Bandes de Bollinger signalent une **zone de survente approchante** qui pourrait offrir un point d'entrée. La divergence entre la décision "Achat" des MM (basée sur la structure de fond) et les signaux de momentum (MACD vendeur) traduit un **marché en consolidation** après la forte hausse de +22%. Prudence à court terme, mais configuration de fond encore haussière.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TTLS a réalisé un chiffre d'affaires de **455,209 Mds FCFA**, en **recul de 6,13%** sur un an, conséquence directe de l'arrêt stratégique de la commercialisation du fuel lourd (39,5 Mds FCFA de CA en 2024). Le résultat net s'établit à **6,779 Mds FCFA** (marge nette de 1,49%), en légère baisse de -5,1% vs 2024 (7,140 Mds FCFA). La rentabilité des fonds propres (**ROE de 24,01%**) demeure **excellente** (&gt;15%), portée par des capitaux propres de 28,239 Mds FCFA, tandis que le ROA (3,95%) reste modeste, typique d'une activité à forte rotation d'actifs (265%). Sur le plan de la structure financière, l'**autonomie financière de 16,44%** est faible (&lt;30%), mais le **BFR négatif de -36,899 Mds FCFA** constitue un atout majeur : les délais fournisseurs (97,76 jours) dépassent largement les délais clients (47,43 jours), générant une trésorerie structurellement positive (**trésorerie nette de 13,941 Mds FCFA**). Le **free cash flow de 17,483 Mds FCFA** et la couverture des intérêts (485,9%) confirment la solidité opérationnelle.</w:t>
      </w:r>
    </w:p>
    <w:p>
      <w:pPr>
        <w:spacing w:after="120" w:line="276" w:lineRule="auto"/>
      </w:pPr>
      <w:r>
        <w:t>**Estimations basées sur les rapports trimestriels** — Le rapport **T1 2026 (publié en 2026)** révèle un CA de 99,9 Mds FCFA (-10% vs T1 2025), impacté par la révision à la baisse des prix à la pompe par l'État sénégalais en décembre 2025. Malgré cela, le **résultat d'exploitation progresse de +28%** (2,623 Mds FCFA) et le **résultat net de +5%** (1,585 Mds FCFA), grâce à l'amélioration des marges sur les lubrifiants. On estime donc que l'exercice 2026 devrait confirmer cette **résilience opérationnelle** : la baisse du CA nominal (effet prix réglementaire) ne devrait pas se traduire par une dégradation du résultat net, la société compensant par un mix-produit plus favorable. Le rapport annuel 2025 (analysé en 2026) souligne par ailleurs une **amélioration de la trésorerie** (de 8,4 à 20,6 Mds FCFA) et une **marge opérationnelle stable à 1,9%**.</w:t>
      </w:r>
    </w:p>
    <w:p>
      <w:pPr>
        <w:spacing w:after="120" w:line="276" w:lineRule="auto"/>
      </w:pPr>
      <w:r>
        <w:t>**Recommandation fondamentale** — TTLS présente un profil **défensif de qualité** : leader incontesté (140 stations-service, part de marché ~21%), actionnaire majoritaire TotalEnergies (69,1%), génération de cash robuste et politique de dividende généreuse (7,691 Mds FCFA versés en 2025, soit un rendement estimé à ~6,5% sur la base du cours actuel). Les risques principaux sont la **dépendance réglementaire** (prix à la pompe fixés par l'État), la **concentration géographique** (Sénégal uniquement) et la **faible autonomie financière**. La stratégie de transition (GPL, lubrifiants, export) porte ses fruits, comme en témoigne la progression du résultat d'exploitation au T1 2026. **Recommandation : CONSERVER**, avec un biais positif pour les investisseurs de long terme recherchant rendement et stabilité.</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dessine un tableau **contrasté mais globalement favorable à moyen terme**. Sur le plan de la **valorisation (Partie 0)**, le PER de 17,5x et le P/B de 4,21x indiquent une **surévaluation relative** par rapport à la moyenne BRVM, mais l'EV/EBITDA de 7,4x reste raisonnable — le marché paie une prime de qualité justifiée par le leadership et la générosité du dividende. Le **comportement du cours (Partie 1)** est haussier sur 100 jours (+22,07%), avec une distribution symétrique (skewness 0,191) et un kurtosis normal (0,452) qui écartent le risque de krach brutal, mais la volatilité annualisée de 43,1% et la correction de -3,95% en J-1 invitent à la prudence à court terme. Les **signaux techniques (Partie 2)** sont **divergents** : MACD vendeur et cours sous les MM20/MM50 (baissier), mais RSI à 32,76 et stochastique en zone basse (survente approchante, potentiel rebond). Les **fondamentaux (Partie 3)** demeurent **solides** : ROE de 24%, FCF de 17,5 Mds FCFA, BFR négatif favorable, et résilience opérationnelle confirmée par le T1 2026 (+28% de résultat d'exploitation). Les **prédictions IA (J+1 à J+10)** anticipent une **légère dérive baissière** de 3 660 à 3 623 FCFA (-1%), ce qui **contredit partiellement** les signaux de survente technique mais **confirme** la pression baissière de court terme.</w:t>
      </w:r>
    </w:p>
    <w:p>
      <w:pPr>
        <w:spacing w:after="120" w:line="276" w:lineRule="auto"/>
      </w:pPr>
      <w:r>
        <w:t>**Recommandation finale : CONSERVER** — Le titre présente un profil équilibré : valorisation exigeante mais justifiée, fondamentaux solides, dividende attractif (~6,5%), mais momentum technique négatif à court terme et prédictions IA baissières. Un **ACHAT** serait prématuré sans confirmation d'un retournement technique (croisement %K/%D haussier, RSI &gt; 40) ou d'une accélération des volumes. Une **VENTE** ne se justifie pas compte tenu de la solidité opérationnelle et du rendement. **Niveau de confiance : Moyen** (divergence technique/fondamental). **Niveau de risque : Moyen** (volatilité élevée, dépendance réglementaire). **Horizon optimal : Moyen terme (3-12 mois)**, en accumulant sur repli vers 3 500 FCFA (borne basse de Bollinger) pour capter le rendement du dividende et la reprise des volumes.</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47.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440.80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22 titres</w:t>
            </w:r>
          </w:p>
        </w:tc>
        <w:tc>
          <w:tcPr>
            <w:tcW w:type="dxa" w:w="2268"/>
            <w:shd w:fill="FFF2CC" w:val="clear"/>
          </w:tcPr>
          <w:p>
            <w:r>
              <w:rPr>
                <w:b/>
                <w:color w:val="503200"/>
                <w:sz w:val="16"/>
              </w:rPr>
              <w:t xml:space="preserve">Cours actuel : </w:t>
            </w:r>
            <w:r>
              <w:rPr>
                <w:color w:val="000000"/>
                <w:sz w:val="17"/>
              </w:rPr>
              <w:t>48,000 FCFA</w:t>
            </w:r>
          </w:p>
          <w:p>
            <w:r>
              <w:rPr>
                <w:b/>
                <w:color w:val="503200"/>
                <w:sz w:val="16"/>
              </w:rPr>
              <w:t xml:space="preserve">Var. 100 jours : </w:t>
            </w:r>
            <w:r>
              <w:rPr>
                <w:b/>
                <w:color w:val="B40000"/>
                <w:sz w:val="17"/>
              </w:rPr>
              <w:t>-14.44%</w:t>
            </w:r>
          </w:p>
          <w:p>
            <w:r>
              <w:rPr>
                <w:b/>
                <w:color w:val="503200"/>
                <w:sz w:val="16"/>
              </w:rPr>
              <w:t xml:space="preserve">Plus haut 100j : </w:t>
            </w:r>
            <w:r>
              <w:rPr>
                <w:color w:val="000000"/>
                <w:sz w:val="17"/>
              </w:rPr>
              <w:t>60,295 FCFA</w:t>
            </w:r>
          </w:p>
          <w:p>
            <w:r>
              <w:rPr>
                <w:b/>
                <w:color w:val="503200"/>
                <w:sz w:val="16"/>
              </w:rPr>
              <w:t xml:space="preserve">Plus bas 100j : </w:t>
            </w:r>
            <w:r>
              <w:rPr>
                <w:color w:val="000000"/>
                <w:sz w:val="17"/>
              </w:rPr>
              <w:t>47,215 FCFA</w:t>
            </w:r>
          </w:p>
          <w:p>
            <w:r>
              <w:rPr>
                <w:b/>
                <w:color w:val="503200"/>
                <w:sz w:val="16"/>
              </w:rPr>
              <w:t xml:space="preserve">Volatilité ann. : </w:t>
            </w:r>
            <w:r>
              <w:rPr>
                <w:color w:val="000000"/>
                <w:sz w:val="17"/>
              </w:rPr>
              <w:t>57.4%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24.8/100 → Moyen</w:t>
      </w:r>
    </w:p>
    <w:p>
      <w:pPr>
        <w:spacing w:before="40" w:after="80"/>
      </w:pPr>
      <w:r>
        <w:rPr>
          <w:rFonts w:ascii="Courier New" w:hAnsi="Courier New"/>
          <w:color w:val="825A00"/>
          <w:sz w:val="18"/>
        </w:rPr>
        <w:t>████░░░░░░░░░░░░░░░░  24.8/100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5.85% (Moyenne) — μ=54,127 FCFA, σ=3,168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β=0.6017 (Défensif) — Cov=0.000045, Var(idx)=0.000074, ρ=0.144,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22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σ_j=3.62%/j (Modérée) — Vol. annualisée≈57.4%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603190"/>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45,042</w:t>
            </w:r>
          </w:p>
        </w:tc>
        <w:tc>
          <w:tcPr>
            <w:tcW w:type="dxa" w:w="1440"/>
            <w:shd w:fill="FAFAFA" w:val="clear"/>
          </w:tcPr>
          <w:p>
            <w:r>
              <w:rPr>
                <w:b/>
                <w:sz w:val="17"/>
              </w:rPr>
              <w:t>47,937</w:t>
            </w:r>
          </w:p>
        </w:tc>
        <w:tc>
          <w:tcPr>
            <w:tcW w:type="dxa" w:w="1440"/>
            <w:shd w:fill="FAFAFA" w:val="clear"/>
          </w:tcPr>
          <w:p>
            <w:r>
              <w:rPr>
                <w:sz w:val="17"/>
              </w:rPr>
              <w:t>50,832</w:t>
            </w:r>
          </w:p>
        </w:tc>
        <w:tc>
          <w:tcPr>
            <w:tcW w:type="dxa" w:w="1440"/>
            <w:shd w:fill="FAFAFA" w:val="clear"/>
          </w:tcPr>
          <w:p>
            <w:r>
              <w:rPr>
                <w:b/>
                <w:color w:val="C00000"/>
                <w:sz w:val="17"/>
              </w:rPr>
              <w:t>-0.1%</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43,835</w:t>
            </w:r>
          </w:p>
        </w:tc>
        <w:tc>
          <w:tcPr>
            <w:tcW w:type="dxa" w:w="1440"/>
            <w:shd w:fill="FAFAFA" w:val="clear"/>
          </w:tcPr>
          <w:p>
            <w:r>
              <w:rPr>
                <w:b/>
                <w:sz w:val="17"/>
              </w:rPr>
              <w:t>47,928</w:t>
            </w:r>
          </w:p>
        </w:tc>
        <w:tc>
          <w:tcPr>
            <w:tcW w:type="dxa" w:w="1440"/>
            <w:shd w:fill="FAFAFA" w:val="clear"/>
          </w:tcPr>
          <w:p>
            <w:r>
              <w:rPr>
                <w:sz w:val="17"/>
              </w:rPr>
              <w:t>52,022</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42,909</w:t>
            </w:r>
          </w:p>
        </w:tc>
        <w:tc>
          <w:tcPr>
            <w:tcW w:type="dxa" w:w="1440"/>
            <w:shd w:fill="FAFAFA" w:val="clear"/>
          </w:tcPr>
          <w:p>
            <w:r>
              <w:rPr>
                <w:b/>
                <w:sz w:val="17"/>
              </w:rPr>
              <w:t>47,921</w:t>
            </w:r>
          </w:p>
        </w:tc>
        <w:tc>
          <w:tcPr>
            <w:tcW w:type="dxa" w:w="1440"/>
            <w:shd w:fill="FAFAFA" w:val="clear"/>
          </w:tcPr>
          <w:p>
            <w:r>
              <w:rPr>
                <w:sz w:val="17"/>
              </w:rPr>
              <w:t>52,934</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42,130</w:t>
            </w:r>
          </w:p>
        </w:tc>
        <w:tc>
          <w:tcPr>
            <w:tcW w:type="dxa" w:w="1440"/>
            <w:shd w:fill="FAFAFA" w:val="clear"/>
          </w:tcPr>
          <w:p>
            <w:r>
              <w:rPr>
                <w:b/>
                <w:sz w:val="17"/>
              </w:rPr>
              <w:t>47,917</w:t>
            </w:r>
          </w:p>
        </w:tc>
        <w:tc>
          <w:tcPr>
            <w:tcW w:type="dxa" w:w="1440"/>
            <w:shd w:fill="FAFAFA" w:val="clear"/>
          </w:tcPr>
          <w:p>
            <w:r>
              <w:rPr>
                <w:sz w:val="17"/>
              </w:rPr>
              <w:t>53,705</w:t>
            </w:r>
          </w:p>
        </w:tc>
        <w:tc>
          <w:tcPr>
            <w:tcW w:type="dxa" w:w="1440"/>
            <w:shd w:fill="FAFAFA" w:val="clear"/>
          </w:tcPr>
          <w:p>
            <w:r>
              <w:rPr>
                <w:b/>
                <w:color w:val="C00000"/>
                <w:sz w:val="17"/>
              </w:rPr>
              <w:t>-0.2%</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41,444</w:t>
            </w:r>
          </w:p>
        </w:tc>
        <w:tc>
          <w:tcPr>
            <w:tcW w:type="dxa" w:w="1440"/>
            <w:shd w:fill="FAFAFA" w:val="clear"/>
          </w:tcPr>
          <w:p>
            <w:r>
              <w:rPr>
                <w:b/>
                <w:sz w:val="17"/>
              </w:rPr>
              <w:t>47,915</w:t>
            </w:r>
          </w:p>
        </w:tc>
        <w:tc>
          <w:tcPr>
            <w:tcW w:type="dxa" w:w="1440"/>
            <w:shd w:fill="FAFAFA" w:val="clear"/>
          </w:tcPr>
          <w:p>
            <w:r>
              <w:rPr>
                <w:sz w:val="17"/>
              </w:rPr>
              <w:t>54,386</w:t>
            </w:r>
          </w:p>
        </w:tc>
        <w:tc>
          <w:tcPr>
            <w:tcW w:type="dxa" w:w="1440"/>
            <w:shd w:fill="FAFAFA" w:val="clear"/>
          </w:tcPr>
          <w:p>
            <w:r>
              <w:rPr>
                <w:b/>
                <w:color w:val="C00000"/>
                <w:sz w:val="17"/>
              </w:rPr>
              <w:t>-0.2%</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40,826</w:t>
            </w:r>
          </w:p>
        </w:tc>
        <w:tc>
          <w:tcPr>
            <w:tcW w:type="dxa" w:w="1440"/>
            <w:shd w:fill="FAFAFA" w:val="clear"/>
          </w:tcPr>
          <w:p>
            <w:r>
              <w:rPr>
                <w:b/>
                <w:sz w:val="17"/>
              </w:rPr>
              <w:t>47,914</w:t>
            </w:r>
          </w:p>
        </w:tc>
        <w:tc>
          <w:tcPr>
            <w:tcW w:type="dxa" w:w="1440"/>
            <w:shd w:fill="FAFAFA" w:val="clear"/>
          </w:tcPr>
          <w:p>
            <w:r>
              <w:rPr>
                <w:sz w:val="17"/>
              </w:rPr>
              <w:t>55,002</w:t>
            </w:r>
          </w:p>
        </w:tc>
        <w:tc>
          <w:tcPr>
            <w:tcW w:type="dxa" w:w="1440"/>
            <w:shd w:fill="FAFAFA" w:val="clear"/>
          </w:tcPr>
          <w:p>
            <w:r>
              <w:rPr>
                <w:b/>
                <w:color w:val="C00000"/>
                <w:sz w:val="17"/>
              </w:rPr>
              <w:t>-0.2%</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40,257</w:t>
            </w:r>
          </w:p>
        </w:tc>
        <w:tc>
          <w:tcPr>
            <w:tcW w:type="dxa" w:w="1440"/>
            <w:shd w:fill="FAFAFA" w:val="clear"/>
          </w:tcPr>
          <w:p>
            <w:r>
              <w:rPr>
                <w:b/>
                <w:sz w:val="17"/>
              </w:rPr>
              <w:t>47,913</w:t>
            </w:r>
          </w:p>
        </w:tc>
        <w:tc>
          <w:tcPr>
            <w:tcW w:type="dxa" w:w="1440"/>
            <w:shd w:fill="FAFAFA" w:val="clear"/>
          </w:tcPr>
          <w:p>
            <w:r>
              <w:rPr>
                <w:sz w:val="17"/>
              </w:rPr>
              <w:t>55,569</w:t>
            </w:r>
          </w:p>
        </w:tc>
        <w:tc>
          <w:tcPr>
            <w:tcW w:type="dxa" w:w="1440"/>
            <w:shd w:fill="FAFAFA" w:val="clear"/>
          </w:tcPr>
          <w:p>
            <w:r>
              <w:rPr>
                <w:b/>
                <w:color w:val="C00000"/>
                <w:sz w:val="17"/>
              </w:rPr>
              <w:t>-0.2%</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39,729</w:t>
            </w:r>
          </w:p>
        </w:tc>
        <w:tc>
          <w:tcPr>
            <w:tcW w:type="dxa" w:w="1440"/>
            <w:shd w:fill="FAFAFA" w:val="clear"/>
          </w:tcPr>
          <w:p>
            <w:r>
              <w:rPr>
                <w:b/>
                <w:sz w:val="17"/>
              </w:rPr>
              <w:t>47,913</w:t>
            </w:r>
          </w:p>
        </w:tc>
        <w:tc>
          <w:tcPr>
            <w:tcW w:type="dxa" w:w="1440"/>
            <w:shd w:fill="FAFAFA" w:val="clear"/>
          </w:tcPr>
          <w:p>
            <w:r>
              <w:rPr>
                <w:sz w:val="17"/>
              </w:rPr>
              <w:t>56,098</w:t>
            </w:r>
          </w:p>
        </w:tc>
        <w:tc>
          <w:tcPr>
            <w:tcW w:type="dxa" w:w="1440"/>
            <w:shd w:fill="FAFAFA" w:val="clear"/>
          </w:tcPr>
          <w:p>
            <w:r>
              <w:rPr>
                <w:b/>
                <w:color w:val="C00000"/>
                <w:sz w:val="17"/>
              </w:rPr>
              <w:t>-0.2%</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39,232</w:t>
            </w:r>
          </w:p>
        </w:tc>
        <w:tc>
          <w:tcPr>
            <w:tcW w:type="dxa" w:w="1440"/>
            <w:shd w:fill="FAFAFA" w:val="clear"/>
          </w:tcPr>
          <w:p>
            <w:r>
              <w:rPr>
                <w:b/>
                <w:sz w:val="17"/>
              </w:rPr>
              <w:t>47,913</w:t>
            </w:r>
          </w:p>
        </w:tc>
        <w:tc>
          <w:tcPr>
            <w:tcW w:type="dxa" w:w="1440"/>
            <w:shd w:fill="FAFAFA" w:val="clear"/>
          </w:tcPr>
          <w:p>
            <w:r>
              <w:rPr>
                <w:sz w:val="17"/>
              </w:rPr>
              <w:t>56,594</w:t>
            </w:r>
          </w:p>
        </w:tc>
        <w:tc>
          <w:tcPr>
            <w:tcW w:type="dxa" w:w="1440"/>
            <w:shd w:fill="FAFAFA" w:val="clear"/>
          </w:tcPr>
          <w:p>
            <w:r>
              <w:rPr>
                <w:b/>
                <w:color w:val="C00000"/>
                <w:sz w:val="17"/>
              </w:rPr>
              <w:t>-0.2%</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38,763</w:t>
            </w:r>
          </w:p>
        </w:tc>
        <w:tc>
          <w:tcPr>
            <w:tcW w:type="dxa" w:w="1440"/>
            <w:shd w:fill="FAFAFA" w:val="clear"/>
          </w:tcPr>
          <w:p>
            <w:r>
              <w:rPr>
                <w:b/>
                <w:sz w:val="17"/>
              </w:rPr>
              <w:t>47,914</w:t>
            </w:r>
          </w:p>
        </w:tc>
        <w:tc>
          <w:tcPr>
            <w:tcW w:type="dxa" w:w="1440"/>
            <w:shd w:fill="FAFAFA" w:val="clear"/>
          </w:tcPr>
          <w:p>
            <w:r>
              <w:rPr>
                <w:sz w:val="17"/>
              </w:rPr>
              <w:t>57,064</w:t>
            </w:r>
          </w:p>
        </w:tc>
        <w:tc>
          <w:tcPr>
            <w:tcW w:type="dxa" w:w="1440"/>
            <w:shd w:fill="FAFAFA" w:val="clear"/>
          </w:tcPr>
          <w:p>
            <w:r>
              <w:rPr>
                <w:b/>
                <w:color w:val="C00000"/>
                <w:sz w:val="17"/>
              </w:rPr>
              <w:t>-0.2%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UNILEVER COTE D'IVOIRE (UNLC)**</w:t>
        <w:br/>
        <w:t>*Bourse Régionale des Valeurs Mobilières (BRVM) — Marché des Actions*</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440,80 milliards FCFA, un niveau qui place la société parmi les valeurs moyennes-capitalisations de la cote BRVM, bien loin des poids lourds comme SONATEL ou ETIT. Les ratios de valorisation classiques (BPA, PER, P/B, EV/EBITDA) ne sont pas calculables en l'absence de données financières structurées actualisées et de nombre d'actions en circulation dans la base fournie. Toutefois, sur la base du bénéfice net 2023 de 640,3 millions FCFA et d'un nombre d'actions estimé à environ 9,18 millions (cohérent avec la capitalisation et le cours), le BPA ressortirait à environ 70 FCFA, ce qui impliquerait un PER théorique très élevé (supérieur à 600x), signalant une valorisation boursière totalement déconnectée des bénéfices actuels. Le marché valorise donc UNLC bien au-dessus de sa capacité bénéficiaire immédiate, ce qui traduit soit une anticipation de redressement spectaculaire, soit une prime spéculative sur la rareté du flottant. En l'absence de ratio P/B et EV/EBITDA exploitables, l'investisseur doit se référer à la valeur comptable négative (-10,66 milliards FCFA en 2023) qui rend tout calcul de P/B non pertinent.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 enregistré une variation totale de -14,44%, avec une dernière séance (J-1) stable à +0,00%, le cours clôturant à 48 000 FCFA. Le range de trading s'étend du plus haut à 60 295 FCFA au plus bas à 47 215 FCFA, soit une amplitude de 13 080 FCFA (27,7% du plus bas), confirmant une tendance baissière marquée sur la période. La moyenne des cours s'établit à 54 127 FCFA, quasi identique à la médiane (54 150 FCFA), ce qui indique une distribution symétrique sans biais directionnel majeur ; le mode à 58 000 FCFA suggère que ce niveau a concentré le plus grand nombre de séances. L'écart-type de 3 184 FCFA avec un coefficient de variation de 5,9% traduit une dispersion modérée autour de la moyenne, tandis que le kurtosis de -0,560 (mésokurtique) et le skewness de -0,200 (distribution symétrique) indiquent un comportement proche d'une loi normale, sans risque de pics extrêmes ni d'asymétrie prononcée. La volatilité annualisée de 57,4% classe le titre dans la catégorie des valeurs à volatilité élevée (&gt;30%), ce qui est cohérent avec la faible liquidité (volume moyen de 22 titres/jour) et expose l'investisseur à un risque de prix significatif.</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(50 313 FCFA) et la MM50 (52 475,5 FCFA) se situent toutes deux au-dessus du cours actuel (48 000 FCFA), avec la MM20 en dessous de la MM50, configuration baissière caractéristique. Le cours évolue sous ses deux moyennes, confirmant la pression vendeuse et justifiant la décision technique de **Vente**.</w:t>
      </w:r>
    </w:p>
    <w:p>
      <w:pPr>
        <w:spacing w:after="120" w:line="276" w:lineRule="auto"/>
      </w:pPr>
      <w:r>
        <w:t>**Bandes de Bollinger** : Le cours (48 000 FCFA) se situe dans la partie basse du canal, entre la borne inférieure (45 673 FCFA) et la borne supérieure (54 953 FCFA), sans franchissement de seuil. La largeur du canal reflète une volatilité encore présente, mais la position neutre du cours justifie la décision **Neutre** — ni signal d'achat sur rebond, ni signal de vente sur cassure.</w:t>
      </w:r>
    </w:p>
    <w:p>
      <w:pPr>
        <w:spacing w:after="120" w:line="276" w:lineRule="auto"/>
      </w:pPr>
      <w:r>
        <w:t>**MACD** : La valeur du MACD (-1 372,9) est inférieure à son signal (-1 180,99), avec un histogramme négatif, confirmant un momentum baissier toujours actif. La divergence négative entre les deux lignes justifie la décision de **Vente**, bien que l'écart tende à se réduire, suggérant un essoufflement progressif de la dynamique baissière.</w:t>
      </w:r>
    </w:p>
    <w:p>
      <w:pPr>
        <w:spacing w:after="120" w:line="276" w:lineRule="auto"/>
      </w:pPr>
      <w:r>
        <w:t>**RSI** : À 36,767, le RSI se situe dans la zone neutre basse (30-70), sans atteindre le seuil de survente (&lt;30). Cette position indique une faiblesse relative sans capitulation, justifiant la décision **Neutre** — le titre n'est ni survendu ni suracheté, laissant la porte ouverte à une stabilisation.</w:t>
      </w:r>
    </w:p>
    <w:p>
      <w:pPr>
        <w:spacing w:after="120" w:line="276" w:lineRule="auto"/>
      </w:pPr>
      <w:r>
        <w:t>**Stochastique** : Le %K (16,423) et le %D (15,311) sont tous deux en zone de survente (&lt;20), avec un %K légèrement au-dessus du %D, suggérant un début de croisement haussier potentiel. Cette configuration justifie la décision **Achat** à contre-tendance, bien que la faiblesse des volumes appelle à la prudence.</w:t>
      </w:r>
    </w:p>
    <w:p>
      <w:pPr>
        <w:spacing w:after="120" w:line="276" w:lineRule="auto"/>
      </w:pPr>
      <w:r>
        <w:t>**Conclusion technique** : Les indicateurs sont majoritairement baissiers (MM, MACD) ou neutres (Bollinger, RSI), avec une seule divergence haussière (Stochastique en survente). Le titre se trouve dans une phase de consolidation baissière, mais l'essoufflement du MACD et la survente stochastique suggèrent qu'un rebond technique pourrait se produire à court terme, sans pour autant inverser la tendance de fond.</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ne sont pas disponibles dans la base, mais les rapports narratifs officiels fournissent des chiffres précis pour les exercices 2021, 2022 et 2023. **En 2023** (rapport du 31/12/2023, analysé le 15/03/2026), UNLC a réalisé un chiffre d'affaires de 24 336 010 000 FCFA, stable par rapport à 2022, avec un bénéfice net de 640 334 855 FCFA contre une perte nette de 6 908 362 002 FCFA en 2022 — soit un retournement spectaculaire de +7,55 milliards FCFA. La marge nette ressort à 2,63% en 2023 (contre -28,4% en 2022), mais reste inférieure à la moyenne sectorielle des FMCG en Afrique de l'Ouest (5-10%). Le résultat d'exploitation passe de -6 258 millions FCFA en 2022 à +3 340 millions FCFA en 2023, porté par une réduction des charges et une hausse des produits accessoires (+147 millions FCFA). **En 2022** (rapport du 31/12/2022, analysé le 15/03/2026), le CA s'élevait à 36 174,6 millions FCFA (hors taxes), en baisse de 21,5% par rapport à 2021 (46 059,4 millions FCFA), en raison de la cession de l'activité "Thé" (Lipton) et des perturbations régionales (embargo malien, restrictions BCEAO). La perte nette de -6 382,6 millions FCFA en 2022 contrastait avec le bénéfice marginal de 0,175 million FCFA en 2021. **En 2021** (rapport du 31/12/2021, analysé le 16/03/2026), UNLC affichait un bénéfice net de 6 090 755 732 FCFA (marge nette de 25,0%) et un EBE de 2 391 355 750 FCFA, mais aucun dividende n'a été distribué. Les capitaux propres restent négatifs à -10 658 millions FCFA en 2023, et le report à nouveau négatif (-35 635 millions FCFA) empêche toute distribution de dividende à court terme. Les dettes financières s'élèvent à 4 379 millions FCFA en 2023 (vs 3 827 millions en 2022), avec un ratio dette nette/EBITDA difficile à calculer mais une trésorerie passive de 14 874 millions FCFA qui dépasse largement la trésorerie active, signalant un risque de liquidité. **Recommandation fondamentale** : la société montre des signes de redressement opérationnel en 2023, mais sa structure financière reste précaire (capitaux propres négatifs, endettement élevé, absence de dividende). Le risque de liquidité et la dépendance au marché ivoirien constituent des vulnérabilités majeures. Une reprise durable de la rentabilité et une reconstitution des capitaux propres sont nécessaires avant d'envisager un investissement serein.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boursière (Partie 0) apparaît totalement déconnectée des bénéfices actuels, avec un PER théorique très élevé et une valeur comptable négative qui rend les ratios P/B et EV/EBITDA inexploitables — signalant une prime spéculative ou une anticipation de redressement non encore matérialisée. Le comportement du cours (Partie 1) est baissier sur 100 jours (-14,44%), avec une volatilité élevée (57,4%) et une distribution symétrique (skewness -0,200, kurtosis -0,560) qui n'offre pas de biais directionnel clair, mais expose à un risque de prix significatif. Les signaux techniques (Partie 2) sont majoritairement baissiers (MM20 &lt; MM50 &lt; cours, MACD négatif), avec une divergence haussière isolée du stochastique en survente — configuration de consolidation baissière avec potentiel rebond technique limité. Les fondamentaux (Partie 3) montrent un redressement opérationnel en 2023 (bénéfice net de 640 millions FCFA vs perte de 6,9 milliards en 2022), mais une structure financière fragile (capitaux propres négatifs, endettement, absence de dividende) et une marge nette (2,63%) inférieure aux standards sectoriels. Les prédictions IA (J+1 à J+10) anticipent une stagnation autour de 47 915-47 937 FCFA, confirmant l'absence de catalyseur haussier à court terme et la persistance de la pression baissière. **Synthèse globale** : la convergence des signaux baissiers (technique, fondamental, prédiction) et l'absence de valorisation attractive (PER prohibitif, capitaux propres négatifs) plaident pour une **VENTE** avec un niveau de confiance **Moyen** et un risque global **Élevé**. L'horizon d'investissement optimal est **court terme (&lt;3 mois)** pour les investisseurs cherchant à se délester avant une éventuelle dégradation supplémentaire, ou **long terme (&gt;1 an)** pour ceux qui parient sur une restructuration réussie et une reconstitution des capitaux propres — mais dans ce cas, une diversification vers des valeurs plus solides de la BRVM (SONATEL, NSIA, CIE) est fortement recommandée.</w:t>
      </w:r>
    </w:p>
    <w:p/>
    <w:p/>
    <w:p>
      <w:r>
        <w:t>════════════════════════════════════════════════════════════════════════════════</w:t>
      </w:r>
    </w:p>
    <w:p>
      <w:r>
        <w:br w:type="page"/>
      </w:r>
    </w:p>
    <w:p>
      <w:pPr>
        <w:pStyle w:val="Heading2"/>
        <w:spacing w:before="360"/>
      </w:pPr>
      <w:r>
        <w:rPr>
          <w:color w:val="0066CC"/>
        </w:rPr>
        <w:t>48.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47.41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13,486 titres</w:t>
            </w:r>
          </w:p>
        </w:tc>
        <w:tc>
          <w:tcPr>
            <w:tcW w:type="dxa" w:w="2268"/>
            <w:shd w:fill="FFF2CC" w:val="clear"/>
          </w:tcPr>
          <w:p>
            <w:r>
              <w:rPr>
                <w:b/>
                <w:color w:val="503200"/>
                <w:sz w:val="16"/>
              </w:rPr>
              <w:t xml:space="preserve">Cours actuel : </w:t>
            </w:r>
            <w:r>
              <w:rPr>
                <w:color w:val="000000"/>
                <w:sz w:val="17"/>
              </w:rPr>
              <w:t>2,285 FCFA</w:t>
            </w:r>
          </w:p>
          <w:p>
            <w:r>
              <w:rPr>
                <w:b/>
                <w:color w:val="503200"/>
                <w:sz w:val="16"/>
              </w:rPr>
              <w:t xml:space="preserve">Var. 100 jours : </w:t>
            </w:r>
            <w:r>
              <w:rPr>
                <w:b/>
                <w:color w:val="007800"/>
                <w:sz w:val="17"/>
              </w:rPr>
              <w:t>+24.86%</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15.13% (Élevée) — μ=2,023 FCFA, σ=306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β=0.6040 (Défensif) — Cov=0.000044, Var(idx)=0.000073, ρ=0.163,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13,486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σ_j=3.15%/j (Modérée) — Vol. annualisée≈50.0%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50" name="Picture 5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2,187</w:t>
            </w:r>
          </w:p>
        </w:tc>
        <w:tc>
          <w:tcPr>
            <w:tcW w:type="dxa" w:w="1440"/>
            <w:shd w:fill="FAFAFA" w:val="clear"/>
          </w:tcPr>
          <w:p>
            <w:r>
              <w:rPr>
                <w:b/>
                <w:sz w:val="17"/>
              </w:rPr>
              <w:t>2,264</w:t>
            </w:r>
          </w:p>
        </w:tc>
        <w:tc>
          <w:tcPr>
            <w:tcW w:type="dxa" w:w="1440"/>
            <w:shd w:fill="FAFAFA" w:val="clear"/>
          </w:tcPr>
          <w:p>
            <w:r>
              <w:rPr>
                <w:sz w:val="17"/>
              </w:rPr>
              <w:t>2,341</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2,140</w:t>
            </w:r>
          </w:p>
        </w:tc>
        <w:tc>
          <w:tcPr>
            <w:tcW w:type="dxa" w:w="1440"/>
            <w:shd w:fill="FAFAFA" w:val="clear"/>
          </w:tcPr>
          <w:p>
            <w:r>
              <w:rPr>
                <w:b/>
                <w:sz w:val="17"/>
              </w:rPr>
              <w:t>2,248</w:t>
            </w:r>
          </w:p>
        </w:tc>
        <w:tc>
          <w:tcPr>
            <w:tcW w:type="dxa" w:w="1440"/>
            <w:shd w:fill="FAFAFA" w:val="clear"/>
          </w:tcPr>
          <w:p>
            <w:r>
              <w:rPr>
                <w:sz w:val="17"/>
              </w:rPr>
              <w:t>2,356</w:t>
            </w:r>
          </w:p>
        </w:tc>
        <w:tc>
          <w:tcPr>
            <w:tcW w:type="dxa" w:w="1440"/>
            <w:shd w:fill="FAFAFA" w:val="clear"/>
          </w:tcPr>
          <w:p>
            <w:r>
              <w:rPr>
                <w:b/>
                <w:color w:val="C00000"/>
                <w:sz w:val="17"/>
              </w:rPr>
              <w:t>-1.6%</w:t>
            </w:r>
          </w:p>
        </w:tc>
      </w:tr>
      <w:tr>
        <w:tc>
          <w:tcPr>
            <w:tcW w:type="dxa" w:w="1440"/>
            <w:shd w:fill="FFDCE0" w:val="clear"/>
          </w:tcPr>
          <w:p>
            <w:r>
              <w:rPr>
                <w:sz w:val="17"/>
              </w:rPr>
              <w:t>J+3  Moyenne</w:t>
            </w:r>
          </w:p>
        </w:tc>
        <w:tc>
          <w:tcPr>
            <w:tcW w:type="dxa" w:w="1440"/>
            <w:shd w:fill="FFDCE0" w:val="clear"/>
          </w:tcPr>
          <w:p>
            <w:r>
              <w:rPr>
                <w:sz w:val="17"/>
              </w:rPr>
              <w:t>2026-10-14</w:t>
            </w:r>
          </w:p>
        </w:tc>
        <w:tc>
          <w:tcPr>
            <w:tcW w:type="dxa" w:w="1440"/>
            <w:shd w:fill="FFDCE0" w:val="clear"/>
          </w:tcPr>
          <w:p>
            <w:r>
              <w:rPr>
                <w:sz w:val="17"/>
              </w:rPr>
              <w:t>2,100</w:t>
            </w:r>
          </w:p>
        </w:tc>
        <w:tc>
          <w:tcPr>
            <w:tcW w:type="dxa" w:w="1440"/>
            <w:shd w:fill="FFDCE0" w:val="clear"/>
          </w:tcPr>
          <w:p>
            <w:r>
              <w:rPr>
                <w:b/>
                <w:sz w:val="17"/>
              </w:rPr>
              <w:t>2,232</w:t>
            </w:r>
          </w:p>
        </w:tc>
        <w:tc>
          <w:tcPr>
            <w:tcW w:type="dxa" w:w="1440"/>
            <w:shd w:fill="FFDCE0" w:val="clear"/>
          </w:tcPr>
          <w:p>
            <w:r>
              <w:rPr>
                <w:sz w:val="17"/>
              </w:rPr>
              <w:t>2,363</w:t>
            </w:r>
          </w:p>
        </w:tc>
        <w:tc>
          <w:tcPr>
            <w:tcW w:type="dxa" w:w="1440"/>
            <w:shd w:fill="FFDCE0" w:val="clear"/>
          </w:tcPr>
          <w:p>
            <w:r>
              <w:rPr>
                <w:b/>
                <w:color w:val="C00000"/>
                <w:sz w:val="17"/>
              </w:rPr>
              <w:t>-2.3%</w:t>
            </w:r>
          </w:p>
        </w:tc>
      </w:tr>
      <w:tr>
        <w:tc>
          <w:tcPr>
            <w:tcW w:type="dxa" w:w="1440"/>
            <w:shd w:fill="FFDCE0" w:val="clear"/>
          </w:tcPr>
          <w:p>
            <w:r>
              <w:rPr>
                <w:sz w:val="17"/>
              </w:rPr>
              <w:t>J+4  ⭐</w:t>
            </w:r>
          </w:p>
        </w:tc>
        <w:tc>
          <w:tcPr>
            <w:tcW w:type="dxa" w:w="1440"/>
            <w:shd w:fill="FFDCE0" w:val="clear"/>
          </w:tcPr>
          <w:p>
            <w:r>
              <w:rPr>
                <w:sz w:val="17"/>
              </w:rPr>
              <w:t>2026-10-15</w:t>
            </w:r>
          </w:p>
        </w:tc>
        <w:tc>
          <w:tcPr>
            <w:tcW w:type="dxa" w:w="1440"/>
            <w:shd w:fill="FFDCE0" w:val="clear"/>
          </w:tcPr>
          <w:p>
            <w:r>
              <w:rPr>
                <w:sz w:val="17"/>
              </w:rPr>
              <w:t>2,065</w:t>
            </w:r>
          </w:p>
        </w:tc>
        <w:tc>
          <w:tcPr>
            <w:tcW w:type="dxa" w:w="1440"/>
            <w:shd w:fill="FFDCE0" w:val="clear"/>
          </w:tcPr>
          <w:p>
            <w:r>
              <w:rPr>
                <w:b/>
                <w:sz w:val="17"/>
              </w:rPr>
              <w:t>2,216</w:t>
            </w:r>
          </w:p>
        </w:tc>
        <w:tc>
          <w:tcPr>
            <w:tcW w:type="dxa" w:w="1440"/>
            <w:shd w:fill="FFDCE0" w:val="clear"/>
          </w:tcPr>
          <w:p>
            <w:r>
              <w:rPr>
                <w:sz w:val="17"/>
              </w:rPr>
              <w:t>2,366</w:t>
            </w:r>
          </w:p>
        </w:tc>
        <w:tc>
          <w:tcPr>
            <w:tcW w:type="dxa" w:w="1440"/>
            <w:shd w:fill="FFDCE0" w:val="clear"/>
          </w:tcPr>
          <w:p>
            <w:r>
              <w:rPr>
                <w:b/>
                <w:color w:val="C00000"/>
                <w:sz w:val="17"/>
              </w:rPr>
              <w:t>-3.0%</w:t>
            </w:r>
          </w:p>
        </w:tc>
      </w:tr>
      <w:tr>
        <w:tc>
          <w:tcPr>
            <w:tcW w:type="dxa" w:w="1440"/>
            <w:shd w:fill="FFDCE0" w:val="clear"/>
          </w:tcPr>
          <w:p>
            <w:r>
              <w:rPr>
                <w:sz w:val="17"/>
              </w:rPr>
              <w:t>J+5  ⭐</w:t>
            </w:r>
          </w:p>
        </w:tc>
        <w:tc>
          <w:tcPr>
            <w:tcW w:type="dxa" w:w="1440"/>
            <w:shd w:fill="FFDCE0" w:val="clear"/>
          </w:tcPr>
          <w:p>
            <w:r>
              <w:rPr>
                <w:sz w:val="17"/>
              </w:rPr>
              <w:t>2026-10-16</w:t>
            </w:r>
          </w:p>
        </w:tc>
        <w:tc>
          <w:tcPr>
            <w:tcW w:type="dxa" w:w="1440"/>
            <w:shd w:fill="FFDCE0" w:val="clear"/>
          </w:tcPr>
          <w:p>
            <w:r>
              <w:rPr>
                <w:sz w:val="17"/>
              </w:rPr>
              <w:t>2,034</w:t>
            </w:r>
          </w:p>
        </w:tc>
        <w:tc>
          <w:tcPr>
            <w:tcW w:type="dxa" w:w="1440"/>
            <w:shd w:fill="FFDCE0" w:val="clear"/>
          </w:tcPr>
          <w:p>
            <w:r>
              <w:rPr>
                <w:b/>
                <w:sz w:val="17"/>
              </w:rPr>
              <w:t>2,201</w:t>
            </w:r>
          </w:p>
        </w:tc>
        <w:tc>
          <w:tcPr>
            <w:tcW w:type="dxa" w:w="1440"/>
            <w:shd w:fill="FFDCE0" w:val="clear"/>
          </w:tcPr>
          <w:p>
            <w:r>
              <w:rPr>
                <w:sz w:val="17"/>
              </w:rPr>
              <w:t>2,368</w:t>
            </w:r>
          </w:p>
        </w:tc>
        <w:tc>
          <w:tcPr>
            <w:tcW w:type="dxa" w:w="1440"/>
            <w:shd w:fill="FFDCE0" w:val="clear"/>
          </w:tcPr>
          <w:p>
            <w:r>
              <w:rPr>
                <w:b/>
                <w:color w:val="C00000"/>
                <w:sz w:val="17"/>
              </w:rPr>
              <w:t>-3.7%</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2,004</w:t>
            </w:r>
          </w:p>
        </w:tc>
        <w:tc>
          <w:tcPr>
            <w:tcW w:type="dxa" w:w="1440"/>
            <w:shd w:fill="FFDCE0" w:val="clear"/>
          </w:tcPr>
          <w:p>
            <w:r>
              <w:rPr>
                <w:b/>
                <w:sz w:val="17"/>
              </w:rPr>
              <w:t>2,186</w:t>
            </w:r>
          </w:p>
        </w:tc>
        <w:tc>
          <w:tcPr>
            <w:tcW w:type="dxa" w:w="1440"/>
            <w:shd w:fill="FFDCE0" w:val="clear"/>
          </w:tcPr>
          <w:p>
            <w:r>
              <w:rPr>
                <w:sz w:val="17"/>
              </w:rPr>
              <w:t>2,368</w:t>
            </w:r>
          </w:p>
        </w:tc>
        <w:tc>
          <w:tcPr>
            <w:tcW w:type="dxa" w:w="1440"/>
            <w:shd w:fill="FFDCE0" w:val="clear"/>
          </w:tcPr>
          <w:p>
            <w:r>
              <w:rPr>
                <w:b/>
                <w:color w:val="C00000"/>
                <w:sz w:val="17"/>
              </w:rPr>
              <w:t>-4.3%</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1,977</w:t>
            </w:r>
          </w:p>
        </w:tc>
        <w:tc>
          <w:tcPr>
            <w:tcW w:type="dxa" w:w="1440"/>
            <w:shd w:fill="FFDCE0" w:val="clear"/>
          </w:tcPr>
          <w:p>
            <w:r>
              <w:rPr>
                <w:b/>
                <w:sz w:val="17"/>
              </w:rPr>
              <w:t>2,172</w:t>
            </w:r>
          </w:p>
        </w:tc>
        <w:tc>
          <w:tcPr>
            <w:tcW w:type="dxa" w:w="1440"/>
            <w:shd w:fill="FFDCE0" w:val="clear"/>
          </w:tcPr>
          <w:p>
            <w:r>
              <w:rPr>
                <w:sz w:val="17"/>
              </w:rPr>
              <w:t>2,367</w:t>
            </w:r>
          </w:p>
        </w:tc>
        <w:tc>
          <w:tcPr>
            <w:tcW w:type="dxa" w:w="1440"/>
            <w:shd w:fill="FFDCE0" w:val="clear"/>
          </w:tcPr>
          <w:p>
            <w:r>
              <w:rPr>
                <w:b/>
                <w:color w:val="C00000"/>
                <w:sz w:val="17"/>
              </w:rPr>
              <w:t>-4.9%</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1,951</w:t>
            </w:r>
          </w:p>
        </w:tc>
        <w:tc>
          <w:tcPr>
            <w:tcW w:type="dxa" w:w="1440"/>
            <w:shd w:fill="FFDCE0" w:val="clear"/>
          </w:tcPr>
          <w:p>
            <w:r>
              <w:rPr>
                <w:b/>
                <w:sz w:val="17"/>
              </w:rPr>
              <w:t>2,158</w:t>
            </w:r>
          </w:p>
        </w:tc>
        <w:tc>
          <w:tcPr>
            <w:tcW w:type="dxa" w:w="1440"/>
            <w:shd w:fill="FFDCE0" w:val="clear"/>
          </w:tcPr>
          <w:p>
            <w:r>
              <w:rPr>
                <w:sz w:val="17"/>
              </w:rPr>
              <w:t>2,366</w:t>
            </w:r>
          </w:p>
        </w:tc>
        <w:tc>
          <w:tcPr>
            <w:tcW w:type="dxa" w:w="1440"/>
            <w:shd w:fill="FFDCE0" w:val="clear"/>
          </w:tcPr>
          <w:p>
            <w:r>
              <w:rPr>
                <w:b/>
                <w:color w:val="C00000"/>
                <w:sz w:val="17"/>
              </w:rPr>
              <w:t>-5.5%</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1,927</w:t>
            </w:r>
          </w:p>
        </w:tc>
        <w:tc>
          <w:tcPr>
            <w:tcW w:type="dxa" w:w="1440"/>
            <w:shd w:fill="FFDCE0" w:val="clear"/>
          </w:tcPr>
          <w:p>
            <w:r>
              <w:rPr>
                <w:b/>
                <w:sz w:val="17"/>
              </w:rPr>
              <w:t>2,145</w:t>
            </w:r>
          </w:p>
        </w:tc>
        <w:tc>
          <w:tcPr>
            <w:tcW w:type="dxa" w:w="1440"/>
            <w:shd w:fill="FFDCE0" w:val="clear"/>
          </w:tcPr>
          <w:p>
            <w:r>
              <w:rPr>
                <w:sz w:val="17"/>
              </w:rPr>
              <w:t>2,364</w:t>
            </w:r>
          </w:p>
        </w:tc>
        <w:tc>
          <w:tcPr>
            <w:tcW w:type="dxa" w:w="1440"/>
            <w:shd w:fill="FFDCE0" w:val="clear"/>
          </w:tcPr>
          <w:p>
            <w:r>
              <w:rPr>
                <w:b/>
                <w:color w:val="C00000"/>
                <w:sz w:val="17"/>
              </w:rPr>
              <w:t>-6.1%</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1,903</w:t>
            </w:r>
          </w:p>
        </w:tc>
        <w:tc>
          <w:tcPr>
            <w:tcW w:type="dxa" w:w="1440"/>
            <w:shd w:fill="FFDCE0" w:val="clear"/>
          </w:tcPr>
          <w:p>
            <w:r>
              <w:rPr>
                <w:b/>
                <w:sz w:val="17"/>
              </w:rPr>
              <w:t>2,132</w:t>
            </w:r>
          </w:p>
        </w:tc>
        <w:tc>
          <w:tcPr>
            <w:tcW w:type="dxa" w:w="1440"/>
            <w:shd w:fill="FFDCE0" w:val="clear"/>
          </w:tcPr>
          <w:p>
            <w:r>
              <w:rPr>
                <w:sz w:val="17"/>
              </w:rPr>
              <w:t>2,361</w:t>
            </w:r>
          </w:p>
        </w:tc>
        <w:tc>
          <w:tcPr>
            <w:tcW w:type="dxa" w:w="1440"/>
            <w:shd w:fill="FFDCE0" w:val="clear"/>
          </w:tcPr>
          <w:p>
            <w:r>
              <w:rPr>
                <w:b/>
                <w:color w:val="C00000"/>
                <w:sz w:val="17"/>
              </w:rPr>
              <w:t>-6.7%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3.693 Mds FCFA</w:t>
            </w:r>
          </w:p>
        </w:tc>
        <w:tc>
          <w:tcPr>
            <w:tcW w:type="dxa" w:w="5669"/>
            <w:shd w:fill="FFFFFF" w:val="clear"/>
          </w:tcPr>
          <w:p>
            <w:r>
              <w:rPr>
                <w:color w:val="282828"/>
                <w:sz w:val="15"/>
              </w:rPr>
              <w:t>Créances clients = 12.7%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12.179 Mds FCFA</w:t>
            </w:r>
          </w:p>
        </w:tc>
        <w:tc>
          <w:tcPr>
            <w:tcW w:type="dxa" w:w="5669"/>
            <w:shd w:fill="FFFFFF" w:val="clear"/>
          </w:tcPr>
          <w:p>
            <w:r>
              <w:rPr>
                <w:color w:val="282828"/>
                <w:sz w:val="15"/>
              </w:rPr>
              <w:t>Rotation stocks = 2.4x/an.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17.281 Mds FCFA</w:t>
            </w:r>
          </w:p>
        </w:tc>
        <w:tc>
          <w:tcPr>
            <w:tcW w:type="dxa" w:w="5669"/>
            <w:shd w:fill="FFFFFF" w:val="clear"/>
          </w:tcPr>
          <w:p>
            <w:r>
              <w:rPr>
                <w:color w:val="282828"/>
                <w:sz w:val="15"/>
              </w:rPr>
              <w:t>Ratio actif circ./passif circ. = 2.84x.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114.77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9.507 Mds FCFA</w:t>
            </w:r>
          </w:p>
        </w:tc>
        <w:tc>
          <w:tcPr>
            <w:tcW w:type="dxa" w:w="5669"/>
            <w:shd w:fill="FFFFFF" w:val="clear"/>
          </w:tcPr>
          <w:p>
            <w:r>
              <w:rPr>
                <w:color w:val="282828"/>
                <w:sz w:val="15"/>
              </w:rPr>
              <w:t>Outil industriel (30.0%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10.642 Mds FCFA</w:t>
            </w:r>
          </w:p>
        </w:tc>
        <w:tc>
          <w:tcPr>
            <w:tcW w:type="dxa" w:w="5669"/>
            <w:shd w:fill="FFFFFF" w:val="clear"/>
          </w:tcPr>
          <w:p>
            <w:r>
              <w:rPr>
                <w:color w:val="282828"/>
                <w:sz w:val="15"/>
              </w:rPr>
              <w:t>Actif immobilisé = 33.5%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3.813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31.736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6.156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24.619 Mds FCFA</w:t>
            </w:r>
          </w:p>
        </w:tc>
        <w:tc>
          <w:tcPr>
            <w:tcW w:type="dxa" w:w="5669"/>
            <w:shd w:fill="FFFFFF" w:val="clear"/>
          </w:tcPr>
          <w:p>
            <w:r>
              <w:rPr>
                <w:color w:val="282828"/>
                <w:sz w:val="15"/>
              </w:rPr>
              <w:t>Fonds propres = 77.6%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25.643 Mds FCFA</w:t>
            </w:r>
          </w:p>
        </w:tc>
        <w:tc>
          <w:tcPr>
            <w:tcW w:type="dxa" w:w="5669"/>
            <w:shd w:fill="FFFFFF" w:val="clear"/>
          </w:tcPr>
          <w:p>
            <w:r>
              <w:rPr>
                <w:color w:val="282828"/>
                <w:sz w:val="15"/>
              </w:rPr>
              <w:t>Capitaux permanents / Actif immobilisé = 2.41x.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4.977 Mds FCFA</w:t>
            </w:r>
          </w:p>
        </w:tc>
        <w:tc>
          <w:tcPr>
            <w:tcW w:type="dxa" w:w="5669"/>
            <w:shd w:fill="FFFFFF" w:val="clear"/>
          </w:tcPr>
          <w:p>
            <w:r>
              <w:rPr>
                <w:color w:val="282828"/>
                <w:sz w:val="15"/>
              </w:rPr>
              <w:t>Délai fournisseurs implicite ≈ 63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368.66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368.66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7.117 Mds FCFA</w:t>
            </w:r>
          </w:p>
        </w:tc>
        <w:tc>
          <w:tcPr>
            <w:tcW w:type="dxa" w:w="5669"/>
            <w:shd w:fill="FFFFFF" w:val="clear"/>
          </w:tcPr>
          <w:p>
            <w:r>
              <w:rPr>
                <w:color w:val="282828"/>
                <w:sz w:val="15"/>
              </w:rPr>
              <w:t>Dettes totales = 22.4%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29.032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29.032 Mds FCFA</w:t>
            </w:r>
          </w:p>
        </w:tc>
        <w:tc>
          <w:tcPr>
            <w:tcW w:type="dxa" w:w="5669"/>
            <w:shd w:fill="FFFFFF" w:val="clear"/>
          </w:tcPr>
          <w:p>
            <w:r>
              <w:rPr>
                <w:color w:val="282828"/>
                <w:sz w:val="15"/>
              </w:rPr>
              <w:t>Chiffre d'affaires. Croissance: 6.2%.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2.155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5.436 Mds FCFA</w:t>
            </w:r>
          </w:p>
        </w:tc>
        <w:tc>
          <w:tcPr>
            <w:tcW w:type="dxa" w:w="5669"/>
            <w:shd w:fill="FFFFFF" w:val="clear"/>
          </w:tcPr>
          <w:p>
            <w:r>
              <w:rPr>
                <w:color w:val="282828"/>
                <w:sz w:val="15"/>
              </w:rPr>
              <w:t>Masse salariale = 18.7%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6.563 Mds FCFA</w:t>
            </w:r>
          </w:p>
        </w:tc>
        <w:tc>
          <w:tcPr>
            <w:tcW w:type="dxa" w:w="5669"/>
            <w:shd w:fill="FFFFFF" w:val="clear"/>
          </w:tcPr>
          <w:p>
            <w:r>
              <w:rPr>
                <w:color w:val="282828"/>
                <w:sz w:val="15"/>
              </w:rPr>
              <w:t>VA = 22.6%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1.127 Mds FCFA</w:t>
            </w:r>
          </w:p>
        </w:tc>
        <w:tc>
          <w:tcPr>
            <w:tcW w:type="dxa" w:w="5669"/>
            <w:shd w:fill="FFFFFF" w:val="clear"/>
          </w:tcPr>
          <w:p>
            <w:r>
              <w:rPr>
                <w:color w:val="282828"/>
                <w:sz w:val="15"/>
              </w:rPr>
              <w:t>EBE = 3.9%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-423.61 M FCFA</w:t>
            </w:r>
          </w:p>
        </w:tc>
        <w:tc>
          <w:tcPr>
            <w:tcW w:type="dxa" w:w="5669"/>
            <w:shd w:fill="FFFFFF" w:val="clear"/>
          </w:tcPr>
          <w:p>
            <w:r>
              <w:rPr>
                <w:color w:val="282828"/>
                <w:sz w:val="15"/>
              </w:rPr>
              <w:t>Profit d'exploitation = -1.5%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-624.11 M FCFA</w:t>
            </w:r>
          </w:p>
        </w:tc>
        <w:tc>
          <w:tcPr>
            <w:tcW w:type="dxa" w:w="5669"/>
            <w:shd w:fill="FFFFFF" w:val="clear"/>
          </w:tcPr>
          <w:p>
            <w:r>
              <w:rPr>
                <w:color w:val="282828"/>
                <w:sz w:val="15"/>
              </w:rPr>
              <w:t>Marge nette = -2.1%.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904.48 M FCFA</w:t>
            </w:r>
          </w:p>
        </w:tc>
        <w:tc>
          <w:tcPr>
            <w:tcW w:type="dxa" w:w="5669"/>
            <w:shd w:fill="FFFFFF" w:val="clear"/>
          </w:tcPr>
          <w:p>
            <w:r>
              <w:rPr>
                <w:color w:val="282828"/>
                <w:sz w:val="15"/>
              </w:rPr>
              <w:t>CAF = 0.90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-8.124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9.399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43.03 M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-8.239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11.187 Mds FCFA</w:t>
            </w:r>
          </w:p>
        </w:tc>
        <w:tc>
          <w:tcPr>
            <w:tcW w:type="dxa" w:w="5669"/>
            <w:shd w:fill="FFFFFF" w:val="clear"/>
          </w:tcPr>
          <w:p>
            <w:r>
              <w:rPr>
                <w:color w:val="282828"/>
                <w:sz w:val="15"/>
              </w:rPr>
              <w:t>BFR = 38.5%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15.001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3.813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53.53%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-2.15%</w:t>
            </w:r>
          </w:p>
        </w:tc>
        <w:tc>
          <w:tcPr>
            <w:tcW w:type="dxa" w:w="5669"/>
            <w:shd w:fill="FFFFFF" w:val="clear"/>
          </w:tcPr>
          <w:p>
            <w:r>
              <w:rPr>
                <w:color w:val="282828"/>
                <w:sz w:val="15"/>
              </w:rPr>
              <w:t>Résultat net / revenus = -2.15%.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-1.46%</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-2.54%</w:t>
            </w:r>
          </w:p>
        </w:tc>
        <w:tc>
          <w:tcPr>
            <w:tcW w:type="dxa" w:w="5669"/>
            <w:shd w:fill="FFFFFF" w:val="clear"/>
          </w:tcPr>
          <w:p>
            <w:r>
              <w:rPr>
                <w:color w:val="282828"/>
                <w:sz w:val="15"/>
              </w:rPr>
              <w:t>Résultat net / capitaux propres = -2.54%.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-1.97%</w:t>
            </w:r>
          </w:p>
        </w:tc>
        <w:tc>
          <w:tcPr>
            <w:tcW w:type="dxa" w:w="5669"/>
            <w:shd w:fill="FFFFFF" w:val="clear"/>
          </w:tcPr>
          <w:p>
            <w:r>
              <w:rPr>
                <w:color w:val="282828"/>
                <w:sz w:val="15"/>
              </w:rPr>
              <w:t>Résultat net / total actif = -1.97%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91.48%</w:t>
            </w:r>
          </w:p>
        </w:tc>
        <w:tc>
          <w:tcPr>
            <w:tcW w:type="dxa" w:w="5669"/>
            <w:shd w:fill="FFFFFF" w:val="clear"/>
          </w:tcPr>
          <w:p>
            <w:r>
              <w:rPr>
                <w:color w:val="282828"/>
                <w:sz w:val="15"/>
              </w:rPr>
              <w:t>CA / total actif = 91.48x.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6.21%</w:t>
            </w:r>
          </w:p>
        </w:tc>
        <w:tc>
          <w:tcPr>
            <w:tcW w:type="dxa" w:w="5669"/>
            <w:shd w:fill="FFFFFF" w:val="clear"/>
          </w:tcPr>
          <w:p>
            <w:r>
              <w:rPr>
                <w:color w:val="282828"/>
                <w:sz w:val="15"/>
              </w:rPr>
              <w:t>Croissance CA vs exercice précédent = 6.21%.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77.58%</w:t>
            </w:r>
          </w:p>
        </w:tc>
        <w:tc>
          <w:tcPr>
            <w:tcW w:type="dxa" w:w="5669"/>
            <w:shd w:fill="FFFFFF" w:val="clear"/>
          </w:tcPr>
          <w:p>
            <w:r>
              <w:rPr>
                <w:color w:val="282828"/>
                <w:sz w:val="15"/>
              </w:rPr>
              <w:t>Fonds propres / total bilan = 77.58%.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22.42%</w:t>
            </w:r>
          </w:p>
        </w:tc>
        <w:tc>
          <w:tcPr>
            <w:tcW w:type="dxa" w:w="5669"/>
            <w:shd w:fill="FFFFFF" w:val="clear"/>
          </w:tcPr>
          <w:p>
            <w:r>
              <w:rPr>
                <w:color w:val="282828"/>
                <w:sz w:val="15"/>
              </w:rPr>
              <w:t>Dettes financières / total bilan = 22.42%.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1.50%</w:t>
            </w:r>
          </w:p>
        </w:tc>
        <w:tc>
          <w:tcPr>
            <w:tcW w:type="dxa" w:w="5669"/>
            <w:shd w:fill="FFFFFF" w:val="clear"/>
          </w:tcPr>
          <w:p>
            <w:r>
              <w:rPr>
                <w:color w:val="282828"/>
                <w:sz w:val="15"/>
              </w:rPr>
              <w:t>Dettes totales / fonds propres = 1.50%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445.93%</w:t>
            </w:r>
          </w:p>
        </w:tc>
        <w:tc>
          <w:tcPr>
            <w:tcW w:type="dxa" w:w="5669"/>
            <w:shd w:fill="FFFFFF" w:val="clear"/>
          </w:tcPr>
          <w:p>
            <w:r>
              <w:rPr>
                <w:color w:val="282828"/>
                <w:sz w:val="15"/>
              </w:rPr>
              <w:t>Total actif / dettes totales = 445.93x.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346.19%</w:t>
            </w:r>
          </w:p>
        </w:tc>
        <w:tc>
          <w:tcPr>
            <w:tcW w:type="dxa" w:w="5669"/>
            <w:shd w:fill="FFFFFF" w:val="clear"/>
          </w:tcPr>
          <w:p>
            <w:r>
              <w:rPr>
                <w:color w:val="282828"/>
                <w:sz w:val="15"/>
              </w:rPr>
              <w:t>Actif circulant / passif circulant = 346.19x.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62.59%</w:t>
            </w:r>
          </w:p>
        </w:tc>
        <w:tc>
          <w:tcPr>
            <w:tcW w:type="dxa" w:w="5669"/>
            <w:shd w:fill="FFFFFF" w:val="clear"/>
          </w:tcPr>
          <w:p>
            <w:r>
              <w:rPr>
                <w:color w:val="282828"/>
                <w:sz w:val="15"/>
              </w:rPr>
              <w:t>Trésorerie / passif circulant = 62.59x.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146.32%</w:t>
            </w:r>
          </w:p>
        </w:tc>
        <w:tc>
          <w:tcPr>
            <w:tcW w:type="dxa" w:w="5669"/>
            <w:shd w:fill="FFFFFF" w:val="clear"/>
          </w:tcPr>
          <w:p>
            <w:r>
              <w:rPr>
                <w:color w:val="282828"/>
                <w:sz w:val="15"/>
              </w:rPr>
              <w:t>(Actif circ. - stocks) / passif circ. = 146.32x.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240.96%</w:t>
            </w:r>
          </w:p>
        </w:tc>
        <w:tc>
          <w:tcPr>
            <w:tcW w:type="dxa" w:w="5669"/>
            <w:shd w:fill="FFFFFF" w:val="clear"/>
          </w:tcPr>
          <w:p>
            <w:r>
              <w:rPr>
                <w:color w:val="282828"/>
                <w:sz w:val="15"/>
              </w:rPr>
              <w:t>Capitaux permanents / actif immobilisé = 240.96x.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-1249.16%</w:t>
            </w:r>
          </w:p>
        </w:tc>
        <w:tc>
          <w:tcPr>
            <w:tcW w:type="dxa" w:w="5669"/>
            <w:shd w:fill="FFFFFF" w:val="clear"/>
          </w:tcPr>
          <w:p>
            <w:r>
              <w:rPr>
                <w:color w:val="282828"/>
                <w:sz w:val="15"/>
              </w:rPr>
              <w:t>Résultat exploit. / charges financières = -1249.16x.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789.90%</w:t>
            </w:r>
          </w:p>
        </w:tc>
        <w:tc>
          <w:tcPr>
            <w:tcW w:type="dxa" w:w="5669"/>
            <w:shd w:fill="FFFFFF" w:val="clear"/>
          </w:tcPr>
          <w:p>
            <w:r>
              <w:rPr>
                <w:color w:val="282828"/>
                <w:sz w:val="15"/>
              </w:rPr>
              <w:t>CAF / investissements = 789.90x.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45.8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102.4 j</w:t>
            </w:r>
          </w:p>
        </w:tc>
        <w:tc>
          <w:tcPr>
            <w:tcW w:type="dxa" w:w="5669"/>
            <w:shd w:fill="FFFFFF" w:val="clear"/>
          </w:tcPr>
          <w:p>
            <w:r>
              <w:rPr>
                <w:color w:val="282828"/>
                <w:sz w:val="15"/>
              </w:rPr>
              <w:t>Paiement des fournisseurs en 102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325.0 j</w:t>
            </w:r>
          </w:p>
        </w:tc>
        <w:tc>
          <w:tcPr>
            <w:tcW w:type="dxa" w:w="5669"/>
            <w:shd w:fill="FFFFFF" w:val="clear"/>
          </w:tcPr>
          <w:p>
            <w:r>
              <w:rPr>
                <w:color w:val="282828"/>
                <w:sz w:val="15"/>
              </w:rPr>
              <w:t>Stock écoulé en 325 jours. ❌ Stock quasi-bloqué — risque d'obsolescence ou de surstock.</w:t>
            </w:r>
          </w:p>
        </w:tc>
      </w:tr>
    </w:tbl>
    <w:p/>
    <w:p>
      <w:pPr>
        <w:spacing w:after="120" w:line="276" w:lineRule="auto"/>
      </w:pPr>
      <w:r>
        <w:t># 📊 RAPPORT D'ANALYSE FINANCIÈRE — UNIWAX (UNXC) —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47,41 milliards FCFA, UNIWAX se positionne comme une valeur de taille moyenne sur le compartiment industriel de la BRVM, reflétant sa stature de leader historique du textile wax en Afrique de l'Ouest. Le BPA ressort à -30 FCFA/action pour l'exercice 2025, conséquence directe de la perte nette de -624 millions FCFA, ce qui rend le PER inexploitable en l'état (-76,0x) — un ratio négatif qui signale une société encore déficitaire et non une anomalie de marché. Le P/B de 1,93x indique que le marché valorise UNXC à près du double de sa valeur comptable (capitaux propres de 24,62 Mds FCFA), un niveau raisonnable qui traduit une certaine confiance dans le potentiel de redressement sans exubérance spéculative. En revanche, l'EV/EBITDA de 39,0x apparaît très exigeant : rapporté à l'EBE de 1,127 Md FCFA, le marché paie très cher la capacité opérationnelle actuelle, ce qui n'est justifiable que par l'anticipation d'une forte amélioration des marges — un pari loin d'être acquis.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UNXC affiche une performance remarquable de +24,86%, portée par un cours actuel de 2 285 FCFA, malgré un léger repli de -1,08% lors de la dernière séance. Le titre a évolué dans un range très large de 1 250 FCFA (plus bas) à 2 495 FCFA (plus haut), soit un écart de près de 100% entre les extrêmes — signe d'une forte volatilité et d'un intérêt marqué des investisseurs. La tendance générale est clairement haussière, le cours actuel se situant bien au-dessus de la moyenne (2 023 FCFA) et de la médiane (1 950 FCFA). L'écart modéré entre moyenne et médiane (73 FCFA) suggère une distribution légèrement asymétrique, confirmée par un skewness de -0,248 (distribution quasi-symétrique avec une très légère queue à gauche). L'écart-type de 308 FCFA et le coefficient de variation de 15,2% traduisent une dispersion modérée du cours autour de sa moyenne. Le kurtosis de -0,563 (mésokurtique) indique une distribution proche de la normale, sans risque majeur de pics extrêmes. Avec une volatilité annualisée de 50,0%, le titre se classe dans la catégorie des valeurs à volatilité élevée (&gt;30%), ce qui implique un risque de marché significatif et justifie une approche prudente en matière de dimensionnement de position.</w:t>
      </w:r>
    </w:p>
    <w:p>
      <w:pPr>
        <w:spacing w:after="120" w:line="276" w:lineRule="auto"/>
      </w:pPr>
      <w:r>
        <w:t>---</w:t>
      </w:r>
    </w:p>
    <w:p>
      <w:pPr>
        <w:spacing w:after="120" w:line="276" w:lineRule="auto"/>
      </w:pPr>
      <w:r>
        <w:t>## PARTIE 2 : ANALYSE TECHNIQUE DÉTAILLÉE</w:t>
      </w:r>
    </w:p>
    <w:p>
      <w:pPr>
        <w:spacing w:after="120" w:line="276" w:lineRule="auto"/>
      </w:pPr>
      <w:r>
        <w:t>**Moyennes Mobiles** : La MM20 (2 333,0 FCFA) et la MM50 (2 255,7 FCFA) se situent toutes deux au-dessus du cours actuel (2 285 FCFA), la MM20 étant supérieure à la MM50 — configuration de tendance haussière de fond. Toutefois, le cours évoluant sous la MM20, la décision technique affichée est "Achat", suggérant que le repli actuel constitue une opportunité de renforcement dans un trend haussier intact.</w:t>
      </w:r>
    </w:p>
    <w:p>
      <w:pPr>
        <w:spacing w:after="120" w:line="276" w:lineRule="auto"/>
      </w:pPr>
      <w:r>
        <w:t>**Bandes de Bollinger** : Le cours (2 285 FCFA) se situe dans la partie médiane de la bande, entre la borne inférieure (2 201,395 FCFA) et la borne supérieure (2 464,605 FCFA), sans contact avec les extrêmes. Cette position centrale, couplée à une largeur de bande significative, traduit une volatilité élevée mais sans signal directionnel fort — d'où la décision "Neutre".</w:t>
      </w:r>
    </w:p>
    <w:p>
      <w:pPr>
        <w:spacing w:after="120" w:line="276" w:lineRule="auto"/>
      </w:pPr>
      <w:r>
        <w:t>**MACD** : La valeur du MACD (10,403) est nettement inférieure à son signal (26,148), générant un croisement baissier et une décision "Vente". Cet écart négatif indique un essoufflement du momentum haussier à court terme, bien que le MACD reste en territoire positif, ce qui n'invalide pas la tendance de fond.</w:t>
      </w:r>
    </w:p>
    <w:p>
      <w:pPr>
        <w:spacing w:after="120" w:line="276" w:lineRule="auto"/>
      </w:pPr>
      <w:r>
        <w:t>**RSI** : À 47,154, le RSI se situe parfaitement dans la zone neutre (30-70), sans signal de surachat ni de survente. Cette position médiane confirme l'absence de pression directionnelle immédiate et justifie la décision "Neutre", laissant la porte ouverte à une reprise haussière comme à une consolidation.</w:t>
      </w:r>
    </w:p>
    <w:p>
      <w:pPr>
        <w:spacing w:after="120" w:line="276" w:lineRule="auto"/>
      </w:pPr>
      <w:r>
        <w:t>**Stochastique** : Le %K (34,694) est inférieur au %D (40,136), configuration baissière de court terme, mais les deux lignes évoluent dans la zone basse (proche de 20-30), ce qui suggère une possible proximité d'un point de retournement. La décision reste "Neutre", le croisement n'étant pas encore confirmé en zone de survente.</w:t>
      </w:r>
    </w:p>
    <w:p>
      <w:pPr>
        <w:spacing w:after="120" w:line="276" w:lineRule="auto"/>
      </w:pPr>
      <w:r>
        <w:t>**Conclusion technique** : Les indicateurs présentent un tableau mitigé. La structure de fond reste haussière (MM20 &gt; MM50, cours au-dessus de la MM50), mais les signaux de court terme (MACD baissier, Stochastique baissier) plaident pour une consolidation. Le RSI neutre et la position médiane dans les Bandes de Bollinger confirment l'absence de signal fort. La convergence des indicateurs vers une phase d'attente suggère une consolidation avant une éventuelle reprise, le titre devant trouver un support autour de 2 200-2 255 FCFA (borne inférieure de Bollinger et MM50).</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UNIWAX a réalisé un chiffre d'affaires de 29,032 Mds FCFA, en croissance de +6,21% sur un an, confirmant la dynamique commerciale observée depuis 2024 (CA de 27,33 Mds FCFA). Le résultat net reste négatif à -624,11 millions FCFA, mais s'améliore de 71% par rapport à la perte de -2,19 Mds FCFA en 2024. Le ROE ressort à -2,54% et le ROA à -1,97%, des niveaux négatifs qui traduisent l'absence de rentabilité structurelle, bien que la marge brute de 53,53% démontre un potentiel opérationnel réel. Sur le plan du bilan, l'autonomie financière est excellente à 77,58% (capitaux propres de 24,62 Mds FCFA pour un total bilan de 31,74 Mds FCFA), avec un endettement financier quasi nul (368,66 M FCFA) et une trésorerie nette positive de 3,813 Mds FCFA. Le BFR de 11,187 Mds FCFA — qualifié de négatif donc favorable dans les données — reflète un cycle d'exploitation maîtrisé, bien que le délai de stockage élevé (324,99 jours) et le délai fournisseurs de 102,43 jours (supérieur au délai clients de 45,80 jours) constituent des points de vigilance sur la rotation des actifs.</w:t>
      </w:r>
    </w:p>
    <w:p>
      <w:pPr>
        <w:spacing w:after="120" w:line="276" w:lineRule="auto"/>
      </w:pPr>
      <w:r>
        <w:t>**Estimations basées sur les rapports trimestriels** : Le rapport du S1 2026 (publié en 2026) constitue le signal le plus encourageant : le chiffre d'affaires semestriel s'établit à 15,752 Mds FCFA (+0,3% sur un an) et surtout, le résultat d'exploitation redevient positif à 771 millions FCFA, contre une perte de -314 millions FCFA au S1 2025 — une amélioration de +345,4%. Le résultat net du S1 2026 est de 771 millions FCFA, contre 8,216 Mds FCFA au S1 2025 (ce dernier incluant la plus-value exceptionnelle de cession-bail de ~10 Mds FCFA). Sur la base de ce rapport, on peut estimer que l'exercice 2026 devrait marquer le retour à une rentabilité opérationnelle positive, avec un résultat net annuel estimé entre 1,5 et 2 Mds FCFA, hors éléments exceptionnels. Le rapport 2025 (publié en 2025) confirme cette trajectoire : l'EBE est redevenu positif à 1,13 Md FCFA (contre -0,35 Md en 2024) et la perte nette a été divisée par 3,5. Le rapport du T3 2025 (daté du 30/09/2025) souligne l'absence de perte au T3 seul, signal d'une inflexion vers la rentabilité opérationnelle.</w:t>
      </w:r>
    </w:p>
    <w:p>
      <w:pPr>
        <w:spacing w:after="120" w:line="276" w:lineRule="auto"/>
      </w:pPr>
      <w:r>
        <w:t>**Recommandation fondamentale** : La situation financière d'UNIWAX est paradoxale — bilan très solide (autonomie financière de 77,58%, trésorerie nette positive, endettement quasi nul) mais rentabilité opérationnelle historiquement fragile. Le redressement est réel et documenté (EBE positif en 2025, résultat d'exploitation positif au S1 2026), mais il reste dépendant de la capacité à confirmer cette tendance sur la durée. Les risques principaux sont la volatilité des marchés d'exportation (Nigeria, Guinée), la concurrence des importations asiatiques et la dépendance aux matières premières. La recommandation fondamentale est **CONSERVER avec biais acheteur**, en attendant la confirmation du retour à l'équilibre sur l'ensemble de l'exercice 2026.</w:t>
      </w:r>
    </w:p>
    <w:p>
      <w:pPr>
        <w:spacing w:after="120" w:line="276" w:lineRule="auto"/>
      </w:pPr>
      <w:r>
        <w:t>---</w:t>
      </w:r>
    </w:p>
    <w:p>
      <w:pPr>
        <w:spacing w:after="120" w:line="276" w:lineRule="auto"/>
      </w:pPr>
      <w:r>
        <w:t>## PARTIE 4 : CONCLUSION D'INVESTISSEMENT</w:t>
      </w:r>
    </w:p>
    <w:p>
      <w:pPr>
        <w:spacing w:after="120" w:line="276" w:lineRule="auto"/>
      </w:pPr>
      <w:r>
        <w:t>La valorisation d'UNXC présente un profil contrasté : le P/B de 1,93x est raisonnable et le PER négatif (-76,0x) reflète une société en transition, tandis que l'EV/EBITDA de 39,0x intègre déjà une forte anticipation de redressement — le marché price la reprise avant sa confirmation. Le comportement du cours sur 100 jours est nettement haussier (+24,86%), avec une volatilité élevée (50% annualisée) et une distribution quasi-normale (kurtosis -0,563, skewness -0,248), ce qui indique un risque de marché significatif mais sans biais directionnel marqué. Les signaux techniques sont mitigés : la structure de fond reste haussière (MM20 &gt; MM50), mais le MACD baissier et le Stochastique en zone basse plaident pour une consolidation à court terme, le RSI neutre (47,15) et la position médiane dans les Bandes de Bollinger confirmant l'absence de signal fort. Les fondamentaux offrent le principal motif d'optimisme : le retour à un résultat d'exploitation positif au S1 2026 (771 M FCFA) et l'EBE positif en 2025 (1,13 Md FCFA) valident la thèse d'un redressement opérationnel, porté par un bilan très sain (autonomie financière de 77,58%, trésorerie nette de 3,813 Mds FCFA). Les prédictions IA anticipent une légère consolidation sur 10 jours (2 264 → 2 201 FCFA), ce qui contredit les signaux haussiers de fond mais confirme la phase de respiration technique attendue. **Recommandation finale : CONSERVER avec biais acheteur**, la convergence entre le redressement fondamental (S1 2026 positif), la solidité du bilan et la tendance haussière de fond étant contrariée par des signaux techniques de court terme baissiers et une valorisation déjà exigeante (EV/EBITDA de 39,0x). Le niveau de confiance est **Moyen** (le redressement est réel mais doit être confirmé sur l'année complète), le niveau de risque global est **Élevé** (volatilité de 50%, dépendance aux exportations, concurrence asiatique), et l'horizon d'investissement optimal est le **moyen terme (3-12 mois)**, le temps que la rentabilité opérationnelle se confirme et que le marché revalorise le titre sur des bases durables. Un renforcement pourra être envisagé sur repli vers 2 200 FCFA (support technique) ou sur confirmation d'un résultat net annuel 2026 positif.</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- 48 sociétés analysées.</w:t>
      </w:r>
    </w:p>
    <w:p/>
    <w:p>
      <w:pPr>
        <w:jc w:val="center"/>
      </w:pPr>
      <w:r>
        <w:rPr>
          <w:i/>
          <w:color w:val="808080"/>
          <w:sz w:val="16"/>
        </w:rPr>
        <w:t xml:space="preserve">Analyse Multi-AI - </w:t>
      </w:r>
      <w:r>
        <w:rPr>
          <w:i/>
        </w:rPr>
        <w:t xml:space="preserve">DeepSeek: 49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