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19/09/2026 à 08:51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86/100)</w:t>
      </w:r>
    </w:p>
    <w:p>
      <w:pPr>
        <w:spacing w:before="20" w:after="20"/>
        <w:ind w:left="360" w:right="360"/>
        <w:shd w:val="clear" w:color="auto" w:fill="EBF5FB"/>
      </w:pPr>
      <w:r>
        <w:rPr>
          <w:b/>
          <w:sz w:val="19"/>
        </w:rPr>
        <w:t xml:space="preserve">Secteur surperformant :  </w:t>
      </w:r>
      <w:r>
        <w:rPr>
          <w:color w:val="008000"/>
          <w:sz w:val="19"/>
        </w:rPr>
        <w:t>SERVICES PUBLICS  (+94.2%)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10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553.71 points </w:t>
      </w:r>
      <w:r>
        <w:rPr>
          <w:color w:val="008000"/>
        </w:rPr>
        <w:t>(+1.03%)</w:t>
      </w:r>
      <w:r>
        <w:t xml:space="preserve"> sur la séance. </w:t>
      </w:r>
      <w:r>
        <w:t>La capitalisation globale du marché atteint 21 351,610 milliards FCFA.</w:t>
      </w:r>
    </w:p>
    <w:p/>
    <w:p>
      <w:pPr>
        <w:pStyle w:val="Heading3"/>
      </w:pPr>
      <w:r>
        <w:t>📊 Évolution de l'indice BRVM Composite (100 derniers jours)</w:t>
      </w:r>
    </w:p>
    <w:p>
      <w:r>
        <w:rPr>
          <w:b/>
        </w:rPr>
        <w:t xml:space="preserve">BRVM Composite — </w:t>
      </w:r>
      <w:r>
        <w:t xml:space="preserve">Sur les 100 derniers jours de cotation (2026-04-24 au 2026-09-18), l'indice BRVM Composite a évolué de </w:t>
      </w:r>
      <w:r>
        <w:rPr>
          <w:b/>
          <w:color w:val="008000"/>
        </w:rPr>
        <w:t>+37.54%</w:t>
      </w:r>
      <w:r>
        <w:t>, passant de 402.59 pts à 553.71 pts. Le plus haut atteint est 555.90 pts et le plus bas 401.60 pts. Sur l'ensemble de la période, la moyenne de l'indice s'établit à 469.31 pts, la médiane à 470.48 pts et le mode à 401.60 pts</w:t>
      </w:r>
      <w:r>
        <w:t xml:space="preserve"> (asymétrie positive — plus de jours sous la moyenne). </w:t>
      </w:r>
      <w:r>
        <w:t xml:space="preserve">L'écart-type de 47.52 pts (CV=10.1%) traduit une modérée dispersion des cotations. Le kurtosis de -0.99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+37.67%</w:t>
      </w:r>
      <w:r>
        <w:t xml:space="preserve"> sur la période, passant de 15 509,021 Mds FCFA à 21 351,610 Mds FCFA. Le pic de capitalisation observé est de 21 436,336 Mds FCFA et le plancher de 15 482,993 Mds FCFA. La moyenne de la capitalisation sur la période s'établit à 18 088,083 Mds FCFA, la médiane à 18 124,243 Mds FCFA et le mode à 15 482,993 Mds FCFA</w:t>
      </w:r>
      <w:r>
        <w:t xml:space="preserve"> (asymétrie positive). </w:t>
      </w:r>
      <w:r>
        <w:t>L'écart-type de 1 834,704 Mds FCFA (CV=10.1%) reflète une modérée variabilité de la valorisation du marché. Le kurtosis de -0.99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3930 FCFA | </w:t>
      </w:r>
      <w:r>
        <w:rPr>
          <w:b/>
          <w:color w:val="008000"/>
        </w:rPr>
        <w:t>ACHAT</w:t>
      </w:r>
      <w:r>
        <w:t xml:space="preserve"> | Confiance: Moyen | Risque: Faible</w:t>
      </w:r>
    </w:p>
    <w:p>
      <w:pPr>
        <w:pStyle w:val="ListNumber"/>
      </w:pPr>
      <w:r>
        <w:rPr>
          <w:b/>
        </w:rPr>
        <w:t>BICB - BIIC BN - Banque internationale pour le commerce du benin</w:t>
      </w:r>
      <w:r>
        <w:t xml:space="preserve"> | Prix: 10110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31675 FCFA | </w:t>
      </w:r>
      <w:r>
        <w:rPr>
          <w:b/>
          <w:color w:val="008000"/>
        </w:rPr>
        <w:t>ACHAT</w:t>
      </w:r>
      <w:r>
        <w:t xml:space="preserve"> | Confiance: Moyen | Risque: Moyen</w:t>
      </w:r>
    </w:p>
    <w:p>
      <w:pPr>
        <w:pStyle w:val="ListNumber"/>
      </w:pPr>
      <w:r>
        <w:rPr>
          <w:b/>
        </w:rPr>
        <w:t>BNBC - BNBC - BERNABE CI</w:t>
      </w:r>
      <w:r>
        <w:t xml:space="preserve"> | Prix: 2000 FCFA | </w:t>
      </w:r>
      <w:r>
        <w:rPr>
          <w:b/>
          <w:color w:val="008000"/>
        </w:rPr>
        <w:t>ACHAT</w:t>
      </w:r>
      <w:r>
        <w:t xml:space="preserve"> | Confiance: Élevée | Risque: Faible</w:t>
      </w:r>
    </w:p>
    <w:p>
      <w:pPr>
        <w:pStyle w:val="ListNumber"/>
      </w:pPr>
      <w:r>
        <w:rPr>
          <w:b/>
        </w:rPr>
        <w:t>BOAB - BANK OF AFRICA BENIN</w:t>
      </w:r>
      <w:r>
        <w:t xml:space="preserve"> | Prix: 9850 FCFA | </w:t>
      </w:r>
      <w:r>
        <w:rPr>
          <w:b/>
          <w:color w:val="008000"/>
        </w:rPr>
        <w:t>ACHAT</w:t>
      </w:r>
      <w:r>
        <w:t xml:space="preserve"> | Confiance: Élevée | Risque: Moyen</w:t>
      </w:r>
    </w:p>
    <w:p>
      <w:pPr>
        <w:pStyle w:val="ListNumber"/>
      </w:pPr>
      <w:r>
        <w:rPr>
          <w:b/>
        </w:rPr>
        <w:t>BOABF - BANK OF AFRICA BURKINA FASO</w:t>
      </w:r>
      <w:r>
        <w:t xml:space="preserve"> | Prix: 7800 FCFA | </w:t>
      </w:r>
      <w:r>
        <w:rPr>
          <w:b/>
          <w:color w:val="008000"/>
        </w:rPr>
        <w:t>ACHAT</w:t>
      </w:r>
      <w:r>
        <w:t xml:space="preserve"> | Confiance: Élevée | Risque: Moyen</w:t>
      </w:r>
    </w:p>
    <w:p>
      <w:pPr>
        <w:pStyle w:val="ListNumber"/>
      </w:pPr>
      <w:r>
        <w:rPr>
          <w:b/>
        </w:rPr>
        <w:t>BOAC - BANK OF AFRICA COTE D'IVOIRE</w:t>
      </w:r>
      <w:r>
        <w:t xml:space="preserve"> | Prix: 11805 FCFA | </w:t>
      </w:r>
      <w:r>
        <w:rPr>
          <w:b/>
          <w:color w:val="008000"/>
        </w:rPr>
        <w:t>ACHAT</w:t>
      </w:r>
      <w:r>
        <w:t xml:space="preserve"> | Confiance: Élevée | Risque: Moyen</w:t>
      </w:r>
    </w:p>
    <w:p>
      <w:pPr>
        <w:pStyle w:val="ListNumber"/>
      </w:pPr>
      <w:r>
        <w:rPr>
          <w:b/>
        </w:rPr>
        <w:t>BOAM - BANK OF AFRICA MALI</w:t>
      </w:r>
      <w:r>
        <w:t xml:space="preserve"> | Prix: 6705 FCFA | </w:t>
      </w:r>
      <w:r>
        <w:rPr>
          <w:b/>
          <w:color w:val="008000"/>
        </w:rPr>
        <w:t>ACHAT</w:t>
      </w:r>
      <w:r>
        <w:t xml:space="preserve"> | Confiance: Moyen | Risque: Faible</w:t>
      </w:r>
    </w:p>
    <w:p>
      <w:pPr>
        <w:pStyle w:val="ListNumber"/>
      </w:pPr>
      <w:r>
        <w:rPr>
          <w:b/>
        </w:rPr>
        <w:t>BOAN - BANK OF AFRICA NIGER</w:t>
      </w:r>
      <w:r>
        <w:t xml:space="preserve"> | Prix: 5350 FCFA | </w:t>
      </w:r>
      <w:r>
        <w:rPr>
          <w:b/>
          <w:color w:val="008000"/>
        </w:rPr>
        <w:t>ACHAT</w:t>
      </w:r>
      <w:r>
        <w:t xml:space="preserve"> | Confiance: Élevée | Risque: Moyen</w:t>
      </w:r>
    </w:p>
    <w:p>
      <w:pPr>
        <w:pStyle w:val="ListNumber"/>
      </w:pPr>
      <w:r>
        <w:rPr>
          <w:b/>
        </w:rPr>
        <w:t>BOAS - BANK OF AFRICA SENEGAL</w:t>
      </w:r>
      <w:r>
        <w:t xml:space="preserve"> | Prix: 8050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94.20%</w:t>
      </w:r>
      <w:r>
        <w:t xml:space="preserve">  |  </w:t>
      </w:r>
      <w:r>
        <w:rPr>
          <w:b/>
        </w:rPr>
        <w:t xml:space="preserve">vs BRVM Composite: </w:t>
      </w:r>
      <w:r>
        <w:rPr>
          <w:b/>
          <w:color w:val="008000"/>
        </w:rPr>
        <w:t>+56.66%  🟢 Surperformance</w:t>
      </w:r>
      <w:r>
        <w:br/>
      </w:r>
      <w:r>
        <w:rPr>
          <w:b/>
        </w:rPr>
        <w:t xml:space="preserve">Sentiment général: </w:t>
      </w:r>
      <w:r>
        <w:t xml:space="preserve">ACHAT  |  </w:t>
      </w:r>
      <w:r>
        <w:rPr>
          <w:b/>
        </w:rPr>
        <w:t xml:space="preserve">Risque moyen: </w:t>
      </w:r>
      <w:r>
        <w:t xml:space="preserve">Moyen  |  </w:t>
      </w:r>
      <w:r>
        <w:rPr>
          <w:b/>
        </w:rPr>
        <w:t xml:space="preserve">Prix moyen: </w:t>
      </w:r>
      <w:r>
        <w:t>9468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45.23%</w:t>
      </w:r>
      <w:r>
        <w:t xml:space="preserve">  |  </w:t>
      </w:r>
      <w:r>
        <w:rPr>
          <w:b/>
        </w:rPr>
        <w:t xml:space="preserve">vs BRVM Composite: </w:t>
      </w:r>
      <w:r>
        <w:rPr>
          <w:b/>
          <w:color w:val="008000"/>
        </w:rPr>
        <w:t>+7.70%  🟢 Surperformance</w:t>
      </w:r>
      <w:r>
        <w:br/>
      </w:r>
      <w:r>
        <w:rPr>
          <w:b/>
        </w:rPr>
        <w:t xml:space="preserve">Sentiment général: </w:t>
      </w:r>
      <w:r>
        <w:t xml:space="preserve">ACHAT  |  </w:t>
      </w:r>
      <w:r>
        <w:rPr>
          <w:b/>
        </w:rPr>
        <w:t xml:space="preserve">Risque moyen: </w:t>
      </w:r>
      <w:r>
        <w:t xml:space="preserve">Moyen  |  </w:t>
      </w:r>
      <w:r>
        <w:rPr>
          <w:b/>
        </w:rPr>
        <w:t xml:space="preserve">Prix moyen: </w:t>
      </w:r>
      <w:r>
        <w:t>13939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34.68%</w:t>
      </w:r>
      <w:r>
        <w:t xml:space="preserve">  |  </w:t>
      </w:r>
      <w:r>
        <w:rPr>
          <w:b/>
        </w:rPr>
        <w:t xml:space="preserve">vs BRVM Composite: </w:t>
      </w:r>
      <w:r>
        <w:rPr>
          <w:b/>
          <w:color w:val="C00000"/>
        </w:rPr>
        <w:t>-2.86%  🔴 Sous-performance</w:t>
      </w:r>
      <w:r>
        <w:br/>
      </w:r>
      <w:r>
        <w:rPr>
          <w:b/>
        </w:rPr>
        <w:t xml:space="preserve">Sentiment général: </w:t>
      </w:r>
      <w:r>
        <w:t xml:space="preserve">ACHAT  |  </w:t>
      </w:r>
      <w:r>
        <w:rPr>
          <w:b/>
        </w:rPr>
        <w:t xml:space="preserve">Risque moyen: </w:t>
      </w:r>
      <w:r>
        <w:t xml:space="preserve">Moyen  |  </w:t>
      </w:r>
      <w:r>
        <w:rPr>
          <w:b/>
        </w:rPr>
        <w:t xml:space="preserve">Prix moyen: </w:t>
      </w:r>
      <w:r>
        <w:t>22430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32.38%</w:t>
      </w:r>
      <w:r>
        <w:t xml:space="preserve">  |  </w:t>
      </w:r>
      <w:r>
        <w:rPr>
          <w:b/>
        </w:rPr>
        <w:t xml:space="preserve">vs BRVM Composite: </w:t>
      </w:r>
      <w:r>
        <w:rPr>
          <w:b/>
          <w:color w:val="C00000"/>
        </w:rPr>
        <w:t>-5.16%  🔴 Sous-performance</w:t>
      </w:r>
      <w:r>
        <w:br/>
      </w:r>
      <w:r>
        <w:rPr>
          <w:b/>
        </w:rPr>
        <w:t xml:space="preserve">Sentiment général: </w:t>
      </w:r>
      <w:r>
        <w:t xml:space="preserve">ACHAT  |  </w:t>
      </w:r>
      <w:r>
        <w:rPr>
          <w:b/>
        </w:rPr>
        <w:t xml:space="preserve">Risque moyen: </w:t>
      </w:r>
      <w:r>
        <w:t xml:space="preserve">Moyen  |  </w:t>
      </w:r>
      <w:r>
        <w:rPr>
          <w:b/>
        </w:rPr>
        <w:t xml:space="preserve">Prix moyen: </w:t>
      </w:r>
      <w:r>
        <w:t>6718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21.63%</w:t>
      </w:r>
      <w:r>
        <w:t xml:space="preserve">  |  </w:t>
      </w:r>
      <w:r>
        <w:rPr>
          <w:b/>
        </w:rPr>
        <w:t xml:space="preserve">vs BRVM Composite: </w:t>
      </w:r>
      <w:r>
        <w:rPr>
          <w:b/>
          <w:color w:val="C00000"/>
        </w:rPr>
        <w:t>-15.90%  🔴 Sous-performance</w:t>
      </w:r>
      <w:r>
        <w:br/>
      </w:r>
      <w:r>
        <w:rPr>
          <w:b/>
        </w:rPr>
        <w:t xml:space="preserve">Sentiment général: </w:t>
      </w:r>
      <w:r>
        <w:t xml:space="preserve">ACHAT  |  </w:t>
      </w:r>
      <w:r>
        <w:rPr>
          <w:b/>
        </w:rPr>
        <w:t xml:space="preserve">Risque moyen: </w:t>
      </w:r>
      <w:r>
        <w:t xml:space="preserve">Faible  |  </w:t>
      </w:r>
      <w:r>
        <w:rPr>
          <w:b/>
        </w:rPr>
        <w:t xml:space="preserve">Prix moyen: </w:t>
      </w:r>
      <w:r>
        <w:t>18207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13.87%</w:t>
      </w:r>
      <w:r>
        <w:t xml:space="preserve">  |  </w:t>
      </w:r>
      <w:r>
        <w:rPr>
          <w:b/>
        </w:rPr>
        <w:t xml:space="preserve">vs BRVM Composite: </w:t>
      </w:r>
      <w:r>
        <w:rPr>
          <w:b/>
          <w:color w:val="C00000"/>
        </w:rPr>
        <w:t>-23.67%  🔴 Sous-performance</w:t>
      </w:r>
      <w:r>
        <w:br/>
      </w:r>
      <w:r>
        <w:rPr>
          <w:b/>
        </w:rPr>
        <w:t xml:space="preserve">Sentiment général: </w:t>
      </w:r>
      <w:r>
        <w:t xml:space="preserve">ACHAT  |  </w:t>
      </w:r>
      <w:r>
        <w:rPr>
          <w:b/>
        </w:rPr>
        <w:t xml:space="preserve">Risque moyen: </w:t>
      </w:r>
      <w:r>
        <w:t xml:space="preserve">Faible  |  </w:t>
      </w:r>
      <w:r>
        <w:rPr>
          <w:b/>
        </w:rPr>
        <w:t xml:space="preserve">Prix moyen: </w:t>
      </w:r>
      <w:r>
        <w:t>2965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-1.90%</w:t>
      </w:r>
      <w:r>
        <w:t xml:space="preserve">  |  </w:t>
      </w:r>
      <w:r>
        <w:rPr>
          <w:b/>
        </w:rPr>
        <w:t xml:space="preserve">vs BRVM Composite: </w:t>
      </w:r>
      <w:r>
        <w:rPr>
          <w:b/>
          <w:color w:val="C00000"/>
        </w:rPr>
        <w:t>-39.44%  🔴 Sous-performance</w:t>
      </w:r>
      <w:r>
        <w:br/>
      </w:r>
      <w:r>
        <w:rPr>
          <w:b/>
        </w:rPr>
        <w:t xml:space="preserve">Sentiment général: </w:t>
      </w:r>
      <w:r>
        <w:t xml:space="preserve">ACHAT  |  </w:t>
      </w:r>
      <w:r>
        <w:rPr>
          <w:b/>
        </w:rPr>
        <w:t xml:space="preserve">Risque moyen: </w:t>
      </w:r>
      <w:r>
        <w:t xml:space="preserve">Faible  |  </w:t>
      </w:r>
      <w:r>
        <w:rPr>
          <w:b/>
        </w:rPr>
        <w:t xml:space="preserve">Prix moyen: </w:t>
      </w:r>
      <w:r>
        <w:t>2392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BOAB, BOABF, BOAC, BOAN, BOAS, CFAC, CIEC, FTSC, NEIC, NSBC, NTLC, ORGT, SAFC, SDCC, SDSC, SHEC, SIVC, SMBC, SOGC, SPHC, STAC,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BOAM, ECOC, ETIT, ORAC, PALC, SCRC, SEMC, SIBC, STBC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CBIBF, LNBB, ONTBF, PRSC, SGBC, SICC, SLBC, SNTS,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2036049</w:t>
            </w:r>
          </w:p>
        </w:tc>
        <w:tc>
          <w:tcPr>
            <w:tcW w:type="dxa" w:w="1728"/>
          </w:tcPr>
          <w:p>
            <w:r>
              <w:t>137671318 FCFA</w:t>
            </w:r>
          </w:p>
        </w:tc>
        <w:tc>
          <w:tcPr>
            <w:tcW w:type="dxa" w:w="1728"/>
          </w:tcPr>
          <w:p>
            <w:r>
              <w:t>141.38%</w:t>
            </w:r>
          </w:p>
        </w:tc>
        <w:tc>
          <w:tcPr>
            <w:tcW w:type="dxa" w:w="1728"/>
          </w:tcPr>
          <w:p>
            <w:r>
              <w:t>ACHAT</w:t>
            </w:r>
          </w:p>
        </w:tc>
      </w:tr>
      <w:tr>
        <w:tc>
          <w:tcPr>
            <w:tcW w:type="dxa" w:w="1728"/>
          </w:tcPr>
          <w:p>
            <w:r>
              <w:t>SDSC (SDSC - AFRICA GLOBAL LOGISTICS CI)</w:t>
            </w:r>
          </w:p>
        </w:tc>
        <w:tc>
          <w:tcPr>
            <w:tcW w:type="dxa" w:w="1728"/>
          </w:tcPr>
          <w:p>
            <w:r>
              <w:t>17028</w:t>
            </w:r>
          </w:p>
        </w:tc>
        <w:tc>
          <w:tcPr>
            <w:tcW w:type="dxa" w:w="1728"/>
          </w:tcPr>
          <w:p>
            <w:r>
              <w:t>48969741 FCFA</w:t>
            </w:r>
          </w:p>
        </w:tc>
        <w:tc>
          <w:tcPr>
            <w:tcW w:type="dxa" w:w="1728"/>
          </w:tcPr>
          <w:p>
            <w:r>
              <w:t>58.15%</w:t>
            </w:r>
          </w:p>
        </w:tc>
        <w:tc>
          <w:tcPr>
            <w:tcW w:type="dxa" w:w="1728"/>
          </w:tcPr>
          <w:p>
            <w:r>
              <w:t>ACHAT</w:t>
            </w:r>
          </w:p>
        </w:tc>
      </w:tr>
      <w:tr>
        <w:tc>
          <w:tcPr>
            <w:tcW w:type="dxa" w:w="1728"/>
          </w:tcPr>
          <w:p>
            <w:r>
              <w:t>SNTS (SNTS - SONATEL SN)</w:t>
            </w:r>
          </w:p>
        </w:tc>
        <w:tc>
          <w:tcPr>
            <w:tcW w:type="dxa" w:w="1728"/>
          </w:tcPr>
          <w:p>
            <w:r>
              <w:t>15891</w:t>
            </w:r>
          </w:p>
        </w:tc>
        <w:tc>
          <w:tcPr>
            <w:tcW w:type="dxa" w:w="1728"/>
          </w:tcPr>
          <w:p>
            <w:r>
              <w:t>612483162 FCFA</w:t>
            </w:r>
          </w:p>
        </w:tc>
        <w:tc>
          <w:tcPr>
            <w:tcW w:type="dxa" w:w="1728"/>
          </w:tcPr>
          <w:p>
            <w:r>
              <w:t>48.04%</w:t>
            </w:r>
          </w:p>
        </w:tc>
        <w:tc>
          <w:tcPr>
            <w:tcW w:type="dxa" w:w="1728"/>
          </w:tcPr>
          <w:p>
            <w:r>
              <w:t>ACHAT</w:t>
            </w:r>
          </w:p>
        </w:tc>
      </w:tr>
      <w:tr>
        <w:tc>
          <w:tcPr>
            <w:tcW w:type="dxa" w:w="1728"/>
          </w:tcPr>
          <w:p>
            <w:r>
              <w:t>SIBC (SIBC - SOCIETE IVOIRIENNE DE BANQUE)</w:t>
            </w:r>
          </w:p>
        </w:tc>
        <w:tc>
          <w:tcPr>
            <w:tcW w:type="dxa" w:w="1728"/>
          </w:tcPr>
          <w:p>
            <w:r>
              <w:t>15050</w:t>
            </w:r>
          </w:p>
        </w:tc>
        <w:tc>
          <w:tcPr>
            <w:tcW w:type="dxa" w:w="1728"/>
          </w:tcPr>
          <w:p>
            <w:r>
              <w:t>137392950 FCFA</w:t>
            </w:r>
          </w:p>
        </w:tc>
        <w:tc>
          <w:tcPr>
            <w:tcW w:type="dxa" w:w="1728"/>
          </w:tcPr>
          <w:p>
            <w:r>
              <w:t>31.21%</w:t>
            </w:r>
          </w:p>
        </w:tc>
        <w:tc>
          <w:tcPr>
            <w:tcW w:type="dxa" w:w="1728"/>
          </w:tcPr>
          <w:p>
            <w:r>
              <w:t>ACHAT</w:t>
            </w:r>
          </w:p>
        </w:tc>
      </w:tr>
      <w:tr>
        <w:tc>
          <w:tcPr>
            <w:tcW w:type="dxa" w:w="1728"/>
          </w:tcPr>
          <w:p>
            <w:r>
              <w:t>BOAS (BANK OF AFRICA SENEGAL)</w:t>
            </w:r>
          </w:p>
        </w:tc>
        <w:tc>
          <w:tcPr>
            <w:tcW w:type="dxa" w:w="1728"/>
          </w:tcPr>
          <w:p>
            <w:r>
              <w:t>13965</w:t>
            </w:r>
          </w:p>
        </w:tc>
        <w:tc>
          <w:tcPr>
            <w:tcW w:type="dxa" w:w="1728"/>
          </w:tcPr>
          <w:p>
            <w:r>
              <w:t>114712844 FCFA</w:t>
            </w:r>
          </w:p>
        </w:tc>
        <w:tc>
          <w:tcPr>
            <w:tcW w:type="dxa" w:w="1728"/>
          </w:tcPr>
          <w:p>
            <w:r>
              <w:t>16.67%</w:t>
            </w:r>
          </w:p>
        </w:tc>
        <w:tc>
          <w:tcPr>
            <w:tcW w:type="dxa" w:w="1728"/>
          </w:tcPr>
          <w:p>
            <w:r>
              <w:t>ACHAT</w:t>
            </w:r>
          </w:p>
        </w:tc>
      </w:tr>
      <w:tr>
        <w:tc>
          <w:tcPr>
            <w:tcW w:type="dxa" w:w="1728"/>
          </w:tcPr>
          <w:p>
            <w:r>
              <w:t>UNXC (UNXC - UNIWAX COTE D'IVOIRE)</w:t>
            </w:r>
          </w:p>
        </w:tc>
        <w:tc>
          <w:tcPr>
            <w:tcW w:type="dxa" w:w="1728"/>
          </w:tcPr>
          <w:p>
            <w:r>
              <w:t>12653</w:t>
            </w:r>
          </w:p>
        </w:tc>
        <w:tc>
          <w:tcPr>
            <w:tcW w:type="dxa" w:w="1728"/>
          </w:tcPr>
          <w:p>
            <w:r>
              <w:t>30396397 FCFA</w:t>
            </w:r>
          </w:p>
        </w:tc>
        <w:tc>
          <w:tcPr>
            <w:tcW w:type="dxa" w:w="1728"/>
          </w:tcPr>
          <w:p>
            <w:r>
              <w:t>11.27%</w:t>
            </w:r>
          </w:p>
        </w:tc>
        <w:tc>
          <w:tcPr>
            <w:tcW w:type="dxa" w:w="1728"/>
          </w:tcPr>
          <w:p>
            <w:r>
              <w:t>ACHAT</w:t>
            </w:r>
          </w:p>
        </w:tc>
      </w:tr>
      <w:tr>
        <w:tc>
          <w:tcPr>
            <w:tcW w:type="dxa" w:w="1728"/>
          </w:tcPr>
          <w:p>
            <w:r>
              <w:t>SAFC (SAFCA CI)</w:t>
            </w:r>
          </w:p>
        </w:tc>
        <w:tc>
          <w:tcPr>
            <w:tcW w:type="dxa" w:w="1728"/>
          </w:tcPr>
          <w:p>
            <w:r>
              <w:t>11604</w:t>
            </w:r>
          </w:p>
        </w:tc>
        <w:tc>
          <w:tcPr>
            <w:tcW w:type="dxa" w:w="1728"/>
          </w:tcPr>
          <w:p>
            <w:r>
              <w:t>64086454 FCFA</w:t>
            </w:r>
          </w:p>
        </w:tc>
        <w:tc>
          <w:tcPr>
            <w:tcW w:type="dxa" w:w="1728"/>
          </w:tcPr>
          <w:p>
            <w:r>
              <w:t>19.28%</w:t>
            </w:r>
          </w:p>
        </w:tc>
        <w:tc>
          <w:tcPr>
            <w:tcW w:type="dxa" w:w="1728"/>
          </w:tcPr>
          <w:p>
            <w:r>
              <w:t>ACHAT</w:t>
            </w:r>
          </w:p>
        </w:tc>
      </w:tr>
      <w:tr>
        <w:tc>
          <w:tcPr>
            <w:tcW w:type="dxa" w:w="1728"/>
          </w:tcPr>
          <w:p>
            <w:r>
              <w:t>BICB (BIIC BN - Banque internationale pour le commerce du benin)</w:t>
            </w:r>
          </w:p>
        </w:tc>
        <w:tc>
          <w:tcPr>
            <w:tcW w:type="dxa" w:w="1728"/>
          </w:tcPr>
          <w:p>
            <w:r>
              <w:t>11229</w:t>
            </w:r>
          </w:p>
        </w:tc>
        <w:tc>
          <w:tcPr>
            <w:tcW w:type="dxa" w:w="1728"/>
          </w:tcPr>
          <w:p>
            <w:r>
              <w:t>108843125 FCFA</w:t>
            </w:r>
          </w:p>
        </w:tc>
        <w:tc>
          <w:tcPr>
            <w:tcW w:type="dxa" w:w="1728"/>
          </w:tcPr>
          <w:p>
            <w:r>
              <w:t>94.42%</w:t>
            </w:r>
          </w:p>
        </w:tc>
        <w:tc>
          <w:tcPr>
            <w:tcW w:type="dxa" w:w="1728"/>
          </w:tcPr>
          <w:p>
            <w:r>
              <w:t>ACHAT</w:t>
            </w:r>
          </w:p>
        </w:tc>
      </w:tr>
      <w:tr>
        <w:tc>
          <w:tcPr>
            <w:tcW w:type="dxa" w:w="1728"/>
          </w:tcPr>
          <w:p>
            <w:r>
              <w:t>BOAC (BANK OF AFRICA COTE D'IVOIRE)</w:t>
            </w:r>
          </w:p>
        </w:tc>
        <w:tc>
          <w:tcPr>
            <w:tcW w:type="dxa" w:w="1728"/>
          </w:tcPr>
          <w:p>
            <w:r>
              <w:t>11217</w:t>
            </w:r>
          </w:p>
        </w:tc>
        <w:tc>
          <w:tcPr>
            <w:tcW w:type="dxa" w:w="1728"/>
          </w:tcPr>
          <w:p>
            <w:r>
              <w:t>140375830 FCFA</w:t>
            </w:r>
          </w:p>
        </w:tc>
        <w:tc>
          <w:tcPr>
            <w:tcW w:type="dxa" w:w="1728"/>
          </w:tcPr>
          <w:p>
            <w:r>
              <w:t>37.27%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4086</w:t>
            </w:r>
          </w:p>
        </w:tc>
        <w:tc>
          <w:tcPr>
            <w:tcW w:type="dxa" w:w="1728"/>
          </w:tcPr>
          <w:p>
            <w:r>
              <w:t>15605592 FCFA</w:t>
            </w:r>
          </w:p>
        </w:tc>
        <w:tc>
          <w:tcPr>
            <w:tcW w:type="dxa" w:w="1728"/>
          </w:tcPr>
          <w:p>
            <w:r>
              <w:t>7.52%</w:t>
            </w:r>
          </w:p>
        </w:tc>
        <w:tc>
          <w:tcPr>
            <w:tcW w:type="dxa" w:w="1728"/>
          </w:tcPr>
          <w:p>
            <w:r>
              <w:t>ACHAT</w:t>
            </w:r>
          </w:p>
        </w:tc>
      </w:tr>
      <w:tr>
        <w:tc>
          <w:tcPr>
            <w:tcW w:type="dxa" w:w="1728"/>
          </w:tcPr>
          <w:p>
            <w:r>
              <w:t>STBC (STBC - SITAB COTE D'IVOIRE)</w:t>
            </w:r>
          </w:p>
        </w:tc>
        <w:tc>
          <w:tcPr>
            <w:tcW w:type="dxa" w:w="1728"/>
          </w:tcPr>
          <w:p>
            <w:r>
              <w:t>3918</w:t>
            </w:r>
          </w:p>
        </w:tc>
        <w:tc>
          <w:tcPr>
            <w:tcW w:type="dxa" w:w="1728"/>
          </w:tcPr>
          <w:p>
            <w:r>
              <w:t>86149816 FCFA</w:t>
            </w:r>
          </w:p>
        </w:tc>
        <w:tc>
          <w:tcPr>
            <w:tcW w:type="dxa" w:w="1728"/>
          </w:tcPr>
          <w:p>
            <w:r>
              <w:t>7.07%</w:t>
            </w:r>
          </w:p>
        </w:tc>
        <w:tc>
          <w:tcPr>
            <w:tcW w:type="dxa" w:w="1728"/>
          </w:tcPr>
          <w:p>
            <w:r>
              <w:t>ACHAT</w:t>
            </w:r>
          </w:p>
        </w:tc>
      </w:tr>
      <w:tr>
        <w:tc>
          <w:tcPr>
            <w:tcW w:type="dxa" w:w="1728"/>
          </w:tcPr>
          <w:p>
            <w:r>
              <w:t>SOGC (SOGC - Société des caoutchoucs de Grand-Béréby)</w:t>
            </w:r>
          </w:p>
        </w:tc>
        <w:tc>
          <w:tcPr>
            <w:tcW w:type="dxa" w:w="1728"/>
          </w:tcPr>
          <w:p>
            <w:r>
              <w:t>3904</w:t>
            </w:r>
          </w:p>
        </w:tc>
        <w:tc>
          <w:tcPr>
            <w:tcW w:type="dxa" w:w="1728"/>
          </w:tcPr>
          <w:p>
            <w:r>
              <w:t>32253811 FCFA</w:t>
            </w:r>
          </w:p>
        </w:tc>
        <w:tc>
          <w:tcPr>
            <w:tcW w:type="dxa" w:w="1728"/>
          </w:tcPr>
          <w:p>
            <w:r>
              <w:t>2.01%</w:t>
            </w:r>
          </w:p>
        </w:tc>
        <w:tc>
          <w:tcPr>
            <w:tcW w:type="dxa" w:w="1728"/>
          </w:tcPr>
          <w:p>
            <w:r>
              <w:t>ACHAT</w:t>
            </w:r>
          </w:p>
        </w:tc>
      </w:tr>
      <w:tr>
        <w:tc>
          <w:tcPr>
            <w:tcW w:type="dxa" w:w="1728"/>
          </w:tcPr>
          <w:p>
            <w:r>
              <w:t>CFAC (CFAC - CFAO MOTORS CI)</w:t>
            </w:r>
          </w:p>
        </w:tc>
        <w:tc>
          <w:tcPr>
            <w:tcW w:type="dxa" w:w="1728"/>
          </w:tcPr>
          <w:p>
            <w:r>
              <w:t>3807</w:t>
            </w:r>
          </w:p>
        </w:tc>
        <w:tc>
          <w:tcPr>
            <w:tcW w:type="dxa" w:w="1728"/>
          </w:tcPr>
          <w:p>
            <w:r>
              <w:t>6526469 FCFA</w:t>
            </w:r>
          </w:p>
        </w:tc>
        <w:tc>
          <w:tcPr>
            <w:tcW w:type="dxa" w:w="1728"/>
          </w:tcPr>
          <w:p>
            <w:r>
              <w:t>2.19%</w:t>
            </w:r>
          </w:p>
        </w:tc>
        <w:tc>
          <w:tcPr>
            <w:tcW w:type="dxa" w:w="1728"/>
          </w:tcPr>
          <w:p>
            <w:r>
              <w:t>ACHAT</w:t>
            </w:r>
          </w:p>
        </w:tc>
      </w:tr>
      <w:tr>
        <w:tc>
          <w:tcPr>
            <w:tcW w:type="dxa" w:w="1728"/>
          </w:tcPr>
          <w:p>
            <w:r>
              <w:t>ECOC (ECOC - ECOBANK COTE D'IVOIRE)</w:t>
            </w:r>
          </w:p>
        </w:tc>
        <w:tc>
          <w:tcPr>
            <w:tcW w:type="dxa" w:w="1728"/>
          </w:tcPr>
          <w:p>
            <w:r>
              <w:t>3504</w:t>
            </w:r>
          </w:p>
        </w:tc>
        <w:tc>
          <w:tcPr>
            <w:tcW w:type="dxa" w:w="1728"/>
          </w:tcPr>
          <w:p>
            <w:r>
              <w:t>59204223 FCFA</w:t>
            </w:r>
          </w:p>
        </w:tc>
        <w:tc>
          <w:tcPr>
            <w:tcW w:type="dxa" w:w="1728"/>
          </w:tcPr>
          <w:p>
            <w:r>
              <w:t>4.26%</w:t>
            </w:r>
          </w:p>
        </w:tc>
        <w:tc>
          <w:tcPr>
            <w:tcW w:type="dxa" w:w="1728"/>
          </w:tcPr>
          <w:p>
            <w:r>
              <w:t>ACHAT</w:t>
            </w:r>
          </w:p>
        </w:tc>
      </w:tr>
      <w:tr>
        <w:tc>
          <w:tcPr>
            <w:tcW w:type="dxa" w:w="1728"/>
          </w:tcPr>
          <w:p>
            <w:r>
              <w:t>PALC (PALC - PALM COTE D'IVOIRE)</w:t>
            </w:r>
          </w:p>
        </w:tc>
        <w:tc>
          <w:tcPr>
            <w:tcW w:type="dxa" w:w="1728"/>
          </w:tcPr>
          <w:p>
            <w:r>
              <w:t>3488</w:t>
            </w:r>
          </w:p>
        </w:tc>
        <w:tc>
          <w:tcPr>
            <w:tcW w:type="dxa" w:w="1728"/>
          </w:tcPr>
          <w:p>
            <w:r>
              <w:t>30488465 FCFA</w:t>
            </w:r>
          </w:p>
        </w:tc>
        <w:tc>
          <w:tcPr>
            <w:tcW w:type="dxa" w:w="1728"/>
          </w:tcPr>
          <w:p>
            <w:r>
              <w:t>8.96%</w:t>
            </w:r>
          </w:p>
        </w:tc>
        <w:tc>
          <w:tcPr>
            <w:tcW w:type="dxa" w:w="1728"/>
          </w:tcPr>
          <w:p>
            <w:r>
              <w:t>ACHAT</w:t>
            </w:r>
          </w:p>
        </w:tc>
      </w:tr>
      <w:tr>
        <w:tc>
          <w:tcPr>
            <w:tcW w:type="dxa" w:w="1728"/>
          </w:tcPr>
          <w:p>
            <w:r>
              <w:t>FTSC (FTSC - FILTISAC COTE D'IVOIRE)</w:t>
            </w:r>
          </w:p>
        </w:tc>
        <w:tc>
          <w:tcPr>
            <w:tcW w:type="dxa" w:w="1728"/>
          </w:tcPr>
          <w:p>
            <w:r>
              <w:t>3165</w:t>
            </w:r>
          </w:p>
        </w:tc>
        <w:tc>
          <w:tcPr>
            <w:tcW w:type="dxa" w:w="1728"/>
          </w:tcPr>
          <w:p>
            <w:r>
              <w:t>6739166 FCFA</w:t>
            </w:r>
          </w:p>
        </w:tc>
        <w:tc>
          <w:tcPr>
            <w:tcW w:type="dxa" w:w="1728"/>
          </w:tcPr>
          <w:p>
            <w:r>
              <w:t>-0.71%</w:t>
            </w:r>
          </w:p>
        </w:tc>
        <w:tc>
          <w:tcPr>
            <w:tcW w:type="dxa" w:w="1728"/>
          </w:tcPr>
          <w:p>
            <w:r>
              <w:t>ACHAT</w:t>
            </w:r>
          </w:p>
        </w:tc>
      </w:tr>
      <w:tr>
        <w:tc>
          <w:tcPr>
            <w:tcW w:type="dxa" w:w="1728"/>
          </w:tcPr>
          <w:p>
            <w:r>
              <w:t>NEIC (NEIC - NEI-CEDA CI)</w:t>
            </w:r>
          </w:p>
        </w:tc>
        <w:tc>
          <w:tcPr>
            <w:tcW w:type="dxa" w:w="1728"/>
          </w:tcPr>
          <w:p>
            <w:r>
              <w:t>2728</w:t>
            </w:r>
          </w:p>
        </w:tc>
        <w:tc>
          <w:tcPr>
            <w:tcW w:type="dxa" w:w="1728"/>
          </w:tcPr>
          <w:p>
            <w:r>
              <w:t>7567496 FCFA</w:t>
            </w:r>
          </w:p>
        </w:tc>
        <w:tc>
          <w:tcPr>
            <w:tcW w:type="dxa" w:w="1728"/>
          </w:tcPr>
          <w:p>
            <w:r>
              <w:t>57.59%</w:t>
            </w:r>
          </w:p>
        </w:tc>
        <w:tc>
          <w:tcPr>
            <w:tcW w:type="dxa" w:w="1728"/>
          </w:tcPr>
          <w:p>
            <w:r>
              <w:t>ACHAT</w:t>
            </w:r>
          </w:p>
        </w:tc>
      </w:tr>
      <w:tr>
        <w:tc>
          <w:tcPr>
            <w:tcW w:type="dxa" w:w="1728"/>
          </w:tcPr>
          <w:p>
            <w:r>
              <w:t>TTLS (TTLS - TOTAL ENERGIES MARKETING SENEGAL)</w:t>
            </w:r>
          </w:p>
        </w:tc>
        <w:tc>
          <w:tcPr>
            <w:tcW w:type="dxa" w:w="1728"/>
          </w:tcPr>
          <w:p>
            <w:r>
              <w:t>2354</w:t>
            </w:r>
          </w:p>
        </w:tc>
        <w:tc>
          <w:tcPr>
            <w:tcW w:type="dxa" w:w="1728"/>
          </w:tcPr>
          <w:p>
            <w:r>
              <w:t>9073088 FCFA</w:t>
            </w:r>
          </w:p>
        </w:tc>
        <w:tc>
          <w:tcPr>
            <w:tcW w:type="dxa" w:w="1728"/>
          </w:tcPr>
          <w:p>
            <w:r>
              <w:t>21.73%</w:t>
            </w:r>
          </w:p>
        </w:tc>
        <w:tc>
          <w:tcPr>
            <w:tcW w:type="dxa" w:w="1728"/>
          </w:tcPr>
          <w:p>
            <w:r>
              <w:t>ACHAT</w:t>
            </w:r>
          </w:p>
        </w:tc>
      </w:tr>
      <w:tr>
        <w:tc>
          <w:tcPr>
            <w:tcW w:type="dxa" w:w="1728"/>
          </w:tcPr>
          <w:p>
            <w:r>
              <w:t>SDCC (SDCC - Société de Distribution d'Eau de Côte d'Ivoire)</w:t>
            </w:r>
          </w:p>
        </w:tc>
        <w:tc>
          <w:tcPr>
            <w:tcW w:type="dxa" w:w="1728"/>
          </w:tcPr>
          <w:p>
            <w:r>
              <w:t>2317</w:t>
            </w:r>
          </w:p>
        </w:tc>
        <w:tc>
          <w:tcPr>
            <w:tcW w:type="dxa" w:w="1728"/>
          </w:tcPr>
          <w:p>
            <w:r>
              <w:t>30447918 FCFA</w:t>
            </w:r>
          </w:p>
        </w:tc>
        <w:tc>
          <w:tcPr>
            <w:tcW w:type="dxa" w:w="1728"/>
          </w:tcPr>
          <w:p>
            <w:r>
              <w:t>73.40%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CBIBF - CBIBF - CORIS BANK INTERNATIONAL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3.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LNBB - LNBB - LOTERIE NATIONALE DU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ONTBF - ONTBF - ONATEL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6.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SGBC - SGBC - SOCIETE GENERALE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SNTS - SNTS - SONATEL SN</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BCE a relevé ses taux directeurs (14/09), poursuivant son resserrement monétaire, tout en précisant que les taux n'augmentent pas nécessairement avec les prix de l'énergie (18/09). Les marchés européens s'essoufflent face aux États-Unis (17/09), signalant une divergence de performance transatlantique.</w:t>
      </w:r>
    </w:p>
    <w:p>
      <w:pPr>
        <w:pStyle w:val="Heading3"/>
      </w:pPr>
      <w:r>
        <w:rPr>
          <w:color w:val="500050"/>
        </w:rPr>
        <w:t>⚡ Impact estimé sur la BRVM</w:t>
      </w:r>
    </w:p>
    <w:p>
      <w:pPr>
        <w:spacing w:before="20" w:after="40"/>
        <w:ind w:left="280"/>
      </w:pPr>
      <w:r>
        <w:rPr>
          <w:i/>
          <w:sz w:val="18"/>
        </w:rPr>
        <w:t>Le resserrement BCE renchérit le coût du capital en zone euro, dont le FCFA est arrimé via l'euro. Cela pèse sur la valorisation des actions BRVM (effet taux d'actualisation) et pourrait détourner des capitaux vers les obligations européennes. Les secteurs à forte intensité capitalistique (SIVC, FTSC, SDSC) et les financières (BOAC, BOAB, BOABF, BOAS, SGBC, BICB) sont les plus sensibles.</w:t>
      </w:r>
    </w:p>
    <w:p>
      <w:pPr>
        <w:pStyle w:val="Heading2"/>
      </w:pPr>
      <w:r>
        <w:rPr>
          <w:color w:val="006E32"/>
        </w:rPr>
        <w:t>🌍 Plan Africain</w:t>
      </w:r>
    </w:p>
    <w:p>
      <w:pPr>
        <w:spacing w:before="20" w:after="40"/>
        <w:ind w:left="0"/>
      </w:pPr>
      <w:r>
        <w:rPr>
          <w:sz w:val="18"/>
        </w:rPr>
        <w:t>Le Sénégal et le FMI s'accordent sur un programme d'aide de ~1,9 Md€ (02/09), renforçant la stabilité macroéconomique régionale. Goldman Sachs anticipe le retour de l'Afrique du Sud en "Investment grade" dès 2028 (02/09), signal positif pour l'appétit pour les actifs africains.</w:t>
      </w:r>
    </w:p>
    <w:p>
      <w:pPr>
        <w:pStyle w:val="Heading3"/>
      </w:pPr>
      <w:r>
        <w:rPr>
          <w:color w:val="500050"/>
        </w:rPr>
        <w:t>⚡ Impact estimé sur la BRVM</w:t>
      </w:r>
    </w:p>
    <w:p>
      <w:pPr>
        <w:spacing w:before="20" w:after="40"/>
        <w:ind w:left="280"/>
      </w:pPr>
      <w:r>
        <w:rPr>
          <w:i/>
          <w:sz w:val="18"/>
        </w:rPr>
        <w:t>Ces signaux positifs améliorent la perception risque du continent et peuvent soutenir les flux vers la BRVM. Les sociétés panafricaines comme SNTS (télécoms) et les banques régionales (BOAC, BOAB, BOABF) bénéficient indirectement d'un climat plus favorable.</w:t>
      </w:r>
    </w:p>
    <w:p>
      <w:pPr>
        <w:pStyle w:val="Heading2"/>
      </w:pPr>
      <w:r>
        <w:rPr>
          <w:color w:val="145A28"/>
        </w:rPr>
        <w:t>🌍 Plan Afrique de l'Ouest</w:t>
      </w:r>
    </w:p>
    <w:p>
      <w:pPr>
        <w:spacing w:before="20" w:after="40"/>
        <w:ind w:left="0"/>
      </w:pPr>
      <w:r>
        <w:rPr>
          <w:sz w:val="18"/>
        </w:rPr>
        <w:t>L'orpaillage illégal en Côte d'Ivoire "ronge l'économie" (18/09), privant l'État de recettes fiscales. La CEDEAO renforce les capacités sécurité/justice en Côte d'Ivoire (17/09). Le NGX nigérian reste une place de référence sous-régionale.</w:t>
      </w:r>
    </w:p>
    <w:p>
      <w:pPr>
        <w:pStyle w:val="Heading3"/>
      </w:pPr>
      <w:r>
        <w:rPr>
          <w:color w:val="500050"/>
        </w:rPr>
        <w:t>⚡ Impact estimé sur la BRVM</w:t>
      </w:r>
    </w:p>
    <w:p>
      <w:pPr>
        <w:spacing w:before="20" w:after="40"/>
        <w:ind w:left="280"/>
      </w:pPr>
      <w:r>
        <w:rPr>
          <w:i/>
          <w:sz w:val="18"/>
        </w:rPr>
        <w:t>La perte de recettes fiscales ivoiriennes pèse sur les finances publiques, principal émetteur de titres sur la BRVM, réduisant la concurrence obligataire face aux actions. Les sociétés exposées à l'économie ivoirienne (SGBC, SIVC, CFAC, NTLC) restent dépendantes de la stabilité budgétaire.</w:t>
      </w:r>
    </w:p>
    <w:p>
      <w:pPr>
        <w:pStyle w:val="Heading2"/>
      </w:pPr>
      <w:r>
        <w:rPr>
          <w:color w:val="8C4600"/>
        </w:rPr>
        <w:t>🏦 Plan UEMOA / Zone Franc</w:t>
      </w:r>
    </w:p>
    <w:p>
      <w:pPr>
        <w:spacing w:before="20" w:after="40"/>
        <w:ind w:left="0"/>
      </w:pPr>
      <w:r>
        <w:rPr>
          <w:sz w:val="18"/>
        </w:rPr>
        <w:t>Le Mali arrête son budget 2027 à plus de 4 400 milliards FCFA (18/09), en hausse. Le Sénégal annonce une nouvelle gouvernance de ses ressources extractives (18/09), visant transparence et meilleure répartition.</w:t>
      </w:r>
    </w:p>
    <w:p>
      <w:pPr>
        <w:pStyle w:val="Heading3"/>
      </w:pPr>
      <w:r>
        <w:rPr>
          <w:color w:val="500050"/>
        </w:rPr>
        <w:t>⚡ Impact estimé sur la BRVM</w:t>
      </w:r>
    </w:p>
    <w:p>
      <w:pPr>
        <w:spacing w:before="20" w:after="40"/>
        <w:ind w:left="280"/>
      </w:pPr>
      <w:r>
        <w:rPr>
          <w:i/>
          <w:sz w:val="18"/>
        </w:rPr>
        <w:t>La hausse budgétaire malienne soutient la demande de titres publics UEMOA, concurrençant les actions BRVM. La meilleure gouvernance sénégalaise des ressources extractives améliore le climat d'investissement régional, bénéfique aux banques (BOAS, BOAB) et aux industriels (SIVC, SDSC).</w:t>
      </w:r>
    </w:p>
    <w:p>
      <w:pPr>
        <w:pStyle w:val="Heading2"/>
      </w:pPr>
      <w:r>
        <w:rPr>
          <w:color w:val="003366"/>
        </w:rPr>
        <w:t>📈 Plan BRVM</w:t>
      </w:r>
    </w:p>
    <w:p>
      <w:pPr>
        <w:spacing w:before="20" w:after="40"/>
        <w:ind w:left="0"/>
      </w:pPr>
      <w:r>
        <w:rPr>
          <w:sz w:val="18"/>
        </w:rPr>
        <w:t>Les résultats des sociétés cotées ivoiriennes sont jugés "encourageants" (09/06). L'indice BRVM Composite se situe à 553,71 points.</w:t>
      </w:r>
    </w:p>
    <w:p>
      <w:pPr>
        <w:pStyle w:val="Heading3"/>
      </w:pPr>
      <w:r>
        <w:rPr>
          <w:color w:val="500050"/>
        </w:rPr>
        <w:t>⚡ Impact estimé sur la BRVM</w:t>
      </w:r>
    </w:p>
    <w:p>
      <w:pPr>
        <w:spacing w:before="20" w:after="40"/>
        <w:ind w:left="280"/>
      </w:pPr>
      <w:r>
        <w:rPr>
          <w:i/>
          <w:sz w:val="18"/>
        </w:rPr>
        <w:t>Recommandation : conserver les financières bien capitalisées (SGBC, BOAC, BOAB, BOABF, BICB, BOAS) portées par les résultats. Surveiller les valeurs de consommation (SOGC, NTLC, SPHC) pour leur résilience défensive. SIVC et CFAC à accumuler sur repli en raison de leur exposition à la croissance ivoirienne.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La BCE maintient son cap de resserrement malgré les incertitudes énergétiques (14-18/09), signalant une priorité à la stabilité des prix sur la croissance.</w:t>
      </w:r>
    </w:p>
    <w:p>
      <w:pPr>
        <w:pStyle w:val="Heading3"/>
      </w:pPr>
      <w:r>
        <w:rPr>
          <w:color w:val="500050"/>
        </w:rPr>
        <w:t>⚡ Impact estimé sur la BRVM</w:t>
      </w:r>
    </w:p>
    <w:p>
      <w:pPr>
        <w:spacing w:before="20" w:after="40"/>
        <w:ind w:left="280"/>
      </w:pPr>
      <w:r>
        <w:rPr>
          <w:i/>
          <w:sz w:val="18"/>
        </w:rPr>
        <w:t>Un environnement monétaire mondial restrictif réduit l'appétit pour le risque des investisseurs internationaux, limitant les flux vers les marchés frontières comme la BRVM. Les valeurs à faible liquidité (FTSC, SDSC, STAC) sont les plus vulnérables.</w:t>
      </w:r>
    </w:p>
    <w:p>
      <w:pPr>
        <w:pStyle w:val="Heading2"/>
      </w:pPr>
      <w:r>
        <w:rPr>
          <w:color w:val="006E32"/>
        </w:rPr>
        <w:t>🌍 Plan Africain</w:t>
      </w:r>
    </w:p>
    <w:p>
      <w:pPr>
        <w:spacing w:before="20" w:after="40"/>
        <w:ind w:left="0"/>
      </w:pPr>
      <w:r>
        <w:rPr>
          <w:sz w:val="18"/>
        </w:rPr>
        <w:t>Tour d'horizon géopolitique marqué par la "guerre des drones au Mali" et des enjeux de renseignement au Cameroun (19/09), illustrant une instabilité sécuritaire persistante au Sahel.</w:t>
      </w:r>
    </w:p>
    <w:p>
      <w:pPr>
        <w:pStyle w:val="Heading3"/>
      </w:pPr>
      <w:r>
        <w:rPr>
          <w:color w:val="500050"/>
        </w:rPr>
        <w:t>⚡ Impact estimé sur la BRVM</w:t>
      </w:r>
    </w:p>
    <w:p>
      <w:pPr>
        <w:spacing w:before="20" w:after="40"/>
        <w:ind w:left="280"/>
      </w:pPr>
      <w:r>
        <w:rPr>
          <w:i/>
          <w:sz w:val="18"/>
        </w:rPr>
        <w:t>L'instabilité sahélienne détourne les capitaux de la sous-région et renchérit les primes de risque. Les banques exposées au Mali et au Burkina (BOAB, BOABF, BOAS) pourraient voir leur coût de refinancement augmenter.</w:t>
      </w:r>
    </w:p>
    <w:p>
      <w:pPr>
        <w:pStyle w:val="Heading2"/>
      </w:pPr>
      <w:r>
        <w:rPr>
          <w:color w:val="145A28"/>
        </w:rPr>
        <w:t>🌍 Plan Afrique de l'Ouest</w:t>
      </w:r>
    </w:p>
    <w:p>
      <w:pPr>
        <w:spacing w:before="20" w:after="40"/>
        <w:ind w:left="0"/>
      </w:pPr>
      <w:r>
        <w:rPr>
          <w:sz w:val="18"/>
        </w:rPr>
        <w:t>La CEDEAO renforce les capacités judiciaires et sécuritaires en Côte d'Ivoire (17/09). Les tensions sahéliennes (AES) restent un facteur de fragmentation régionale.</w:t>
      </w:r>
    </w:p>
    <w:p>
      <w:pPr>
        <w:pStyle w:val="Heading3"/>
      </w:pPr>
      <w:r>
        <w:rPr>
          <w:color w:val="500050"/>
        </w:rPr>
        <w:t>⚡ Impact estimé sur la BRVM</w:t>
      </w:r>
    </w:p>
    <w:p>
      <w:pPr>
        <w:spacing w:before="20" w:after="40"/>
        <w:ind w:left="280"/>
      </w:pPr>
      <w:r>
        <w:rPr>
          <w:i/>
          <w:sz w:val="18"/>
        </w:rPr>
        <w:t>Le renforcement institutionnel ivoirien est rassurant pour les investisseurs, la Côte d'Ivoire étant le hub de la BRVM. Les sociétés opérant dans les pays AES (BOAB, BOABF) restent exposées à un risque pays élevé.</w:t>
      </w:r>
    </w:p>
    <w:p>
      <w:pPr>
        <w:pStyle w:val="Heading2"/>
      </w:pPr>
      <w:r>
        <w:rPr>
          <w:color w:val="8C4600"/>
        </w:rPr>
        <w:t>🏦 Plan UEMOA / Zone Franc</w:t>
      </w:r>
    </w:p>
    <w:p>
      <w:pPr>
        <w:spacing w:before="20" w:after="40"/>
        <w:ind w:left="0"/>
      </w:pPr>
      <w:r>
        <w:rPr>
          <w:sz w:val="18"/>
        </w:rPr>
        <w:t>Le Mali, pays membre de l'UEMOA mais aussi de l'AES, arrête un budget 2027 en forte hausse, signalant une volonté de souveraineté budgétaire.</w:t>
      </w:r>
    </w:p>
    <w:p>
      <w:pPr>
        <w:pStyle w:val="Heading3"/>
      </w:pPr>
      <w:r>
        <w:rPr>
          <w:color w:val="500050"/>
        </w:rPr>
        <w:t>⚡ Impact estimé sur la BRVM</w:t>
      </w:r>
    </w:p>
    <w:p>
      <w:pPr>
        <w:spacing w:before="20" w:after="40"/>
        <w:ind w:left="280"/>
      </w:pPr>
      <w:r>
        <w:rPr>
          <w:i/>
          <w:sz w:val="18"/>
        </w:rPr>
        <w:t>Risque réglementaire modéré : la coexistence UEMOA/AES crée des frictions potentielles sur la circulation des capitaux et la convertibilité. Surveillance accrue recommandée sur les titres à exposition malienne.</w:t>
      </w:r>
    </w:p>
    <w:p>
      <w:pPr>
        <w:pStyle w:val="Heading2"/>
      </w:pPr>
      <w:r>
        <w:rPr>
          <w:color w:val="003366"/>
        </w:rPr>
        <w:t>📈 Plan BRVM</w:t>
      </w:r>
    </w:p>
    <w:p>
      <w:pPr>
        <w:spacing w:before="20" w:after="40"/>
        <w:ind w:left="0"/>
      </w:pPr>
      <w:r>
        <w:rPr>
          <w:sz w:val="18"/>
        </w:rPr>
        <w:t>Données insuffisantes sur les évolutions réglementaires CREPMF et nouvelles cotations.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Divergence Europe/États-Unis (17/09) : les marchés européens s'essoufflent. Le NGX nigérien reste une référence de données de marché (18/09).</w:t>
      </w:r>
    </w:p>
    <w:p>
      <w:pPr>
        <w:pStyle w:val="Heading3"/>
      </w:pPr>
      <w:r>
        <w:rPr>
          <w:color w:val="500050"/>
        </w:rPr>
        <w:t>⚡ Impact estimé sur la BRVM</w:t>
      </w:r>
    </w:p>
    <w:p>
      <w:pPr>
        <w:spacing w:before="20" w:after="40"/>
        <w:ind w:left="280"/>
      </w:pPr>
      <w:r>
        <w:rPr>
          <w:i/>
          <w:sz w:val="18"/>
        </w:rPr>
        <w:t>La sous-performance européenne pèse sur le sentiment en zone FCFA (arrimée à l'euro). Les investisseurs BRVM pourraient privilégier les valeurs défensives (SOGC, SPHC, NTLC) face à l'incertitude mondiale.</w:t>
      </w:r>
    </w:p>
    <w:p>
      <w:pPr>
        <w:pStyle w:val="Heading2"/>
      </w:pPr>
      <w:r>
        <w:rPr>
          <w:color w:val="006E32"/>
        </w:rPr>
        <w:t>🌍 Plan Africain</w:t>
      </w:r>
    </w:p>
    <w:p>
      <w:pPr>
        <w:spacing w:before="20" w:after="40"/>
        <w:ind w:left="0"/>
      </w:pPr>
      <w:r>
        <w:rPr>
          <w:sz w:val="18"/>
        </w:rPr>
        <w:t>Goldman Sachs anticipe le retour de l'Afrique du Sud en Investment grade (02/09), ce qui pourrait rediriger des flux obligataires vers l'Afrique australe au détriment de l'Afrique de l'Ouest.</w:t>
      </w:r>
    </w:p>
    <w:p>
      <w:pPr>
        <w:pStyle w:val="Heading3"/>
      </w:pPr>
      <w:r>
        <w:rPr>
          <w:color w:val="500050"/>
        </w:rPr>
        <w:t>⚡ Impact estimé sur la BRVM</w:t>
      </w:r>
    </w:p>
    <w:p>
      <w:pPr>
        <w:spacing w:before="20" w:after="40"/>
        <w:ind w:left="280"/>
      </w:pPr>
      <w:r>
        <w:rPr>
          <w:i/>
          <w:sz w:val="18"/>
        </w:rPr>
        <w:t>Concurrence accrue pour les capitaux africains : la BRVM pourrait subir une rotation vers les marchés sud-africains mieux notés. Les eurobonds souverains UEMOA pourraient voir leurs spreads se tendre.</w:t>
      </w:r>
    </w:p>
    <w:p>
      <w:pPr>
        <w:pStyle w:val="Heading2"/>
      </w:pPr>
      <w:r>
        <w:rPr>
          <w:color w:val="145A28"/>
        </w:rPr>
        <w:t>🌍 Plan Afrique de l'Ouest</w:t>
      </w:r>
    </w:p>
    <w:p>
      <w:pPr>
        <w:spacing w:before="20" w:after="40"/>
        <w:ind w:left="0"/>
      </w:pPr>
      <w:r>
        <w:rPr>
          <w:sz w:val="18"/>
        </w:rPr>
        <w:t>Le NGX nigérian (Dabafinance) renforce sa visibilité comme plateforme de données (18/09), consolidant Lagos comme place financière dominante en Afrique de l'Ouest.</w:t>
      </w:r>
    </w:p>
    <w:p>
      <w:pPr>
        <w:pStyle w:val="Heading3"/>
      </w:pPr>
      <w:r>
        <w:rPr>
          <w:color w:val="500050"/>
        </w:rPr>
        <w:t>⚡ Impact estimé sur la BRVM</w:t>
      </w:r>
    </w:p>
    <w:p>
      <w:pPr>
        <w:spacing w:before="20" w:after="40"/>
        <w:ind w:left="280"/>
      </w:pPr>
      <w:r>
        <w:rPr>
          <w:i/>
          <w:sz w:val="18"/>
        </w:rPr>
        <w:t>La BRVM doit renforcer sa liquidité et sa visibilité pour ne pas perdre de parts de marché face au NGX. Les valeurs à faible flottant (FTSC, STAC, SDSC) souffrent comparativement.</w:t>
      </w:r>
    </w:p>
    <w:p>
      <w:pPr>
        <w:pStyle w:val="Heading2"/>
      </w:pPr>
      <w:r>
        <w:rPr>
          <w:color w:val="8C4600"/>
        </w:rPr>
        <w:t>🏦 Plan UEMOA / Zone Franc</w:t>
      </w:r>
    </w:p>
    <w:p>
      <w:pPr>
        <w:spacing w:before="20" w:after="40"/>
        <w:ind w:left="0"/>
      </w:pPr>
      <w:r>
        <w:rPr>
          <w:sz w:val="18"/>
        </w:rPr>
        <w:t>Le budget malien 2027 en hausse (18/09) implique un besoin de financement accru sur le marché des titres publics UEMOA.</w:t>
      </w:r>
    </w:p>
    <w:p>
      <w:pPr>
        <w:pStyle w:val="Heading3"/>
      </w:pPr>
      <w:r>
        <w:rPr>
          <w:color w:val="500050"/>
        </w:rPr>
        <w:t>⚡ Impact estimé sur la BRVM</w:t>
      </w:r>
    </w:p>
    <w:p>
      <w:pPr>
        <w:spacing w:before="20" w:after="40"/>
        <w:ind w:left="280"/>
      </w:pPr>
      <w:r>
        <w:rPr>
          <w:i/>
          <w:sz w:val="18"/>
        </w:rPr>
        <w:t>Arbitrage défavorable aux actions : la hausse de l'offre de titres publics pourrait absorber la liquidité bancaire, réduisant la demande pour les actions BRVM. Les banques (SGBC, BICB, BOAC) pourraient privilégier les rendements obligataires.</w:t>
      </w:r>
    </w:p>
    <w:p>
      <w:pPr>
        <w:pStyle w:val="Heading2"/>
      </w:pPr>
      <w:r>
        <w:rPr>
          <w:color w:val="003366"/>
        </w:rPr>
        <w:t>📈 Plan BRVM</w:t>
      </w:r>
    </w:p>
    <w:p>
      <w:pPr>
        <w:spacing w:before="20" w:after="40"/>
        <w:ind w:left="0"/>
      </w:pPr>
      <w:r>
        <w:rPr>
          <w:sz w:val="18"/>
        </w:rPr>
        <w:t>Indice BRVM Composite à 553,71 points. Résultats ivoiriens encourageants (09/06). Données insuffisantes sur volumes, top/flop et IPO.</w:t>
      </w:r>
    </w:p>
    <w:p>
      <w:pPr>
        <w:pStyle w:val="Heading3"/>
      </w:pPr>
      <w:r>
        <w:rPr>
          <w:color w:val="500050"/>
        </w:rPr>
        <w:t>⚡ Impact estimé sur la BRVM</w:t>
      </w:r>
    </w:p>
    <w:p>
      <w:pPr>
        <w:spacing w:before="20" w:after="40"/>
        <w:ind w:left="280"/>
      </w:pPr>
      <w:r>
        <w:rPr>
          <w:i/>
          <w:sz w:val="18"/>
        </w:rPr>
        <w:t>Recommandations : **ACHAT** sur SGBC, BOAC, BOAB, BOABF (financières solides, résultats positifs). **CONSERVER** SOGC, SPHC, NTLC (défensives consommation de base). **SURVEILLER** SIVC, CFAC (sensibles au cycle ivoirien). **PRUDENCE** sur BOABF, BOAS (exposition sahélienne). Arbitrage obligataire à surveiller de près.</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globalement favorable grâce aux résultats encourageants des sociétés ivoiriennes et au soutien FMI au Sénégal, mais le resserrement BCE, l'instabilité sahélienne et la concurrence des titres publics UEMOA créent des vents contraires. Privilégier les financières bien capitalisées (SGBC, BOAC, BOAB) et les défensives de consommation de base (SOGC, SPHC, NTLC), tout en limitant l'exposition aux valeurs sahéliennes et à faible liquidité. Surveillance active de l'arbitrage titres publics/actions dans les prochaines semaines.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2026-09-17</w:t>
            </w:r>
          </w:p>
        </w:tc>
        <w:tc>
          <w:tcPr>
            <w:tcW w:type="dxa" w:w="1728"/>
          </w:tcPr>
          <w:p>
            <w:r>
              <w:rPr>
                <w:sz w:val="14"/>
              </w:rPr>
              <w:t>Bourse : l'Europe s'essouffle face aux Etats-Unis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2026-09-17</w:t>
            </w:r>
          </w:p>
        </w:tc>
        <w:tc>
          <w:tcPr>
            <w:tcW w:type="dxa" w:w="1728"/>
          </w:tcPr>
          <w:p>
            <w:r>
              <w:rPr>
                <w:sz w:val="14"/>
              </w:rPr>
              <w:t>Face à la flambée des prix du carburant, les Français renoncent de plu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2026-09-16</w:t>
            </w:r>
          </w:p>
        </w:tc>
        <w:tc>
          <w:tcPr>
            <w:tcW w:type="dxa" w:w="1728"/>
          </w:tcPr>
          <w:p>
            <w:r>
              <w:rPr>
                <w:sz w:val="14"/>
              </w:rPr>
              <w:t>Japanese Yen falls as US Federal Reserve delivers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2026-09-16</w:t>
            </w:r>
          </w:p>
        </w:tc>
        <w:tc>
          <w:tcPr>
            <w:tcW w:type="dxa" w:w="1728"/>
          </w:tcPr>
          <w:p>
            <w:r>
              <w:rPr>
                <w:sz w:val="14"/>
              </w:rPr>
              <w:t>Federal Reserve Chair Warsh: Inflation trends were not passing the tes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2026-09-17</w:t>
            </w:r>
          </w:p>
        </w:tc>
        <w:tc>
          <w:tcPr>
            <w:tcW w:type="dxa" w:w="1728"/>
          </w:tcPr>
          <w:p>
            <w:r>
              <w:rPr>
                <w:sz w:val="14"/>
              </w:rPr>
              <w:t>Côte d’Ivoire : La CEDEAO renforce les capacités des acteurs de la séc</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PORTRAIT – CEDEAO REPORT : le pari régional du président Bassirou Diom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Ouémé : la CEDEAO lance un audit de terrain de ses projets structurant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2026-09-15</w:t>
            </w:r>
          </w:p>
        </w:tc>
        <w:tc>
          <w:tcPr>
            <w:tcW w:type="dxa" w:w="1728"/>
          </w:tcPr>
          <w:p>
            <w:r>
              <w:rPr>
                <w:sz w:val="14"/>
              </w:rPr>
              <w:t>CEDEAO-Tunisie : Engagement en faveur d'une coopération renforcée - ko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VIDÉO. Sport: Sénégal, la première sélection signée Patrick Vierra - 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2026-09-18</w:t>
            </w:r>
          </w:p>
        </w:tc>
        <w:tc>
          <w:tcPr>
            <w:tcW w:type="dxa" w:w="1728"/>
          </w:tcPr>
          <w:p>
            <w:r>
              <w:rPr>
                <w:sz w:val="14"/>
              </w:rPr>
              <w:t>La BCEAO maintient ses taux directeurs en vigueur depuis mars 2026 - a</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VIDÉO. Sport: Sénégal, la première sélection signée Patrick Vierra - 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Côte d'Ivoire-France : Arrestation de Katinan, quand le Parti Communis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politique Côte d</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2026-09-18</w:t>
            </w:r>
          </w:p>
        </w:tc>
        <w:tc>
          <w:tcPr>
            <w:tcW w:type="dxa" w:w="1728"/>
          </w:tcPr>
          <w:p>
            <w:r>
              <w:rPr>
                <w:sz w:val="14"/>
              </w:rPr>
              <w:t xml:space="preserve">Sénégal - Un nouveau cap pour la gestion des ressources extractives -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 xml:space="preserve">Orpaillage illégal en Côte d’Ivoire : un fléau qui ronge l’économie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2026-09-18</w:t>
            </w:r>
          </w:p>
        </w:tc>
        <w:tc>
          <w:tcPr>
            <w:tcW w:type="dxa" w:w="1728"/>
          </w:tcPr>
          <w:p>
            <w:r>
              <w:rPr>
                <w:sz w:val="14"/>
              </w:rPr>
              <w:t>Président de la BCE : Les taux d’intérêt n’augmentent pas nécessaireme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La BCE relève ses taux directeurs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2026-09-18</w:t>
            </w:r>
          </w:p>
        </w:tc>
        <w:tc>
          <w:tcPr>
            <w:tcW w:type="dxa" w:w="1728"/>
          </w:tcPr>
          <w:p>
            <w:r>
              <w:rPr>
                <w:sz w:val="14"/>
              </w:rPr>
              <w:t>NGX — Nigerian Exchange: Live Stock Prices &amp; Data - Dabafinance</w:t>
            </w:r>
          </w:p>
        </w:tc>
        <w:tc>
          <w:tcPr>
            <w:tcW w:type="dxa" w:w="1728"/>
          </w:tcPr>
          <w:p>
            <w:r>
              <w:rPr>
                <w:sz w:val="14"/>
              </w:rPr>
              <w:t>Neutre</w:t>
            </w:r>
          </w:p>
        </w:tc>
        <w:tc>
          <w:tcPr>
            <w:tcW w:type="dxa" w:w="1728"/>
          </w:tcPr>
          <w:p>
            <w:r>
              <w:rPr>
                <w:sz w:val="14"/>
              </w:rPr>
              <w:t>Neutre</w:t>
            </w:r>
          </w:p>
        </w:tc>
        <w:tc>
          <w:tcPr>
            <w:tcW w:type="dxa" w:w="1728"/>
          </w:tcPr>
          <w:p>
            <w:r>
              <w:rPr>
                <w:sz w:val="14"/>
              </w:rPr>
              <w:t>Google News — Nigeria Ghana fi</w:t>
            </w:r>
          </w:p>
        </w:tc>
      </w:tr>
      <w:tr>
        <w:tc>
          <w:tcPr>
            <w:tcW w:type="dxa" w:w="1728"/>
          </w:tcPr>
          <w:p>
            <w:r>
              <w:rPr>
                <w:sz w:val="14"/>
              </w:rPr>
              <w:t>2026-09-18</w:t>
            </w:r>
          </w:p>
        </w:tc>
        <w:tc>
          <w:tcPr>
            <w:tcW w:type="dxa" w:w="1728"/>
          </w:tcPr>
          <w:p>
            <w:r>
              <w:rPr>
                <w:sz w:val="14"/>
              </w:rPr>
              <w:t>Mali : le budget 2027 arrêté à plus de 4 400 milliards de francs CFA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2026-09-19</w:t>
            </w:r>
          </w:p>
        </w:tc>
        <w:tc>
          <w:tcPr>
            <w:tcW w:type="dxa" w:w="1728"/>
          </w:tcPr>
          <w:p>
            <w:r>
              <w:rPr>
                <w:sz w:val="14"/>
              </w:rPr>
              <w:t>Guerre des drones au Mali, interview exclusive de Fouzi Lekjaâ, les se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[19/09/2026] ⚪  </w:t>
      </w:r>
      <w:r>
        <w:rPr>
          <w:b/>
          <w:color w:val="505050"/>
          <w:sz w:val="18"/>
        </w:rPr>
        <w:t>Guerre des drones au Mali, interview exclusive de Fouzi Lekjaâ, les secrets du renseignement camerounais… Les 5 infos qu</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présente un tour d'horizon de cinq informations marquantes du continent africain, notamment la guerre des drones au Mali, une interview exclusive de Fouzi Lekjaâ et les secrets du renseignement camerounais. Ces sujets couvrent principalement des questions de sécurité, de défense et de gouvernance dans plusieurs pays afric</w:t>
      </w:r>
    </w:p>
    <w:p>
      <w:pPr>
        <w:spacing w:before="0" w:after="40"/>
        <w:ind w:left="600"/>
      </w:pPr>
      <w:r>
        <w:rPr>
          <w:color w:val="00643C"/>
          <w:sz w:val="16"/>
        </w:rPr>
        <w:t>Points clés : Guerre des drones au Mali  •  Interview exclusive de Fouzi Lekjaâ  •  Secrets du renseignement camerounais  •  Tour d'horizon de l'actualité africaine</w:t>
      </w:r>
    </w:p>
    <w:p>
      <w:pPr>
        <w:spacing w:before="0" w:after="60"/>
        <w:ind w:left="600"/>
      </w:pPr>
      <w:r>
        <w:rPr>
          <w:color w:val="0064B4"/>
          <w:sz w:val="15"/>
        </w:rPr>
        <w:t>Source : https://news.google.com/rss/articles/CBMimgJBVV95cUxPd0IwTXd3ZVJKRTRjWVNEYnhiSnV</w:t>
      </w:r>
    </w:p>
    <w:p>
      <w:pPr>
        <w:spacing w:before="40" w:after="40"/>
        <w:ind w:left="360"/>
      </w:pPr>
      <w:r>
        <w:rPr>
          <w:color w:val="646464"/>
          <w:sz w:val="17"/>
        </w:rPr>
        <w:t xml:space="preserve">[19/09/2026] ⚪  </w:t>
      </w:r>
      <w:r>
        <w:rPr>
          <w:b/>
          <w:color w:val="505050"/>
          <w:sz w:val="18"/>
        </w:rPr>
        <w:t>VIDÉO. Sport: Sénégal, la première sélection signée Patrick Vierra - tv5monde</w:t>
      </w:r>
      <w:r>
        <w:rPr>
          <w:color w:val="787878"/>
          <w:sz w:val="15"/>
        </w:rPr>
        <w:t xml:space="preserve">  [politique]</w:t>
      </w:r>
      <w:r>
        <w:rPr>
          <w:color w:val="B47800"/>
          <w:sz w:val="16"/>
        </w:rPr>
        <w:t xml:space="preserve">  ★ 50/10</w:t>
      </w:r>
    </w:p>
    <w:p>
      <w:pPr>
        <w:spacing w:before="0" w:after="20"/>
        <w:ind w:left="600"/>
      </w:pPr>
      <w:r>
        <w:rPr>
          <w:color w:val="323232"/>
          <w:sz w:val="17"/>
        </w:rPr>
        <w:t>La vidéo de TV5 Monde annonce la première sélection de l'équipe du Sénégal sous la direction de Patrick Vieira. Il s'agit d'une actualité sportive concernant le football sénégalais. Aucun lien direct avec les marchés financiers ou les sociétés cotées à la BRVM n'est établi. L'information reste anecdotique pour les investisseurs de la zone UEMOA.</w:t>
      </w:r>
    </w:p>
    <w:p>
      <w:pPr>
        <w:spacing w:before="0" w:after="40"/>
        <w:ind w:left="600"/>
      </w:pPr>
      <w:r>
        <w:rPr>
          <w:color w:val="00643C"/>
          <w:sz w:val="16"/>
        </w:rPr>
        <w:t>Points clés : Patrick Vieira dévoile sa première liste de joueurs pour le Sénégal  •  Actualité sportive sans incidence économique directe  •  Aucun impact identifié sur les entreprises cotées à la BRVM</w:t>
      </w:r>
    </w:p>
    <w:p>
      <w:pPr>
        <w:spacing w:before="0" w:after="60"/>
        <w:ind w:left="600"/>
      </w:pPr>
      <w:r>
        <w:rPr>
          <w:color w:val="0064B4"/>
          <w:sz w:val="15"/>
        </w:rPr>
        <w:t>Source : https://news.google.com/rss/articles/CBMirwFBVV95cUxPWkQtREdoVV9sNTk1QjU0RDZuZWt</w:t>
      </w:r>
    </w:p>
    <w:p>
      <w:pPr>
        <w:spacing w:before="40" w:after="40"/>
        <w:ind w:left="360"/>
      </w:pPr>
      <w:r>
        <w:rPr>
          <w:color w:val="646464"/>
          <w:sz w:val="17"/>
        </w:rPr>
        <w:t xml:space="preserve">[18/09/2026] ⚪  </w:t>
      </w:r>
      <w:r>
        <w:rPr>
          <w:b/>
          <w:color w:val="505050"/>
          <w:sz w:val="18"/>
        </w:rPr>
        <w:t>Mali : le budget 2027 arrêté à plus de 4 400 milliards de francs CFA - Alwihda Info</w:t>
      </w:r>
      <w:r>
        <w:rPr>
          <w:color w:val="787878"/>
          <w:sz w:val="15"/>
        </w:rPr>
        <w:t xml:space="preserve">  [politique]</w:t>
      </w:r>
      <w:r>
        <w:rPr>
          <w:color w:val="B47800"/>
          <w:sz w:val="16"/>
        </w:rPr>
        <w:t xml:space="preserve">  ★ 50/10</w:t>
      </w:r>
    </w:p>
    <w:p>
      <w:pPr>
        <w:spacing w:before="0" w:after="20"/>
        <w:ind w:left="600"/>
      </w:pPr>
      <w:r>
        <w:rPr>
          <w:color w:val="323232"/>
          <w:sz w:val="17"/>
        </w:rPr>
        <w:t>Le gouvernement malien a arrêté le budget de l'État pour l'exercice 2027 à plus de 4 400 milliards de francs CFA. Cette enveloppe traduit une hausse des dépenses publiques prévues, dans un contexte de pressions sécuritaires et sociales persistantes. Le financement de ce budget reste un enjeu majeur pour Bamako, qui doit mobiliser des ressources int</w:t>
      </w:r>
    </w:p>
    <w:p>
      <w:pPr>
        <w:spacing w:before="0" w:after="40"/>
        <w:ind w:left="600"/>
      </w:pPr>
      <w:r>
        <w:rPr>
          <w:color w:val="00643C"/>
          <w:sz w:val="16"/>
        </w:rPr>
        <w:t>Points clés : Budget 2027 du Mali fixé à plus de 4 400 milliards FCFA  •  Hausse attendue des dépenses publiques maliennes  •  Enjeu de financement dans un contexte sécuritaire et budgétaire tendu  •  Possible recours aux marchés financiers de l'UEMOA</w:t>
      </w:r>
    </w:p>
    <w:p>
      <w:pPr>
        <w:spacing w:before="0" w:after="60"/>
        <w:ind w:left="600"/>
      </w:pPr>
      <w:r>
        <w:rPr>
          <w:color w:val="0064B4"/>
          <w:sz w:val="15"/>
        </w:rPr>
        <w:t>Source : https://news.google.com/rss/articles/CBMimwFBVV95cUxNemhsNWRaYmp4eWduVW5SSE56R2x</w:t>
      </w:r>
    </w:p>
    <w:p>
      <w:pPr>
        <w:spacing w:before="40" w:after="40"/>
        <w:ind w:left="360"/>
      </w:pPr>
      <w:r>
        <w:rPr>
          <w:color w:val="646464"/>
          <w:sz w:val="17"/>
        </w:rPr>
        <w:t xml:space="preserve">[18/09/2026] 🟢  </w:t>
      </w:r>
      <w:r>
        <w:rPr>
          <w:b/>
          <w:color w:val="008000"/>
          <w:sz w:val="18"/>
        </w:rPr>
        <w:t>Sénégal - Un nouveau cap pour la gestion des ressources extractives - allAfrica.fr</w:t>
      </w:r>
      <w:r>
        <w:rPr>
          <w:color w:val="787878"/>
          <w:sz w:val="15"/>
        </w:rPr>
        <w:t xml:space="preserve">  [politique]</w:t>
      </w:r>
      <w:r>
        <w:rPr>
          <w:color w:val="B47800"/>
          <w:sz w:val="16"/>
        </w:rPr>
        <w:t xml:space="preserve">  ★ 50/10</w:t>
      </w:r>
    </w:p>
    <w:p>
      <w:pPr>
        <w:spacing w:before="0" w:after="20"/>
        <w:ind w:left="600"/>
      </w:pPr>
      <w:r>
        <w:rPr>
          <w:color w:val="323232"/>
          <w:sz w:val="17"/>
        </w:rPr>
        <w:t>Le Sénégal annonce une nouvelle orientation dans la gestion de ses ressources extractives, visant une meilleure transparence et répartition des revenus. Cette réforme pourrait concerner le pétrole, le gaz et les mines, secteurs clés pour l'économie sénégalaise. Elle intervient dans un contexte de pression pour une gouvernance plus responsable des i</w:t>
      </w:r>
    </w:p>
    <w:p>
      <w:pPr>
        <w:spacing w:before="0" w:after="40"/>
        <w:ind w:left="600"/>
      </w:pPr>
      <w:r>
        <w:rPr>
          <w:color w:val="00643C"/>
          <w:sz w:val="16"/>
        </w:rPr>
        <w:t>Points clés : Nouvelle stratégie de gestion des ressources extractives au Sénégal  •  Objectif de transparence et de meilleure répartition des revenus  •  Secteurs concernés : pétrole, gaz et mines  •  Contexte de gouvernance responsable en Afrique de l'Ouest</w:t>
      </w:r>
    </w:p>
    <w:p>
      <w:pPr>
        <w:spacing w:before="0" w:after="60"/>
        <w:ind w:left="600"/>
      </w:pPr>
      <w:r>
        <w:rPr>
          <w:color w:val="0064B4"/>
          <w:sz w:val="15"/>
        </w:rPr>
        <w:t>Source : https://news.google.com/rss/articles/CBMib0FVX3lxTE5yYmQtSGNHUlgxRjRZS0pTRU1vN3p</w:t>
      </w:r>
    </w:p>
    <w:p>
      <w:pPr>
        <w:spacing w:before="40" w:after="40"/>
        <w:ind w:left="360"/>
      </w:pPr>
      <w:r>
        <w:rPr>
          <w:color w:val="646464"/>
          <w:sz w:val="17"/>
        </w:rPr>
        <w:t xml:space="preserve">[18/09/2026] 🔴  </w:t>
      </w:r>
      <w:r>
        <w:rPr>
          <w:b/>
          <w:color w:val="C00000"/>
          <w:sz w:val="18"/>
        </w:rPr>
        <w:t>Côte d'Ivoire-France : Arrestation de Katinan, quand le Parti Communiste Français s'en mêle, demande sa libération et in</w:t>
      </w:r>
      <w:r>
        <w:rPr>
          <w:color w:val="787878"/>
          <w:sz w:val="15"/>
        </w:rPr>
        <w:t xml:space="preserve">  [politique]</w:t>
      </w:r>
      <w:r>
        <w:rPr>
          <w:color w:val="B47800"/>
          <w:sz w:val="16"/>
        </w:rPr>
        <w:t xml:space="preserve">  ★ 50/10</w:t>
      </w:r>
    </w:p>
    <w:p>
      <w:pPr>
        <w:spacing w:before="0" w:after="20"/>
        <w:ind w:left="600"/>
      </w:pPr>
      <w:r>
        <w:rPr>
          <w:color w:val="323232"/>
          <w:sz w:val="17"/>
        </w:rPr>
        <w:t>L'article rapporte l'arrestation de Justin Katinan Koné, ancien ministre du budget de Laurent Gbagbo, en Côte d'Ivoire, et la réaction du Parti Communiste Français qui demande sa libération. Le PCF interpelle le gouvernement français ainsi que l'Union européenne sur cette affaire. Cette arrestation s'inscrit dans un contexte politique tendu entre l</w:t>
      </w:r>
    </w:p>
    <w:p>
      <w:pPr>
        <w:spacing w:before="0" w:after="40"/>
        <w:ind w:left="600"/>
      </w:pPr>
      <w:r>
        <w:rPr>
          <w:color w:val="00643C"/>
          <w:sz w:val="16"/>
        </w:rPr>
        <w:t>Points clés : Arrestation de Justin Katinan Koné, ancien ministre de Laurent Gbagbo  •  Le Parti Communiste Français demande sa libération et interpelle Paris et l'UE  •  Contexte de tensions politiques post-crise ivoirienne  •  Possible impact sur les relations Côte d'Ivoire-France</w:t>
      </w:r>
    </w:p>
    <w:p>
      <w:pPr>
        <w:spacing w:before="0" w:after="60"/>
        <w:ind w:left="600"/>
      </w:pPr>
      <w:r>
        <w:rPr>
          <w:color w:val="0064B4"/>
          <w:sz w:val="15"/>
        </w:rPr>
        <w:t>Source : https://news.google.com/rss/articles/CBMi2wJBVV95cUxOaVktZEI4ZmRpaXRrdS1oSzFXOVV</w:t>
      </w:r>
    </w:p>
    <w:p>
      <w:pPr>
        <w:spacing w:before="120" w:after="40"/>
      </w:pPr>
      <w:r>
        <w:rPr>
          <w:b/>
          <w:color w:val="00467F"/>
          <w:sz w:val="20"/>
        </w:rPr>
        <w:t>🔑 politique_monetaire  (3 alerte(s))</w:t>
      </w:r>
    </w:p>
    <w:p>
      <w:pPr>
        <w:spacing w:before="40" w:after="40"/>
        <w:ind w:left="360"/>
      </w:pPr>
      <w:r>
        <w:rPr>
          <w:color w:val="646464"/>
          <w:sz w:val="17"/>
        </w:rPr>
        <w:t xml:space="preserve">[18/09/2026] ⚪  </w:t>
      </w:r>
      <w:r>
        <w:rPr>
          <w:b/>
          <w:color w:val="505050"/>
          <w:sz w:val="18"/>
        </w:rPr>
        <w:t>La BCEAO maintient ses taux directeurs en vigueur depuis mars 2026 - aNiamey.com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BCEAO a décidé de maintenir ses taux directeurs inchangés, prolongeant ainsi la politique monétaire en vigueur depuis mars 2026. Cette décision s'inscrit dans un contexte de stabilité des prix et de suivi de la croissance économique dans l'espace UEMOA. Le statu quo monétaire vise à soutenir l'activité économique tout en maîtrisant l'inflation. </w:t>
      </w:r>
    </w:p>
    <w:p>
      <w:pPr>
        <w:spacing w:before="0" w:after="40"/>
        <w:ind w:left="600"/>
      </w:pPr>
      <w:r>
        <w:rPr>
          <w:color w:val="00643C"/>
          <w:sz w:val="16"/>
        </w:rPr>
        <w:t>Points clés : Maintien des taux directeurs de la BCEAO  •  Politique monétaire inchangée depuis mars 2026  •  Statu quo visant à équilibrer croissance et maîtrise de l'inflation</w:t>
      </w:r>
    </w:p>
    <w:p>
      <w:pPr>
        <w:spacing w:before="0" w:after="60"/>
        <w:ind w:left="600"/>
      </w:pPr>
      <w:r>
        <w:rPr>
          <w:color w:val="0064B4"/>
          <w:sz w:val="15"/>
        </w:rPr>
        <w:t>Source : https://news.google.com/rss/articles/CBMiTkFVX3lxTE9vYk9VREx0ZG43TlVIaTdVTnh5SHB</w:t>
      </w:r>
    </w:p>
    <w:p>
      <w:pPr>
        <w:spacing w:before="40" w:after="40"/>
        <w:ind w:left="360"/>
      </w:pPr>
      <w:r>
        <w:rPr>
          <w:color w:val="646464"/>
          <w:sz w:val="17"/>
        </w:rPr>
        <w:t xml:space="preserve">[18/09/2026] ⚪  </w:t>
      </w:r>
      <w:r>
        <w:rPr>
          <w:b/>
          <w:color w:val="505050"/>
          <w:sz w:val="18"/>
        </w:rPr>
        <w:t>Président de la BCE : Les taux d’intérêt n’augmentent pas nécessairement avec les prix de l’énergie. - Vietnam.vn</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Banque centrale européenne (BCE) a déclaré que les taux d'intérêt n'augmentent pas nécessairement en réponse à la hausse des prix de l'énergie. Cette prise de position suggère que la BCE pourrait ne pas réagir de manière automatique aux chocs énergétiques en relevant ses taux. Cela marque une distinction entre l'inflation sous-ja</w:t>
      </w:r>
    </w:p>
    <w:p>
      <w:pPr>
        <w:spacing w:before="0" w:after="40"/>
        <w:ind w:left="600"/>
      </w:pPr>
      <w:r>
        <w:rPr>
          <w:color w:val="00643C"/>
          <w:sz w:val="16"/>
        </w:rPr>
        <w:t>Points clés : Les taux d'intérêt ne suivent pas mécaniquement les prix de l'énergie.  •  La BCE privilégie une analyse des effets de second tour.  •  Signal d'une possible pause ou d'une approche flexible de la politique monétaire.</w:t>
      </w:r>
    </w:p>
    <w:p>
      <w:pPr>
        <w:spacing w:before="0" w:after="60"/>
        <w:ind w:left="600"/>
      </w:pPr>
      <w:r>
        <w:rPr>
          <w:color w:val="0064B4"/>
          <w:sz w:val="15"/>
        </w:rPr>
        <w:t>Source : https://news.google.com/rss/articles/CBMikwFBVV95cUxNeEdHdzhaZ3VISzQ1R19pYzUtSUs</w:t>
      </w:r>
    </w:p>
    <w:p>
      <w:pPr>
        <w:spacing w:before="40" w:after="40"/>
        <w:ind w:left="360"/>
      </w:pPr>
      <w:r>
        <w:rPr>
          <w:color w:val="646464"/>
          <w:sz w:val="17"/>
        </w:rPr>
        <w:t xml:space="preserve">[17/09/2026] 🔴  </w:t>
      </w:r>
      <w:r>
        <w:rPr>
          <w:b/>
          <w:color w:val="C00000"/>
          <w:sz w:val="18"/>
        </w:rPr>
        <w:t xml:space="preserve">Un pari raté pour Donald Trump ? "Même les gens qu'il nomme ne sont pas prêts à faire n'importe quoi pour lui plaire" - </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les difficultés de Donald Trump à obtenir une loyauté inconditionnelle de la part des personnes qu'il nomme, même parmi ses propres appointeurs. Cette situation suggère un affaiblissement de son influence politique et de sa capacité à imposer ses vues. Pour les marchés, cela pourrait introduire une incertitude supplémentaire sur la</w:t>
      </w:r>
    </w:p>
    <w:p>
      <w:pPr>
        <w:spacing w:before="0" w:after="40"/>
        <w:ind w:left="600"/>
      </w:pPr>
      <w:r>
        <w:rPr>
          <w:color w:val="00643C"/>
          <w:sz w:val="16"/>
        </w:rPr>
        <w:t>Points clés : Donald Trump peine à obtenir une loyauté sans faille de ses nominations  •  Cela remet en question son influence politique et sa capacité de persuasion  •  Incertitude accrue sur la politique monétaire et les relations internationales</w:t>
      </w:r>
    </w:p>
    <w:p>
      <w:pPr>
        <w:spacing w:before="0" w:after="60"/>
        <w:ind w:left="600"/>
      </w:pPr>
      <w:r>
        <w:rPr>
          <w:color w:val="0064B4"/>
          <w:sz w:val="15"/>
        </w:rPr>
        <w:t>Source : https://news.google.com/rss/articles/CBMitwJBVV95cUxNR2RBa0JJek1tbnBvbEVTN1JfMjZ</w:t>
      </w:r>
    </w:p>
    <w:p>
      <w:pPr>
        <w:spacing w:before="120" w:after="40"/>
      </w:pPr>
      <w:r>
        <w:rPr>
          <w:b/>
          <w:color w:val="00467F"/>
          <w:sz w:val="20"/>
        </w:rPr>
        <w:t>🔑 marche_financier  (3 alerte(s))</w:t>
      </w:r>
    </w:p>
    <w:p>
      <w:pPr>
        <w:spacing w:before="40" w:after="40"/>
        <w:ind w:left="360"/>
      </w:pPr>
      <w:r>
        <w:rPr>
          <w:color w:val="646464"/>
          <w:sz w:val="17"/>
        </w:rPr>
        <w:t xml:space="preserve">[18/09/2026] ⚪  </w:t>
      </w:r>
      <w:r>
        <w:rPr>
          <w:b/>
          <w:color w:val="505050"/>
          <w:sz w:val="18"/>
        </w:rPr>
        <w:t>NGX — Nigerian Exchange: Live Stock Prices &amp; Data - Dabafinance</w:t>
      </w:r>
      <w:r>
        <w:rPr>
          <w:color w:val="787878"/>
          <w:sz w:val="15"/>
        </w:rPr>
        <w:t xml:space="preserve">  [marche_financier]</w:t>
      </w:r>
      <w:r>
        <w:rPr>
          <w:color w:val="B47800"/>
          <w:sz w:val="16"/>
        </w:rPr>
        <w:t xml:space="preserve">  ★ 50/10</w:t>
      </w:r>
    </w:p>
    <w:p>
      <w:pPr>
        <w:spacing w:before="0" w:after="20"/>
        <w:ind w:left="600"/>
      </w:pPr>
      <w:r>
        <w:rPr>
          <w:color w:val="323232"/>
          <w:sz w:val="17"/>
        </w:rPr>
        <w:t>Cet article présente Dabafinance comme une plateforme offrant des cours en direct et des données boursières sur le Nigerian Exchange (NGX). Il s'agit d'un outil d'information financière destiné aux investisseurs souhaitant suivre les actions nigérianes en temps réel. Aucune actualité de marché, annonce de résultats ou événement macroéconomique n'es</w:t>
      </w:r>
    </w:p>
    <w:p>
      <w:pPr>
        <w:spacing w:before="0" w:after="40"/>
        <w:ind w:left="600"/>
      </w:pPr>
      <w:r>
        <w:rPr>
          <w:color w:val="00643C"/>
          <w:sz w:val="16"/>
        </w:rPr>
        <w:t>Points clés : Dabafinance fournit des cours en direct et des données sur le NGX  •  Outil destiné au suivi des actions nigérianes  •  Aucune actualité de marché ou donnée chiffrée spécifique  •  Contenu à visée informative et promotionnelle</w:t>
      </w:r>
    </w:p>
    <w:p>
      <w:pPr>
        <w:spacing w:before="0" w:after="60"/>
        <w:ind w:left="600"/>
      </w:pPr>
      <w:r>
        <w:rPr>
          <w:color w:val="0064B4"/>
          <w:sz w:val="15"/>
        </w:rPr>
        <w:t>Source : https://news.google.com/rss/articles/CBMiXkFVX3lxTE82cHNGZHlBVXkxNlQxR0lLUkhBU09</w:t>
      </w:r>
    </w:p>
    <w:p>
      <w:pPr>
        <w:spacing w:before="40" w:after="40"/>
        <w:ind w:left="360"/>
      </w:pPr>
      <w:r>
        <w:rPr>
          <w:color w:val="646464"/>
          <w:sz w:val="17"/>
        </w:rPr>
        <w:t xml:space="preserve">[17/09/2026] 🔴  </w:t>
      </w:r>
      <w:r>
        <w:rPr>
          <w:b/>
          <w:color w:val="C00000"/>
          <w:sz w:val="18"/>
        </w:rPr>
        <w:t>Bourse : l'Europe s'essouffle face aux Etats-Unis - Les Echos</w:t>
      </w:r>
      <w:r>
        <w:rPr>
          <w:color w:val="787878"/>
          <w:sz w:val="15"/>
        </w:rPr>
        <w:t xml:space="preserve">  [marche_financier]</w:t>
      </w:r>
      <w:r>
        <w:rPr>
          <w:color w:val="B47800"/>
          <w:sz w:val="16"/>
        </w:rPr>
        <w:t xml:space="preserve">  ★ 50/10</w:t>
      </w:r>
    </w:p>
    <w:p>
      <w:pPr>
        <w:spacing w:before="0" w:after="20"/>
        <w:ind w:left="600"/>
      </w:pPr>
      <w:r>
        <w:rPr>
          <w:color w:val="323232"/>
          <w:sz w:val="17"/>
        </w:rPr>
        <w:t>Les marchés européens montrent des signes d'essoufflement face à la performance des marchés américains, selon Les Echos. Cette divergence reflète des dynamiques économiques et des politiques monétaires différentes entre les deux régions. Les investisseurs semblent privilégier les actifs américains, pénalisant ainsi les indices européens.</w:t>
      </w:r>
    </w:p>
    <w:p>
      <w:pPr>
        <w:spacing w:before="0" w:after="40"/>
        <w:ind w:left="600"/>
      </w:pPr>
      <w:r>
        <w:rPr>
          <w:color w:val="00643C"/>
          <w:sz w:val="16"/>
        </w:rPr>
        <w:t>Points clés : L'Europe boursière perd de son élan comparée aux États-Unis  •  Divergence de performance entre les deux zones  •  Préférence des investisseurs pour les actifs américains</w:t>
      </w:r>
    </w:p>
    <w:p>
      <w:pPr>
        <w:spacing w:before="0" w:after="60"/>
        <w:ind w:left="600"/>
      </w:pPr>
      <w:r>
        <w:rPr>
          <w:color w:val="0064B4"/>
          <w:sz w:val="15"/>
        </w:rPr>
        <w:t>Source : https://news.google.com/rss/articles/CBMisgFBVV95cUxOemhpRmJ6V2VZUDl3MlNHLS15YlV</w:t>
      </w:r>
    </w:p>
    <w:p>
      <w:pPr>
        <w:spacing w:before="40" w:after="40"/>
        <w:ind w:left="360"/>
      </w:pPr>
      <w:r>
        <w:rPr>
          <w:color w:val="646464"/>
          <w:sz w:val="17"/>
        </w:rPr>
        <w:t xml:space="preserve">[17/09/2026] 🔴  </w:t>
      </w:r>
      <w:r>
        <w:rPr>
          <w:b/>
          <w:color w:val="C00000"/>
          <w:sz w:val="18"/>
        </w:rPr>
        <w:t>Sucrivoire, SONOCO et SICOR suspendues de cotation à la BRVM - agenceecofin.com</w:t>
      </w:r>
      <w:r>
        <w:rPr>
          <w:color w:val="787878"/>
          <w:sz w:val="15"/>
        </w:rPr>
        <w:t xml:space="preserve">  [marche_financier]</w:t>
      </w:r>
      <w:r>
        <w:rPr>
          <w:color w:val="B47800"/>
          <w:sz w:val="16"/>
        </w:rPr>
        <w:t xml:space="preserve">  ★ 50/10</w:t>
      </w:r>
    </w:p>
    <w:p>
      <w:pPr>
        <w:spacing w:before="0" w:after="20"/>
        <w:ind w:left="600"/>
      </w:pPr>
      <w:r>
        <w:rPr>
          <w:color w:val="323232"/>
          <w:sz w:val="17"/>
        </w:rPr>
        <w:t>La BRVM a suspendu la cotation des titres de Sucrivoire, SONOCO et SICOR. Cette décision intervient généralement en raison de la non-publication des états financiers ou d'opérations en cours sur le capital. Les investisseurs ne peuvent plus échanger ces actions jusqu'à nouvel ordre. Cela affecte la liquidité et la transparence sur ces valeurs.</w:t>
      </w:r>
    </w:p>
    <w:p>
      <w:pPr>
        <w:spacing w:before="0" w:after="40"/>
        <w:ind w:left="600"/>
      </w:pPr>
      <w:r>
        <w:rPr>
          <w:color w:val="00643C"/>
          <w:sz w:val="16"/>
        </w:rPr>
        <w:t>Points clés : Suspension de cotation de Sucrivoire, SONOCO et SICOR à la BRVM  •  Décision probablement liée à des obligations réglementaires non remplies  •  Impact sur la liquidité et la valorisation de ces titres  •  Les investisseurs sont bloqués sur ces positions</w:t>
      </w:r>
    </w:p>
    <w:p>
      <w:pPr>
        <w:spacing w:before="0" w:after="60"/>
        <w:ind w:left="600"/>
      </w:pPr>
      <w:r>
        <w:rPr>
          <w:color w:val="0064B4"/>
          <w:sz w:val="15"/>
        </w:rPr>
        <w:t>Source : https://news.google.com/rss/articles/CBMiuwFBVV95cUxNN2JkQktreFd5VU0yZ0d5WHItR20</w:t>
      </w:r>
    </w:p>
    <w:p>
      <w:pPr>
        <w:spacing w:before="120" w:after="40"/>
      </w:pPr>
      <w:r>
        <w:rPr>
          <w:b/>
          <w:color w:val="00467F"/>
          <w:sz w:val="20"/>
        </w:rPr>
        <w:t>🔑 économique  (2 alerte(s))</w:t>
      </w:r>
    </w:p>
    <w:p>
      <w:pPr>
        <w:spacing w:before="40" w:after="40"/>
        <w:ind w:left="360"/>
      </w:pPr>
      <w:r>
        <w:rPr>
          <w:color w:val="646464"/>
          <w:sz w:val="17"/>
        </w:rPr>
        <w:t xml:space="preserve">[18/09/2026] 🔴  </w:t>
      </w:r>
      <w:r>
        <w:rPr>
          <w:b/>
          <w:color w:val="C00000"/>
          <w:sz w:val="18"/>
        </w:rPr>
        <w:t>Orpaillage illégal en Côte d’Ivoire : un fléau qui ronge l’économie - Africtelegraph</w:t>
      </w:r>
      <w:r>
        <w:rPr>
          <w:color w:val="787878"/>
          <w:sz w:val="15"/>
        </w:rPr>
        <w:t xml:space="preserve">  [économique]</w:t>
      </w:r>
      <w:r>
        <w:rPr>
          <w:color w:val="B47800"/>
          <w:sz w:val="16"/>
        </w:rPr>
        <w:t xml:space="preserve">  ★ 50/10</w:t>
      </w:r>
    </w:p>
    <w:p>
      <w:pPr>
        <w:spacing w:before="0" w:after="20"/>
        <w:ind w:left="600"/>
      </w:pPr>
      <w:r>
        <w:rPr>
          <w:color w:val="323232"/>
          <w:sz w:val="17"/>
        </w:rPr>
        <w:t xml:space="preserve">L'orpaillage illégal en Côte d'Ivoire est un fléau qui ronge l'économie du pays. Cette activité minière clandestine échappe à tout contrôle fiscal et réglementaire, privant l'État de recettes importantes. Elle cause également des dommages environnementaux et sociaux considérables, notamment la pollution des cours d'eau et la destruction des terres </w:t>
      </w:r>
    </w:p>
    <w:p>
      <w:pPr>
        <w:spacing w:before="0" w:after="40"/>
        <w:ind w:left="600"/>
      </w:pPr>
      <w:r>
        <w:rPr>
          <w:color w:val="00643C"/>
          <w:sz w:val="16"/>
        </w:rPr>
        <w:t>Points clés : L'orpaillage illégal prive l'État ivoirien de recettes fiscales et minières significatives  •  Il cause des dommages environnementaux graves (pollution, déforestation, destruction des sols)  •  Le phénomène est difficile à contrôler et menace l'économie formelle et l'agriculture</w:t>
      </w:r>
    </w:p>
    <w:p>
      <w:pPr>
        <w:spacing w:before="0" w:after="60"/>
        <w:ind w:left="600"/>
      </w:pPr>
      <w:r>
        <w:rPr>
          <w:color w:val="0064B4"/>
          <w:sz w:val="15"/>
        </w:rPr>
        <w:t>Source : https://news.google.com/rss/articles/CBMinAFBVV95cUxNeFRzRk8zWmN2VjdsSXZWOUJVODR</w:t>
      </w:r>
    </w:p>
    <w:p>
      <w:pPr>
        <w:spacing w:before="40" w:after="40"/>
        <w:ind w:left="360"/>
      </w:pPr>
      <w:r>
        <w:rPr>
          <w:color w:val="646464"/>
          <w:sz w:val="17"/>
        </w:rPr>
        <w:t xml:space="preserve">[17/09/2026] 🟢  </w:t>
      </w:r>
      <w:r>
        <w:rPr>
          <w:b/>
          <w:color w:val="008000"/>
          <w:sz w:val="18"/>
        </w:rPr>
        <w:t xml:space="preserve">Côte d’Ivoire : La CEDEAO renforce les capacités des acteurs de la sécurité et de la justice face aux VBG - Abidjan.net </w:t>
      </w:r>
      <w:r>
        <w:rPr>
          <w:color w:val="787878"/>
          <w:sz w:val="15"/>
        </w:rPr>
        <w:t xml:space="preserve">  [économique]</w:t>
      </w:r>
      <w:r>
        <w:rPr>
          <w:color w:val="B47800"/>
          <w:sz w:val="16"/>
        </w:rPr>
        <w:t xml:space="preserve">  ★ 50/10</w:t>
      </w:r>
    </w:p>
    <w:p>
      <w:pPr>
        <w:spacing w:before="0" w:after="20"/>
        <w:ind w:left="600"/>
      </w:pPr>
      <w:r>
        <w:rPr>
          <w:color w:val="323232"/>
          <w:sz w:val="17"/>
        </w:rPr>
        <w:t>La CEDEAO a organisé en Côte d'Ivoire une formation destinée aux acteurs de la sécurité et de la justice pour renforcer leurs capacités face aux violences basées sur le genre (VBG). Cette initiative vise à améliorer la prise en charge des victimes et à lutter contre l'impunité. Elle s'inscrit dans un cadre régional de promotion des droits humains e</w:t>
      </w:r>
    </w:p>
    <w:p>
      <w:pPr>
        <w:spacing w:before="0" w:after="40"/>
        <w:ind w:left="600"/>
      </w:pPr>
      <w:r>
        <w:rPr>
          <w:color w:val="00643C"/>
          <w:sz w:val="16"/>
        </w:rPr>
        <w:t>Points clés : La CEDEAO forme les acteurs ivoiriens de la sécurité et de la justice sur les VBG  •  Objectif : améliorer la réponse judiciaire et sécuritaire aux violences basées sur le genre  •  Initiative régionale de renforcement des capacités institutionnelles</w:t>
      </w:r>
    </w:p>
    <w:p>
      <w:pPr>
        <w:spacing w:before="0" w:after="60"/>
        <w:ind w:left="600"/>
      </w:pPr>
      <w:r>
        <w:rPr>
          <w:color w:val="0064B4"/>
          <w:sz w:val="15"/>
        </w:rPr>
        <w:t>Source : https://news.google.com/rss/articles/CBMi2wFBVV95cUxPLTZzX2ZiYUtfNl85Ulc5a0tGV2x</w:t>
      </w:r>
    </w:p>
    <w:p>
      <w:pPr>
        <w:spacing w:before="120" w:after="40"/>
      </w:pPr>
      <w:r>
        <w:rPr>
          <w:b/>
          <w:color w:val="00467F"/>
          <w:sz w:val="20"/>
        </w:rPr>
        <w:t>🔑 matieres_premieres  (1 alerte(s))</w:t>
      </w:r>
    </w:p>
    <w:p>
      <w:pPr>
        <w:spacing w:before="40" w:after="40"/>
        <w:ind w:left="360"/>
      </w:pPr>
      <w:r>
        <w:rPr>
          <w:color w:val="646464"/>
          <w:sz w:val="17"/>
        </w:rPr>
        <w:t xml:space="preserve">[17/09/2026] 🔴  </w:t>
      </w:r>
      <w:r>
        <w:rPr>
          <w:b/>
          <w:color w:val="C00000"/>
          <w:sz w:val="18"/>
        </w:rPr>
        <w:t>Face à la flambée des prix du carburant, les Français renoncent de plus en plus à la voiture - Les Echos</w:t>
      </w:r>
      <w:r>
        <w:rPr>
          <w:color w:val="787878"/>
          <w:sz w:val="15"/>
        </w:rPr>
        <w:t xml:space="preserve">  [matieres_premieres]</w:t>
      </w:r>
      <w:r>
        <w:rPr>
          <w:color w:val="B47800"/>
          <w:sz w:val="16"/>
        </w:rPr>
        <w:t xml:space="preserve">  ★ 50/10</w:t>
      </w:r>
    </w:p>
    <w:p>
      <w:pPr>
        <w:spacing w:before="0" w:after="20"/>
        <w:ind w:left="600"/>
      </w:pPr>
      <w:r>
        <w:rPr>
          <w:color w:val="323232"/>
          <w:sz w:val="17"/>
        </w:rPr>
        <w:t>Les prix du carburant en France connaissent une flambée qui pousse de plus en plus de Français à renoncer à l'usage de la voiture. Cette tendance reflète une pression sur le pouvoir d'achat des ménages et pourrait modifier durablement les habitudes de mobilité. Elle s'inscrit dans un contexte de volatilité des prix des matières premières énergétiqu</w:t>
      </w:r>
    </w:p>
    <w:p>
      <w:pPr>
        <w:spacing w:before="0" w:after="40"/>
        <w:ind w:left="600"/>
      </w:pPr>
      <w:r>
        <w:rPr>
          <w:color w:val="00643C"/>
          <w:sz w:val="16"/>
        </w:rPr>
        <w:t>Points clés : Flambée des prix du carburant en France  •  Renoncement croissant à la voiture par les Français  •  Pression sur le pouvoir d'achat des ménages  •  Possible changement durable des habitudes de mobilité</w:t>
      </w:r>
    </w:p>
    <w:p>
      <w:pPr>
        <w:spacing w:before="0" w:after="60"/>
        <w:ind w:left="600"/>
      </w:pPr>
      <w:r>
        <w:rPr>
          <w:color w:val="0064B4"/>
          <w:sz w:val="15"/>
        </w:rPr>
        <w:t>Source : https://news.google.com/rss/articles/CBMi4wFBVV95cUxQTzJYQzVJOV9HQTg2UDJLM3N1UF9</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11,805</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2,320</w:t>
            </w:r>
          </w:p>
        </w:tc>
        <w:tc>
          <w:tcPr>
            <w:tcW w:type="dxa" w:w="1080"/>
            <w:shd w:fill="C6EFCE" w:val="clear"/>
          </w:tcPr>
          <w:p>
            <w:r>
              <w:rPr>
                <w:b/>
                <w:sz w:val="16"/>
              </w:rPr>
              <w:t>82/100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9,850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1,630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2,175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7,800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2,275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8,050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42,190</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2,910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7,855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2,090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16,000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3,205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3,085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2,760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3,950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12,485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3,160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5,350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6,450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24,500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4,980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29</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9,185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10,110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16,995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6,705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22,200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33,840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31,675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52,380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2,320</w:t>
            </w:r>
          </w:p>
        </w:tc>
        <w:tc>
          <w:tcPr>
            <w:tcW w:type="dxa" w:w="1728"/>
            <w:shd w:fill="DEEAF1" w:val="clear"/>
          </w:tcPr>
          <w:p>
            <w:r>
              <w:rPr>
                <w:sz w:val="17"/>
              </w:rPr>
              <w:t>82/100</w:t>
            </w:r>
          </w:p>
        </w:tc>
        <w:tc>
          <w:tcPr>
            <w:tcW w:type="dxa" w:w="1728"/>
            <w:shd w:fill="DEEAF1" w:val="clear"/>
          </w:tcPr>
          <w:p>
            <w:r>
              <w:rPr>
                <w:sz w:val="17"/>
              </w:rPr>
              <w:t>10.6%</w:t>
            </w:r>
          </w:p>
        </w:tc>
      </w:tr>
      <w:tr>
        <w:tc>
          <w:tcPr>
            <w:tcW w:type="dxa" w:w="1728"/>
            <w:shd w:fill="DEEAF1" w:val="clear"/>
          </w:tcPr>
          <w:p>
            <w:r>
              <w:rPr>
                <w:sz w:val="17"/>
              </w:rPr>
              <w:t>CFAC</w:t>
            </w:r>
          </w:p>
        </w:tc>
        <w:tc>
          <w:tcPr>
            <w:tcW w:type="dxa" w:w="1728"/>
            <w:shd w:fill="DEEAF1" w:val="clear"/>
          </w:tcPr>
          <w:p>
            <w:r>
              <w:rPr>
                <w:sz w:val="17"/>
              </w:rPr>
              <w:t>CFAC - CFAO MOTORS CI</w:t>
            </w:r>
          </w:p>
        </w:tc>
        <w:tc>
          <w:tcPr>
            <w:tcW w:type="dxa" w:w="1728"/>
            <w:shd w:fill="DEEAF1" w:val="clear"/>
          </w:tcPr>
          <w:p>
            <w:r>
              <w:rPr>
                <w:sz w:val="17"/>
              </w:rPr>
              <w:t>1,630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2,175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7,800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8,050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SOGC</w:t>
            </w:r>
          </w:p>
        </w:tc>
        <w:tc>
          <w:tcPr>
            <w:tcW w:type="dxa" w:w="1728"/>
            <w:shd w:fill="DEEAF1" w:val="clear"/>
          </w:tcPr>
          <w:p>
            <w:r>
              <w:rPr>
                <w:sz w:val="17"/>
              </w:rPr>
              <w:t>SOGC - Société des caoutchou</w:t>
            </w:r>
          </w:p>
        </w:tc>
        <w:tc>
          <w:tcPr>
            <w:tcW w:type="dxa" w:w="1728"/>
            <w:shd w:fill="DEEAF1" w:val="clear"/>
          </w:tcPr>
          <w:p>
            <w:r>
              <w:rPr>
                <w:sz w:val="17"/>
              </w:rPr>
              <w:t>7,855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2,090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16,000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11,805</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2,320</w:t>
            </w:r>
          </w:p>
        </w:tc>
        <w:tc>
          <w:tcPr>
            <w:tcW w:type="dxa" w:w="1728"/>
            <w:shd w:fill="E2EFDA" w:val="clear"/>
          </w:tcPr>
          <w:p>
            <w:r>
              <w:rPr>
                <w:sz w:val="17"/>
              </w:rPr>
              <w:t>82/100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9,850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CFAC</w:t>
            </w:r>
          </w:p>
        </w:tc>
        <w:tc>
          <w:tcPr>
            <w:tcW w:type="dxa" w:w="1728"/>
            <w:shd w:fill="E2EFDA" w:val="clear"/>
          </w:tcPr>
          <w:p>
            <w:r>
              <w:rPr>
                <w:sz w:val="17"/>
              </w:rPr>
              <w:t>CFAC - CFAO MOTORS CI</w:t>
            </w:r>
          </w:p>
        </w:tc>
        <w:tc>
          <w:tcPr>
            <w:tcW w:type="dxa" w:w="1728"/>
            <w:shd w:fill="E2EFDA" w:val="clear"/>
          </w:tcPr>
          <w:p>
            <w:r>
              <w:rPr>
                <w:sz w:val="17"/>
              </w:rPr>
              <w:t>1,630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2,490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2,175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SPHC</w:t>
            </w:r>
          </w:p>
        </w:tc>
        <w:tc>
          <w:tcPr>
            <w:tcW w:type="dxa" w:w="1728"/>
            <w:shd w:fill="E2EFDA" w:val="clear"/>
          </w:tcPr>
          <w:p>
            <w:r>
              <w:rPr>
                <w:sz w:val="17"/>
              </w:rPr>
              <w:t xml:space="preserve">SPHC - Société Africaine de </w:t>
            </w:r>
          </w:p>
        </w:tc>
        <w:tc>
          <w:tcPr>
            <w:tcW w:type="dxa" w:w="1728"/>
            <w:shd w:fill="E2EFDA" w:val="clear"/>
          </w:tcPr>
          <w:p>
            <w:r>
              <w:rPr>
                <w:sz w:val="17"/>
              </w:rPr>
              <w:t>7,800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7,800</w:t>
            </w:r>
          </w:p>
        </w:tc>
        <w:tc>
          <w:tcPr>
            <w:tcW w:type="dxa" w:w="1728"/>
            <w:shd w:fill="E2EFDA" w:val="clear"/>
          </w:tcPr>
          <w:p>
            <w:r>
              <w:rPr>
                <w:sz w:val="17"/>
              </w:rPr>
              <w:t>77/100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11,805</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2,320</w:t>
            </w:r>
          </w:p>
        </w:tc>
        <w:tc>
          <w:tcPr>
            <w:tcW w:type="dxa" w:w="1728"/>
            <w:shd w:fill="FCE4D6" w:val="clear"/>
          </w:tcPr>
          <w:p>
            <w:r>
              <w:rPr>
                <w:sz w:val="17"/>
              </w:rPr>
              <w:t>82/100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9,850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CFAC</w:t>
            </w:r>
          </w:p>
        </w:tc>
        <w:tc>
          <w:tcPr>
            <w:tcW w:type="dxa" w:w="1728"/>
            <w:shd w:fill="FCE4D6" w:val="clear"/>
          </w:tcPr>
          <w:p>
            <w:r>
              <w:rPr>
                <w:sz w:val="17"/>
              </w:rPr>
              <w:t>CFAC - CFAO MOTORS CI</w:t>
            </w:r>
          </w:p>
        </w:tc>
        <w:tc>
          <w:tcPr>
            <w:tcW w:type="dxa" w:w="1728"/>
            <w:shd w:fill="FCE4D6" w:val="clear"/>
          </w:tcPr>
          <w:p>
            <w:r>
              <w:rPr>
                <w:sz w:val="17"/>
              </w:rPr>
              <w:t>1,630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2,490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2,175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SPHC</w:t>
            </w:r>
          </w:p>
        </w:tc>
        <w:tc>
          <w:tcPr>
            <w:tcW w:type="dxa" w:w="1728"/>
            <w:shd w:fill="FCE4D6" w:val="clear"/>
          </w:tcPr>
          <w:p>
            <w:r>
              <w:rPr>
                <w:sz w:val="17"/>
              </w:rPr>
              <w:t xml:space="preserve">SPHC - Société Africaine de </w:t>
            </w:r>
          </w:p>
        </w:tc>
        <w:tc>
          <w:tcPr>
            <w:tcW w:type="dxa" w:w="1728"/>
            <w:shd w:fill="FCE4D6" w:val="clear"/>
          </w:tcPr>
          <w:p>
            <w:r>
              <w:rPr>
                <w:sz w:val="17"/>
              </w:rPr>
              <w:t>7,800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7,800</w:t>
            </w:r>
          </w:p>
        </w:tc>
        <w:tc>
          <w:tcPr>
            <w:tcW w:type="dxa" w:w="1728"/>
            <w:shd w:fill="FCE4D6" w:val="clear"/>
          </w:tcPr>
          <w:p>
            <w:r>
              <w:rPr>
                <w:sz w:val="17"/>
              </w:rPr>
              <w:t>77/100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CBIBF — CBIBF - CORIS BANK INTERNATIONAL BURKINA FASO</w:t>
      </w:r>
    </w:p>
    <w:p>
      <w:pPr>
        <w:pStyle w:val="ListBullet"/>
        <w:spacing w:before="20"/>
        <w:ind w:left="400"/>
      </w:pPr>
      <w:r>
        <w:rPr>
          <w:sz w:val="18"/>
        </w:rPr>
        <w:t>🔴 RSI surachat (77.0 &gt; 70) — risque de correction</w:t>
      </w:r>
    </w:p>
    <w:p>
      <w:pPr>
        <w:pStyle w:val="ListBullet"/>
        <w:spacing w:before="20"/>
        <w:ind w:left="400"/>
      </w:pPr>
      <w:r>
        <w:rPr>
          <w:sz w:val="18"/>
        </w:rPr>
        <w:t>⚠️ Cours à 1.8% du plus haut 100j (34,450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(42,190 FCFA)</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Cours à 0.1% du plus bas 100j (3,400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(21.1 &lt; 30) — opportunité potentielle</w:t>
      </w:r>
    </w:p>
    <w:p>
      <w:pPr>
        <w:pStyle w:val="ListBullet"/>
        <w:spacing w:before="20"/>
        <w:ind w:left="400"/>
      </w:pPr>
      <w:r>
        <w:rPr>
          <w:sz w:val="18"/>
        </w:rPr>
        <w:t>⚠️ Cours à 0.0% du plus bas 100j (2,275 FCFA)</w:t>
      </w:r>
    </w:p>
    <w:p>
      <w:pPr>
        <w:spacing w:before="120"/>
      </w:pPr>
      <w:r>
        <w:rPr>
          <w:b/>
          <w:color w:val="0050A0"/>
          <w:sz w:val="20"/>
        </w:rPr>
        <w:t>BOABF — BANK OF AFRICA BURKINA FASO</w:t>
      </w:r>
    </w:p>
    <w:p>
      <w:pPr>
        <w:pStyle w:val="ListBullet"/>
        <w:spacing w:before="20"/>
        <w:ind w:left="400"/>
      </w:pPr>
      <w:r>
        <w:rPr>
          <w:sz w:val="18"/>
        </w:rPr>
        <w:t>🟢 RSI survente (19.3 &lt; 30) — opportunité potentielle</w:t>
      </w:r>
    </w:p>
    <w:p>
      <w:pPr>
        <w:spacing w:before="120"/>
      </w:pPr>
      <w:r>
        <w:rPr>
          <w:b/>
          <w:color w:val="0050A0"/>
          <w:sz w:val="20"/>
        </w:rPr>
        <w:t>BOAC — BANK OF AFRICA COTE D'IVOIRE</w:t>
      </w:r>
    </w:p>
    <w:p>
      <w:pPr>
        <w:pStyle w:val="ListBullet"/>
        <w:spacing w:before="20"/>
        <w:ind w:left="400"/>
      </w:pPr>
      <w:r>
        <w:rPr>
          <w:sz w:val="18"/>
        </w:rPr>
        <w:t>🟢 RSI survente (23.1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(27.3 &lt; 30) — opportunité potentielle</w:t>
      </w:r>
    </w:p>
    <w:p>
      <w:pPr>
        <w:spacing w:before="120"/>
      </w:pPr>
      <w:r>
        <w:rPr>
          <w:b/>
          <w:color w:val="0050A0"/>
          <w:sz w:val="20"/>
        </w:rPr>
        <w:t>NSBC — NSBC - NSIA BANQUE COTE D'IVOIRE</w:t>
      </w:r>
    </w:p>
    <w:p>
      <w:pPr>
        <w:pStyle w:val="ListBullet"/>
        <w:spacing w:before="20"/>
        <w:ind w:left="400"/>
      </w:pPr>
      <w:r>
        <w:rPr>
          <w:sz w:val="18"/>
        </w:rPr>
        <w:t>⚠️ Cours à 1.5% du plus haut 100j (24,885 FCFA)</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1.3% du plus haut 100j (22,500 FCFA)</w:t>
      </w:r>
    </w:p>
    <w:p>
      <w:pPr>
        <w:spacing w:before="120"/>
      </w:pPr>
      <w:r>
        <w:rPr>
          <w:b/>
          <w:color w:val="0050A0"/>
          <w:sz w:val="20"/>
        </w:rPr>
        <w:t>PALC — PALC - PALM COTE D'IVOIRE</w:t>
      </w:r>
    </w:p>
    <w:p>
      <w:pPr>
        <w:pStyle w:val="ListBullet"/>
        <w:spacing w:before="20"/>
        <w:ind w:left="400"/>
      </w:pPr>
      <w:r>
        <w:rPr>
          <w:sz w:val="18"/>
        </w:rPr>
        <w:t>🟢 RSI survente (24.6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(29.7 &lt; 30) — opportunité potentielle</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(26.9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20.4/100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20.4/100).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SAFC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#5 CIEC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-1.95%  |  Médiane : -2.36%</w:t>
            </w:r>
          </w:p>
        </w:tc>
      </w:tr>
      <w:tr>
        <w:tc>
          <w:tcPr>
            <w:tcW w:type="dxa" w:w="2835"/>
            <w:shd w:fill="DEEAF1" w:val="clear"/>
          </w:tcPr>
          <w:p>
            <w:r>
              <w:rPr>
                <w:b/>
                <w:sz w:val="18"/>
              </w:rPr>
              <w:t>Répartition</w:t>
            </w:r>
          </w:p>
        </w:tc>
        <w:tc>
          <w:tcPr>
            <w:tcW w:type="dxa" w:w="7370"/>
          </w:tcPr>
          <w:p>
            <w:r>
              <w:rPr>
                <w:b/>
                <w:sz w:val="18"/>
              </w:rPr>
              <w:t>📈 13 sociétés en hausse (&gt;+1%)   📉 28 en baisse (&lt;-1%)   ➡️ 6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Légère tendance baissière avec signal mixte : 28 sociétés en baisse vs 13 en hausse. Variation moyenne : -1.95%.</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21,950 FCFA</w:t>
            </w:r>
          </w:p>
        </w:tc>
        <w:tc>
          <w:tcPr>
            <w:tcW w:type="dxa" w:w="1417"/>
            <w:shd w:fill="FFFFFF" w:val="clear"/>
          </w:tcPr>
          <w:p>
            <w:r>
              <w:rPr>
                <w:sz w:val="16"/>
              </w:rPr>
              <w:t>24,444 FCFA</w:t>
            </w:r>
          </w:p>
        </w:tc>
        <w:tc>
          <w:tcPr>
            <w:tcW w:type="dxa" w:w="1134"/>
            <w:shd w:fill="C6EFCE" w:val="clear"/>
          </w:tcPr>
          <w:p>
            <w:r>
              <w:rPr>
                <w:b/>
                <w:color w:val="007800"/>
                <w:sz w:val="16"/>
              </w:rPr>
              <w:t>+11.36%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3,085 FCFA</w:t>
            </w:r>
          </w:p>
        </w:tc>
        <w:tc>
          <w:tcPr>
            <w:tcW w:type="dxa" w:w="1417"/>
            <w:shd w:fill="FFFFFF" w:val="clear"/>
          </w:tcPr>
          <w:p>
            <w:r>
              <w:rPr>
                <w:sz w:val="16"/>
              </w:rPr>
              <w:t>3,421 FCFA</w:t>
            </w:r>
          </w:p>
        </w:tc>
        <w:tc>
          <w:tcPr>
            <w:tcW w:type="dxa" w:w="1134"/>
            <w:shd w:fill="C6EFCE" w:val="clear"/>
          </w:tcPr>
          <w:p>
            <w:r>
              <w:rPr>
                <w:b/>
                <w:color w:val="007800"/>
                <w:sz w:val="16"/>
              </w:rPr>
              <w:t>+10.90%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12,485 FCFA</w:t>
            </w:r>
          </w:p>
        </w:tc>
        <w:tc>
          <w:tcPr>
            <w:tcW w:type="dxa" w:w="1417"/>
            <w:shd w:fill="FFFFFF" w:val="clear"/>
          </w:tcPr>
          <w:p>
            <w:r>
              <w:rPr>
                <w:sz w:val="16"/>
              </w:rPr>
              <w:t>13,835 FCFA</w:t>
            </w:r>
          </w:p>
        </w:tc>
        <w:tc>
          <w:tcPr>
            <w:tcW w:type="dxa" w:w="1134"/>
            <w:shd w:fill="C6EFCE" w:val="clear"/>
          </w:tcPr>
          <w:p>
            <w:r>
              <w:rPr>
                <w:b/>
                <w:color w:val="007800"/>
                <w:sz w:val="16"/>
              </w:rPr>
              <w:t>+10.81%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38,000 FCFA</w:t>
            </w:r>
          </w:p>
        </w:tc>
        <w:tc>
          <w:tcPr>
            <w:tcW w:type="dxa" w:w="1417"/>
            <w:shd w:fill="FFFFFF" w:val="clear"/>
          </w:tcPr>
          <w:p>
            <w:r>
              <w:rPr>
                <w:sz w:val="16"/>
              </w:rPr>
              <w:t>41,452 FCFA</w:t>
            </w:r>
          </w:p>
        </w:tc>
        <w:tc>
          <w:tcPr>
            <w:tcW w:type="dxa" w:w="1134"/>
            <w:shd w:fill="C6EFCE" w:val="clear"/>
          </w:tcPr>
          <w:p>
            <w:r>
              <w:rPr>
                <w:b/>
                <w:color w:val="007800"/>
                <w:sz w:val="16"/>
              </w:rPr>
              <w:t>+9.08%</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6,705 FCFA</w:t>
            </w:r>
          </w:p>
        </w:tc>
        <w:tc>
          <w:tcPr>
            <w:tcW w:type="dxa" w:w="1417"/>
            <w:shd w:fill="FFFFFF" w:val="clear"/>
          </w:tcPr>
          <w:p>
            <w:r>
              <w:rPr>
                <w:sz w:val="16"/>
              </w:rPr>
              <w:t>7,037 FCFA</w:t>
            </w:r>
          </w:p>
        </w:tc>
        <w:tc>
          <w:tcPr>
            <w:tcW w:type="dxa" w:w="1134"/>
            <w:shd w:fill="C6EFCE" w:val="clear"/>
          </w:tcPr>
          <w:p>
            <w:r>
              <w:rPr>
                <w:b/>
                <w:color w:val="007800"/>
                <w:sz w:val="16"/>
              </w:rPr>
              <w:t>+4.96%</w:t>
            </w:r>
          </w:p>
        </w:tc>
        <w:tc>
          <w:tcPr>
            <w:tcW w:type="dxa" w:w="1020"/>
            <w:shd w:fill="FFC7CE" w:val="clear"/>
          </w:tcPr>
          <w:p>
            <w:r>
              <w:rPr>
                <w:sz w:val="16"/>
              </w:rPr>
              <w:t>Faible</w:t>
            </w:r>
          </w:p>
        </w:tc>
      </w:tr>
    </w:tbl>
    <w:p/>
    <w:p>
      <w:pPr>
        <w:pStyle w:val="ListBullet"/>
      </w:pPr>
      <w:r>
        <w:rPr>
          <w:b/>
          <w:color w:val="006400"/>
          <w:sz w:val="18"/>
        </w:rPr>
        <w:t xml:space="preserve">#1 STBC </w:t>
      </w:r>
      <w:r>
        <w:rPr>
          <w:sz w:val="17"/>
        </w:rPr>
        <w:t>(STBC - SITAB COTE D'IVOIRE) — hausse significative (+11.4%) — potentiel de revalorisation notable. Trajectoire : 📈 Hausse continue. Cours actuel : 21,950 FCFA → prédit J+10 : 24,444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(+10.9%) — potentiel de revalorisation notable. Trajectoire : 📈 Hausse continue. Cours actuel : 3,085 FCFA → prédit J+10 : 3,421 FCFA. ⚠️ Confiance limitée — volatilité élevée ou données insuffisantes. Résultat indicatif uniquement.</w:t>
      </w:r>
    </w:p>
    <w:p>
      <w:pPr>
        <w:pStyle w:val="ListBullet"/>
      </w:pPr>
      <w:r>
        <w:rPr>
          <w:b/>
          <w:color w:val="006400"/>
          <w:sz w:val="18"/>
        </w:rPr>
        <w:t xml:space="preserve">#3 SDCC </w:t>
      </w:r>
      <w:r>
        <w:rPr>
          <w:sz w:val="17"/>
        </w:rPr>
        <w:t>(SDCC - Société de Distribution d'Eau de ) — hausse significative (+10.8%) — potentiel de revalorisation notable. Trajectoire : 📈 Hausse continue. Cours actuel : 12,485 FCFA → prédit J+10 : 13,835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hausse modérée (+9.1%) — signal raisonnable et crédible. Trajectoire : 📈 Hausse continue. Cours actuel : 38,000 FCFA → prédit J+10 : 41,452 FCFA. Confiance partielle — les premiers jours sont fiables, les jours lointains moins précis.</w:t>
      </w:r>
    </w:p>
    <w:p>
      <w:pPr>
        <w:pStyle w:val="ListBullet"/>
      </w:pPr>
      <w:r>
        <w:rPr>
          <w:b/>
          <w:color w:val="006400"/>
          <w:sz w:val="18"/>
        </w:rPr>
        <w:t xml:space="preserve">#5 BOAM </w:t>
      </w:r>
      <w:r>
        <w:rPr>
          <w:sz w:val="17"/>
        </w:rPr>
        <w:t>(BANK OF AFRICA MALI) — légère hausse (+5.0%) — progression graduelle attendue. Trajectoire : 📈 Hausse continue. Cours actuel : 6,705 FCFA → prédit J+10 : 7,037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2,760 FCFA</w:t>
            </w:r>
          </w:p>
        </w:tc>
        <w:tc>
          <w:tcPr>
            <w:tcW w:type="dxa" w:w="1417"/>
            <w:shd w:fill="FFFFFF" w:val="clear"/>
          </w:tcPr>
          <w:p>
            <w:r>
              <w:rPr>
                <w:sz w:val="16"/>
              </w:rPr>
              <w:t>2,283 FCFA</w:t>
            </w:r>
          </w:p>
        </w:tc>
        <w:tc>
          <w:tcPr>
            <w:tcW w:type="dxa" w:w="1134"/>
            <w:shd w:fill="FFC7CE" w:val="clear"/>
          </w:tcPr>
          <w:p>
            <w:r>
              <w:rPr>
                <w:b/>
                <w:color w:val="B40000"/>
                <w:sz w:val="16"/>
              </w:rPr>
              <w:t>-17.27%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33,840 FCFA</w:t>
            </w:r>
          </w:p>
        </w:tc>
        <w:tc>
          <w:tcPr>
            <w:tcW w:type="dxa" w:w="1417"/>
            <w:shd w:fill="FFFFFF" w:val="clear"/>
          </w:tcPr>
          <w:p>
            <w:r>
              <w:rPr>
                <w:sz w:val="16"/>
              </w:rPr>
              <w:t>28,559 FCFA</w:t>
            </w:r>
          </w:p>
        </w:tc>
        <w:tc>
          <w:tcPr>
            <w:tcW w:type="dxa" w:w="1134"/>
            <w:shd w:fill="FFC7CE" w:val="clear"/>
          </w:tcPr>
          <w:p>
            <w:r>
              <w:rPr>
                <w:b/>
                <w:color w:val="B40000"/>
                <w:sz w:val="16"/>
              </w:rPr>
              <w:t>-15.61%</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3,539 FCFA</w:t>
            </w:r>
          </w:p>
        </w:tc>
        <w:tc>
          <w:tcPr>
            <w:tcW w:type="dxa" w:w="1134"/>
            <w:shd w:fill="FFC7CE" w:val="clear"/>
          </w:tcPr>
          <w:p>
            <w:r>
              <w:rPr>
                <w:b/>
                <w:color w:val="B40000"/>
                <w:sz w:val="16"/>
              </w:rPr>
              <w:t>-9.95%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6,450 FCFA</w:t>
            </w:r>
          </w:p>
        </w:tc>
        <w:tc>
          <w:tcPr>
            <w:tcW w:type="dxa" w:w="1417"/>
            <w:shd w:fill="FFFFFF" w:val="clear"/>
          </w:tcPr>
          <w:p>
            <w:r>
              <w:rPr>
                <w:sz w:val="16"/>
              </w:rPr>
              <w:t>5,942 FCFA</w:t>
            </w:r>
          </w:p>
        </w:tc>
        <w:tc>
          <w:tcPr>
            <w:tcW w:type="dxa" w:w="1134"/>
            <w:shd w:fill="FFC7CE" w:val="clear"/>
          </w:tcPr>
          <w:p>
            <w:r>
              <w:rPr>
                <w:b/>
                <w:color w:val="B40000"/>
                <w:sz w:val="16"/>
              </w:rPr>
              <w:t>-7.87%</w:t>
            </w:r>
          </w:p>
        </w:tc>
        <w:tc>
          <w:tcPr>
            <w:tcW w:type="dxa" w:w="1020"/>
            <w:shd w:fill="FFC7CE" w:val="clear"/>
          </w:tcPr>
          <w:p>
            <w:r>
              <w:rPr>
                <w:sz w:val="16"/>
              </w:rPr>
              <w:t>Faible</w:t>
            </w:r>
          </w:p>
        </w:tc>
      </w:tr>
    </w:tbl>
    <w:p/>
    <w:p>
      <w:pPr>
        <w:pStyle w:val="ListBullet"/>
      </w:pPr>
      <w:r>
        <w:rPr>
          <w:b/>
          <w:color w:val="B40000"/>
          <w:sz w:val="18"/>
        </w:rPr>
        <w:t xml:space="preserve">#1 SHEC </w:t>
      </w:r>
      <w:r>
        <w:rPr>
          <w:sz w:val="17"/>
        </w:rPr>
        <w:t>(SHEC - VIVO ENERGY COTE D'IVOIRE) — correction importante (-17.3%) — signal de dégradation significative. Trajectoire : 📉 Baisse continue. Cours actuel : 2,760 FCFA → prédit J+10 : 2,283 FCFA. ⚠️ Confiance limitée — volatilité élevée. Ne pas agir sur ce seul signal.</w:t>
      </w:r>
    </w:p>
    <w:p>
      <w:pPr>
        <w:pStyle w:val="ListBullet"/>
      </w:pPr>
      <w:r>
        <w:rPr>
          <w:b/>
          <w:color w:val="B40000"/>
          <w:sz w:val="18"/>
        </w:rPr>
        <w:t xml:space="preserve">#2 CBIBF </w:t>
      </w:r>
      <w:r>
        <w:rPr>
          <w:sz w:val="17"/>
        </w:rPr>
        <w:t>(CBIBF - CORIS BANK INTERNATIONAL BURKINA) — correction importante (-15.6%) — signal de dégradation significative. Trajectoire : 📉 Baisse continue. Cours actuel : 33,840 FCFA → prédit J+10 : 28,559 FCFA. Confiance partielle — surveiller l'évolution réelle des premiers jours.</w:t>
      </w:r>
    </w:p>
    <w:p>
      <w:pPr>
        <w:pStyle w:val="ListBullet"/>
      </w:pPr>
      <w:r>
        <w:rPr>
          <w:b/>
          <w:color w:val="B40000"/>
          <w:sz w:val="18"/>
        </w:rPr>
        <w:t xml:space="preserve">#3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#4 ABJC </w:t>
      </w:r>
      <w:r>
        <w:rPr>
          <w:sz w:val="17"/>
        </w:rPr>
        <w:t>(ABJC - SERVAIR ABIDJAN CI) — baisse modérée (-9.9%) — repli technique attendu. Trajectoire : 📉 Baisse continue. Cours actuel : 3,930 FCFA → prédit J+10 : 3,539 FCFA. ⚠️ Confiance limitée — volatilité élevée. Ne pas agir sur ce seul signal.</w:t>
      </w:r>
    </w:p>
    <w:p>
      <w:pPr>
        <w:pStyle w:val="ListBullet"/>
      </w:pPr>
      <w:r>
        <w:rPr>
          <w:b/>
          <w:color w:val="B40000"/>
          <w:sz w:val="18"/>
        </w:rPr>
        <w:t xml:space="preserve">#5 CIEC </w:t>
      </w:r>
      <w:r>
        <w:rPr>
          <w:sz w:val="17"/>
        </w:rPr>
        <w:t>(CIEC - Compagnie Ivoirienne d'Electricit) — baisse modérée (-7.9%) — repli technique attendu. Trajectoire : 📉 Baisse continue. Cours actuel : 6,450 FCFA → prédit J+10 : 5,942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21,950</w:t>
            </w:r>
          </w:p>
        </w:tc>
        <w:tc>
          <w:tcPr>
            <w:tcW w:type="dxa" w:w="1417"/>
            <w:shd w:fill="FFFFFF" w:val="clear"/>
          </w:tcPr>
          <w:p>
            <w:r>
              <w:rPr>
                <w:sz w:val="16"/>
              </w:rPr>
              <w:t>24,444</w:t>
            </w:r>
          </w:p>
        </w:tc>
        <w:tc>
          <w:tcPr>
            <w:tcW w:type="dxa" w:w="1134"/>
            <w:shd w:fill="C6EFCE" w:val="clear"/>
          </w:tcPr>
          <w:p>
            <w:r>
              <w:rPr>
                <w:b/>
                <w:color w:val="007800"/>
                <w:sz w:val="16"/>
              </w:rPr>
              <w:t>+11.36%</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3,085</w:t>
            </w:r>
          </w:p>
        </w:tc>
        <w:tc>
          <w:tcPr>
            <w:tcW w:type="dxa" w:w="1417"/>
            <w:shd w:fill="FFFFFF" w:val="clear"/>
          </w:tcPr>
          <w:p>
            <w:r>
              <w:rPr>
                <w:sz w:val="16"/>
              </w:rPr>
              <w:t>3,421</w:t>
            </w:r>
          </w:p>
        </w:tc>
        <w:tc>
          <w:tcPr>
            <w:tcW w:type="dxa" w:w="1134"/>
            <w:shd w:fill="C6EFCE" w:val="clear"/>
          </w:tcPr>
          <w:p>
            <w:r>
              <w:rPr>
                <w:b/>
                <w:color w:val="007800"/>
                <w:sz w:val="16"/>
              </w:rPr>
              <w:t>+10.90%</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12,485</w:t>
            </w:r>
          </w:p>
        </w:tc>
        <w:tc>
          <w:tcPr>
            <w:tcW w:type="dxa" w:w="1417"/>
            <w:shd w:fill="FFFFFF" w:val="clear"/>
          </w:tcPr>
          <w:p>
            <w:r>
              <w:rPr>
                <w:sz w:val="16"/>
              </w:rPr>
              <w:t>13,835</w:t>
            </w:r>
          </w:p>
        </w:tc>
        <w:tc>
          <w:tcPr>
            <w:tcW w:type="dxa" w:w="1134"/>
            <w:shd w:fill="C6EFCE" w:val="clear"/>
          </w:tcPr>
          <w:p>
            <w:r>
              <w:rPr>
                <w:b/>
                <w:color w:val="007800"/>
                <w:sz w:val="16"/>
              </w:rPr>
              <w:t>+10.81%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41,452</w:t>
            </w:r>
          </w:p>
        </w:tc>
        <w:tc>
          <w:tcPr>
            <w:tcW w:type="dxa" w:w="1134"/>
            <w:shd w:fill="C6EFCE" w:val="clear"/>
          </w:tcPr>
          <w:p>
            <w:r>
              <w:rPr>
                <w:b/>
                <w:color w:val="007800"/>
                <w:sz w:val="16"/>
              </w:rPr>
              <w:t>+9.08%</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6,705</w:t>
            </w:r>
          </w:p>
        </w:tc>
        <w:tc>
          <w:tcPr>
            <w:tcW w:type="dxa" w:w="1417"/>
            <w:shd w:fill="FFFFFF" w:val="clear"/>
          </w:tcPr>
          <w:p>
            <w:r>
              <w:rPr>
                <w:sz w:val="16"/>
              </w:rPr>
              <w:t>7,037</w:t>
            </w:r>
          </w:p>
        </w:tc>
        <w:tc>
          <w:tcPr>
            <w:tcW w:type="dxa" w:w="1134"/>
            <w:shd w:fill="C6EFCE" w:val="clear"/>
          </w:tcPr>
          <w:p>
            <w:r>
              <w:rPr>
                <w:b/>
                <w:color w:val="007800"/>
                <w:sz w:val="16"/>
              </w:rPr>
              <w:t>+4.96%</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7,800</w:t>
            </w:r>
          </w:p>
        </w:tc>
        <w:tc>
          <w:tcPr>
            <w:tcW w:type="dxa" w:w="1417"/>
            <w:shd w:fill="FFFFFF" w:val="clear"/>
          </w:tcPr>
          <w:p>
            <w:r>
              <w:rPr>
                <w:sz w:val="16"/>
              </w:rPr>
              <w:t>8,186</w:t>
            </w:r>
          </w:p>
        </w:tc>
        <w:tc>
          <w:tcPr>
            <w:tcW w:type="dxa" w:w="1134"/>
            <w:shd w:fill="C6EFCE" w:val="clear"/>
          </w:tcPr>
          <w:p>
            <w:r>
              <w:rPr>
                <w:b/>
                <w:color w:val="007800"/>
                <w:sz w:val="16"/>
              </w:rPr>
              <w:t>+4.95%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1,630</w:t>
            </w:r>
          </w:p>
        </w:tc>
        <w:tc>
          <w:tcPr>
            <w:tcW w:type="dxa" w:w="1417"/>
            <w:shd w:fill="FFFFFF" w:val="clear"/>
          </w:tcPr>
          <w:p>
            <w:r>
              <w:rPr>
                <w:sz w:val="16"/>
              </w:rPr>
              <w:t>1,687</w:t>
            </w:r>
          </w:p>
        </w:tc>
        <w:tc>
          <w:tcPr>
            <w:tcW w:type="dxa" w:w="1134"/>
            <w:shd w:fill="C6EFCE" w:val="clear"/>
          </w:tcPr>
          <w:p>
            <w:r>
              <w:rPr>
                <w:b/>
                <w:color w:val="007800"/>
                <w:sz w:val="16"/>
              </w:rPr>
              <w:t>+3.51%</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4,980</w:t>
            </w:r>
          </w:p>
        </w:tc>
        <w:tc>
          <w:tcPr>
            <w:tcW w:type="dxa" w:w="1417"/>
            <w:shd w:fill="FFFFFF" w:val="clear"/>
          </w:tcPr>
          <w:p>
            <w:r>
              <w:rPr>
                <w:sz w:val="16"/>
              </w:rPr>
              <w:t>5,121</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16,000</w:t>
            </w:r>
          </w:p>
        </w:tc>
        <w:tc>
          <w:tcPr>
            <w:tcW w:type="dxa" w:w="1417"/>
            <w:shd w:fill="FFFFFF" w:val="clear"/>
          </w:tcPr>
          <w:p>
            <w:r>
              <w:rPr>
                <w:sz w:val="16"/>
              </w:rPr>
              <w:t>16,432</w:t>
            </w:r>
          </w:p>
        </w:tc>
        <w:tc>
          <w:tcPr>
            <w:tcW w:type="dxa" w:w="1134"/>
            <w:shd w:fill="C6EFCE" w:val="clear"/>
          </w:tcPr>
          <w:p>
            <w:r>
              <w:rPr>
                <w:b/>
                <w:color w:val="007800"/>
                <w:sz w:val="16"/>
              </w:rPr>
              <w:t>+2.70%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4,080</w:t>
            </w:r>
          </w:p>
        </w:tc>
        <w:tc>
          <w:tcPr>
            <w:tcW w:type="dxa" w:w="1417"/>
            <w:shd w:fill="FFFFFF" w:val="clear"/>
          </w:tcPr>
          <w:p>
            <w:r>
              <w:rPr>
                <w:sz w:val="16"/>
              </w:rPr>
              <w:t>4,179</w:t>
            </w:r>
          </w:p>
        </w:tc>
        <w:tc>
          <w:tcPr>
            <w:tcW w:type="dxa" w:w="1134"/>
            <w:shd w:fill="C6EFCE" w:val="clear"/>
          </w:tcPr>
          <w:p>
            <w:r>
              <w:rPr>
                <w:b/>
                <w:color w:val="007800"/>
                <w:sz w:val="16"/>
              </w:rPr>
              <w:t>+2.42%</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2,910</w:t>
            </w:r>
          </w:p>
        </w:tc>
        <w:tc>
          <w:tcPr>
            <w:tcW w:type="dxa" w:w="1417"/>
            <w:shd w:fill="FFFFFF" w:val="clear"/>
          </w:tcPr>
          <w:p>
            <w:r>
              <w:rPr>
                <w:sz w:val="16"/>
              </w:rPr>
              <w:t>2,975</w:t>
            </w:r>
          </w:p>
        </w:tc>
        <w:tc>
          <w:tcPr>
            <w:tcW w:type="dxa" w:w="1134"/>
            <w:shd w:fill="C6EFCE" w:val="clear"/>
          </w:tcPr>
          <w:p>
            <w:r>
              <w:rPr>
                <w:b/>
                <w:color w:val="007800"/>
                <w:sz w:val="16"/>
              </w:rPr>
              <w:t>+2.22%</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3,205</w:t>
            </w:r>
          </w:p>
        </w:tc>
        <w:tc>
          <w:tcPr>
            <w:tcW w:type="dxa" w:w="1417"/>
            <w:shd w:fill="FFFFFF" w:val="clear"/>
          </w:tcPr>
          <w:p>
            <w:r>
              <w:rPr>
                <w:sz w:val="16"/>
              </w:rPr>
              <w:t>3,267</w:t>
            </w:r>
          </w:p>
        </w:tc>
        <w:tc>
          <w:tcPr>
            <w:tcW w:type="dxa" w:w="1134"/>
            <w:shd w:fill="C6EFCE" w:val="clear"/>
          </w:tcPr>
          <w:p>
            <w:r>
              <w:rPr>
                <w:b/>
                <w:color w:val="007800"/>
                <w:sz w:val="16"/>
              </w:rPr>
              <w:t>+1.94%</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16,995</w:t>
            </w:r>
          </w:p>
        </w:tc>
        <w:tc>
          <w:tcPr>
            <w:tcW w:type="dxa" w:w="1417"/>
            <w:shd w:fill="FFFFFF" w:val="clear"/>
          </w:tcPr>
          <w:p>
            <w:r>
              <w:rPr>
                <w:sz w:val="16"/>
              </w:rPr>
              <w:t>17,273</w:t>
            </w:r>
          </w:p>
        </w:tc>
        <w:tc>
          <w:tcPr>
            <w:tcW w:type="dxa" w:w="1134"/>
            <w:shd w:fill="C6EFCE" w:val="clear"/>
          </w:tcPr>
          <w:p>
            <w:r>
              <w:rPr>
                <w:b/>
                <w:color w:val="007800"/>
                <w:sz w:val="16"/>
              </w:rPr>
              <w:t>+1.63%</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17,000</w:t>
            </w:r>
          </w:p>
        </w:tc>
        <w:tc>
          <w:tcPr>
            <w:tcW w:type="dxa" w:w="1417"/>
            <w:shd w:fill="FFFFFF" w:val="clear"/>
          </w:tcPr>
          <w:p>
            <w:r>
              <w:rPr>
                <w:sz w:val="16"/>
              </w:rPr>
              <w:t>17,080</w:t>
            </w:r>
          </w:p>
        </w:tc>
        <w:tc>
          <w:tcPr>
            <w:tcW w:type="dxa" w:w="1134"/>
            <w:shd w:fill="FFEB9C" w:val="clear"/>
          </w:tcPr>
          <w:p>
            <w:r>
              <w:rPr>
                <w:b/>
                <w:color w:val="646400"/>
                <w:sz w:val="16"/>
              </w:rPr>
              <w:t>+0.47%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7,855</w:t>
            </w:r>
          </w:p>
        </w:tc>
        <w:tc>
          <w:tcPr>
            <w:tcW w:type="dxa" w:w="1417"/>
            <w:shd w:fill="FFFFFF" w:val="clear"/>
          </w:tcPr>
          <w:p>
            <w:r>
              <w:rPr>
                <w:sz w:val="16"/>
              </w:rPr>
              <w:t>7,862</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22,200</w:t>
            </w:r>
          </w:p>
        </w:tc>
        <w:tc>
          <w:tcPr>
            <w:tcW w:type="dxa" w:w="1417"/>
            <w:shd w:fill="FFFFFF" w:val="clear"/>
          </w:tcPr>
          <w:p>
            <w:r>
              <w:rPr>
                <w:sz w:val="16"/>
              </w:rPr>
              <w:t>22,124</w:t>
            </w:r>
          </w:p>
        </w:tc>
        <w:tc>
          <w:tcPr>
            <w:tcW w:type="dxa" w:w="1134"/>
            <w:shd w:fill="FFEB9C" w:val="clear"/>
          </w:tcPr>
          <w:p>
            <w:r>
              <w:rPr>
                <w:b/>
                <w:color w:val="646400"/>
                <w:sz w:val="16"/>
              </w:rPr>
              <w:t>-0.34%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24,500</w:t>
            </w:r>
          </w:p>
        </w:tc>
        <w:tc>
          <w:tcPr>
            <w:tcW w:type="dxa" w:w="1417"/>
            <w:shd w:fill="FFFFFF" w:val="clear"/>
          </w:tcPr>
          <w:p>
            <w:r>
              <w:rPr>
                <w:sz w:val="16"/>
              </w:rPr>
              <w:t>24,382</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5,350</w:t>
            </w:r>
          </w:p>
        </w:tc>
        <w:tc>
          <w:tcPr>
            <w:tcW w:type="dxa" w:w="1417"/>
            <w:shd w:fill="FFFFFF" w:val="clear"/>
          </w:tcPr>
          <w:p>
            <w:r>
              <w:rPr>
                <w:sz w:val="16"/>
              </w:rPr>
              <w:t>5,319</w:t>
            </w:r>
          </w:p>
        </w:tc>
        <w:tc>
          <w:tcPr>
            <w:tcW w:type="dxa" w:w="1134"/>
            <w:shd w:fill="FFEB9C" w:val="clear"/>
          </w:tcPr>
          <w:p>
            <w:r>
              <w:rPr>
                <w:b/>
                <w:color w:val="646400"/>
                <w:sz w:val="16"/>
              </w:rPr>
              <w:t>-0.58%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7,800</w:t>
            </w:r>
          </w:p>
        </w:tc>
        <w:tc>
          <w:tcPr>
            <w:tcW w:type="dxa" w:w="1417"/>
            <w:shd w:fill="FFFFFF" w:val="clear"/>
          </w:tcPr>
          <w:p>
            <w:r>
              <w:rPr>
                <w:sz w:val="16"/>
              </w:rPr>
              <w:t>7,747</w:t>
            </w:r>
          </w:p>
        </w:tc>
        <w:tc>
          <w:tcPr>
            <w:tcW w:type="dxa" w:w="1134"/>
            <w:shd w:fill="FFEB9C" w:val="clear"/>
          </w:tcPr>
          <w:p>
            <w:r>
              <w:rPr>
                <w:b/>
                <w:color w:val="646400"/>
                <w:sz w:val="16"/>
              </w:rPr>
              <w:t>-0.68%</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8,390</w:t>
            </w:r>
          </w:p>
        </w:tc>
        <w:tc>
          <w:tcPr>
            <w:tcW w:type="dxa" w:w="1417"/>
            <w:shd w:fill="FFFFFF" w:val="clear"/>
          </w:tcPr>
          <w:p>
            <w:r>
              <w:rPr>
                <w:sz w:val="16"/>
              </w:rPr>
              <w:t>8,297</w:t>
            </w:r>
          </w:p>
        </w:tc>
        <w:tc>
          <w:tcPr>
            <w:tcW w:type="dxa" w:w="1134"/>
            <w:shd w:fill="FFC7CE" w:val="clear"/>
          </w:tcPr>
          <w:p>
            <w:r>
              <w:rPr>
                <w:b/>
                <w:color w:val="B40000"/>
                <w:sz w:val="16"/>
              </w:rPr>
              <w:t>-1.10%</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52,380</w:t>
            </w:r>
          </w:p>
        </w:tc>
        <w:tc>
          <w:tcPr>
            <w:tcW w:type="dxa" w:w="1417"/>
            <w:shd w:fill="FFFFFF" w:val="clear"/>
          </w:tcPr>
          <w:p>
            <w:r>
              <w:rPr>
                <w:sz w:val="16"/>
              </w:rPr>
              <w:t>51,668</w:t>
            </w:r>
          </w:p>
        </w:tc>
        <w:tc>
          <w:tcPr>
            <w:tcW w:type="dxa" w:w="1134"/>
            <w:shd w:fill="FFC7CE" w:val="clear"/>
          </w:tcPr>
          <w:p>
            <w:r>
              <w:rPr>
                <w:b/>
                <w:color w:val="B40000"/>
                <w:sz w:val="16"/>
              </w:rPr>
              <w:t>-1.36%</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4,305</w:t>
            </w:r>
          </w:p>
        </w:tc>
        <w:tc>
          <w:tcPr>
            <w:tcW w:type="dxa" w:w="1417"/>
            <w:shd w:fill="FFFFFF" w:val="clear"/>
          </w:tcPr>
          <w:p>
            <w:r>
              <w:rPr>
                <w:sz w:val="16"/>
              </w:rPr>
              <w:t>4,241</w:t>
            </w:r>
          </w:p>
        </w:tc>
        <w:tc>
          <w:tcPr>
            <w:tcW w:type="dxa" w:w="1134"/>
            <w:shd w:fill="FFC7CE" w:val="clear"/>
          </w:tcPr>
          <w:p>
            <w:r>
              <w:rPr>
                <w:b/>
                <w:color w:val="B40000"/>
                <w:sz w:val="16"/>
              </w:rPr>
              <w:t>-1.48%</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3,950</w:t>
            </w:r>
          </w:p>
        </w:tc>
        <w:tc>
          <w:tcPr>
            <w:tcW w:type="dxa" w:w="1417"/>
            <w:shd w:fill="FFFFFF" w:val="clear"/>
          </w:tcPr>
          <w:p>
            <w:r>
              <w:rPr>
                <w:sz w:val="16"/>
              </w:rPr>
              <w:t>3,878</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31,675</w:t>
            </w:r>
          </w:p>
        </w:tc>
        <w:tc>
          <w:tcPr>
            <w:tcW w:type="dxa" w:w="1417"/>
            <w:shd w:fill="FFFFFF" w:val="clear"/>
          </w:tcPr>
          <w:p>
            <w:r>
              <w:rPr>
                <w:sz w:val="16"/>
              </w:rPr>
              <w:t>30,928</w:t>
            </w:r>
          </w:p>
        </w:tc>
        <w:tc>
          <w:tcPr>
            <w:tcW w:type="dxa" w:w="1134"/>
            <w:shd w:fill="FFC7CE" w:val="clear"/>
          </w:tcPr>
          <w:p>
            <w:r>
              <w:rPr>
                <w:b/>
                <w:color w:val="B40000"/>
                <w:sz w:val="16"/>
              </w:rPr>
              <w:t>-2.36%</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9,850</w:t>
            </w:r>
          </w:p>
        </w:tc>
        <w:tc>
          <w:tcPr>
            <w:tcW w:type="dxa" w:w="1417"/>
            <w:shd w:fill="FFFFFF" w:val="clear"/>
          </w:tcPr>
          <w:p>
            <w:r>
              <w:rPr>
                <w:sz w:val="16"/>
              </w:rPr>
              <w:t>9,592</w:t>
            </w:r>
          </w:p>
        </w:tc>
        <w:tc>
          <w:tcPr>
            <w:tcW w:type="dxa" w:w="1134"/>
            <w:shd w:fill="FFC7CE" w:val="clear"/>
          </w:tcPr>
          <w:p>
            <w:r>
              <w:rPr>
                <w:b/>
                <w:color w:val="B40000"/>
                <w:sz w:val="16"/>
              </w:rPr>
              <w:t>-2.62%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2,823</w:t>
            </w:r>
          </w:p>
        </w:tc>
        <w:tc>
          <w:tcPr>
            <w:tcW w:type="dxa" w:w="1134"/>
            <w:shd w:fill="FFC7CE" w:val="clear"/>
          </w:tcPr>
          <w:p>
            <w:r>
              <w:rPr>
                <w:b/>
                <w:color w:val="B40000"/>
                <w:sz w:val="16"/>
              </w:rPr>
              <w:t>-2.66%</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8,050</w:t>
            </w:r>
          </w:p>
        </w:tc>
        <w:tc>
          <w:tcPr>
            <w:tcW w:type="dxa" w:w="1417"/>
            <w:shd w:fill="FFFFFF" w:val="clear"/>
          </w:tcPr>
          <w:p>
            <w:r>
              <w:rPr>
                <w:sz w:val="16"/>
              </w:rPr>
              <w:t>7,807</w:t>
            </w:r>
          </w:p>
        </w:tc>
        <w:tc>
          <w:tcPr>
            <w:tcW w:type="dxa" w:w="1134"/>
            <w:shd w:fill="FFC7CE" w:val="clear"/>
          </w:tcPr>
          <w:p>
            <w:r>
              <w:rPr>
                <w:b/>
                <w:color w:val="B40000"/>
                <w:sz w:val="16"/>
              </w:rPr>
              <w:t>-3.01%</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2,320</w:t>
            </w:r>
          </w:p>
        </w:tc>
        <w:tc>
          <w:tcPr>
            <w:tcW w:type="dxa" w:w="1417"/>
            <w:shd w:fill="FFFFFF" w:val="clear"/>
          </w:tcPr>
          <w:p>
            <w:r>
              <w:rPr>
                <w:sz w:val="16"/>
              </w:rPr>
              <w:t>2,241</w:t>
            </w:r>
          </w:p>
        </w:tc>
        <w:tc>
          <w:tcPr>
            <w:tcW w:type="dxa" w:w="1134"/>
            <w:shd w:fill="FFC7CE" w:val="clear"/>
          </w:tcPr>
          <w:p>
            <w:r>
              <w:rPr>
                <w:b/>
                <w:color w:val="B40000"/>
                <w:sz w:val="16"/>
              </w:rPr>
              <w:t>-3.41%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2,275</w:t>
            </w:r>
          </w:p>
        </w:tc>
        <w:tc>
          <w:tcPr>
            <w:tcW w:type="dxa" w:w="1417"/>
            <w:shd w:fill="FFFFFF" w:val="clear"/>
          </w:tcPr>
          <w:p>
            <w:r>
              <w:rPr>
                <w:sz w:val="16"/>
              </w:rPr>
              <w:t>2,193</w:t>
            </w:r>
          </w:p>
        </w:tc>
        <w:tc>
          <w:tcPr>
            <w:tcW w:type="dxa" w:w="1134"/>
            <w:shd w:fill="FFC7CE" w:val="clear"/>
          </w:tcPr>
          <w:p>
            <w:r>
              <w:rPr>
                <w:b/>
                <w:color w:val="B40000"/>
                <w:sz w:val="16"/>
              </w:rPr>
              <w:t>-3.59%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-3.66%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2,000</w:t>
            </w:r>
          </w:p>
        </w:tc>
        <w:tc>
          <w:tcPr>
            <w:tcW w:type="dxa" w:w="1417"/>
            <w:shd w:fill="FFFFFF" w:val="clear"/>
          </w:tcPr>
          <w:p>
            <w:r>
              <w:rPr>
                <w:sz w:val="16"/>
              </w:rPr>
              <w:t>1,926</w:t>
            </w:r>
          </w:p>
        </w:tc>
        <w:tc>
          <w:tcPr>
            <w:tcW w:type="dxa" w:w="1134"/>
            <w:shd w:fill="FFC7CE" w:val="clear"/>
          </w:tcPr>
          <w:p>
            <w:r>
              <w:rPr>
                <w:b/>
                <w:color w:val="B40000"/>
                <w:sz w:val="16"/>
              </w:rPr>
              <w:t>-3.72%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2,175</w:t>
            </w:r>
          </w:p>
        </w:tc>
        <w:tc>
          <w:tcPr>
            <w:tcW w:type="dxa" w:w="1417"/>
            <w:shd w:fill="FFFFFF" w:val="clear"/>
          </w:tcPr>
          <w:p>
            <w:r>
              <w:rPr>
                <w:sz w:val="16"/>
              </w:rPr>
              <w:t>2,085</w:t>
            </w:r>
          </w:p>
        </w:tc>
        <w:tc>
          <w:tcPr>
            <w:tcW w:type="dxa" w:w="1134"/>
            <w:shd w:fill="FFC7CE" w:val="clear"/>
          </w:tcPr>
          <w:p>
            <w:r>
              <w:rPr>
                <w:b/>
                <w:color w:val="B40000"/>
                <w:sz w:val="16"/>
              </w:rPr>
              <w:t>-4.13%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37,181</w:t>
            </w:r>
          </w:p>
        </w:tc>
        <w:tc>
          <w:tcPr>
            <w:tcW w:type="dxa" w:w="1134"/>
            <w:shd w:fill="FFC7CE" w:val="clear"/>
          </w:tcPr>
          <w:p>
            <w:r>
              <w:rPr>
                <w:b/>
                <w:color w:val="B40000"/>
                <w:sz w:val="16"/>
              </w:rPr>
              <w:t>-4.42%</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2,490</w:t>
            </w:r>
          </w:p>
        </w:tc>
        <w:tc>
          <w:tcPr>
            <w:tcW w:type="dxa" w:w="1417"/>
            <w:shd w:fill="FFFFFF" w:val="clear"/>
          </w:tcPr>
          <w:p>
            <w:r>
              <w:rPr>
                <w:sz w:val="16"/>
              </w:rPr>
              <w:t>2,377</w:t>
            </w:r>
          </w:p>
        </w:tc>
        <w:tc>
          <w:tcPr>
            <w:tcW w:type="dxa" w:w="1134"/>
            <w:shd w:fill="FFC7CE" w:val="clear"/>
          </w:tcPr>
          <w:p>
            <w:r>
              <w:rPr>
                <w:b/>
                <w:color w:val="B40000"/>
                <w:sz w:val="16"/>
              </w:rPr>
              <w:t>-4.54%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11,805</w:t>
            </w:r>
          </w:p>
        </w:tc>
        <w:tc>
          <w:tcPr>
            <w:tcW w:type="dxa" w:w="1417"/>
            <w:shd w:fill="FFFFFF" w:val="clear"/>
          </w:tcPr>
          <w:p>
            <w:r>
              <w:rPr>
                <w:sz w:val="16"/>
              </w:rPr>
              <w:t>11,172</w:t>
            </w:r>
          </w:p>
        </w:tc>
        <w:tc>
          <w:tcPr>
            <w:tcW w:type="dxa" w:w="1134"/>
            <w:shd w:fill="FFC7CE" w:val="clear"/>
          </w:tcPr>
          <w:p>
            <w:r>
              <w:rPr>
                <w:b/>
                <w:color w:val="B40000"/>
                <w:sz w:val="16"/>
              </w:rPr>
              <w:t>-5.36%</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3,405</w:t>
            </w:r>
          </w:p>
        </w:tc>
        <w:tc>
          <w:tcPr>
            <w:tcW w:type="dxa" w:w="1417"/>
            <w:shd w:fill="FFFFFF" w:val="clear"/>
          </w:tcPr>
          <w:p>
            <w:r>
              <w:rPr>
                <w:sz w:val="16"/>
              </w:rPr>
              <w:t>3,200</w:t>
            </w:r>
          </w:p>
        </w:tc>
        <w:tc>
          <w:tcPr>
            <w:tcW w:type="dxa" w:w="1134"/>
            <w:shd w:fill="FFC7CE" w:val="clear"/>
          </w:tcPr>
          <w:p>
            <w:r>
              <w:rPr>
                <w:b/>
                <w:color w:val="B40000"/>
                <w:sz w:val="16"/>
              </w:rPr>
              <w:t>-6.02%</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9,185</w:t>
            </w:r>
          </w:p>
        </w:tc>
        <w:tc>
          <w:tcPr>
            <w:tcW w:type="dxa" w:w="1417"/>
            <w:shd w:fill="FFFFFF" w:val="clear"/>
          </w:tcPr>
          <w:p>
            <w:r>
              <w:rPr>
                <w:sz w:val="16"/>
              </w:rPr>
              <w:t>8,561</w:t>
            </w:r>
          </w:p>
        </w:tc>
        <w:tc>
          <w:tcPr>
            <w:tcW w:type="dxa" w:w="1134"/>
            <w:shd w:fill="FFC7CE" w:val="clear"/>
          </w:tcPr>
          <w:p>
            <w:r>
              <w:rPr>
                <w:b/>
                <w:color w:val="B40000"/>
                <w:sz w:val="16"/>
              </w:rPr>
              <w:t>-6.79%</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42,190</w:t>
            </w:r>
          </w:p>
        </w:tc>
        <w:tc>
          <w:tcPr>
            <w:tcW w:type="dxa" w:w="1417"/>
            <w:shd w:fill="FFFFFF" w:val="clear"/>
          </w:tcPr>
          <w:p>
            <w:r>
              <w:rPr>
                <w:sz w:val="16"/>
              </w:rPr>
              <w:t>39,322</w:t>
            </w:r>
          </w:p>
        </w:tc>
        <w:tc>
          <w:tcPr>
            <w:tcW w:type="dxa" w:w="1134"/>
            <w:shd w:fill="FFC7CE" w:val="clear"/>
          </w:tcPr>
          <w:p>
            <w:r>
              <w:rPr>
                <w:b/>
                <w:color w:val="B40000"/>
                <w:sz w:val="16"/>
              </w:rPr>
              <w:t>-6.80%</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2,090</w:t>
            </w:r>
          </w:p>
        </w:tc>
        <w:tc>
          <w:tcPr>
            <w:tcW w:type="dxa" w:w="1417"/>
            <w:shd w:fill="FFFFFF" w:val="clear"/>
          </w:tcPr>
          <w:p>
            <w:r>
              <w:rPr>
                <w:sz w:val="16"/>
              </w:rPr>
              <w:t>1,943</w:t>
            </w:r>
          </w:p>
        </w:tc>
        <w:tc>
          <w:tcPr>
            <w:tcW w:type="dxa" w:w="1134"/>
            <w:shd w:fill="FFC7CE" w:val="clear"/>
          </w:tcPr>
          <w:p>
            <w:r>
              <w:rPr>
                <w:b/>
                <w:color w:val="B40000"/>
                <w:sz w:val="16"/>
              </w:rPr>
              <w:t>-7.05%</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10,110</w:t>
            </w:r>
          </w:p>
        </w:tc>
        <w:tc>
          <w:tcPr>
            <w:tcW w:type="dxa" w:w="1417"/>
            <w:shd w:fill="FFFFFF" w:val="clear"/>
          </w:tcPr>
          <w:p>
            <w:r>
              <w:rPr>
                <w:sz w:val="16"/>
              </w:rPr>
              <w:t>9,353</w:t>
            </w:r>
          </w:p>
        </w:tc>
        <w:tc>
          <w:tcPr>
            <w:tcW w:type="dxa" w:w="1134"/>
            <w:shd w:fill="FFC7CE" w:val="clear"/>
          </w:tcPr>
          <w:p>
            <w:r>
              <w:rPr>
                <w:b/>
                <w:color w:val="B40000"/>
                <w:sz w:val="16"/>
              </w:rPr>
              <w:t>-7.49%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3,160</w:t>
            </w:r>
          </w:p>
        </w:tc>
        <w:tc>
          <w:tcPr>
            <w:tcW w:type="dxa" w:w="1417"/>
            <w:shd w:fill="FFFFFF" w:val="clear"/>
          </w:tcPr>
          <w:p>
            <w:r>
              <w:rPr>
                <w:sz w:val="16"/>
              </w:rPr>
              <w:t>2,911</w:t>
            </w:r>
          </w:p>
        </w:tc>
        <w:tc>
          <w:tcPr>
            <w:tcW w:type="dxa" w:w="1134"/>
            <w:shd w:fill="FFC7CE" w:val="clear"/>
          </w:tcPr>
          <w:p>
            <w:r>
              <w:rPr>
                <w:b/>
                <w:color w:val="B40000"/>
                <w:sz w:val="16"/>
              </w:rPr>
              <w:t>-7.86%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6,450</w:t>
            </w:r>
          </w:p>
        </w:tc>
        <w:tc>
          <w:tcPr>
            <w:tcW w:type="dxa" w:w="1417"/>
            <w:shd w:fill="FFFFFF" w:val="clear"/>
          </w:tcPr>
          <w:p>
            <w:r>
              <w:rPr>
                <w:sz w:val="16"/>
              </w:rPr>
              <w:t>5,942</w:t>
            </w:r>
          </w:p>
        </w:tc>
        <w:tc>
          <w:tcPr>
            <w:tcW w:type="dxa" w:w="1134"/>
            <w:shd w:fill="FFC7CE" w:val="clear"/>
          </w:tcPr>
          <w:p>
            <w:r>
              <w:rPr>
                <w:b/>
                <w:color w:val="B40000"/>
                <w:sz w:val="16"/>
              </w:rPr>
              <w:t>-7.87%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3,539</w:t>
            </w:r>
          </w:p>
        </w:tc>
        <w:tc>
          <w:tcPr>
            <w:tcW w:type="dxa" w:w="1134"/>
            <w:shd w:fill="FFC7CE" w:val="clear"/>
          </w:tcPr>
          <w:p>
            <w:r>
              <w:rPr>
                <w:b/>
                <w:color w:val="B40000"/>
                <w:sz w:val="16"/>
              </w:rPr>
              <w:t>-9.95%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33,840</w:t>
            </w:r>
          </w:p>
        </w:tc>
        <w:tc>
          <w:tcPr>
            <w:tcW w:type="dxa" w:w="1417"/>
            <w:shd w:fill="FFFFFF" w:val="clear"/>
          </w:tcPr>
          <w:p>
            <w:r>
              <w:rPr>
                <w:sz w:val="16"/>
              </w:rPr>
              <w:t>28,559</w:t>
            </w:r>
          </w:p>
        </w:tc>
        <w:tc>
          <w:tcPr>
            <w:tcW w:type="dxa" w:w="1134"/>
            <w:shd w:fill="FFC7CE" w:val="clear"/>
          </w:tcPr>
          <w:p>
            <w:r>
              <w:rPr>
                <w:b/>
                <w:color w:val="B40000"/>
                <w:sz w:val="16"/>
              </w:rPr>
              <w:t>-15.61%</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2,760</w:t>
            </w:r>
          </w:p>
        </w:tc>
        <w:tc>
          <w:tcPr>
            <w:tcW w:type="dxa" w:w="1417"/>
            <w:shd w:fill="FFFFFF" w:val="clear"/>
          </w:tcPr>
          <w:p>
            <w:r>
              <w:rPr>
                <w:sz w:val="16"/>
              </w:rPr>
              <w:t>2,283</w:t>
            </w:r>
          </w:p>
        </w:tc>
        <w:tc>
          <w:tcPr>
            <w:tcW w:type="dxa" w:w="1134"/>
            <w:shd w:fill="FFC7CE" w:val="clear"/>
          </w:tcPr>
          <w:p>
            <w:r>
              <w:rPr>
                <w:b/>
                <w:color w:val="B40000"/>
                <w:sz w:val="16"/>
              </w:rPr>
              <w:t>-17.27%</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3,616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+7.52%</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μ=3,291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β=0.5221 (Défensif) — Cov=0.000019, Var(idx)=0.000036, ρ=0.105,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3,731</w:t>
            </w:r>
          </w:p>
        </w:tc>
        <w:tc>
          <w:tcPr>
            <w:tcW w:type="dxa" w:w="1440"/>
            <w:shd w:fill="FAFAFA" w:val="clear"/>
          </w:tcPr>
          <w:p>
            <w:r>
              <w:rPr>
                <w:b/>
                <w:sz w:val="17"/>
              </w:rPr>
              <w:t>3,885</w:t>
            </w:r>
          </w:p>
        </w:tc>
        <w:tc>
          <w:tcPr>
            <w:tcW w:type="dxa" w:w="1440"/>
            <w:shd w:fill="FAFAFA" w:val="clear"/>
          </w:tcPr>
          <w:p>
            <w:r>
              <w:rPr>
                <w:sz w:val="17"/>
              </w:rPr>
              <w:t>4,038</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3,611</w:t>
            </w:r>
          </w:p>
        </w:tc>
        <w:tc>
          <w:tcPr>
            <w:tcW w:type="dxa" w:w="1440"/>
            <w:shd w:fill="FFDCE0" w:val="clear"/>
          </w:tcPr>
          <w:p>
            <w:r>
              <w:rPr>
                <w:b/>
                <w:sz w:val="17"/>
              </w:rPr>
              <w:t>3,825</w:t>
            </w:r>
          </w:p>
        </w:tc>
        <w:tc>
          <w:tcPr>
            <w:tcW w:type="dxa" w:w="1440"/>
            <w:shd w:fill="FFDCE0" w:val="clear"/>
          </w:tcPr>
          <w:p>
            <w:r>
              <w:rPr>
                <w:sz w:val="17"/>
              </w:rPr>
              <w:t>4,039</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3,520</w:t>
            </w:r>
          </w:p>
        </w:tc>
        <w:tc>
          <w:tcPr>
            <w:tcW w:type="dxa" w:w="1440"/>
            <w:shd w:fill="FFDCE0" w:val="clear"/>
          </w:tcPr>
          <w:p>
            <w:r>
              <w:rPr>
                <w:b/>
                <w:sz w:val="17"/>
              </w:rPr>
              <w:t>3,779</w:t>
            </w:r>
          </w:p>
        </w:tc>
        <w:tc>
          <w:tcPr>
            <w:tcW w:type="dxa" w:w="1440"/>
            <w:shd w:fill="FFDCE0" w:val="clear"/>
          </w:tcPr>
          <w:p>
            <w:r>
              <w:rPr>
                <w:sz w:val="17"/>
              </w:rPr>
              <w:t>4,038</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3,442</w:t>
            </w:r>
          </w:p>
        </w:tc>
        <w:tc>
          <w:tcPr>
            <w:tcW w:type="dxa" w:w="1440"/>
            <w:shd w:fill="FFDCE0" w:val="clear"/>
          </w:tcPr>
          <w:p>
            <w:r>
              <w:rPr>
                <w:b/>
                <w:sz w:val="17"/>
              </w:rPr>
              <w:t>3,738</w:t>
            </w:r>
          </w:p>
        </w:tc>
        <w:tc>
          <w:tcPr>
            <w:tcW w:type="dxa" w:w="1440"/>
            <w:shd w:fill="FFDCE0" w:val="clear"/>
          </w:tcPr>
          <w:p>
            <w:r>
              <w:rPr>
                <w:sz w:val="17"/>
              </w:rPr>
              <w:t>4,034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3,372</w:t>
            </w:r>
          </w:p>
        </w:tc>
        <w:tc>
          <w:tcPr>
            <w:tcW w:type="dxa" w:w="1440"/>
            <w:shd w:fill="FFDCE0" w:val="clear"/>
          </w:tcPr>
          <w:p>
            <w:r>
              <w:rPr>
                <w:b/>
                <w:sz w:val="17"/>
              </w:rPr>
              <w:t>3,700</w:t>
            </w:r>
          </w:p>
        </w:tc>
        <w:tc>
          <w:tcPr>
            <w:tcW w:type="dxa" w:w="1440"/>
            <w:shd w:fill="FFDCE0" w:val="clear"/>
          </w:tcPr>
          <w:p>
            <w:r>
              <w:rPr>
                <w:sz w:val="17"/>
              </w:rPr>
              <w:t>4,027</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3,308</w:t>
            </w:r>
          </w:p>
        </w:tc>
        <w:tc>
          <w:tcPr>
            <w:tcW w:type="dxa" w:w="1440"/>
            <w:shd w:fill="FFDCE0" w:val="clear"/>
          </w:tcPr>
          <w:p>
            <w:r>
              <w:rPr>
                <w:b/>
                <w:sz w:val="17"/>
              </w:rPr>
              <w:t>3,664</w:t>
            </w:r>
          </w:p>
        </w:tc>
        <w:tc>
          <w:tcPr>
            <w:tcW w:type="dxa" w:w="1440"/>
            <w:shd w:fill="FFDCE0" w:val="clear"/>
          </w:tcPr>
          <w:p>
            <w:r>
              <w:rPr>
                <w:sz w:val="17"/>
              </w:rPr>
              <w:t>4,019</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3,249</w:t>
            </w:r>
          </w:p>
        </w:tc>
        <w:tc>
          <w:tcPr>
            <w:tcW w:type="dxa" w:w="1440"/>
            <w:shd w:fill="FFDCE0" w:val="clear"/>
          </w:tcPr>
          <w:p>
            <w:r>
              <w:rPr>
                <w:b/>
                <w:sz w:val="17"/>
              </w:rPr>
              <w:t>3,630</w:t>
            </w:r>
          </w:p>
        </w:tc>
        <w:tc>
          <w:tcPr>
            <w:tcW w:type="dxa" w:w="1440"/>
            <w:shd w:fill="FFDCE0" w:val="clear"/>
          </w:tcPr>
          <w:p>
            <w:r>
              <w:rPr>
                <w:sz w:val="17"/>
              </w:rPr>
              <w:t>4,010</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3,195</w:t>
            </w:r>
          </w:p>
        </w:tc>
        <w:tc>
          <w:tcPr>
            <w:tcW w:type="dxa" w:w="1440"/>
            <w:shd w:fill="FFDCE0" w:val="clear"/>
          </w:tcPr>
          <w:p>
            <w:r>
              <w:rPr>
                <w:b/>
                <w:sz w:val="17"/>
              </w:rPr>
              <w:t>3,598</w:t>
            </w:r>
          </w:p>
        </w:tc>
        <w:tc>
          <w:tcPr>
            <w:tcW w:type="dxa" w:w="1440"/>
            <w:shd w:fill="FFDCE0" w:val="clear"/>
          </w:tcPr>
          <w:p>
            <w:r>
              <w:rPr>
                <w:sz w:val="17"/>
              </w:rPr>
              <w:t>4,001</w:t>
            </w:r>
          </w:p>
        </w:tc>
        <w:tc>
          <w:tcPr>
            <w:tcW w:type="dxa" w:w="1440"/>
            <w:shd w:fill="FFDCE0" w:val="clear"/>
          </w:tcPr>
          <w:p>
            <w:r>
              <w:rPr>
                <w:b/>
                <w:color w:val="C00000"/>
                <w:sz w:val="17"/>
              </w:rPr>
              <w:t>-8.5%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3,144</w:t>
            </w:r>
          </w:p>
        </w:tc>
        <w:tc>
          <w:tcPr>
            <w:tcW w:type="dxa" w:w="1440"/>
            <w:shd w:fill="FFDCE0" w:val="clear"/>
          </w:tcPr>
          <w:p>
            <w:r>
              <w:rPr>
                <w:b/>
                <w:sz w:val="17"/>
              </w:rPr>
              <w:t>3,568</w:t>
            </w:r>
          </w:p>
        </w:tc>
        <w:tc>
          <w:tcPr>
            <w:tcW w:type="dxa" w:w="1440"/>
            <w:shd w:fill="FFDCE0" w:val="clear"/>
          </w:tcPr>
          <w:p>
            <w:r>
              <w:rPr>
                <w:sz w:val="17"/>
              </w:rPr>
              <w:t>3,992</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3,096</w:t>
            </w:r>
          </w:p>
        </w:tc>
        <w:tc>
          <w:tcPr>
            <w:tcW w:type="dxa" w:w="1440"/>
            <w:shd w:fill="FFDCE0" w:val="clear"/>
          </w:tcPr>
          <w:p>
            <w:r>
              <w:rPr>
                <w:b/>
                <w:sz w:val="17"/>
              </w:rPr>
              <w:t>3,539</w:t>
            </w:r>
          </w:p>
        </w:tc>
        <w:tc>
          <w:tcPr>
            <w:tcW w:type="dxa" w:w="1440"/>
            <w:shd w:fill="FFDCE0" w:val="clear"/>
          </w:tcPr>
          <w:p>
            <w:r>
              <w:rPr>
                <w:sz w:val="17"/>
              </w:rPr>
              <w:t>3,983</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42,88 milliards FCFA, ABJC se positionne comme une valeur de taille moyenne sur le compartiment BRVM, cohérente avec son statut de spécialiste des services aéroportuaires. Le BPA de 124 FCFA/action indique ce que chaque titre génère en bénéfice net, mais le PER de 31,8x révèle que les investisseurs paient environ trois fois plus cher que la moyenne du marché BRVM (8-12x), ce qui traduit soit une forte anticipation de croissance, soit une surévaluation manifeste. Le P/B de 8,31x, très supérieur au seuil de 4x, confirme que le marché valorise l'entreprise à plus de huit fois sa valeur comptable, une prime exigeante qui n'est justifiable que par une rentabilité des fonds propres exceptionnelle (ROE de 26,18%). Enfin, l'EV/EBITDA de 16,4x, supérieur au seuil de 15x, signale que la valeur d'entreprise (incluant la dette) est chèrement valorisée par rapport à sa capacité opérationnelle, ce qui laisse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progression totale de +7,52%, portée par une dynamique haussière de fond, bien que la dernière séance (J-1) enregistre un repli de -2,96%, signalant une prise de profit ou une correction technique. Le cours actuel de 3 930 FCFA se situe dans la partie haute du range de trading, le plus haut ayant atteint 4 095 FCFA et le plus bas 2 800 FCFA, soit un écart de plus de 46% entre les extrêmes, ce qui témoigne d'une amplitude significative. La moyenne de 3 291 FCFA est supérieure à la médiane de 3 182 FCFA, confirmant une asymétrie positive (skewness de 0,835) : les journées sous la moyenne sont plus fréquentes, mais les pics haussiers tirent la moyenne vers le haut. L'écart-type de 356 FCFA avec un coefficient de variation de 10,8% indique une dispersion modérée du cours autour de sa moyenne, tandis que le kurtosis de -0,370 (mésokurtique) suggère une distribution proche de la normale, sans risque excessif de pics extrêmes. La volatilité annualisée de 47,2% classe le titre dans la catégorie des valeurs à volatilité élevée (&gt;30%), ce qui implique un risque de fluctuation important et nécessite une tolérance au risque adaptée.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(3 871,25 FCFA) et la MM50 (3 413,70 FCFA) sont toutes deux inférieures au cours actuel (3 930 FCFA), avec la MM20 au-dessus de la MM50, configurant un croisement haussier classique. Cette configuration confirme la tendance positive de moyen terme et justifie la décision d'achat, le cours évoluant au-dessus de ses supports mobiles.</w:t>
      </w:r>
    </w:p>
    <w:p>
      <w:pPr>
        <w:spacing w:after="120" w:line="276" w:lineRule="auto"/>
      </w:pPr>
      <w:r>
        <w:t>**Bandes de Bollinger** : Le cours (3 930 FCFA) se situe entre la borne inférieure (3 484,95 FCFA) et la borne supérieure (4 257,55 FCFA), plus proche de la borne haute, ce qui indique une pression acheteuse sans surachat extrême. La largeur des bandes reflète une volatilité élevée, et la décision neutre suggère une absence de signal directionnel fort à court terme.</w:t>
      </w:r>
    </w:p>
    <w:p>
      <w:pPr>
        <w:spacing w:after="120" w:line="276" w:lineRule="auto"/>
      </w:pPr>
      <w:r>
        <w:t>**MACD** : La valeur du MACD (181,375) est inférieure à son signal (196,916), générant une divergence baissière et un momentum négatif. Cette configuration justifie la décision de vente à court terme, bien que l'écart reste modéré, indiquant un essoufflement plutôt qu'un retournement franc.</w:t>
      </w:r>
    </w:p>
    <w:p>
      <w:pPr>
        <w:spacing w:after="120" w:line="276" w:lineRule="auto"/>
      </w:pPr>
      <w:r>
        <w:t>**RSI** : À 58,784, le RSI se situe en zone neutre (entre 30 et 70), sans surachat ni survente. Cette position médiane confirme l'absence de signal extrême et justifie la décision neutre, le titre conservant un potentiel de hausse sans être techniquement épuisé.</w:t>
      </w:r>
    </w:p>
    <w:p>
      <w:pPr>
        <w:spacing w:after="120" w:line="276" w:lineRule="auto"/>
      </w:pPr>
      <w:r>
        <w:t>**Stochastique** : Le %K (45,902) est inférieur au %D (72,522), avec un croisement baissier en zone haute, signalant un essoufflement de la dynamique haussière. La décision neutre reflète cette incertitude, le croisement n'étant pas encore confirmé par une sortie de zone.</w:t>
      </w:r>
    </w:p>
    <w:p>
      <w:pPr>
        <w:spacing w:after="120" w:line="276" w:lineRule="auto"/>
      </w:pPr>
      <w:r>
        <w:t>**Conclusion technique** : Les indicateurs sont mitigés, avec une tendance de fond haussière (MM) contrariée par des signaux de court terme baissiers (MACD, Stochastique) et une absence de direction claire (Bollinger, RSI). Le titre se trouve dans une phase de consolidation après une progression significative, avec un risque de correction à court terme mais un support solide sur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Servair Abidjan affichent un chiffre d'affaires de 13,298 milliards FCFA, en croissance de 6,67% par rapport à 2024, porté par la dynamique du trafic aéroportuaire et la diversification vers les activités non aériennes. Le résultat net s'établit à 1,351 milliard FCFA, en recul de 12,1% selon le Rapport 3 (2025), principalement en raison d'une charge d'impôt en hausse de 46,7% à 848 millions FCFA. La rentabilité reste solide avec un ROE de 26,18% (excellent, &gt;15%) et un ROA de 14,64%, tandis que la marge nette se maintient à 10,16%. La structure financière est saine : autonomie financière de 55,92%, endettement financier quasi nul (dépendance de 1,28%), et trésorerie nette de 4,035 milliards FCFA. Le BFR de 257,45 millions FCFA est positif mais maîtrisé, avec un délai clients de 70,10 jours (risque de trésorerie modéré) et un délai fournisseurs de 92,11 jours (favorable). Les rapports trimestriels révèlent cependant une dégradation récente : le T1 2026 (Rapport 1, 2026) montre une croissance du CA de seulement 1,9% à 3,237 milliards FCFA, mais une chute du résultat net de 35,6% à 222,6 millions FCFA, impactée par les ajustements de redevances aéroportuaires et les tensions géopolitiques au Moyen-Orient. Le T3 2025 (Rapport du 30/09/2025) affichait pourtant un rebond avec un CA de 10,218 milliards FCFA (+10,3%) et un résultat net de 1,325 milliard FCFA (+17,1%), mais le T1 2025 avait déjà été pénalisé par un litige avec la BCEAO bloquant les importations. On estime que l'exercice 2026 devrait être marqué par une pression persistante sur les marges, la croissance du CA ne compensant pas la hausse des charges et la dégradation de la rentabilité opérationnelle. La recommandation fondamentale est de **conserver** le titre : la solidité financière et la position dominante sur le marché aéroportuaire ivoirien sont des atouts, mais la dégradation récente de la rentabilité et les risques réglementaires et géopolitiques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avec un PER de 31,8x, un P/B de 8,31x et un EV/EBITDA de 16,4x, tous supérieurs aux moyennes du marché BRVM, ce qui suggère une surévaluation relative et une marge de sécurité limitée. Le comportement du cours (Partie 1) est haussier sur 100 jours (+7,52%) mais avec une volatilité élevée (47,2%) et une asymétrie positive (skewness de 0,835) indiquant des pics haussiers ponctuels, tandis que la correction de -2,96% en J-1 et le kurtosis mésokurtique (-0,370) ne signalent pas de risque extrême. Les signaux techniques (Partie 2) sont divergents : les moyennes mobiles confirment la tendance haussière, mais le MACD et le stochastique génèrent des signaux baissiers à court terme, et le RSI reste neutre, plaidant pour une consolidation. Les fondamentaux (Partie 3) révèlent une entreprise solide (ROE de 26,18%, trésorerie de 4,035 milliards FCFA) mais confrontée à une dégradation de sa rentabilité (résultat net en baisse de 35,6% au T1 2026), ce qui tempère l'optimisme. Les prédictions IA (J+1 à J+10) anticipent une trajectoire baissière de 3 885 FCFA à 3 700 FCFA, confirmant les signaux techniques baissiers à court terme et contredisant la tendance haussière de fond. Sur la base de cette synthèse, la recommandation finale est **CONSERVER** : la convergence entre la surévaluation, les signaux techniques mitigés, la dégradation des fondamentaux récents et les prédictions baissières incite à la prudence, mais la solidité financière et la position de marché de Servair Abidjan justifient de ne pas vendre. Le niveau de confiance est **Moyen** (les indicateurs sont divergents) et le risque global est **Élevé** (volatilité de 47,2%, valorisation tendue, pressions réglementaires). L'horizon d'investissement optimal est le **moyen terme (3-12 mois)**, le temps que la situation réglementaire se clarifie et que la rentabilité se stabilise.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13,095 titres</w:t>
            </w:r>
          </w:p>
        </w:tc>
        <w:tc>
          <w:tcPr>
            <w:tcW w:type="dxa" w:w="2268"/>
            <w:shd w:fill="FFF2CC" w:val="clear"/>
          </w:tcPr>
          <w:p>
            <w:r>
              <w:rPr>
                <w:b/>
                <w:color w:val="503200"/>
                <w:sz w:val="16"/>
              </w:rPr>
              <w:t xml:space="preserve">Cours actuel : </w:t>
            </w:r>
            <w:r>
              <w:rPr>
                <w:color w:val="000000"/>
                <w:sz w:val="17"/>
              </w:rPr>
              <w:t>10,110 FCFA</w:t>
            </w:r>
          </w:p>
          <w:p>
            <w:r>
              <w:rPr>
                <w:b/>
                <w:color w:val="503200"/>
                <w:sz w:val="16"/>
              </w:rPr>
              <w:t xml:space="preserve">Var. 100 jours : </w:t>
            </w:r>
            <w:r>
              <w:rPr>
                <w:b/>
                <w:color w:val="007800"/>
                <w:sz w:val="17"/>
              </w:rPr>
              <w:t>+94.42%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25.02% (Élevée) — μ=6,930 FCFA, σ=1,734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β=0.5529 (Défensif) — Cov=0.000020, Var(idx)=0.000036, ρ=0.152,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13,095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9,366</w:t>
            </w:r>
          </w:p>
        </w:tc>
        <w:tc>
          <w:tcPr>
            <w:tcW w:type="dxa" w:w="1440"/>
            <w:shd w:fill="FFDCE0" w:val="clear"/>
          </w:tcPr>
          <w:p>
            <w:r>
              <w:rPr>
                <w:b/>
                <w:sz w:val="17"/>
              </w:rPr>
              <w:t>9,759</w:t>
            </w:r>
          </w:p>
        </w:tc>
        <w:tc>
          <w:tcPr>
            <w:tcW w:type="dxa" w:w="1440"/>
            <w:shd w:fill="FFDCE0" w:val="clear"/>
          </w:tcPr>
          <w:p>
            <w:r>
              <w:rPr>
                <w:sz w:val="17"/>
              </w:rPr>
              <w:t>10,152</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9,140</w:t>
            </w:r>
          </w:p>
        </w:tc>
        <w:tc>
          <w:tcPr>
            <w:tcW w:type="dxa" w:w="1440"/>
            <w:shd w:fill="FFDCE0" w:val="clear"/>
          </w:tcPr>
          <w:p>
            <w:r>
              <w:rPr>
                <w:b/>
                <w:sz w:val="17"/>
              </w:rPr>
              <w:t>9,692</w:t>
            </w:r>
          </w:p>
        </w:tc>
        <w:tc>
          <w:tcPr>
            <w:tcW w:type="dxa" w:w="1440"/>
            <w:shd w:fill="FFDCE0" w:val="clear"/>
          </w:tcPr>
          <w:p>
            <w:r>
              <w:rPr>
                <w:sz w:val="17"/>
              </w:rPr>
              <w:t>10,245</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8,953</w:t>
            </w:r>
          </w:p>
        </w:tc>
        <w:tc>
          <w:tcPr>
            <w:tcW w:type="dxa" w:w="1440"/>
            <w:shd w:fill="FFDCE0" w:val="clear"/>
          </w:tcPr>
          <w:p>
            <w:r>
              <w:rPr>
                <w:b/>
                <w:sz w:val="17"/>
              </w:rPr>
              <w:t>9,625</w:t>
            </w:r>
          </w:p>
        </w:tc>
        <w:tc>
          <w:tcPr>
            <w:tcW w:type="dxa" w:w="1440"/>
            <w:shd w:fill="FFDCE0" w:val="clear"/>
          </w:tcPr>
          <w:p>
            <w:r>
              <w:rPr>
                <w:sz w:val="17"/>
              </w:rPr>
              <w:t>10,297</w:t>
            </w:r>
          </w:p>
        </w:tc>
        <w:tc>
          <w:tcPr>
            <w:tcW w:type="dxa" w:w="1440"/>
            <w:shd w:fill="FFDCE0" w:val="clear"/>
          </w:tcPr>
          <w:p>
            <w:r>
              <w:rPr>
                <w:b/>
                <w:color w:val="C00000"/>
                <w:sz w:val="17"/>
              </w:rPr>
              <w:t>-4.8%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8,794</w:t>
            </w:r>
          </w:p>
        </w:tc>
        <w:tc>
          <w:tcPr>
            <w:tcW w:type="dxa" w:w="1440"/>
            <w:shd w:fill="FFDCE0" w:val="clear"/>
          </w:tcPr>
          <w:p>
            <w:r>
              <w:rPr>
                <w:b/>
                <w:sz w:val="17"/>
              </w:rPr>
              <w:t>9,565</w:t>
            </w:r>
          </w:p>
        </w:tc>
        <w:tc>
          <w:tcPr>
            <w:tcW w:type="dxa" w:w="1440"/>
            <w:shd w:fill="FFDCE0" w:val="clear"/>
          </w:tcPr>
          <w:p>
            <w:r>
              <w:rPr>
                <w:sz w:val="17"/>
              </w:rPr>
              <w:t>10,336</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8,656</w:t>
            </w:r>
          </w:p>
        </w:tc>
        <w:tc>
          <w:tcPr>
            <w:tcW w:type="dxa" w:w="1440"/>
            <w:shd w:fill="FFDCE0" w:val="clear"/>
          </w:tcPr>
          <w:p>
            <w:r>
              <w:rPr>
                <w:b/>
                <w:sz w:val="17"/>
              </w:rPr>
              <w:t>9,513</w:t>
            </w:r>
          </w:p>
        </w:tc>
        <w:tc>
          <w:tcPr>
            <w:tcW w:type="dxa" w:w="1440"/>
            <w:shd w:fill="FFDCE0" w:val="clear"/>
          </w:tcPr>
          <w:p>
            <w:r>
              <w:rPr>
                <w:sz w:val="17"/>
              </w:rPr>
              <w:t>10,371</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8,535</w:t>
            </w:r>
          </w:p>
        </w:tc>
        <w:tc>
          <w:tcPr>
            <w:tcW w:type="dxa" w:w="1440"/>
            <w:shd w:fill="FFDCE0" w:val="clear"/>
          </w:tcPr>
          <w:p>
            <w:r>
              <w:rPr>
                <w:b/>
                <w:sz w:val="17"/>
              </w:rPr>
              <w:t>9,470</w:t>
            </w:r>
          </w:p>
        </w:tc>
        <w:tc>
          <w:tcPr>
            <w:tcW w:type="dxa" w:w="1440"/>
            <w:shd w:fill="FFDCE0" w:val="clear"/>
          </w:tcPr>
          <w:p>
            <w:r>
              <w:rPr>
                <w:sz w:val="17"/>
              </w:rPr>
              <w:t>10,404</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8,427</w:t>
            </w:r>
          </w:p>
        </w:tc>
        <w:tc>
          <w:tcPr>
            <w:tcW w:type="dxa" w:w="1440"/>
            <w:shd w:fill="FFDCE0" w:val="clear"/>
          </w:tcPr>
          <w:p>
            <w:r>
              <w:rPr>
                <w:b/>
                <w:sz w:val="17"/>
              </w:rPr>
              <w:t>9,433</w:t>
            </w:r>
          </w:p>
        </w:tc>
        <w:tc>
          <w:tcPr>
            <w:tcW w:type="dxa" w:w="1440"/>
            <w:shd w:fill="FFDCE0" w:val="clear"/>
          </w:tcPr>
          <w:p>
            <w:r>
              <w:rPr>
                <w:sz w:val="17"/>
              </w:rPr>
              <w:t>10,438</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8,330</w:t>
            </w:r>
          </w:p>
        </w:tc>
        <w:tc>
          <w:tcPr>
            <w:tcW w:type="dxa" w:w="1440"/>
            <w:shd w:fill="FFDCE0" w:val="clear"/>
          </w:tcPr>
          <w:p>
            <w:r>
              <w:rPr>
                <w:b/>
                <w:sz w:val="17"/>
              </w:rPr>
              <w:t>9,401</w:t>
            </w:r>
          </w:p>
        </w:tc>
        <w:tc>
          <w:tcPr>
            <w:tcW w:type="dxa" w:w="1440"/>
            <w:shd w:fill="FFDCE0" w:val="clear"/>
          </w:tcPr>
          <w:p>
            <w:r>
              <w:rPr>
                <w:sz w:val="17"/>
              </w:rPr>
              <w:t>10,473</w:t>
            </w:r>
          </w:p>
        </w:tc>
        <w:tc>
          <w:tcPr>
            <w:tcW w:type="dxa" w:w="1440"/>
            <w:shd w:fill="FFDCE0" w:val="clear"/>
          </w:tcPr>
          <w:p>
            <w:r>
              <w:rPr>
                <w:b/>
                <w:color w:val="C00000"/>
                <w:sz w:val="17"/>
              </w:rPr>
              <w:t>-7.0%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8,242</w:t>
            </w:r>
          </w:p>
        </w:tc>
        <w:tc>
          <w:tcPr>
            <w:tcW w:type="dxa" w:w="1440"/>
            <w:shd w:fill="FFDCE0" w:val="clear"/>
          </w:tcPr>
          <w:p>
            <w:r>
              <w:rPr>
                <w:b/>
                <w:sz w:val="17"/>
              </w:rPr>
              <w:t>9,375</w:t>
            </w:r>
          </w:p>
        </w:tc>
        <w:tc>
          <w:tcPr>
            <w:tcW w:type="dxa" w:w="1440"/>
            <w:shd w:fill="FFDCE0" w:val="clear"/>
          </w:tcPr>
          <w:p>
            <w:r>
              <w:rPr>
                <w:sz w:val="17"/>
              </w:rPr>
              <w:t>10,508</w:t>
            </w:r>
          </w:p>
        </w:tc>
        <w:tc>
          <w:tcPr>
            <w:tcW w:type="dxa" w:w="1440"/>
            <w:shd w:fill="FFDCE0" w:val="clear"/>
          </w:tcPr>
          <w:p>
            <w:r>
              <w:rPr>
                <w:b/>
                <w:color w:val="C00000"/>
                <w:sz w:val="17"/>
              </w:rPr>
              <w:t>-7.3%</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8,161</w:t>
            </w:r>
          </w:p>
        </w:tc>
        <w:tc>
          <w:tcPr>
            <w:tcW w:type="dxa" w:w="1440"/>
            <w:shd w:fill="FFDCE0" w:val="clear"/>
          </w:tcPr>
          <w:p>
            <w:r>
              <w:rPr>
                <w:b/>
                <w:sz w:val="17"/>
              </w:rPr>
              <w:t>9,353</w:t>
            </w:r>
          </w:p>
        </w:tc>
        <w:tc>
          <w:tcPr>
            <w:tcW w:type="dxa" w:w="1440"/>
            <w:shd w:fill="FFDCE0" w:val="clear"/>
          </w:tcPr>
          <w:p>
            <w:r>
              <w:rPr>
                <w:sz w:val="17"/>
              </w:rPr>
              <w:t>10,545</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583,95 milliards FCFA, la BICB s'impose comme l'une des plus importantes capitalisations bancaires de la cote BRVM, ce qui témoigne de la solidité de sa franchise et de son statut de leader au Bénin. Le BPA de 627 FCFA/action signifie que chaque titre génère près de 627 FCFA de bénéfice net, un niveau de rentabilité par action particulièrement élevé. Le PER de 16,1x traduit une valorisation modérée mais supérieure à la moyenne du marché BRVM (généralement 8-12x), indiquant que les investisseurs acceptent de payer une prime pour la qualité de la croissance. Le P/B de 4,32x montre que le marché valorise la banque à plus de quatre fois sa valeur comptable, une prime exigeante qui reflète la confiance dans le ROE élevé (26,8%) mais qui limite la marge de sécurité. Enfin, l'EV/EBITDA de 26,5x apparaît très exigeant, suggérant que la valeur d'entreprise intègre déjà une grande partie des perspectives de croissance future.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+94,42%, passant d'un plus bas de 5 105 FCFA à un plus haut de 10 790 FCFA, avant de clôturer à 10 110 FCFA, avec une dernière séance en repli de -3,11%. Cette tendance nettement haussière s'inscrit dans un contexte de forte appétence pour les valeurs bancaires de la BRVM, portée par la croissance du PNB et la solidité des fondamentaux. Les statistiques descriptives révèlent une moyenne de 6 930 FCFA nettement supérieure à la médiane de 6 355 FCFA, confirmant une distribution asymétrique avec des pics haussiers récents qui tirent la moyenne vers le haut ; le mode à 5 200 FCFA rappelle le point de départ de cette envolée. L'écart-type de 1 742 FCFA (CV de 25,1%) traduit une dispersion modérée du cours autour de sa moyenne, tandis que le kurtosis de -0,601 (mésokurtique) indique une distribution proche de la normale, sans risque extrême de pics violents. Le skewness positif de 0,808 signale une asymétrie à droite, avec davantage de journées sous la moyenne mais des hausses ponctuelles très marquées. La volatilité annualisée de 35,1% positionne le titre dans la catégorie des valeurs à volatilité élevée (&gt;30%), ce qui implique un risque de correction significatif après un tel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(9 733 FCFA) et la MM50 (8 335,6 FCFA) sont toutes deux inférieures au cours actuel (10 110 FCFA), confirmant une configuration haussière avec un cours au-dessus de ses moyennes. L'écart entre la MM20 et la MM50 (environ 1 400 FCFA) traduit un momentum positif soutenu, justifiant la décision d'achat.</w:t>
      </w:r>
    </w:p>
    <w:p>
      <w:pPr>
        <w:spacing w:after="120" w:line="276" w:lineRule="auto"/>
      </w:pPr>
      <w:r>
        <w:t>**Bandes de Bollinger** : Le cours (10 110 FCFA) évolue dans la partie haute de la bande (borne supérieure à 11 501 FCFA, borne inférieure à 7 965 FCFA), sans franchir la borne supérieure, ce qui traduit une volatilité contenue et une décision neutre. Le récent repli de -3,11% ramène le titre vers le centre de la bande, signalant une possible consolidation.</w:t>
      </w:r>
    </w:p>
    <w:p>
      <w:pPr>
        <w:spacing w:after="120" w:line="276" w:lineRule="auto"/>
      </w:pPr>
      <w:r>
        <w:t>**MACD** : La valeur du MACD (641,067) est légèrement inférieure à son signal (693,375), générant une décision de vente. Cette divergence baissière indique un essoufflement du momentum haussier à court terme, bien que le MACD reste en territoire positif, ce qui n'invalide pas la tendance de fond.</w:t>
      </w:r>
    </w:p>
    <w:p>
      <w:pPr>
        <w:spacing w:after="120" w:line="276" w:lineRule="auto"/>
      </w:pPr>
      <w:r>
        <w:t>**RSI** : À 67,536, le RSI se situe en zone neutre haute, proche du seuil de surachat (70) sans l'atteindre, justifiant une décision neutre. Ce niveau suggère que le titre conserve un potentiel haussier limité à court terme avant un possible essoufflement.</w:t>
      </w:r>
    </w:p>
    <w:p>
      <w:pPr>
        <w:spacing w:after="120" w:line="276" w:lineRule="auto"/>
      </w:pPr>
      <w:r>
        <w:t>**Stochastique** : Le %K (52,778) est nettement inférieur au %D (73,777), avec un croisement baissier en cours, ce qui confirme la décision neutre et anticipe une pression vendeuse à court terme. Le %D en zone haute indique que le mouvement haussier arrive en fin de cycle.</w:t>
      </w:r>
    </w:p>
    <w:p>
      <w:pPr>
        <w:spacing w:after="120" w:line="276" w:lineRule="auto"/>
      </w:pPr>
      <w:r>
        <w:t>**Conclusion technique** : Les indicateurs présentent une configuration mitigée : les moyennes mobiles restent haussières et le cours évolue au-dessus de ses supports, mais le MACD, le RSI et le stochastique signalent un essoufflement du momentum à court terme. La divergence entre la tendance de fond (haussière) et les signaux de court terme (baissiers) plaide pour une consolidation avant une éventuelle reprise.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BICB a publié des états financiers IFRS audités (rapport des commissaires aux comptes du 12 juin 2026) affichant un Produit Net Bancaire (PNB) de 52,805 milliards FCFA, en croissance de +16,5% sur un an, et un résultat net de 36,237 milliards FCFA, en hausse de +24,7%. Le ROE s'établit à 26,82% et le ROA à 1,96%, des niveaux excellents qui témoignent d'une forte rentabilité des fonds propres et d'une bonne efficacité dans l'utilisation des actifs. Le coefficient d'exploitation de 31,12% (très inférieur au seuil de 60%) confirme une excellente maîtrise des charges, tandis que le coût du risque de 9,61% reste élevé et constitue le principal point de vigilance. La structure financière affiche une autonomie financière de 7,33% (capitaux propres/total bilan), un ratio d'endettement de 22,46% et une solvabilité générale de 107,9%, indiquant une capacité à couvrir ses dettes. Le ratio crédits nets/dépôts de 97,5% (rapport 2025) signale une transformation tendue, avec des dépôts clientèle de 1 181,045 milliards FCFA face à des créances clientèle de 1 151,536 milliards FCFA. Les rapports trimestriels de 2025 (T1, S1, T3) montrent une croissance commerciale vigoureuse (PNB +26% à fin septembre 2025, crédits +30%, dépôts +25%) mais une pression sur la rentabilité due à l'explosion du coût du risque (7,905 milliards FCFA au S1 2025 contre 1,495 milliard au S1 2024). Le rapport T1 2026 (publié en 2026) marque une nette amélioration : le résultat net bondit de +48% à 8,0 milliards FCFA et le PNB progresse de +35% à 14,6 milliards FCFA, avec une marge nette de 54,3%, suggérant que la normalisation du coût du risque est en cours. Sur la base de ces tendances, on estime que l'exercice 2026 devrait afficher un résultat net en forte croissance, potentiellement supérieur à 40 milliards FCFA si la dynamique du T1 se confirme. La recommandation fondamentale est positive : la banque affiche une solidité financière, une rentabilité exceptionnelle et une croissance soutenue, mais la vigilance reste de mise sur la qualité du portefeuille de crédits et la liquidité.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BICB (Partie 0) apparaît exigeante avec un PER de 16,1x, un P/B de 4,32x et un EV/EBITDA de 26,5x, ce qui intègre déjà une large part de la croissance future et limite la marge de sécurité. Le comportement du cours (Partie 1) est nettement haussier (+94,42% sur 100 jours) mais la volatilité élevée (35,1%) et le skewness positif (0,808) signalent un risque de correction après un tel rallye, d'autant que la dernière séance a cédé -3,11%. Les signaux techniques (Partie 2) sont mitigés : les moyennes mobiles restent haussières, mais le MACD, le RSI et le stochastique indiquent un essoufflement à court terme, plaidant pour une consolidation. Les fondamentaux (Partie 3) demeurent solides : PNB de 52,8 milliards FCFA en 2025 (+16,5%), résultat net de 36,2 milliards FCFA (+24,7%), ROE de 26,8% et coefficient d'exploitation de 31,1%, avec une nette amélioration au T1 2026 (résultat net +48%). Les prédictions IA (J+1 à J+10) anticipent une trajectoire baissière graduelle de 9 759 FCFA à 9 513 FCFA, ce qui contredit la tendance haussière de fond mais confirme l'essoufflement technique à court terme. Sur la base de cette synthèse, la recommandation finale est **CONSERVER** : la convergence entre des fondamentaux solides, une valorisation exigeante et des signaux techniques baissiers à court terme justifie une position d'attente pour les investisseurs déjà en portefeuille, tandis qu'un achat serait prématuré avant une consolidation. Le niveau de confiance est **Moyen**, le risque global est **Élevé** (volatilité de 35,1% et valorisation tendue), et l'horizon d'investissement optimal est **moyen terme (3-12 mois)**, le temps que la normalisation du coût du risque se confirme et que la valorisation se rééquilibre.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527.92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667 titres</w:t>
            </w:r>
          </w:p>
        </w:tc>
        <w:tc>
          <w:tcPr>
            <w:tcW w:type="dxa" w:w="2268"/>
            <w:shd w:fill="FFF2CC" w:val="clear"/>
          </w:tcPr>
          <w:p>
            <w:r>
              <w:rPr>
                <w:b/>
                <w:color w:val="503200"/>
                <w:sz w:val="16"/>
              </w:rPr>
              <w:t xml:space="preserve">Cours actuel : </w:t>
            </w:r>
            <w:r>
              <w:rPr>
                <w:color w:val="000000"/>
                <w:sz w:val="17"/>
              </w:rPr>
              <w:t>31,675 FCFA</w:t>
            </w:r>
          </w:p>
          <w:p>
            <w:r>
              <w:rPr>
                <w:b/>
                <w:color w:val="503200"/>
                <w:sz w:val="16"/>
              </w:rPr>
              <w:t xml:space="preserve">Var. 100 jours : </w:t>
            </w:r>
            <w:r>
              <w:rPr>
                <w:b/>
                <w:color w:val="007800"/>
                <w:sz w:val="17"/>
              </w:rPr>
              <w:t>+33.31%</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23,760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7.11% (Moyenne) — μ=28,593 FCFA, σ=2,032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β=0.5819 (Défensif) — Cov=0.000021, Var(idx)=0.000036, ρ=0.193,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30,324</w:t>
            </w:r>
          </w:p>
        </w:tc>
        <w:tc>
          <w:tcPr>
            <w:tcW w:type="dxa" w:w="1440"/>
            <w:shd w:fill="FAFAFA" w:val="clear"/>
          </w:tcPr>
          <w:p>
            <w:r>
              <w:rPr>
                <w:b/>
                <w:sz w:val="17"/>
              </w:rPr>
              <w:t>31,478</w:t>
            </w:r>
          </w:p>
        </w:tc>
        <w:tc>
          <w:tcPr>
            <w:tcW w:type="dxa" w:w="1440"/>
            <w:shd w:fill="FAFAFA" w:val="clear"/>
          </w:tcPr>
          <w:p>
            <w:r>
              <w:rPr>
                <w:sz w:val="17"/>
              </w:rPr>
              <w:t>32,631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29,810</w:t>
            </w:r>
          </w:p>
        </w:tc>
        <w:tc>
          <w:tcPr>
            <w:tcW w:type="dxa" w:w="1440"/>
            <w:shd w:fill="FAFAFA" w:val="clear"/>
          </w:tcPr>
          <w:p>
            <w:r>
              <w:rPr>
                <w:b/>
                <w:sz w:val="17"/>
              </w:rPr>
              <w:t>31,439</w:t>
            </w:r>
          </w:p>
        </w:tc>
        <w:tc>
          <w:tcPr>
            <w:tcW w:type="dxa" w:w="1440"/>
            <w:shd w:fill="FAFAFA" w:val="clear"/>
          </w:tcPr>
          <w:p>
            <w:r>
              <w:rPr>
                <w:sz w:val="17"/>
              </w:rPr>
              <w:t>33,069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29,382</w:t>
            </w:r>
          </w:p>
        </w:tc>
        <w:tc>
          <w:tcPr>
            <w:tcW w:type="dxa" w:w="1440"/>
            <w:shd w:fill="FAFAFA" w:val="clear"/>
          </w:tcPr>
          <w:p>
            <w:r>
              <w:rPr>
                <w:b/>
                <w:sz w:val="17"/>
              </w:rPr>
              <w:t>31,373</w:t>
            </w:r>
          </w:p>
        </w:tc>
        <w:tc>
          <w:tcPr>
            <w:tcW w:type="dxa" w:w="1440"/>
            <w:shd w:fill="FAFAFA" w:val="clear"/>
          </w:tcPr>
          <w:p>
            <w:r>
              <w:rPr>
                <w:sz w:val="17"/>
              </w:rPr>
              <w:t>33,364</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29,008</w:t>
            </w:r>
          </w:p>
        </w:tc>
        <w:tc>
          <w:tcPr>
            <w:tcW w:type="dxa" w:w="1440"/>
            <w:shd w:fill="FAFAFA" w:val="clear"/>
          </w:tcPr>
          <w:p>
            <w:r>
              <w:rPr>
                <w:b/>
                <w:sz w:val="17"/>
              </w:rPr>
              <w:t>31,302</w:t>
            </w:r>
          </w:p>
        </w:tc>
        <w:tc>
          <w:tcPr>
            <w:tcW w:type="dxa" w:w="1440"/>
            <w:shd w:fill="FAFAFA" w:val="clear"/>
          </w:tcPr>
          <w:p>
            <w:r>
              <w:rPr>
                <w:sz w:val="17"/>
              </w:rPr>
              <w:t>33,596</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28,675</w:t>
            </w:r>
          </w:p>
        </w:tc>
        <w:tc>
          <w:tcPr>
            <w:tcW w:type="dxa" w:w="1440"/>
            <w:shd w:fill="FAFAFA" w:val="clear"/>
          </w:tcPr>
          <w:p>
            <w:r>
              <w:rPr>
                <w:b/>
                <w:sz w:val="17"/>
              </w:rPr>
              <w:t>31,235</w:t>
            </w:r>
          </w:p>
        </w:tc>
        <w:tc>
          <w:tcPr>
            <w:tcW w:type="dxa" w:w="1440"/>
            <w:shd w:fill="FAFAFA" w:val="clear"/>
          </w:tcPr>
          <w:p>
            <w:r>
              <w:rPr>
                <w:sz w:val="17"/>
              </w:rPr>
              <w:t>33,794</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28,372</w:t>
            </w:r>
          </w:p>
        </w:tc>
        <w:tc>
          <w:tcPr>
            <w:tcW w:type="dxa" w:w="1440"/>
            <w:shd w:fill="FAFAFA" w:val="clear"/>
          </w:tcPr>
          <w:p>
            <w:r>
              <w:rPr>
                <w:b/>
                <w:sz w:val="17"/>
              </w:rPr>
              <w:t>31,170</w:t>
            </w:r>
          </w:p>
        </w:tc>
        <w:tc>
          <w:tcPr>
            <w:tcW w:type="dxa" w:w="1440"/>
            <w:shd w:fill="FAFAFA" w:val="clear"/>
          </w:tcPr>
          <w:p>
            <w:r>
              <w:rPr>
                <w:sz w:val="17"/>
              </w:rPr>
              <w:t>33,968</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28,091</w:t>
            </w:r>
          </w:p>
        </w:tc>
        <w:tc>
          <w:tcPr>
            <w:tcW w:type="dxa" w:w="1440"/>
            <w:shd w:fill="FAFAFA" w:val="clear"/>
          </w:tcPr>
          <w:p>
            <w:r>
              <w:rPr>
                <w:b/>
                <w:sz w:val="17"/>
              </w:rPr>
              <w:t>31,107</w:t>
            </w:r>
          </w:p>
        </w:tc>
        <w:tc>
          <w:tcPr>
            <w:tcW w:type="dxa" w:w="1440"/>
            <w:shd w:fill="FAFAFA" w:val="clear"/>
          </w:tcPr>
          <w:p>
            <w:r>
              <w:rPr>
                <w:sz w:val="17"/>
              </w:rPr>
              <w:t>34,123</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27,828</w:t>
            </w:r>
          </w:p>
        </w:tc>
        <w:tc>
          <w:tcPr>
            <w:tcW w:type="dxa" w:w="1440"/>
            <w:shd w:fill="FAFAFA" w:val="clear"/>
          </w:tcPr>
          <w:p>
            <w:r>
              <w:rPr>
                <w:b/>
                <w:sz w:val="17"/>
              </w:rPr>
              <w:t>31,046</w:t>
            </w:r>
          </w:p>
        </w:tc>
        <w:tc>
          <w:tcPr>
            <w:tcW w:type="dxa" w:w="1440"/>
            <w:shd w:fill="FAFAFA" w:val="clear"/>
          </w:tcPr>
          <w:p>
            <w:r>
              <w:rPr>
                <w:sz w:val="17"/>
              </w:rPr>
              <w:t>34,263</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27,580</w:t>
            </w:r>
          </w:p>
        </w:tc>
        <w:tc>
          <w:tcPr>
            <w:tcW w:type="dxa" w:w="1440"/>
            <w:shd w:fill="FFDCE0" w:val="clear"/>
          </w:tcPr>
          <w:p>
            <w:r>
              <w:rPr>
                <w:b/>
                <w:sz w:val="17"/>
              </w:rPr>
              <w:t>30,986</w:t>
            </w:r>
          </w:p>
        </w:tc>
        <w:tc>
          <w:tcPr>
            <w:tcW w:type="dxa" w:w="1440"/>
            <w:shd w:fill="FFDCE0" w:val="clear"/>
          </w:tcPr>
          <w:p>
            <w:r>
              <w:rPr>
                <w:sz w:val="17"/>
              </w:rPr>
              <w:t>34,392</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27,344</w:t>
            </w:r>
          </w:p>
        </w:tc>
        <w:tc>
          <w:tcPr>
            <w:tcW w:type="dxa" w:w="1440"/>
            <w:shd w:fill="FFDCE0" w:val="clear"/>
          </w:tcPr>
          <w:p>
            <w:r>
              <w:rPr>
                <w:b/>
                <w:sz w:val="17"/>
              </w:rPr>
              <w:t>30,928</w:t>
            </w:r>
          </w:p>
        </w:tc>
        <w:tc>
          <w:tcPr>
            <w:tcW w:type="dxa" w:w="1440"/>
            <w:shd w:fill="FFDCE0" w:val="clear"/>
          </w:tcPr>
          <w:p>
            <w:r>
              <w:rPr>
                <w:sz w:val="17"/>
              </w:rPr>
              <w:t>34,512</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527,92 Mds FCFA, BICC s'impose comme l'une des capitalisations les plus importantes de la cote BRVM, témoignant de la solidité et de la liquidité relative du titre au sein du compartiment bancaire régional. Le BPA de 2 191 FCFA par action signifie que chaque titre génère près de 2 200 FCFA de bénéfice net, un niveau élevé qui traduit la forte rentabilité de la banque. Le PER de 14,5x se situe au-dessus de la moyenne du marché BRVM (généralement comprise entre 8 et 12x), ce qui indique que les investisseurs acceptent de payer une prime pour la qualité de la croissance bénéficiaire de BICC — sans pour autant basculer dans une zone de surévaluation excessive. Le P/B de 4,38x, nettement supérieur à 4x, révèle que le marché valorise l'action à plus de quatre fois sa valeur comptable, une prime exigeante qui se justifie par un ROE exceptionnel de 30,29%. Enfin, l'EV/EBITDA de 10,4x, dans la fourchette haute (10-15x), confirme que la valeur d'entreprise intègre déjà une part significative des performances opérationnelles futures, invitant à la prudence sur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+33,31%, avec une dernière séance en hausse de +1,36%, portant le cours actuel à 31 675 FCFA. Le range de trading s'établit entre un plus bas de 23 760 FCFA et un plus haut de 34 000 FCFA, soit une amplitude de plus de 10 000 FCFA qui illustre une tendance nettement haussière, bien que le cours actuel se situe à environ 7% sous son sommet. La moyenne (28 593 FCFA) et la médiane (28 660 FCFA) sont quasi confondues, confirmant une distribution symétrique du cours sur la période, sans biais directionnel marqué. L'écart-type de 2 043 FCFA avec un coefficient de variation de 7,1% indique une dispersion modérée du cours autour de sa moyenne, ce qui est rassurant pour un titre ayant connu une telle progression. Le kurtosis de 0,945 (mésokurtique) suggère une distribution proche de la normale, sans risque excessif de pics extrêmes, tandis que le skewness de 0,345 confirme cette symétrie légèrement positive. La volatilité annualisée de 28,7% place BICC dans la catégorie des titres à volatilité modérée (15-30%), un profil équilibré entre potentiel de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(31 387,75 FCFA) et la MM50 (29 747,4 FCFA) se situent toutes deux sous le cours actuel (31 675 FCFA), avec une MM20 supérieure à la MM50 — configuration haussière classique en « golden cross ». Le cours évoluant au-dessus de ses deux moyennes, la dynamique de fond reste positive, ce qui justifie la décision d'**Achat**.</w:t>
      </w:r>
    </w:p>
    <w:p>
      <w:pPr>
        <w:spacing w:after="120" w:line="276" w:lineRule="auto"/>
      </w:pPr>
      <w:r>
        <w:t>**Bandes de Bollinger** : Le cours (31 675 FCFA) se situe dans la partie supérieure de la bande, entre la borne inférieure (27 819,24 FCFA) et la borne supérieure (34 956,26 FCFA), sans franchir cette dernière. Cette position médiane-haute, couplée à un écartement modéré des bandes, traduit une volatilité contenue et une absence de signal extrême, d'où la décision **Neutre**.</w:t>
      </w:r>
    </w:p>
    <w:p>
      <w:pPr>
        <w:spacing w:after="120" w:line="276" w:lineRule="auto"/>
      </w:pPr>
      <w:r>
        <w:t>**MACD** : La valeur du MACD (705,605) est inférieure à son signal (884,327), générant un croisement baissier qui indique un essoufflement du momentum haussier malgré la tendance de fond positive. Cette divergence négative, bien que modérée, justifie la décision de **Vente** à court terme.</w:t>
      </w:r>
    </w:p>
    <w:p>
      <w:pPr>
        <w:spacing w:after="120" w:line="276" w:lineRule="auto"/>
      </w:pPr>
      <w:r>
        <w:t>**RSI** : À 59,436, le RSI se situe en zone neutre (30-70), sans atteindre la zone de surachat (&gt;70) ni de survente (&lt;30). Cette position médiane indique que le titre dispose encore d'un potentiel de hausse sans être techniquement épuisé, ce qui justifie la décision **Neutre**.</w:t>
      </w:r>
    </w:p>
    <w:p>
      <w:pPr>
        <w:spacing w:after="120" w:line="276" w:lineRule="auto"/>
      </w:pPr>
      <w:r>
        <w:t>**Stochastique** : Le %K (43,293) et le %D (41,703) évoluent en zone basse-médiane, avec un %K légèrement supérieur au %D, suggérant un début de redressement du momentum. Cependant, l'absence de croisement franc et la proximité des deux courbes maintiennent l'indicateur en zone neutre, justifiant la décision **Neutre**.</w:t>
      </w:r>
    </w:p>
    <w:p>
      <w:pPr>
        <w:spacing w:after="120" w:line="276" w:lineRule="auto"/>
      </w:pPr>
      <w:r>
        <w:t>**Conclusion technique** : Les indicateurs techniques présentent un tableau mitigé. Les moyennes mobiles confirment une tendance haussière de fond, mais le MACD signale un essoufflement du momentum à court terme. Le RSI et le stochastique, en zone neutre, n'offrent pas de signal directionnel fort. La convergence partielle des signaux suggère une phase de consolidation possible avant une reprise, avec un biais haussier tant que le cours se maintient au-dessus de la MM50 (29 747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BICC affiche un Produit Net Bancaire (PNB) de 79,563 Mds FCFA, en croissance de 16,90% par rapport à l'exercice précédent, confirmant la dynamique commerciale robuste de la banque. Le résultat net s'établit à 36,520 Mds FCFA, avec une marge nette exceptionnelle de 45,90% — parmi les meilleures du secteur bancaire UEMOA. Le ROE atteint 30,29%, largement supérieur au seuil d'excellence de 15%, tandis que le ROA de 3,24% témoigne d'une utilisation efficace des actifs. Le coefficient d'exploitation de 50,83% place BICC sous la barre des 60%, signe d'une banque très efficace dans la maîtrise de ses charges. Le coût du risque, à -12,15% des charges financières, reste contenu, reflétant un portefeuille de crédits de qualité. La structure financière montre une autonomie financière de 10,71% (capitaux propres/total bilan), typique du modèle bancaire, avec une solvabilité générale de 111,99% et une couverture des intérêts de 329,33%, garantissant une capacité de remboursement solide (0,40 an de dettes financières/CAF).</w:t>
      </w:r>
    </w:p>
    <w:p>
      <w:pPr>
        <w:spacing w:after="120" w:line="276" w:lineRule="auto"/>
      </w:pPr>
      <w:r>
        <w:t>**Estimations basées sur les rapports trimestriels** : Le rapport du T1 2026 (publié le 31 mars 2026) indique un PNB de 21 214 MFCFA (+17,01% sur un an) et un résultat net de 10 387 MFCFA (+29,66%), avec une marge nette en progression à 49,0% contre 44,2% au T1 2025. Sur cette base, on estime que l'exercice 2026 devrait enregistrer un PNB annuel d'environ 85-88 Mds FCFA et un résultat net de 40-42 Mds FCFA, soit une croissance de 10-15% par rapport à 2025. Le rapport du T3 2025 (30 septembre 2025) confirme cette tendance avec un PNB cumulé de 58 119 MFCFA (+16,4%) et un résultat net de 27 402 MFCFA (+50,8%), ainsi qu'une marge nette de 47,1%. Les dépôts clients progressent fortement (+14,5% au T1 2026 à 996 392 MFCFA), bien que les crédits nets reculent de 4,47% en raison de remboursements anticipés — un point de vigilance pour la croissance future du PNB.</w:t>
      </w:r>
    </w:p>
    <w:p>
      <w:pPr>
        <w:spacing w:after="120" w:line="276" w:lineRule="auto"/>
      </w:pPr>
      <w:r>
        <w:t>**Recommandation fondamentale** : BICC présente des fondamentaux exceptionnels avec une rentabilité élevée, une efficacité opérationnelle remarquable et une structure financière saine. La croissance à deux chiffres du PNB et du résultat net, confirmée par les rapports trimestriels récents, soutient une perspective positive. Le principal risque réside dans la contraction des encours de crédits, qui pourrait limiter la croissance future si elle persiste. Néanmoins, la qualité du portefeuille et la maîtrise des coûts devraient permettre à la banque de maintenir sa trajectoire de croissance rentable.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**Sur le plan de la valorisation (Partie 0)**, le PER de 14,5x et le P/B de 4,38x indiquent une surévaluation relative par rapport aux moyennes du marché BRVM, bien que justifiée par un ROE exceptionnel de 30,29% — le titre n'est donc pas « bon marché », mais la prime se défend. **Le comportement du cours (Partie 1)** est nettement haussier (+33,31% sur 100 jours), avec une volatilité modérée (28,7%) et des statistiques rassurantes (kurtosis mésokurtique, skewness symétrique), sans signe de bulle spéculative. **Les signaux techniques (Partie 2)** sont mitigés : les moyennes mobiles confirment la tendance haussière, mais le MACD signale un essoufflement à court terme, tandis que le RSI et le stochastique restent neutres — une convergence partielle qui plaide pour une consolidation avant reprise. **Les fondamentaux (Partie 3)** sont excellents : PNB de 79,56 Mds FCFA en 2025, résultat net de 36,52 Mds FCFA, ROE de 30,29%, coefficient d'exploitation de 50,83%, et les rapports trimestriels (T1 2026, T3 2025) confirment une croissance à deux chiffres. **Les prédictions IA (J+1 à J+10)** anticipent une légère correction baissière (31 478 FCFA à 31 235 FCFA), ce qui contredit la tendance haussière récente mais s'aligne avec le signal de vente du MACD.</w:t>
      </w:r>
    </w:p>
    <w:p>
      <w:pPr>
        <w:spacing w:after="120" w:line="276" w:lineRule="auto"/>
      </w:pPr>
      <w:r>
        <w:t>**Recommandation finale : ACHAT** — Avec un niveau de confiance **Moyen** et un risque global **Moyen**. La convergence entre des fondamentaux solides, une tendance de fond haussière et une valorisation exigeante mais justifiée soutient une perspective positive à moyen terme. La légère correction anticipée par les prédictions IA et le signal de vente du MACD suggèrent une opportunité d'entrée sur repli vers la MM50 (29 747 FCFA). **Horizon d'investissement optimal : moyen terme (3-12 mois)**, le temps que la consolidation technique s'achève et que la croissance bénéficiaire se matérialise dans les cours. Les investisseurs à court terme privilégieront la prudence, tandis que les investisseurs long terme (&gt;1 an) trouveront dans BICC une valeur de qualité, portée par des fondamentaux robustes et une politique de dividende historiquement généreuse.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2,951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13.11% (Moyenne) — μ=1,867 FCFA, σ=245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β=0.2863 (Défensif) — Cov=0.000010, Var(idx)=0.000036, ρ=0.050,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1,881</w:t>
            </w:r>
          </w:p>
        </w:tc>
        <w:tc>
          <w:tcPr>
            <w:tcW w:type="dxa" w:w="1440"/>
            <w:shd w:fill="FAFAFA" w:val="clear"/>
          </w:tcPr>
          <w:p>
            <w:r>
              <w:rPr>
                <w:b/>
                <w:sz w:val="17"/>
              </w:rPr>
              <w:t>1,997</w:t>
            </w:r>
          </w:p>
        </w:tc>
        <w:tc>
          <w:tcPr>
            <w:tcW w:type="dxa" w:w="1440"/>
            <w:shd w:fill="FAFAFA" w:val="clear"/>
          </w:tcPr>
          <w:p>
            <w:r>
              <w:rPr>
                <w:sz w:val="17"/>
              </w:rPr>
              <w:t>2,113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1,824</w:t>
            </w:r>
          </w:p>
        </w:tc>
        <w:tc>
          <w:tcPr>
            <w:tcW w:type="dxa" w:w="1440"/>
            <w:shd w:fill="FAFAFA" w:val="clear"/>
          </w:tcPr>
          <w:p>
            <w:r>
              <w:rPr>
                <w:b/>
                <w:sz w:val="17"/>
              </w:rPr>
              <w:t>1,987</w:t>
            </w:r>
          </w:p>
        </w:tc>
        <w:tc>
          <w:tcPr>
            <w:tcW w:type="dxa" w:w="1440"/>
            <w:shd w:fill="FAFAFA" w:val="clear"/>
          </w:tcPr>
          <w:p>
            <w:r>
              <w:rPr>
                <w:sz w:val="17"/>
              </w:rPr>
              <w:t>2,150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1,781</w:t>
            </w:r>
          </w:p>
        </w:tc>
        <w:tc>
          <w:tcPr>
            <w:tcW w:type="dxa" w:w="1440"/>
            <w:shd w:fill="FAFAFA" w:val="clear"/>
          </w:tcPr>
          <w:p>
            <w:r>
              <w:rPr>
                <w:b/>
                <w:sz w:val="17"/>
              </w:rPr>
              <w:t>1,980</w:t>
            </w:r>
          </w:p>
        </w:tc>
        <w:tc>
          <w:tcPr>
            <w:tcW w:type="dxa" w:w="1440"/>
            <w:shd w:fill="FAFAFA" w:val="clear"/>
          </w:tcPr>
          <w:p>
            <w:r>
              <w:rPr>
                <w:sz w:val="17"/>
              </w:rPr>
              <w:t>2,179</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1,744</w:t>
            </w:r>
          </w:p>
        </w:tc>
        <w:tc>
          <w:tcPr>
            <w:tcW w:type="dxa" w:w="1440"/>
            <w:shd w:fill="FAFAFA" w:val="clear"/>
          </w:tcPr>
          <w:p>
            <w:r>
              <w:rPr>
                <w:b/>
                <w:sz w:val="17"/>
              </w:rPr>
              <w:t>1,973</w:t>
            </w:r>
          </w:p>
        </w:tc>
        <w:tc>
          <w:tcPr>
            <w:tcW w:type="dxa" w:w="1440"/>
            <w:shd w:fill="FAFAFA" w:val="clear"/>
          </w:tcPr>
          <w:p>
            <w:r>
              <w:rPr>
                <w:sz w:val="17"/>
              </w:rPr>
              <w:t>2,202</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1,710</w:t>
            </w:r>
          </w:p>
        </w:tc>
        <w:tc>
          <w:tcPr>
            <w:tcW w:type="dxa" w:w="1440"/>
            <w:shd w:fill="FAFAFA" w:val="clear"/>
          </w:tcPr>
          <w:p>
            <w:r>
              <w:rPr>
                <w:b/>
                <w:sz w:val="17"/>
              </w:rPr>
              <w:t>1,965</w:t>
            </w:r>
          </w:p>
        </w:tc>
        <w:tc>
          <w:tcPr>
            <w:tcW w:type="dxa" w:w="1440"/>
            <w:shd w:fill="FAFAFA" w:val="clear"/>
          </w:tcPr>
          <w:p>
            <w:r>
              <w:rPr>
                <w:sz w:val="17"/>
              </w:rPr>
              <w:t>2,220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1,679</w:t>
            </w:r>
          </w:p>
        </w:tc>
        <w:tc>
          <w:tcPr>
            <w:tcW w:type="dxa" w:w="1440"/>
            <w:shd w:fill="FFDCE0" w:val="clear"/>
          </w:tcPr>
          <w:p>
            <w:r>
              <w:rPr>
                <w:b/>
                <w:sz w:val="17"/>
              </w:rPr>
              <w:t>1,957</w:t>
            </w:r>
          </w:p>
        </w:tc>
        <w:tc>
          <w:tcPr>
            <w:tcW w:type="dxa" w:w="1440"/>
            <w:shd w:fill="FFDCE0" w:val="clear"/>
          </w:tcPr>
          <w:p>
            <w:r>
              <w:rPr>
                <w:sz w:val="17"/>
              </w:rPr>
              <w:t>2,235</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1,650</w:t>
            </w:r>
          </w:p>
        </w:tc>
        <w:tc>
          <w:tcPr>
            <w:tcW w:type="dxa" w:w="1440"/>
            <w:shd w:fill="FFDCE0" w:val="clear"/>
          </w:tcPr>
          <w:p>
            <w:r>
              <w:rPr>
                <w:b/>
                <w:sz w:val="17"/>
              </w:rPr>
              <w:t>1,949</w:t>
            </w:r>
          </w:p>
        </w:tc>
        <w:tc>
          <w:tcPr>
            <w:tcW w:type="dxa" w:w="1440"/>
            <w:shd w:fill="FFDCE0" w:val="clear"/>
          </w:tcPr>
          <w:p>
            <w:r>
              <w:rPr>
                <w:sz w:val="17"/>
              </w:rPr>
              <w:t>2,248</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1,622</w:t>
            </w:r>
          </w:p>
        </w:tc>
        <w:tc>
          <w:tcPr>
            <w:tcW w:type="dxa" w:w="1440"/>
            <w:shd w:fill="FFDCE0" w:val="clear"/>
          </w:tcPr>
          <w:p>
            <w:r>
              <w:rPr>
                <w:b/>
                <w:sz w:val="17"/>
              </w:rPr>
              <w:t>1,941</w:t>
            </w:r>
          </w:p>
        </w:tc>
        <w:tc>
          <w:tcPr>
            <w:tcW w:type="dxa" w:w="1440"/>
            <w:shd w:fill="FFDCE0" w:val="clear"/>
          </w:tcPr>
          <w:p>
            <w:r>
              <w:rPr>
                <w:sz w:val="17"/>
              </w:rPr>
              <w:t>2,259</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1,597</w:t>
            </w:r>
          </w:p>
        </w:tc>
        <w:tc>
          <w:tcPr>
            <w:tcW w:type="dxa" w:w="1440"/>
            <w:shd w:fill="FFDCE0" w:val="clear"/>
          </w:tcPr>
          <w:p>
            <w:r>
              <w:rPr>
                <w:b/>
                <w:sz w:val="17"/>
              </w:rPr>
              <w:t>1,933</w:t>
            </w:r>
          </w:p>
        </w:tc>
        <w:tc>
          <w:tcPr>
            <w:tcW w:type="dxa" w:w="1440"/>
            <w:shd w:fill="FFDCE0" w:val="clear"/>
          </w:tcPr>
          <w:p>
            <w:r>
              <w:rPr>
                <w:sz w:val="17"/>
              </w:rPr>
              <w:t>2,270</w:t>
            </w:r>
          </w:p>
        </w:tc>
        <w:tc>
          <w:tcPr>
            <w:tcW w:type="dxa" w:w="1440"/>
            <w:shd w:fill="FFDCE0" w:val="clear"/>
          </w:tcPr>
          <w:p>
            <w:r>
              <w:rPr>
                <w:b/>
                <w:color w:val="C00000"/>
                <w:sz w:val="17"/>
              </w:rPr>
              <w:t>-3.3%</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1,572</w:t>
            </w:r>
          </w:p>
        </w:tc>
        <w:tc>
          <w:tcPr>
            <w:tcW w:type="dxa" w:w="1440"/>
            <w:shd w:fill="FFDCE0" w:val="clear"/>
          </w:tcPr>
          <w:p>
            <w:r>
              <w:rPr>
                <w:b/>
                <w:sz w:val="17"/>
              </w:rPr>
              <w:t>1,926</w:t>
            </w:r>
          </w:p>
        </w:tc>
        <w:tc>
          <w:tcPr>
            <w:tcW w:type="dxa" w:w="1440"/>
            <w:shd w:fill="FFDCE0" w:val="clear"/>
          </w:tcPr>
          <w:p>
            <w:r>
              <w:rPr>
                <w:sz w:val="17"/>
              </w:rPr>
              <w:t>2,279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13,25 milliards FCFA, BNBC se situe dans la catégorie des petites capitalisations de la BRVM, ce qui la rend vulnérable aux mouvements de faible volume. Le BPA de 3 FCFA/action est symbolique et traduit une rentabilité quasi nulle, ce qui explique un PER de 593,6x — totalement déconnecté de la moyenne BRVM (~8-12x) et signalant que les investisseurs paient très cher un bénéfice insignifiant. En revanche, le P/B de 0,75x indique que le marché valorise l'action à 25% en dessous de sa valeur comptable (capitaux propres de 17,77 Mds FCFA), ce qui constitue une opportunité théorique mais qui reste à confirmer par la capacité de l'entreprise à générer des profits. L'EV/EBITDA de 24,2x (&gt;15x) est très exigeant et suggère que la valeur d'entreprise intègre déjà des anticipations de redressement opérationnel non encore matérialisées dans les comptes.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totale de +25,00%, portée par un rallye haussier qui a conduit le titre de 1 300 FCFA (plus bas) à 2 400 FCFA (plus haut), avant de se replier à 2 000 FCFA, soit une correction de -2,91% lors de la dernière séance. Le range de trading de 1 100 FCFA (soit 84% du plus bas) témoigne d'une forte amplitude, cohérente avec une volatilité annualisée de 54,0% — largement supérieure au seuil de 30% qui définit un titre à volatilité élevée. La moyenne (1 867 FCFA) est inférieure à la médiane (1 930 FCFA), ce qui indique une légère asymétrie négative confirmée par le skewness de -0,367 : les baisses ont été plus fréquentes que les hausses extrêmes sur la période. L'écart-type de 246 FCFA (CV=13,2%) traduit une dispersion modérée autour de la tendance, tandis que le kurtosis de -0,453 (mésokurtique) suggère une distribution proche de la normale, sans risque majeur de pics extrêmes. Le mode à 1 990 FCFA, proche du cours actuel, indique une zone de consolidation autour de 2 000 FCFA.</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(2 165,25 FCFA) est supérieure à la MM50 (2 017,60 FCFA), et le cours actuel (2 000 FCFA) se situe juste en dessous de la MM50. Cette configuration en "croisement haussier" des moyennes justifie la décision d'ACHAT, mais la position du cours sous la MM50 tempère le signal en indiquant une perte de momentum à court terme.</w:t>
      </w:r>
    </w:p>
    <w:p>
      <w:pPr>
        <w:spacing w:after="120" w:line="276" w:lineRule="auto"/>
      </w:pPr>
      <w:r>
        <w:t>**Bandes de Bollinger** : Le cours (2 000 FCFA) évolue dans la partie basse de la bande (borne inférieure à 1 928,82 FCFA, borne supérieure à 2 401,68 FCFA), sans atteindre la borne inférieure. La décision NEUTRE reflète l'absence de signal extrême, mais la largeur des bandes (472,86 FCFA) confirme la volatilité élevée du titre.</w:t>
      </w:r>
    </w:p>
    <w:p>
      <w:pPr>
        <w:spacing w:after="120" w:line="276" w:lineRule="auto"/>
      </w:pPr>
      <w:r>
        <w:t>**MACD** : La valeur du MACD (20,082) est nettement inférieure à son signal (45,111), générant une divergence baissière qui justifie la décision de VENTE. Le momentum s'affaiblit, et un croisement baissier de la ligne MACD sous son signal est déjà effectif, ce qui constitue un signal de prudence à court terme.</w:t>
      </w:r>
    </w:p>
    <w:p>
      <w:pPr>
        <w:spacing w:after="120" w:line="276" w:lineRule="auto"/>
      </w:pPr>
      <w:r>
        <w:t>**RSI** : À 36,15, le RSI se situe dans la zone neutre basse (30-70), sans atteindre la zone de survente (&lt;30). La décision NEUTRE indique que le titre n'est ni suracheté ni survendu, mais la tendance baissière du RSI depuis les sommets suggère une pression vendeuse persistante.</w:t>
      </w:r>
    </w:p>
    <w:p>
      <w:pPr>
        <w:spacing w:after="120" w:line="276" w:lineRule="auto"/>
      </w:pPr>
      <w:r>
        <w:t>**Stochastique** : Le %K (0,0) est en zone de survente extrême, et le %D (7,042) confirme cette position. La décision d'ACHAT repose sur l'anticipation d'un rebond technique depuis ces niveaux survendus, mais le croisement %K/%D reste à confirmer pour valider le signal.</w:t>
      </w:r>
    </w:p>
    <w:p>
      <w:pPr>
        <w:spacing w:after="120" w:line="276" w:lineRule="auto"/>
      </w:pPr>
      <w:r>
        <w:t>**Conclusion technique** : Les indicateurs sont divergents — les moyennes mobiles et le stochastique suggèrent un achat, tandis que le MACD et les bandes de Bollinger incitent à la prudence. Le RSI neutre et la position du cours sous la MM50 plaident pour une consolidation avant tout rebond durable. La convergence des signaux est insuffisante pour un achat agressif ; une confirmation par un croisement haussier du MACD et une sortie de la zone de survente du stochastique serait nécessaire.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BNBC a réalisé un chiffre d'affaires de 42,454 Mds FCFA, en baisse de -6,31% par rapport à 2024 (45,312 Mds FCFA), signalant une contraction de l'activité. Le résultat net s'établit à 22,32 M FCFA (contre 7,31 M en 2024), une amélioration en valeur absolue mais une marge nette quasi nulle de 0,0526%. Le ROE est de 0,1256% et le ROA de 0,0454%, des niveaux extrêmement faibles qui traduisent une rentabilité anémique. La trésorerie nette est fortement négative à -16,689 Mds FCFA, et le BFR de 29,373 Mds FCFA (délai client de 104,40 jours, délai fournisseur de 116,09 jours, durée de stockage de 339,23 jours) pèse lourdement sur la liquidité. Le ratio d'endettement de 105,48% et la capacité de remboursement de 19,17 années (dettes financières/CAF) révèlent une structure financière fragile, bien que l'autonomie financière (36,16%) reste supérieure au seuil de 30%.</w:t>
      </w:r>
    </w:p>
    <w:p>
      <w:pPr>
        <w:spacing w:after="120" w:line="276" w:lineRule="auto"/>
      </w:pPr>
      <w:r>
        <w:t>**Estimations basées sur les rapports trimestriels** : Le rapport du T1 2026 (publié le 31/12/2026) indique un chiffre d'affaires stable à 11,194 Mds FCFA (-0,12% vs T1 2025) et un résultat net positif de 65,566 M FCFA, contre une perte de -16,147 M FCFA au T1 2025, soit une amélioration spectaculaire de +506%. Cette performance est toutefois à nuancer : elle résulte de l'intégration de la division Équipement (en phase de démarrage) et de la non-reconduction d'affaires exceptionnelles. Le rapport du T3 2025 (30/09/2025) faisait état d'une perte nette de -157,03 M FCFA sur 9 mois, avec un chiffre d'affaires en recul de -3% à 31,83 Mds FCFA. On estime donc que l'exercice 2026 devrait bénéficier d'un effet de base favorable au T1, mais la prudence reste de mise pour les trimestres suivants, la direction anticipant une montée en puissance progressive des divisions Équipement et Power.</w:t>
      </w:r>
    </w:p>
    <w:p>
      <w:pPr>
        <w:spacing w:after="120" w:line="276" w:lineRule="auto"/>
      </w:pPr>
      <w:r>
        <w:t>**Recommandation fondamentale** : La situation financière de BNBC reste critique malgré l'amélioration du résultat net 2025 et le retour à la rentabilité au T1 2026. La trésorerie négative, le BFR élevé et la rentabilité structurellement faible constituent des risques majeurs. La valorisation P/B &lt; 1 offre une marge de sécurité théorique, mais elle est contrebalancée par l'absence de dividende et la dépendance aux affaires exceptionnelles. La recommandation fondamentale est de **CONSERVER avec surveillance renforcée**, en attendant la confirmation d'une amélioration durable de la rentabilité opérationnelle et de la génération de cash-flows.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de 593,6x et un EV/EBITDA de 24,2x suggèrent une surévaluation manifeste par rapport aux bénéfices, mais un P/B de 0,75x indique une décote par rapport à la valeur comptable. Le comportement du cours sur 100 jours (+25%) est haussier, mais la volatilité élevée (54%) et le skewness négatif (-0,367) signalent une asymétrie défavorable aux investisseurs, avec des baisses plus fréquentes que les hausses extrêmes. Les signaux techniques sont divergents : les moyennes mobiles et le stochastique plaident pour un achat, tandis que le MACD et les bandes de Bollinger incitent à la prudence, le RSI neutre ne fournissant pas de direction claire. Les fondamentaux restent fragiles : chiffre d'affaires en baisse en 2025 (-6,31%), marge nette quasi nulle (0,05%), trésorerie négative (-16,69 Mds FCFA), mais le T1 2026 montre un retour à la rentabilité (65,6 M FCFA) qui pourrait marquer un point d'inflexion. Les prédictions IA anticipent une légère baisse du cours sur 10 jours (de 1 997 à 1 965 FCFA), ce qui contredit les signaux d'achat techniques et confirme la prudence à court terme.</w:t>
      </w:r>
    </w:p>
    <w:p>
      <w:pPr>
        <w:spacing w:after="120" w:line="276" w:lineRule="auto"/>
      </w:pPr>
      <w:r>
        <w:t>**Recommandation finale : CONSERVER** — La convergence entre une valorisation en apparence surévaluée (PER), des fondamentaux en amélioration mais fragiles, et des signaux techniques mitigés ne justifie ni un achat agressif ni une vente panique. Le niveau de confiance est **Moyen**, car les données trimestrielles récentes (T1 2026) sont encourageantes mais demandent confirmation. Le risque global est **Élevé** en raison de la trésorerie négative et de la dépendance aux affaires exceptionnelles. L'horizon d'investissement optimal est **moyen terme (3-12 mois)**, en surveillant les résultats du T2 2026 pour valider la reprise durable de la rentabilité et l'amélioration de la génération de cash-flows.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399.53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5,464 titres</w:t>
            </w:r>
          </w:p>
        </w:tc>
        <w:tc>
          <w:tcPr>
            <w:tcW w:type="dxa" w:w="2268"/>
            <w:shd w:fill="FFF2CC" w:val="clear"/>
          </w:tcPr>
          <w:p>
            <w:r>
              <w:rPr>
                <w:b/>
                <w:color w:val="503200"/>
                <w:sz w:val="16"/>
              </w:rPr>
              <w:t xml:space="preserve">Cours actuel : </w:t>
            </w:r>
            <w:r>
              <w:rPr>
                <w:color w:val="000000"/>
                <w:sz w:val="17"/>
              </w:rPr>
              <w:t>9,850 FCFA</w:t>
            </w:r>
          </w:p>
          <w:p>
            <w:r>
              <w:rPr>
                <w:b/>
                <w:color w:val="503200"/>
                <w:sz w:val="16"/>
              </w:rPr>
              <w:t xml:space="preserve">Var. 100 jours : </w:t>
            </w:r>
            <w:r>
              <w:rPr>
                <w:b/>
                <w:color w:val="007800"/>
                <w:sz w:val="17"/>
              </w:rPr>
              <w:t>+19.98%</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8,210 FCFA</w:t>
            </w:r>
          </w:p>
          <w:p>
            <w:r>
              <w:rPr>
                <w:b/>
                <w:color w:val="503200"/>
                <w:sz w:val="16"/>
              </w:rPr>
              <w:t xml:space="preserve">Volatilité ann. : </w:t>
            </w:r>
            <w:r>
              <w:rPr>
                <w:color w:val="000000"/>
                <w:sz w:val="17"/>
              </w:rPr>
              <w:t>26.4%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μ=9,144 FCFA, σ=564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β=-0.0528 (Contre-cyclique) — Cov=-0.000002, Var(idx)=0.000036, ρ=-0.019,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σ_j=1.66%/j (Stable) — Vol. annualisée≈26.4%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9,506</w:t>
            </w:r>
          </w:p>
        </w:tc>
        <w:tc>
          <w:tcPr>
            <w:tcW w:type="dxa" w:w="1440"/>
            <w:shd w:fill="FAFAFA" w:val="clear"/>
          </w:tcPr>
          <w:p>
            <w:r>
              <w:rPr>
                <w:b/>
                <w:sz w:val="17"/>
              </w:rPr>
              <w:t>9,864</w:t>
            </w:r>
          </w:p>
        </w:tc>
        <w:tc>
          <w:tcPr>
            <w:tcW w:type="dxa" w:w="1440"/>
            <w:shd w:fill="FAFAFA" w:val="clear"/>
          </w:tcPr>
          <w:p>
            <w:r>
              <w:rPr>
                <w:sz w:val="17"/>
              </w:rPr>
              <w:t>10,223</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9,319</w:t>
            </w:r>
          </w:p>
        </w:tc>
        <w:tc>
          <w:tcPr>
            <w:tcW w:type="dxa" w:w="1440"/>
            <w:shd w:fill="FAFAFA" w:val="clear"/>
          </w:tcPr>
          <w:p>
            <w:r>
              <w:rPr>
                <w:b/>
                <w:sz w:val="17"/>
              </w:rPr>
              <w:t>9,824</w:t>
            </w:r>
          </w:p>
        </w:tc>
        <w:tc>
          <w:tcPr>
            <w:tcW w:type="dxa" w:w="1440"/>
            <w:shd w:fill="FAFAFA" w:val="clear"/>
          </w:tcPr>
          <w:p>
            <w:r>
              <w:rPr>
                <w:sz w:val="17"/>
              </w:rPr>
              <w:t>10,330</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9,177</w:t>
            </w:r>
          </w:p>
        </w:tc>
        <w:tc>
          <w:tcPr>
            <w:tcW w:type="dxa" w:w="1440"/>
            <w:shd w:fill="FAFAFA" w:val="clear"/>
          </w:tcPr>
          <w:p>
            <w:r>
              <w:rPr>
                <w:b/>
                <w:sz w:val="17"/>
              </w:rPr>
              <w:t>9,795</w:t>
            </w:r>
          </w:p>
        </w:tc>
        <w:tc>
          <w:tcPr>
            <w:tcW w:type="dxa" w:w="1440"/>
            <w:shd w:fill="FAFAFA" w:val="clear"/>
          </w:tcPr>
          <w:p>
            <w:r>
              <w:rPr>
                <w:sz w:val="17"/>
              </w:rPr>
              <w:t>10,412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9,052</w:t>
            </w:r>
          </w:p>
        </w:tc>
        <w:tc>
          <w:tcPr>
            <w:tcW w:type="dxa" w:w="1440"/>
            <w:shd w:fill="FAFAFA" w:val="clear"/>
          </w:tcPr>
          <w:p>
            <w:r>
              <w:rPr>
                <w:b/>
                <w:sz w:val="17"/>
              </w:rPr>
              <w:t>9,763</w:t>
            </w:r>
          </w:p>
        </w:tc>
        <w:tc>
          <w:tcPr>
            <w:tcW w:type="dxa" w:w="1440"/>
            <w:shd w:fill="FAFAFA" w:val="clear"/>
          </w:tcPr>
          <w:p>
            <w:r>
              <w:rPr>
                <w:sz w:val="17"/>
              </w:rPr>
              <w:t>10,473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8,939</w:t>
            </w:r>
          </w:p>
        </w:tc>
        <w:tc>
          <w:tcPr>
            <w:tcW w:type="dxa" w:w="1440"/>
            <w:shd w:fill="FAFAFA" w:val="clear"/>
          </w:tcPr>
          <w:p>
            <w:r>
              <w:rPr>
                <w:b/>
                <w:sz w:val="17"/>
              </w:rPr>
              <w:t>9,731</w:t>
            </w:r>
          </w:p>
        </w:tc>
        <w:tc>
          <w:tcPr>
            <w:tcW w:type="dxa" w:w="1440"/>
            <w:shd w:fill="FAFAFA" w:val="clear"/>
          </w:tcPr>
          <w:p>
            <w:r>
              <w:rPr>
                <w:sz w:val="17"/>
              </w:rPr>
              <w:t>10,522</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8,836</w:t>
            </w:r>
          </w:p>
        </w:tc>
        <w:tc>
          <w:tcPr>
            <w:tcW w:type="dxa" w:w="1440"/>
            <w:shd w:fill="FAFAFA" w:val="clear"/>
          </w:tcPr>
          <w:p>
            <w:r>
              <w:rPr>
                <w:b/>
                <w:sz w:val="17"/>
              </w:rPr>
              <w:t>9,700</w:t>
            </w:r>
          </w:p>
        </w:tc>
        <w:tc>
          <w:tcPr>
            <w:tcW w:type="dxa" w:w="1440"/>
            <w:shd w:fill="FAFAFA" w:val="clear"/>
          </w:tcPr>
          <w:p>
            <w:r>
              <w:rPr>
                <w:sz w:val="17"/>
              </w:rPr>
              <w:t>10,565</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8,740</w:t>
            </w:r>
          </w:p>
        </w:tc>
        <w:tc>
          <w:tcPr>
            <w:tcW w:type="dxa" w:w="1440"/>
            <w:shd w:fill="FAFAFA" w:val="clear"/>
          </w:tcPr>
          <w:p>
            <w:r>
              <w:rPr>
                <w:b/>
                <w:sz w:val="17"/>
              </w:rPr>
              <w:t>9,671</w:t>
            </w:r>
          </w:p>
        </w:tc>
        <w:tc>
          <w:tcPr>
            <w:tcW w:type="dxa" w:w="1440"/>
            <w:shd w:fill="FAFAFA" w:val="clear"/>
          </w:tcPr>
          <w:p>
            <w:r>
              <w:rPr>
                <w:sz w:val="17"/>
              </w:rPr>
              <w:t>10,602</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8,651</w:t>
            </w:r>
          </w:p>
        </w:tc>
        <w:tc>
          <w:tcPr>
            <w:tcW w:type="dxa" w:w="1440"/>
            <w:shd w:fill="FFDCE0" w:val="clear"/>
          </w:tcPr>
          <w:p>
            <w:r>
              <w:rPr>
                <w:b/>
                <w:sz w:val="17"/>
              </w:rPr>
              <w:t>9,643</w:t>
            </w:r>
          </w:p>
        </w:tc>
        <w:tc>
          <w:tcPr>
            <w:tcW w:type="dxa" w:w="1440"/>
            <w:shd w:fill="FFDCE0" w:val="clear"/>
          </w:tcPr>
          <w:p>
            <w:r>
              <w:rPr>
                <w:sz w:val="17"/>
              </w:rPr>
              <w:t>10,636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8,567</w:t>
            </w:r>
          </w:p>
        </w:tc>
        <w:tc>
          <w:tcPr>
            <w:tcW w:type="dxa" w:w="1440"/>
            <w:shd w:fill="FFDCE0" w:val="clear"/>
          </w:tcPr>
          <w:p>
            <w:r>
              <w:rPr>
                <w:b/>
                <w:sz w:val="17"/>
              </w:rPr>
              <w:t>9,617</w:t>
            </w:r>
          </w:p>
        </w:tc>
        <w:tc>
          <w:tcPr>
            <w:tcW w:type="dxa" w:w="1440"/>
            <w:shd w:fill="FFDCE0" w:val="clear"/>
          </w:tcPr>
          <w:p>
            <w:r>
              <w:rPr>
                <w:sz w:val="17"/>
              </w:rPr>
              <w:t>10,666</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8,488</w:t>
            </w:r>
          </w:p>
        </w:tc>
        <w:tc>
          <w:tcPr>
            <w:tcW w:type="dxa" w:w="1440"/>
            <w:shd w:fill="FFDCE0" w:val="clear"/>
          </w:tcPr>
          <w:p>
            <w:r>
              <w:rPr>
                <w:b/>
                <w:sz w:val="17"/>
              </w:rPr>
              <w:t>9,592</w:t>
            </w:r>
          </w:p>
        </w:tc>
        <w:tc>
          <w:tcPr>
            <w:tcW w:type="dxa" w:w="1440"/>
            <w:shd w:fill="FFDCE0" w:val="clear"/>
          </w:tcPr>
          <w:p>
            <w:r>
              <w:rPr>
                <w:sz w:val="17"/>
              </w:rPr>
              <w:t>10,695</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399,53 milliards FCFA, BOAB s'impose comme l'une des valeurs bancaires les plus capitalisées de la cote BRVM, ce qui lui confère une liquidité et une visibilité institutionnelle notables. Le BPA de 496 FCFA par action signifie que chaque titre génère près de 500 FCFA de bénéfice net, un niveau de rentabilité par action solide pour le secteur. Le PER de 19,9x traduit une valorisation nettement supérieure à la moyenne du marché BRVM (8-12x), les investisseurs acceptant de payer une prime pour la qualité de la banque. Le P/B de 3,40x confirme cette prime de croissance : le marché valorise BOAB à plus de trois fois sa valeur comptable, ce qui est exigeant mais cohérent avec un ROE de 17,1%. Enfin, l'EV/EBITDA de 20,3x (au-delà du seuil de 15x) signale une valorisation tendue par rapport à la capacité opérationnelle,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 affiche une performance remarquable de +19,98%, malgré un repli de -2,48% lors de la dernière séance, qui ramène le cours à 9 850 FCFA. Le titre a évolué dans un range de 2 140 FCFA, entre un plus bas de 8 210 FCFA et un plus haut de 10 350 FCFA, témoignant d'une tendance haussière soutenue mais avec des phases de correction. La moyenne (9 144 FCFA) se situe au-dessus de la médiane (8 912 FCFA), ce qui indique une distribution asymétrique tirée vers le haut par les récents sommets. L'écart-type de 567 FCFA (CV = 6,2%) révèle une dispersion modérée du cours, tandis que le kurtosis de -0,431 (mésokurtique) suggère une distribution proche de la normale, sans risque excessif de pics extrêmes. Le skewness positif de 0,953 confirme cette asymétrie : davantage de journées ont été passées sous la moyenne, mais les hausses ont été plus amples que les baisses. Avec une volatilité annualisée de 26,4%, le titre se situe dans la fourchette modérée (15-30%), offrant un profil risque/rendement équilibré pour une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(10 156,75 FCFA) et la MM50 (9 317,6 FCFA) encadrent le cours actuel (9 850 FCFA), qui se situe sous la MM20 mais au-dessus de la MM50. Cette configuration indique une correction à court terme au sein d'une tendance haussière de fond, justifiant la décision d'achat sur croisement des moyennes.</w:t>
      </w:r>
    </w:p>
    <w:p>
      <w:pPr>
        <w:spacing w:after="120" w:line="276" w:lineRule="auto"/>
      </w:pPr>
      <w:r>
        <w:t>**Bandes de Bollinger** : Le cours (9 850 FCFA) évolue légèrement sous la borne inférieure (9 876,22 FCFA), un positionnement inhabituel qui signale une pression vendeuse à court terme mais aussi une opportunité de rebond technique. La décision d'achat est cohérente avec un retour probable vers la moyenne des bandes.</w:t>
      </w:r>
    </w:p>
    <w:p>
      <w:pPr>
        <w:spacing w:after="120" w:line="276" w:lineRule="auto"/>
      </w:pPr>
      <w:r>
        <w:t>**MACD** : La valeur du MACD (201,134) est inférieure à son signal (280,796), générant une décision de vente. Cette divergence baissière indique un essoufflement du momentum haussier, bien que la ligne MACD reste en territoire positif, ce qui limite la portée du signal négatif.</w:t>
      </w:r>
    </w:p>
    <w:p>
      <w:pPr>
        <w:spacing w:after="120" w:line="276" w:lineRule="auto"/>
      </w:pPr>
      <w:r>
        <w:t>**RSI** : À 34,413, le RSI se situe en zone neutre basse, proche du seuil de survente (30). Cette configuration suggère que le titre approche d'un point d'entrée intéressant, la décision étant qualifiée de neutre en attendant un retournement confirmé.</w:t>
      </w:r>
    </w:p>
    <w:p>
      <w:pPr>
        <w:spacing w:after="120" w:line="276" w:lineRule="auto"/>
      </w:pPr>
      <w:r>
        <w:t>**Stochastique** : Le %K (0,0) et le %D (9,524) sont en zone de survente extrême, avec un %K au plancher absolu. Cette situation précède souvent un rebond technique, justifiant la décision d'achat malgré la faiblesse actuelle du cours.</w:t>
      </w:r>
    </w:p>
    <w:p>
      <w:pPr>
        <w:spacing w:after="120" w:line="276" w:lineRule="auto"/>
      </w:pPr>
      <w:r>
        <w:t>**Conclusion technique** : Les indicateurs présentent un tableau contrasté : les moyennes mobiles et le stochastique plaident pour un achat sur repli, tandis que le MACD signale une prudence à court terme. Le RSI neutre et la position sous la borne inférieure de Bollinger suggèrent que la correction actuelle pourrait toucher à sa fin. La convergence des signaux de survente (stochastique, RSI bas) et du support de la MM50 milite pour une reprise prochaine, sous réserve d'une confirmation par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 affiche un Produit Net Bancaire (PNB) de 51,274 milliards FCFA, en croissance de 10,2% sur un an, confirmant la dynamique commerciale de la banque. Le résultat net s'établit à 20,107 milliards FCFA, avec une marge nette exceptionnelle de 39,2% et un ROE de 17,1%, largement supérieur au seuil de 15% considéré comme excellent. Le coefficient d'exploitation de 49,5% (inférieur à 50%) témoigne d'une efficacité opérationnelle remarquable, tandis que le coût du risque de 22,5% (provisions/charges financières) reste un point de vigilance, bien qu'il soit compensé par la qualité globale du portefeuille. La structure financière est solide : les dépôts clientèle (711,642 milliards FCFA) couvrent largement les créances clientèle (391,724 milliards FCFA), avec un ratio de transformation de 55%, et l'autonomie financière de 12,2% reste limitée mais conforme aux normes bancaires. Les rapports trimestriels récents confirment cette tendance : le T1 2026 (rapport du 31 mars 2026) affiche un PNB de 12,329 milliards FCFA (+11%) et un résultat net de 4,502 milliards FCFA (+1%), avec une progression des commissions de +18,9% et des dépôts clientèle de 753,7 milliards FCFA (+3,5% sur l'année glissante). Le T3 2025 (rapport du 30 septembre 2025) montrait déjà un PNB de 37,065 milliards FCFA (+9%) et un résultat net de 15,880 milliards FCFA (+13%), malgré une contraction des crédits (-10%) et des dépôts (-5%) liée à des remboursements anticipés. Sur la base de ces tendances, on estime que l'exercice 2026 devrait enregistrer un PNB annuel proche de 55-57 milliards FCFA et un résultat net de l'ordre de 21-22 milliards FCFA, porté par la croissance des commissions et l'amélioration de la marge nette bancaire. La recommandation fondamentale est de conserver le titre : la solidité financière, la rentabilité élevée et la croissance régulière du PNB compensent la valorisation exigeante et les risques liés à la contraction du bilan.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19,9x, P/B 3,40x, EV/EBITDA 20,3x) indique une surévaluation relative par rapport à la moyenne du marché BRVM, les investisseurs payant une prime significative pour la qualité de la banque. Le comportement du cours sur 100 jours est haussier (+19,98%) avec une volatilité modérée (26,4%) et une distribution asymétrique positive (skewness 0,953), bien que la correction récente (-2,48% J-1) et la position sous la borne inférieure de Bollinger signalent une pression vendeuse à court terme. Les signaux techniques sont mitigés : les moyennes mobiles et le stochastique plaident pour un achat sur repli, tandis que le MACD génère une décision de vente, créant une divergence qui appelle à la prudence. Les fondamentaux restent solides : PNB 2025 de 51,274 milliards FCFA (+10,2%), résultat net de 20,107 milliards FCFA, ROE de 17,1% et coefficient d'exploitation de 49,5%, avec des estimations 2026 favorables (PNB ~55-57 milliards FCFA) basées sur les rapports T1 2026 et T3 2025. Les prédictions IA pour les 10 prochains jours (9 864 → 9 731 FCFA) anticipent une légère poursuite de la correction, ce qui contredit partiellement les signaux d'achat technique mais confirme la prudence à court terme. Sur la base de cette synthèse, la recommandation finale est **CONSERVER** : la convergence entre fondamentaux solides et valorisation exigeante ne justifie pas un achat agressif, mais la qualité de la banque et ses perspectives de croissance interdisent toute vente. Le niveau de confiance est **Moyen** (divergence technique), le risque global est **Moyen** (volatilité modérée, valorisation tendue), et l'horizon d'investissement optimal est **moyen terme (3-12 mois)** pour profiter de la correction actuelle et de la poursuite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343.20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6,564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+44.44%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18.69% (Élevée) — μ=6,618 FCFA, σ=1,237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β=0.4545 (Défensif) — Cov=0.000016, Var(idx)=0.000036,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2026-09-21</w:t>
            </w:r>
          </w:p>
        </w:tc>
        <w:tc>
          <w:tcPr>
            <w:tcW w:type="dxa" w:w="1440"/>
            <w:shd w:fill="C6EFCE" w:val="clear"/>
          </w:tcPr>
          <w:p>
            <w:r>
              <w:rPr>
                <w:sz w:val="17"/>
              </w:rPr>
              <w:t>7,624</w:t>
            </w:r>
          </w:p>
        </w:tc>
        <w:tc>
          <w:tcPr>
            <w:tcW w:type="dxa" w:w="1440"/>
            <w:shd w:fill="C6EFCE" w:val="clear"/>
          </w:tcPr>
          <w:p>
            <w:r>
              <w:rPr>
                <w:b/>
                <w:sz w:val="17"/>
              </w:rPr>
              <w:t>7,963</w:t>
            </w:r>
          </w:p>
        </w:tc>
        <w:tc>
          <w:tcPr>
            <w:tcW w:type="dxa" w:w="1440"/>
            <w:shd w:fill="C6EFCE" w:val="clear"/>
          </w:tcPr>
          <w:p>
            <w:r>
              <w:rPr>
                <w:sz w:val="17"/>
              </w:rPr>
              <w:t>8,302</w:t>
            </w:r>
          </w:p>
        </w:tc>
        <w:tc>
          <w:tcPr>
            <w:tcW w:type="dxa" w:w="1440"/>
            <w:shd w:fill="C6EFCE" w:val="clear"/>
          </w:tcPr>
          <w:p>
            <w:r>
              <w:rPr>
                <w:b/>
                <w:color w:val="008000"/>
                <w:sz w:val="17"/>
              </w:rPr>
              <w:t>+2.1%</w:t>
            </w:r>
          </w:p>
        </w:tc>
      </w:tr>
      <w:tr>
        <w:tc>
          <w:tcPr>
            <w:tcW w:type="dxa" w:w="1440"/>
            <w:shd w:fill="C6EFCE" w:val="clear"/>
          </w:tcPr>
          <w:p>
            <w:r>
              <w:rPr>
                <w:sz w:val="17"/>
              </w:rPr>
              <w:t>J+2  Moyenne</w:t>
            </w:r>
          </w:p>
        </w:tc>
        <w:tc>
          <w:tcPr>
            <w:tcW w:type="dxa" w:w="1440"/>
            <w:shd w:fill="C6EFCE" w:val="clear"/>
          </w:tcPr>
          <w:p>
            <w:r>
              <w:rPr>
                <w:sz w:val="17"/>
              </w:rPr>
              <w:t>2026-09-22</w:t>
            </w:r>
          </w:p>
        </w:tc>
        <w:tc>
          <w:tcPr>
            <w:tcW w:type="dxa" w:w="1440"/>
            <w:shd w:fill="C6EFCE" w:val="clear"/>
          </w:tcPr>
          <w:p>
            <w:r>
              <w:rPr>
                <w:sz w:val="17"/>
              </w:rPr>
              <w:t>7,569</w:t>
            </w:r>
          </w:p>
        </w:tc>
        <w:tc>
          <w:tcPr>
            <w:tcW w:type="dxa" w:w="1440"/>
            <w:shd w:fill="C6EFCE" w:val="clear"/>
          </w:tcPr>
          <w:p>
            <w:r>
              <w:rPr>
                <w:b/>
                <w:sz w:val="17"/>
              </w:rPr>
              <w:t>8,054</w:t>
            </w:r>
          </w:p>
        </w:tc>
        <w:tc>
          <w:tcPr>
            <w:tcW w:type="dxa" w:w="1440"/>
            <w:shd w:fill="C6EFCE" w:val="clear"/>
          </w:tcPr>
          <w:p>
            <w:r>
              <w:rPr>
                <w:sz w:val="17"/>
              </w:rPr>
              <w:t>8,539</w:t>
            </w:r>
          </w:p>
        </w:tc>
        <w:tc>
          <w:tcPr>
            <w:tcW w:type="dxa" w:w="1440"/>
            <w:shd w:fill="C6EFCE" w:val="clear"/>
          </w:tcPr>
          <w:p>
            <w:r>
              <w:rPr>
                <w:b/>
                <w:color w:val="008000"/>
                <w:sz w:val="17"/>
              </w:rPr>
              <w:t>+3.3%</w:t>
            </w:r>
          </w:p>
        </w:tc>
      </w:tr>
      <w:tr>
        <w:tc>
          <w:tcPr>
            <w:tcW w:type="dxa" w:w="1440"/>
            <w:shd w:fill="C6EFCE" w:val="clear"/>
          </w:tcPr>
          <w:p>
            <w:r>
              <w:rPr>
                <w:sz w:val="17"/>
              </w:rPr>
              <w:t>J+3  Moyenne</w:t>
            </w:r>
          </w:p>
        </w:tc>
        <w:tc>
          <w:tcPr>
            <w:tcW w:type="dxa" w:w="1440"/>
            <w:shd w:fill="C6EFCE" w:val="clear"/>
          </w:tcPr>
          <w:p>
            <w:r>
              <w:rPr>
                <w:sz w:val="17"/>
              </w:rPr>
              <w:t>2026-09-23</w:t>
            </w:r>
          </w:p>
        </w:tc>
        <w:tc>
          <w:tcPr>
            <w:tcW w:type="dxa" w:w="1440"/>
            <w:shd w:fill="C6EFCE" w:val="clear"/>
          </w:tcPr>
          <w:p>
            <w:r>
              <w:rPr>
                <w:sz w:val="17"/>
              </w:rPr>
              <w:t>7,518</w:t>
            </w:r>
          </w:p>
        </w:tc>
        <w:tc>
          <w:tcPr>
            <w:tcW w:type="dxa" w:w="1440"/>
            <w:shd w:fill="C6EFCE" w:val="clear"/>
          </w:tcPr>
          <w:p>
            <w:r>
              <w:rPr>
                <w:b/>
                <w:sz w:val="17"/>
              </w:rPr>
              <w:t>8,117</w:t>
            </w:r>
          </w:p>
        </w:tc>
        <w:tc>
          <w:tcPr>
            <w:tcW w:type="dxa" w:w="1440"/>
            <w:shd w:fill="C6EFCE" w:val="clear"/>
          </w:tcPr>
          <w:p>
            <w:r>
              <w:rPr>
                <w:sz w:val="17"/>
              </w:rPr>
              <w:t>8,715</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7,454</w:t>
            </w:r>
          </w:p>
        </w:tc>
        <w:tc>
          <w:tcPr>
            <w:tcW w:type="dxa" w:w="1440"/>
            <w:shd w:fill="C6EFCE" w:val="clear"/>
          </w:tcPr>
          <w:p>
            <w:r>
              <w:rPr>
                <w:b/>
                <w:sz w:val="17"/>
              </w:rPr>
              <w:t>8,148</w:t>
            </w:r>
          </w:p>
        </w:tc>
        <w:tc>
          <w:tcPr>
            <w:tcW w:type="dxa" w:w="1440"/>
            <w:shd w:fill="C6EFCE" w:val="clear"/>
          </w:tcPr>
          <w:p>
            <w:r>
              <w:rPr>
                <w:sz w:val="17"/>
              </w:rPr>
              <w:t>8,842</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7,386</w:t>
            </w:r>
          </w:p>
        </w:tc>
        <w:tc>
          <w:tcPr>
            <w:tcW w:type="dxa" w:w="1440"/>
            <w:shd w:fill="C6EFCE" w:val="clear"/>
          </w:tcPr>
          <w:p>
            <w:r>
              <w:rPr>
                <w:b/>
                <w:sz w:val="17"/>
              </w:rPr>
              <w:t>8,163</w:t>
            </w:r>
          </w:p>
        </w:tc>
        <w:tc>
          <w:tcPr>
            <w:tcW w:type="dxa" w:w="1440"/>
            <w:shd w:fill="C6EFCE" w:val="clear"/>
          </w:tcPr>
          <w:p>
            <w:r>
              <w:rPr>
                <w:sz w:val="17"/>
              </w:rPr>
              <w:t>8,940</w:t>
            </w:r>
          </w:p>
        </w:tc>
        <w:tc>
          <w:tcPr>
            <w:tcW w:type="dxa" w:w="1440"/>
            <w:shd w:fill="C6EFCE" w:val="clear"/>
          </w:tcPr>
          <w:p>
            <w:r>
              <w:rPr>
                <w:b/>
                <w:color w:val="008000"/>
                <w:sz w:val="17"/>
              </w:rPr>
              <w:t>+4.7%</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7,319</w:t>
            </w:r>
          </w:p>
        </w:tc>
        <w:tc>
          <w:tcPr>
            <w:tcW w:type="dxa" w:w="1440"/>
            <w:shd w:fill="C6EFCE" w:val="clear"/>
          </w:tcPr>
          <w:p>
            <w:r>
              <w:rPr>
                <w:b/>
                <w:sz w:val="17"/>
              </w:rPr>
              <w:t>8,171</w:t>
            </w:r>
          </w:p>
        </w:tc>
        <w:tc>
          <w:tcPr>
            <w:tcW w:type="dxa" w:w="1440"/>
            <w:shd w:fill="C6EFCE" w:val="clear"/>
          </w:tcPr>
          <w:p>
            <w:r>
              <w:rPr>
                <w:sz w:val="17"/>
              </w:rPr>
              <w:t>9,023</w:t>
            </w:r>
          </w:p>
        </w:tc>
        <w:tc>
          <w:tcPr>
            <w:tcW w:type="dxa" w:w="1440"/>
            <w:shd w:fill="C6EFCE" w:val="clear"/>
          </w:tcPr>
          <w:p>
            <w:r>
              <w:rPr>
                <w:b/>
                <w:color w:val="008000"/>
                <w:sz w:val="17"/>
              </w:rPr>
              <w:t>+4.8%</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7,255</w:t>
            </w:r>
          </w:p>
        </w:tc>
        <w:tc>
          <w:tcPr>
            <w:tcW w:type="dxa" w:w="1440"/>
            <w:shd w:fill="C6EFCE" w:val="clear"/>
          </w:tcPr>
          <w:p>
            <w:r>
              <w:rPr>
                <w:b/>
                <w:sz w:val="17"/>
              </w:rPr>
              <w:t>8,176</w:t>
            </w:r>
          </w:p>
        </w:tc>
        <w:tc>
          <w:tcPr>
            <w:tcW w:type="dxa" w:w="1440"/>
            <w:shd w:fill="C6EFCE" w:val="clear"/>
          </w:tcPr>
          <w:p>
            <w:r>
              <w:rPr>
                <w:sz w:val="17"/>
              </w:rPr>
              <w:t>9,096</w:t>
            </w:r>
          </w:p>
        </w:tc>
        <w:tc>
          <w:tcPr>
            <w:tcW w:type="dxa" w:w="1440"/>
            <w:shd w:fill="C6EFCE" w:val="clear"/>
          </w:tcPr>
          <w:p>
            <w:r>
              <w:rPr>
                <w:b/>
                <w:color w:val="008000"/>
                <w:sz w:val="17"/>
              </w:rPr>
              <w:t>+4.8%</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7,194</w:t>
            </w:r>
          </w:p>
        </w:tc>
        <w:tc>
          <w:tcPr>
            <w:tcW w:type="dxa" w:w="1440"/>
            <w:shd w:fill="C6EFCE" w:val="clear"/>
          </w:tcPr>
          <w:p>
            <w:r>
              <w:rPr>
                <w:b/>
                <w:sz w:val="17"/>
              </w:rPr>
              <w:t>8,179</w:t>
            </w:r>
          </w:p>
        </w:tc>
        <w:tc>
          <w:tcPr>
            <w:tcW w:type="dxa" w:w="1440"/>
            <w:shd w:fill="C6EFCE" w:val="clear"/>
          </w:tcPr>
          <w:p>
            <w:r>
              <w:rPr>
                <w:sz w:val="17"/>
              </w:rPr>
              <w:t>9,164</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7,138</w:t>
            </w:r>
          </w:p>
        </w:tc>
        <w:tc>
          <w:tcPr>
            <w:tcW w:type="dxa" w:w="1440"/>
            <w:shd w:fill="C6EFCE" w:val="clear"/>
          </w:tcPr>
          <w:p>
            <w:r>
              <w:rPr>
                <w:b/>
                <w:sz w:val="17"/>
              </w:rPr>
              <w:t>8,183</w:t>
            </w:r>
          </w:p>
        </w:tc>
        <w:tc>
          <w:tcPr>
            <w:tcW w:type="dxa" w:w="1440"/>
            <w:shd w:fill="C6EFCE" w:val="clear"/>
          </w:tcPr>
          <w:p>
            <w:r>
              <w:rPr>
                <w:sz w:val="17"/>
              </w:rPr>
              <w:t>9,228</w:t>
            </w:r>
          </w:p>
        </w:tc>
        <w:tc>
          <w:tcPr>
            <w:tcW w:type="dxa" w:w="1440"/>
            <w:shd w:fill="C6EFCE" w:val="clear"/>
          </w:tcPr>
          <w:p>
            <w:r>
              <w:rPr>
                <w:b/>
                <w:color w:val="008000"/>
                <w:sz w:val="17"/>
              </w:rPr>
              <w:t>+4.9%</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7,084</w:t>
            </w:r>
          </w:p>
        </w:tc>
        <w:tc>
          <w:tcPr>
            <w:tcW w:type="dxa" w:w="1440"/>
            <w:shd w:fill="C6EFCE" w:val="clear"/>
          </w:tcPr>
          <w:p>
            <w:r>
              <w:rPr>
                <w:b/>
                <w:sz w:val="17"/>
              </w:rPr>
              <w:t>8,186</w:t>
            </w:r>
          </w:p>
        </w:tc>
        <w:tc>
          <w:tcPr>
            <w:tcW w:type="dxa" w:w="1440"/>
            <w:shd w:fill="C6EFCE" w:val="clear"/>
          </w:tcPr>
          <w:p>
            <w:r>
              <w:rPr>
                <w:sz w:val="17"/>
              </w:rPr>
              <w:t>9,288</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343,20 milliards FCFA, BOABF s'impose comme l'une des valeurs bancaires de référence de la cote BRVM, reflétant la solidité d'un établissement de premier plan du secteur bancaire burkinabè. Le BPA de 438 FCFA par action signifie que chaque titre génère près de 438 FCFA de bénéfice net, un niveau qui traduit la capacité bénéficiaire réelle de la banque. Le PER de 17,8x se situe nettement au-dessus de la moyenne du marché BRVM (8-12x), ce qui indique que les investisseurs acceptent de payer une prime significative pour les bénéfices de BOABF — une valorisation qui n'est justifiée que si la croissance future le confirme. Le P/B de 2,71x montre que le marché valorise la banque à près de trois fois sa valeur comptable, une prime de croissance qui reste dans la fourchette raisonnable de 2-4x pour le secteur. Enfin, l'EV/EBITDA de 7,8x, dans la zone 5-10x, suggère que la valeur totale de l'entreprise reste cohérente avec sa capacité opérationnelle,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 enregistré une progression spectaculaire de +44,44%, passant d'un plus bas de 5 300 FCFA à un plus haut de 9 090 FCFA, pour un cours actuel de 7 800 FCFA — soit un range de trading de 3 790 FCFA qui témoigne d'une dynamique haussière puissante. La dernière séance (J-1) affiche toutefois un repli de -2,50%, signalant une prise de bénéfices après le rallye. La moyenne de 6 618 FCFA se situe nettement au-dessus de la médiane de 5 985 FCFA, un écart qui confirme une distribution asymétrique : le skewness positif de 0,682 indique qu'il y a eu davantage de journées sous la moyenne, mais que les journées haussières ont été plus amples — caractéristique d'un titre en tendance haussière avec des poussées fortes. L'écart-type de 1 243 FCFA (CV=18,8%) traduit une dispersion modérée du cours, tandis que le kurtosis de -0,876 (mésokurtique) suggère une distribution proche de la normale, sans risque excessif de pics extrêmes. La volatilité annualisée de 33,0% classe le titre dans la catégorie « élevée »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(8 639 FCFA) et la MM50 (7 675,6 FCFA) encadrent le cours actuel de 7 800 FCFA. Le cours se situe sous la MM20 mais au-dessus de la MM50, ce qui traduit une correction de court terme au sein d'une tendance de fond haussière. La décision « Achat » est justifiée par le maintien du cours au-dessus de la MM50, support dynamique clé.</w:t>
      </w:r>
    </w:p>
    <w:p>
      <w:pPr>
        <w:spacing w:after="120" w:line="276" w:lineRule="auto"/>
      </w:pPr>
      <w:r>
        <w:t>**Bandes de Bollinger** : La borne supérieure est à 9 569,07 FCFA et la borne inférieure à 7 708,93 FCFA. Le cours actuel (7 800 FCFA) évolue très près de la borne inférieure, ce qui indique une pression vendeuse récente mais aussi un potentiel de rebond technique. La décision « Neutre » reflète cette position ambiguë entre risque de cassure et opportunité d'achat sur support.</w:t>
      </w:r>
    </w:p>
    <w:p>
      <w:pPr>
        <w:spacing w:after="120" w:line="276" w:lineRule="auto"/>
      </w:pPr>
      <w:r>
        <w:t>**MACD** : La valeur du MACD (172,192) est inférieure à son signal (361,309), confirmant une divergence baissière et un momentum négatif de court terme. La décision « Vente » signale que la dynamique haussière s'essouffle et qu'une consolidation est en cours.</w:t>
      </w:r>
    </w:p>
    <w:p>
      <w:pPr>
        <w:spacing w:after="120" w:line="276" w:lineRule="auto"/>
      </w:pPr>
      <w:r>
        <w:t>**RSI** : À 19,325, le RSI est en zone de survente extrême (&lt;30), ce qui est un signal d'achat technique puissant. La décision « Achat » est justifiée par le caractère excessif de la baisse récente, qui pourrait précéder un rebond.</w:t>
      </w:r>
    </w:p>
    <w:p>
      <w:pPr>
        <w:spacing w:after="120" w:line="276" w:lineRule="auto"/>
      </w:pPr>
      <w:r>
        <w:t>**Stochastique** : Le %K et le %D sont tous deux à 0,0, en zone de survente maximale. La décision « Achat » est cohérente avec un épuisement de la pression vendeuse et une probabilité élevée de retournement à la hausse.</w:t>
      </w:r>
    </w:p>
    <w:p>
      <w:pPr>
        <w:spacing w:after="120" w:line="276" w:lineRule="auto"/>
      </w:pPr>
      <w:r>
        <w:t>**Conclusion technique** : Les indicateurs sont divergents — le MACD est baissier tandis que le RSI et le Stochastique sont en survente extrême, et les MM restent globalement haussières. Cette configuration suggère une correction technique en fin de cycle, avec un potentiel de rebond à court terme, mais une prudence reste de mise tant que le MACD ne se retourne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BOABF a réalisé un Produit Net Bancaire (PNB) de 57 820 millions FCFA, quasi stable par rapport à 2024 (+0,6%), mais son résultat net a reculé de -14,1% à 19 252 millions FCFA, principalement en raison d'un coût du risque qui a quasiment doublé (8 355 millions FCFA contre 4 303 millions en 2024). Le coefficient d'exploitation de 47,19% confirme l'efficacité opérationnelle de la banque (&lt;60% = efficace, &lt;50% = excellente), et le ROE de 15,22% reste excellent (&gt;15%), tandis que le ROA de 1,68% est correct pour le secteur. Le ratio dépôts/crédits s'établit à 877 822 millions de dépôts clientèle pour 474 064 millions de créances clientèle, soit un ratio de transformation de 54%, indiquant une surliquidité relative mais aussi une sous-utilisation des dépôts. Les rapports trimestriels de 2026 révèlent une amélioration notable : au S1 2026 (rapport du 30/06/2026), le résultat net bondit de +31,0% à 10 770 millions FCFA, porté par une normalisation du coût du risque (-2 396 millions contre -6 876 millions un an plus tôt). Toutefois, le PNB du S1 2026 recule de -5,2% à 27 539 millions FCFA, et le T1 2026 (rapport du 31/03/2026) affiche un PNB en baisse de -10,75% à 12 694 millions FCFA, avec un résultat net en repli de -12,99% à 4 520 millions FCFA. On estime donc que l'exercice 2026 devrait bénéficier d'un effet base favorable sur le coût du risque, mais la dynamique commerciale reste fragile : les dépôts progressent (+7,4% à 942 692 millions au S1 2026) tandis que les crédits stagnent (+1,3% à 479 993 millions). La recommandation fondamentale est de **CONSERVER** : la rentabilité s'améliore à court terme grâce à la normalisation du risque, mais la baisse structurelle du PNB et la stagnation des crédits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17,8x, P/B 2,71x, EV/EBITDA 7,8x) indique une prime modérée à élevée par rapport au marché BRVM, justifiée par la qualité de l'établissement mais qui limite le potentiel de revalorisation à court terme. Le comportement du cours sur 100 jours est nettement haussier (+44,44%), avec une volatilité élevée (33%) et une asymétrie positive (skewness 0,682) qui suggère que les hausses ont été plus amples que les baisses — un profil favorable mais risqué. Les signaux techniques sont divergents : le RSI (19,3) et le Stochastique (0,0) en survente extrême plaident pour un rebond, tandis que le MACD baissier et la position du cours sous la MM20 appellent à la prudence. Les fondamentaux montrent une banque solide (ROE 15,2%, coefficient d'exploitation 47,2%) mais confrontée à un PNB en recul et à un coût du risque encore volatil, avec une amélioration récente au S1 2026 qui reste à confirmer. Les prédictions IA (J+1 à J+10) anticipent une trajectoire haussière modérée de 7 963 à 8 163 FCFA, ce qui confirme le potentiel de rebond technique sans pour autant effacer les risques fondamentaux. Sur la base de cette synthèse, la recommandation finale est **CONSERVER**, avec un niveau de confiance **Moyen** et un risque global **Élevé** (volatilité 33%, exposition au risque de crédit et à l'environnement sécuritaire burkinabè). L'horizon d'investissement optimal est le **moyen terme (3-12 mois)**, le temps que la normalisation du coût du risque se confirme et que la dynamique commerciale (crédits, PNB) se redresse.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472.20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10,530 titres</w:t>
            </w:r>
          </w:p>
        </w:tc>
        <w:tc>
          <w:tcPr>
            <w:tcW w:type="dxa" w:w="2268"/>
            <w:shd w:fill="FFF2CC" w:val="clear"/>
          </w:tcPr>
          <w:p>
            <w:r>
              <w:rPr>
                <w:b/>
                <w:color w:val="503200"/>
                <w:sz w:val="16"/>
              </w:rPr>
              <w:t xml:space="preserve">Cours actuel : </w:t>
            </w:r>
            <w:r>
              <w:rPr>
                <w:color w:val="000000"/>
                <w:sz w:val="17"/>
              </w:rPr>
              <w:t>11,805 FCFA</w:t>
            </w:r>
          </w:p>
          <w:p>
            <w:r>
              <w:rPr>
                <w:b/>
                <w:color w:val="503200"/>
                <w:sz w:val="16"/>
              </w:rPr>
              <w:t xml:space="preserve">Var. 100 jours : </w:t>
            </w:r>
            <w:r>
              <w:rPr>
                <w:b/>
                <w:color w:val="007800"/>
                <w:sz w:val="17"/>
              </w:rPr>
              <w:t>+37.27%</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15.56% (Élevée) — μ=10,299 FCFA, σ=1,602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β=0.0605 (Défensif) — Cov=0.000002, Var(idx)=0.000036, ρ=0.023,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10,530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11,418</w:t>
            </w:r>
          </w:p>
        </w:tc>
        <w:tc>
          <w:tcPr>
            <w:tcW w:type="dxa" w:w="1440"/>
            <w:shd w:fill="FAFAFA" w:val="clear"/>
          </w:tcPr>
          <w:p>
            <w:r>
              <w:rPr>
                <w:b/>
                <w:sz w:val="17"/>
              </w:rPr>
              <w:t>11,737</w:t>
            </w:r>
          </w:p>
        </w:tc>
        <w:tc>
          <w:tcPr>
            <w:tcW w:type="dxa" w:w="1440"/>
            <w:shd w:fill="FAFAFA" w:val="clear"/>
          </w:tcPr>
          <w:p>
            <w:r>
              <w:rPr>
                <w:sz w:val="17"/>
              </w:rPr>
              <w:t>12,055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11,197</w:t>
            </w:r>
          </w:p>
        </w:tc>
        <w:tc>
          <w:tcPr>
            <w:tcW w:type="dxa" w:w="1440"/>
            <w:shd w:fill="FAFAFA" w:val="clear"/>
          </w:tcPr>
          <w:p>
            <w:r>
              <w:rPr>
                <w:b/>
                <w:sz w:val="17"/>
              </w:rPr>
              <w:t>11,644</w:t>
            </w:r>
          </w:p>
        </w:tc>
        <w:tc>
          <w:tcPr>
            <w:tcW w:type="dxa" w:w="1440"/>
            <w:shd w:fill="FAFAFA" w:val="clear"/>
          </w:tcPr>
          <w:p>
            <w:r>
              <w:rPr>
                <w:sz w:val="17"/>
              </w:rPr>
              <w:t>12,091</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11,024</w:t>
            </w:r>
          </w:p>
        </w:tc>
        <w:tc>
          <w:tcPr>
            <w:tcW w:type="dxa" w:w="1440"/>
            <w:shd w:fill="FFDCE0" w:val="clear"/>
          </w:tcPr>
          <w:p>
            <w:r>
              <w:rPr>
                <w:b/>
                <w:sz w:val="17"/>
              </w:rPr>
              <w:t>11,568</w:t>
            </w:r>
          </w:p>
        </w:tc>
        <w:tc>
          <w:tcPr>
            <w:tcW w:type="dxa" w:w="1440"/>
            <w:shd w:fill="FFDCE0" w:val="clear"/>
          </w:tcPr>
          <w:p>
            <w:r>
              <w:rPr>
                <w:sz w:val="17"/>
              </w:rPr>
              <w:t>12,112</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10,874</w:t>
            </w:r>
          </w:p>
        </w:tc>
        <w:tc>
          <w:tcPr>
            <w:tcW w:type="dxa" w:w="1440"/>
            <w:shd w:fill="FFDCE0" w:val="clear"/>
          </w:tcPr>
          <w:p>
            <w:r>
              <w:rPr>
                <w:b/>
                <w:sz w:val="17"/>
              </w:rPr>
              <w:t>11,498</w:t>
            </w:r>
          </w:p>
        </w:tc>
        <w:tc>
          <w:tcPr>
            <w:tcW w:type="dxa" w:w="1440"/>
            <w:shd w:fill="FFDCE0" w:val="clear"/>
          </w:tcPr>
          <w:p>
            <w:r>
              <w:rPr>
                <w:sz w:val="17"/>
              </w:rPr>
              <w:t>12,123</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10,739</w:t>
            </w:r>
          </w:p>
        </w:tc>
        <w:tc>
          <w:tcPr>
            <w:tcW w:type="dxa" w:w="1440"/>
            <w:shd w:fill="FFDCE0" w:val="clear"/>
          </w:tcPr>
          <w:p>
            <w:r>
              <w:rPr>
                <w:b/>
                <w:sz w:val="17"/>
              </w:rPr>
              <w:t>11,434</w:t>
            </w:r>
          </w:p>
        </w:tc>
        <w:tc>
          <w:tcPr>
            <w:tcW w:type="dxa" w:w="1440"/>
            <w:shd w:fill="FFDCE0" w:val="clear"/>
          </w:tcPr>
          <w:p>
            <w:r>
              <w:rPr>
                <w:sz w:val="17"/>
              </w:rPr>
              <w:t>12,128</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10,617</w:t>
            </w:r>
          </w:p>
        </w:tc>
        <w:tc>
          <w:tcPr>
            <w:tcW w:type="dxa" w:w="1440"/>
            <w:shd w:fill="FFDCE0" w:val="clear"/>
          </w:tcPr>
          <w:p>
            <w:r>
              <w:rPr>
                <w:b/>
                <w:sz w:val="17"/>
              </w:rPr>
              <w:t>11,374</w:t>
            </w:r>
          </w:p>
        </w:tc>
        <w:tc>
          <w:tcPr>
            <w:tcW w:type="dxa" w:w="1440"/>
            <w:shd w:fill="FFDCE0" w:val="clear"/>
          </w:tcPr>
          <w:p>
            <w:r>
              <w:rPr>
                <w:sz w:val="17"/>
              </w:rPr>
              <w:t>12,131</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10,505</w:t>
            </w:r>
          </w:p>
        </w:tc>
        <w:tc>
          <w:tcPr>
            <w:tcW w:type="dxa" w:w="1440"/>
            <w:shd w:fill="FFDCE0" w:val="clear"/>
          </w:tcPr>
          <w:p>
            <w:r>
              <w:rPr>
                <w:b/>
                <w:sz w:val="17"/>
              </w:rPr>
              <w:t>11,318</w:t>
            </w:r>
          </w:p>
        </w:tc>
        <w:tc>
          <w:tcPr>
            <w:tcW w:type="dxa" w:w="1440"/>
            <w:shd w:fill="FFDCE0" w:val="clear"/>
          </w:tcPr>
          <w:p>
            <w:r>
              <w:rPr>
                <w:sz w:val="17"/>
              </w:rPr>
              <w:t>12,132</w:t>
            </w:r>
          </w:p>
        </w:tc>
        <w:tc>
          <w:tcPr>
            <w:tcW w:type="dxa" w:w="1440"/>
            <w:shd w:fill="FFDCE0" w:val="clear"/>
          </w:tcPr>
          <w:p>
            <w:r>
              <w:rPr>
                <w:b/>
                <w:color w:val="C00000"/>
                <w:sz w:val="17"/>
              </w:rPr>
              <w:t>-4.1%</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10,401</w:t>
            </w:r>
          </w:p>
        </w:tc>
        <w:tc>
          <w:tcPr>
            <w:tcW w:type="dxa" w:w="1440"/>
            <w:shd w:fill="FFDCE0" w:val="clear"/>
          </w:tcPr>
          <w:p>
            <w:r>
              <w:rPr>
                <w:b/>
                <w:sz w:val="17"/>
              </w:rPr>
              <w:t>11,266</w:t>
            </w:r>
          </w:p>
        </w:tc>
        <w:tc>
          <w:tcPr>
            <w:tcW w:type="dxa" w:w="1440"/>
            <w:shd w:fill="FFDCE0" w:val="clear"/>
          </w:tcPr>
          <w:p>
            <w:r>
              <w:rPr>
                <w:sz w:val="17"/>
              </w:rPr>
              <w:t>12,132</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10,304</w:t>
            </w:r>
          </w:p>
        </w:tc>
        <w:tc>
          <w:tcPr>
            <w:tcW w:type="dxa" w:w="1440"/>
            <w:shd w:fill="FFDCE0" w:val="clear"/>
          </w:tcPr>
          <w:p>
            <w:r>
              <w:rPr>
                <w:b/>
                <w:sz w:val="17"/>
              </w:rPr>
              <w:t>11,218</w:t>
            </w:r>
          </w:p>
        </w:tc>
        <w:tc>
          <w:tcPr>
            <w:tcW w:type="dxa" w:w="1440"/>
            <w:shd w:fill="FFDCE0" w:val="clear"/>
          </w:tcPr>
          <w:p>
            <w:r>
              <w:rPr>
                <w:sz w:val="17"/>
              </w:rPr>
              <w:t>12,132</w:t>
            </w:r>
          </w:p>
        </w:tc>
        <w:tc>
          <w:tcPr>
            <w:tcW w:type="dxa" w:w="1440"/>
            <w:shd w:fill="FFDCE0" w:val="clear"/>
          </w:tcPr>
          <w:p>
            <w:r>
              <w:rPr>
                <w:b/>
                <w:color w:val="C00000"/>
                <w:sz w:val="17"/>
              </w:rPr>
              <w:t>-5.0%</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10,212</w:t>
            </w:r>
          </w:p>
        </w:tc>
        <w:tc>
          <w:tcPr>
            <w:tcW w:type="dxa" w:w="1440"/>
            <w:shd w:fill="FFDCE0" w:val="clear"/>
          </w:tcPr>
          <w:p>
            <w:r>
              <w:rPr>
                <w:b/>
                <w:sz w:val="17"/>
              </w:rPr>
              <w:t>11,172</w:t>
            </w:r>
          </w:p>
        </w:tc>
        <w:tc>
          <w:tcPr>
            <w:tcW w:type="dxa" w:w="1440"/>
            <w:shd w:fill="FFDCE0" w:val="clear"/>
          </w:tcPr>
          <w:p>
            <w:r>
              <w:rPr>
                <w:sz w:val="17"/>
              </w:rPr>
              <w:t>12,132</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472,20 milliards FCFA, BOAC figure parmi les valeurs les plus importantes de la cote BRVM, ce qui lui confère une liquidité relative et une visibilité institutionnelle appréciables. Le BPA de 888 FCFA par action signifie que chaque titre génère près de neuf cents francs de bénéfice net, un niveau élevé qui traduit la forte rentabilité de la banque. Le PER de 13,3x se situe légèrement au-dessus de la moyenne du marché BRVM (estimée entre 8x et 12x), ce qui indique que les investisseurs acceptent de payer une prime modérée pour cette valeur bancaire de qualité, sans que cela constitue une surévaluation excessive. Le P/B de 3,71x montre que le marché valorise BOAC à près de quatre fois sa valeur comptable, une prime de croissance justifiée par un ROE exceptionnel de 27,9%. En revanche, l'EV/EBITDA de 26,8x apparaît très exigeant (seuil d'alerte &gt;15x), signalant que la valeur d'entreprise intègre déjà des anticipations de performance élevées ; ce ratio doit toutefois être interprété avec prudence dans le secteur bancaire, où l'EBITDA est moins pertinent que le PNB.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affiche une progression remarquable de +37,27%, malgré un repli de -1,62% lors de la dernière séance, ramenant le cours à 11 805 FCFA. Le range de trading est particulièrement large, avec un plus haut à 13 450 FCFA et un plus bas à 8 585 FCFA, soit une amplitude de près de 57% qui témoigne d'une forte dynamique haussière entrecoupée de corrections. La tendance générale est donc clairement haussière, portée par des fondamentaux solides et un intérêt croissant des investisseurs. Les statistiques descriptives révèlent une moyenne de 10 299 FCFA nettement supérieure à la médiane de 9 470 FCFA, ce qui confirme une asymétrie positive : le cours a passé plus de temps dans les niveaux bas avant de s'envoler en fin de période. L'écart-type de 1 610 FCFA (CV = 15,6%) indique une dispersion modérée du cours autour de sa moyenne. Le kurtosis négatif (-1,282) signale une distribution platykurtique, c'est-à-dire sans pics extrêmes fréquents — un profil rassurant pour la gestion du risque. Le skewness positif (0,600) confirme que les journées sous la moyenne ont été plus nombreuses, mais compensées par des hausses vigoureuses. Enfin, la volatilité annualisée de 25,7% place le titre dans la catégorie des valeurs à volatilité modérée (15-30%), ce qui reste acceptable pour une action bancaire de cette envergure.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12 453 FCFA et la MM50 à 11 634,1 FCFA, toutes deux supérieures au cours actuel de 11 805 FCFA. Cette configuration — cours sous ses moyennes — traduit une correction à court terme, mais la décision technique reste « Achat », probablement parce que la MM50 sert de support dynamique et que la tendance de fond demeure haussière. Le croisement potentiel à venir entre MM20 et MM50 mérite une surveillance attentive.</w:t>
      </w:r>
    </w:p>
    <w:p>
      <w:pPr>
        <w:spacing w:after="120" w:line="276" w:lineRule="auto"/>
      </w:pPr>
      <w:r>
        <w:t>**Bandes de Bollinger** : La borne supérieure est à 13 037,6 FCFA et la borne inférieure à 11 868,4 FCFA. Le cours actuel (11 805 FCFA) se situe légèrement SOUS la borne inférieure, ce qui constitue un signal de survente technique et une opportunité d'achat potentielle. La largeur des bandes indique une volatilité encore présente, mais le retour du cours vers la moyenne est statistiquement probable à court terme.</w:t>
      </w:r>
    </w:p>
    <w:p>
      <w:pPr>
        <w:spacing w:after="120" w:line="276" w:lineRule="auto"/>
      </w:pPr>
      <w:r>
        <w:t>**MACD** : La valeur du MACD (55,711) est nettement inférieure à son signal (209,666), générant une décision « Vente ». Cette divergence baissière indique un essoufflement du momentum haussier et suggère que la correction actuelle pourrait se poursuivre à très court terme avant une reprise.</w:t>
      </w:r>
    </w:p>
    <w:p>
      <w:pPr>
        <w:spacing w:after="120" w:line="276" w:lineRule="auto"/>
      </w:pPr>
      <w:r>
        <w:t>**RSI** : À 23,077, le RSI est en zone de survente profonde (seuil &lt;30), ce qui déclenche une décision « Achat ». Un RSI aussi bas après une hausse de +37% sur 100 jours signale que la correction récente est peut-être excessive et qu'un rebond technique est probable.</w:t>
      </w:r>
    </w:p>
    <w:p>
      <w:pPr>
        <w:spacing w:after="120" w:line="276" w:lineRule="auto"/>
      </w:pPr>
      <w:r>
        <w:t>**Stochastique** : Les valeurs %K et %D sont toutes deux à 0,0, ce qui est un signal extrême de survente. En théorie, un croisement haussier du %K au-dessus du %D est attendu, mais l'absence de données différenciées limite l'interprétation. La décision « Achat » reste cohérente avec cette configuration de survente.</w:t>
      </w:r>
    </w:p>
    <w:p>
      <w:pPr>
        <w:spacing w:after="120" w:line="276" w:lineRule="auto"/>
      </w:pPr>
      <w:r>
        <w:t>**Conclusion technique** : Les indicateurs présentent une divergence notable : le RSI, le stochastique et les bandes de Bollinger plaident pour un rebond imminent (survente), tandis que le MACD et la position sous les moyennes mobiles suggèrent une prudence à court terme. Cette configuration est typique d'une phase de consolidation après une forte hausse, et la convergence des signaux de survente penche globalement en faveur d'un point d'entrée intéressant pour les investisseurs patients.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BOAC a réalisé un Produit Net Bancaire (PNB) de 73 545 millions FCFA, en légère hausse de +1,1% par rapport à 2024 (72 724 millions). Le résultat net s'établit à 35 540 millions FCFA, en progression de +10,9% sur un an, porté par une amélioration notable du coût du risque (-27,8%, à -4 902 millions). Le ROE atteint 27,9% — un niveau exceptionnel (&gt;15% = excellent) — et le ROA ressort à 3,22%, confirmant l'efficacité de l'utilisation des actifs. Le coefficient d'exploitation de 36,7% est excellent (&lt;50%), témoignant d'une grande efficacité opérationnelle. La marge nette de 48,3% est remarquable pour le secteur. Le ratio dépôts/crédits est très favorable : les dépôts clientèle (850 548 millions) couvrent largement les créances clientèle (430 433 millions), soit un ratio de 198%, indiquant une forte capacité de transformation et une liquidité abondante. Le coût du risque rapporté aux charges financières (6,67%) reste modéré, bien qu'en hausse.</w:t>
      </w:r>
    </w:p>
    <w:p>
      <w:pPr>
        <w:spacing w:after="120" w:line="276" w:lineRule="auto"/>
      </w:pPr>
      <w:r>
        <w:t>**Estimations basées sur les rapports trimestriels** : Le rapport du T1 2026 (publié le 31/03/2026) révèle un PNB de 18 960 millions FCFA (+3,09% sur un an) et un résultat net de 10 801 millions (+0,91%). Point d'attention : le coût net du risque bondit de +314,75% (-652 vs -157 millions), une dégradation marquée mais sur des montants encore modestes. Les dépôts clientèle bondissent de +21,44% (923 307 millions), tandis que les crédits nets restent quasi stables (-0,29%, à 442 169 millions). Sur la base de ce T1 2026, on peut estimer que l'exercice 2026 devrait maintenir une croissance modérée du PNB (autour de +2-3%) et un résultat net stable à légèrement croissant, sous réserve que la dégradation du coût du risque ne s'amplifie pas. Le rapport annuel 2025 (publié le 31/12/2025) confirme la solidité du modèle, avec une augmentation de capital réussie (capital porté à 40 milliards) et un dividende de 684 FCFA/action au titre de 2024 (rendement d'environ 5,8% au cours actuel). Le rapport T3 2025 (30/09/2025) montrait déjà une collecte de dépôts robuste (+10,28%) et un coût du risque maîtrisé. Les rapports plus anciens (S1 2025, T1 2025) confirment la tendance de fond : stagnation du PNB mais amélioration de l'efficacité et de la rentabilité.</w:t>
      </w:r>
    </w:p>
    <w:p>
      <w:pPr>
        <w:spacing w:after="120" w:line="276" w:lineRule="auto"/>
      </w:pPr>
      <w:r>
        <w:t>**Recommandation fondamentale** : BOAC présente une solidité financière incontestable, avec des ratios de rentabilité parmi les meilleurs du secteur bancaire ouest-africain. Les risques identifiés — hausse des créances en souffrance (+52,1% en 2025) et dégradation du coût du risque au T1 2026 — méritent un suivi attentif, mais ne remettent pas en cause la qualité fondamentale de la banque. La recommandation fondamentale est **ACHAT**,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**Valorisation (Partie 0)** : le PER de 13,3x et le P/B de 3,71x indiquent une valorisation raisonnable mais non bon marché, avec une prime de croissance justifiée par un ROE de 27,9% ; l'EV/EBITDA de 26,8x est exigeant mais peu pertinent pour une banque. **Comportement du cours (Partie 1)** : la tendance haussière de +37,27% sur 100 jours est impressionnante, mais la correction récente (-1,62% J-1) et la volatilité modérée (25,7%) suggèrent une consolidation saine ; le skewness positif et le kurtosis négatif indiquent un profil de risque maîtrisé. **Signaux techniques (Partie 2)** : divergence entre les indicateurs de survente (RSI à 23, Bollinger sous la borne inférieure, Stochastique à 0) qui plaident pour un rebond, et le MACD baissier qui appelle à la prudence à court terme. **Fondamentaux (Partie 3)** : BOAC affiche une solidité exceptionnelle (ROE 27,9%, coefficient d'exploitation 36,7%, marge nette 48,3%) et une croissance du résultat net de +10,9% en 2025, mais le T1 2026 montre un ralentissement (+0,91% de résultat net) et une dégradation du coût du risque. **Prédictions IA (J+1 à J+10)** : la trajectoire prévue est baissière à court terme (11 737 → 11 434 FCFA), ce qui contredit les signaux de survente technique et suggère que la correction pourrait se poursuivre quelques jours encore.</w:t>
      </w:r>
    </w:p>
    <w:p>
      <w:pPr>
        <w:spacing w:after="120" w:line="276" w:lineRule="auto"/>
      </w:pPr>
      <w:r>
        <w:t>**Recommandation finale : CONSERVER** — La convergence entre une valorisation correcte, des fondamentaux solides mais un ralentissement récent, des signaux techniques mitigés et des prédictions baissières à court terme ne justifie pas un achat agressif immédiat. Les investisseurs déjà positionnés peuvent conserver leur titre en attendant un rebond technique confirmé (surveiller le RSI et le croisement du stochastique). **Niveau de confiance : Moyen** — Les fondamentaux sont robustes, mais l'incertitude sur le coût du risque et la divergence technique limitent la visibilité. **Niveau de risque global : Moyen** — La volatilité modérée et la solidité financière atténuent le risque, mais la dégradation des créances en souffrance et la pression sur le PNB constituent des points de vigilance. **Horizon d'investissement optimal : Moyen terme (3-12 mois)** — Le temps nécessaire pour que la correction technique s'achève et que les fondamentaux (notamment la maîtrise du coût du risque) se confirment.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184.05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6,350 titres</w:t>
            </w:r>
          </w:p>
        </w:tc>
        <w:tc>
          <w:tcPr>
            <w:tcW w:type="dxa" w:w="2268"/>
            <w:shd w:fill="FFF2CC" w:val="clear"/>
          </w:tcPr>
          <w:p>
            <w:r>
              <w:rPr>
                <w:b/>
                <w:color w:val="503200"/>
                <w:sz w:val="16"/>
              </w:rPr>
              <w:t xml:space="preserve">Cours actuel : </w:t>
            </w:r>
            <w:r>
              <w:rPr>
                <w:color w:val="000000"/>
                <w:sz w:val="17"/>
              </w:rPr>
              <w:t>6,705 FCFA</w:t>
            </w:r>
          </w:p>
          <w:p>
            <w:r>
              <w:rPr>
                <w:b/>
                <w:color w:val="503200"/>
                <w:sz w:val="16"/>
              </w:rPr>
              <w:t xml:space="preserve">Var. 100 jours : </w:t>
            </w:r>
            <w:r>
              <w:rPr>
                <w:b/>
                <w:color w:val="007800"/>
                <w:sz w:val="17"/>
              </w:rPr>
              <w:t>+43.58%</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14.70% (Moyenne) — μ=5,467 FCFA, σ=804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β=0.4136 (Défensif) — Cov=0.000015, Var(idx)=0.000036, ρ=0.114,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6,447</w:t>
            </w:r>
          </w:p>
        </w:tc>
        <w:tc>
          <w:tcPr>
            <w:tcW w:type="dxa" w:w="1440"/>
            <w:shd w:fill="FAFAFA" w:val="clear"/>
          </w:tcPr>
          <w:p>
            <w:r>
              <w:rPr>
                <w:b/>
                <w:sz w:val="17"/>
              </w:rPr>
              <w:t>6,670</w:t>
            </w:r>
          </w:p>
        </w:tc>
        <w:tc>
          <w:tcPr>
            <w:tcW w:type="dxa" w:w="1440"/>
            <w:shd w:fill="FAFAFA" w:val="clear"/>
          </w:tcPr>
          <w:p>
            <w:r>
              <w:rPr>
                <w:sz w:val="17"/>
              </w:rPr>
              <w:t>6,893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6,402</w:t>
            </w:r>
          </w:p>
        </w:tc>
        <w:tc>
          <w:tcPr>
            <w:tcW w:type="dxa" w:w="1440"/>
            <w:shd w:fill="FAFAFA" w:val="clear"/>
          </w:tcPr>
          <w:p>
            <w:r>
              <w:rPr>
                <w:b/>
                <w:sz w:val="17"/>
              </w:rPr>
              <w:t>6,721</w:t>
            </w:r>
          </w:p>
        </w:tc>
        <w:tc>
          <w:tcPr>
            <w:tcW w:type="dxa" w:w="1440"/>
            <w:shd w:fill="FAFAFA" w:val="clear"/>
          </w:tcPr>
          <w:p>
            <w:r>
              <w:rPr>
                <w:sz w:val="17"/>
              </w:rPr>
              <w:t>7,039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6,393</w:t>
            </w:r>
          </w:p>
        </w:tc>
        <w:tc>
          <w:tcPr>
            <w:tcW w:type="dxa" w:w="1440"/>
            <w:shd w:fill="FAFAFA" w:val="clear"/>
          </w:tcPr>
          <w:p>
            <w:r>
              <w:rPr>
                <w:b/>
                <w:sz w:val="17"/>
              </w:rPr>
              <w:t>6,786</w:t>
            </w:r>
          </w:p>
        </w:tc>
        <w:tc>
          <w:tcPr>
            <w:tcW w:type="dxa" w:w="1440"/>
            <w:shd w:fill="FAFAFA" w:val="clear"/>
          </w:tcPr>
          <w:p>
            <w:r>
              <w:rPr>
                <w:sz w:val="17"/>
              </w:rPr>
              <w:t>7,180</w:t>
            </w:r>
          </w:p>
        </w:tc>
        <w:tc>
          <w:tcPr>
            <w:tcW w:type="dxa" w:w="1440"/>
            <w:shd w:fill="FAFAFA" w:val="clear"/>
          </w:tcPr>
          <w:p>
            <w:r>
              <w:rPr>
                <w:b/>
                <w:color w:val="008000"/>
                <w:sz w:val="17"/>
              </w:rPr>
              <w:t>+1.2%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6,383</w:t>
            </w:r>
          </w:p>
        </w:tc>
        <w:tc>
          <w:tcPr>
            <w:tcW w:type="dxa" w:w="1440"/>
            <w:shd w:fill="C6EFCE" w:val="clear"/>
          </w:tcPr>
          <w:p>
            <w:r>
              <w:rPr>
                <w:b/>
                <w:sz w:val="17"/>
              </w:rPr>
              <w:t>6,841</w:t>
            </w:r>
          </w:p>
        </w:tc>
        <w:tc>
          <w:tcPr>
            <w:tcW w:type="dxa" w:w="1440"/>
            <w:shd w:fill="C6EFCE" w:val="clear"/>
          </w:tcPr>
          <w:p>
            <w:r>
              <w:rPr>
                <w:sz w:val="17"/>
              </w:rPr>
              <w:t>7,300</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6,369</w:t>
            </w:r>
          </w:p>
        </w:tc>
        <w:tc>
          <w:tcPr>
            <w:tcW w:type="dxa" w:w="1440"/>
            <w:shd w:fill="C6EFCE" w:val="clear"/>
          </w:tcPr>
          <w:p>
            <w:r>
              <w:rPr>
                <w:b/>
                <w:sz w:val="17"/>
              </w:rPr>
              <w:t>6,885</w:t>
            </w:r>
          </w:p>
        </w:tc>
        <w:tc>
          <w:tcPr>
            <w:tcW w:type="dxa" w:w="1440"/>
            <w:shd w:fill="C6EFCE" w:val="clear"/>
          </w:tcPr>
          <w:p>
            <w:r>
              <w:rPr>
                <w:sz w:val="17"/>
              </w:rPr>
              <w:t>7,400</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6,353</w:t>
            </w:r>
          </w:p>
        </w:tc>
        <w:tc>
          <w:tcPr>
            <w:tcW w:type="dxa" w:w="1440"/>
            <w:shd w:fill="C6EFCE" w:val="clear"/>
          </w:tcPr>
          <w:p>
            <w:r>
              <w:rPr>
                <w:b/>
                <w:sz w:val="17"/>
              </w:rPr>
              <w:t>6,920</w:t>
            </w:r>
          </w:p>
        </w:tc>
        <w:tc>
          <w:tcPr>
            <w:tcW w:type="dxa" w:w="1440"/>
            <w:shd w:fill="C6EFCE" w:val="clear"/>
          </w:tcPr>
          <w:p>
            <w:r>
              <w:rPr>
                <w:sz w:val="17"/>
              </w:rPr>
              <w:t>7,488</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6,337</w:t>
            </w:r>
          </w:p>
        </w:tc>
        <w:tc>
          <w:tcPr>
            <w:tcW w:type="dxa" w:w="1440"/>
            <w:shd w:fill="C6EFCE" w:val="clear"/>
          </w:tcPr>
          <w:p>
            <w:r>
              <w:rPr>
                <w:b/>
                <w:sz w:val="17"/>
              </w:rPr>
              <w:t>6,953</w:t>
            </w:r>
          </w:p>
        </w:tc>
        <w:tc>
          <w:tcPr>
            <w:tcW w:type="dxa" w:w="1440"/>
            <w:shd w:fill="C6EFCE" w:val="clear"/>
          </w:tcPr>
          <w:p>
            <w:r>
              <w:rPr>
                <w:sz w:val="17"/>
              </w:rPr>
              <w:t>7,569</w:t>
            </w:r>
          </w:p>
        </w:tc>
        <w:tc>
          <w:tcPr>
            <w:tcW w:type="dxa" w:w="1440"/>
            <w:shd w:fill="C6EFCE" w:val="clear"/>
          </w:tcPr>
          <w:p>
            <w:r>
              <w:rPr>
                <w:b/>
                <w:color w:val="008000"/>
                <w:sz w:val="17"/>
              </w:rPr>
              <w:t>+3.7%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6,321</w:t>
            </w:r>
          </w:p>
        </w:tc>
        <w:tc>
          <w:tcPr>
            <w:tcW w:type="dxa" w:w="1440"/>
            <w:shd w:fill="C6EFCE" w:val="clear"/>
          </w:tcPr>
          <w:p>
            <w:r>
              <w:rPr>
                <w:b/>
                <w:sz w:val="17"/>
              </w:rPr>
              <w:t>6,983</w:t>
            </w:r>
          </w:p>
        </w:tc>
        <w:tc>
          <w:tcPr>
            <w:tcW w:type="dxa" w:w="1440"/>
            <w:shd w:fill="C6EFCE" w:val="clear"/>
          </w:tcPr>
          <w:p>
            <w:r>
              <w:rPr>
                <w:sz w:val="17"/>
              </w:rPr>
              <w:t>7,644</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6,306</w:t>
            </w:r>
          </w:p>
        </w:tc>
        <w:tc>
          <w:tcPr>
            <w:tcW w:type="dxa" w:w="1440"/>
            <w:shd w:fill="C6EFCE" w:val="clear"/>
          </w:tcPr>
          <w:p>
            <w:r>
              <w:rPr>
                <w:b/>
                <w:sz w:val="17"/>
              </w:rPr>
              <w:t>7,011</w:t>
            </w:r>
          </w:p>
        </w:tc>
        <w:tc>
          <w:tcPr>
            <w:tcW w:type="dxa" w:w="1440"/>
            <w:shd w:fill="C6EFCE" w:val="clear"/>
          </w:tcPr>
          <w:p>
            <w:r>
              <w:rPr>
                <w:sz w:val="17"/>
              </w:rPr>
              <w:t>7,715</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6,292</w:t>
            </w:r>
          </w:p>
        </w:tc>
        <w:tc>
          <w:tcPr>
            <w:tcW w:type="dxa" w:w="1440"/>
            <w:shd w:fill="C6EFCE" w:val="clear"/>
          </w:tcPr>
          <w:p>
            <w:r>
              <w:rPr>
                <w:b/>
                <w:sz w:val="17"/>
              </w:rPr>
              <w:t>7,037</w:t>
            </w:r>
          </w:p>
        </w:tc>
        <w:tc>
          <w:tcPr>
            <w:tcW w:type="dxa" w:w="1440"/>
            <w:shd w:fill="C6EFCE" w:val="clear"/>
          </w:tcPr>
          <w:p>
            <w:r>
              <w:rPr>
                <w:sz w:val="17"/>
              </w:rPr>
              <w:t>7,783</w:t>
            </w:r>
          </w:p>
        </w:tc>
        <w:tc>
          <w:tcPr>
            <w:tcW w:type="dxa" w:w="1440"/>
            <w:shd w:fill="C6EFCE" w:val="clear"/>
          </w:tcPr>
          <w:p>
            <w:r>
              <w:rPr>
                <w:b/>
                <w:color w:val="008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184,05 milliards FCFA, BOA Mali se positionne comme une valeur bancaire de premier plan sur la BRVM, représentant un acteur significatif du compartiment financier régional. Le BPA de 404 FCFA/action signifie que chaque titre détenu génère près de 404 FCFA de bénéfice net, un niveau appréciable qui traduit la capacité bénéficiaire de la banque. Le PER de 16,6x apparaît modérément élevé par rapport à la moyenne BRVM (8-12x), suggérant que le marché intègre déjà une prime de qualité et de croissance dans le cours actuel. Le P/B de 3,69x indique que le marché valorise la banque à près de 3,7 fois sa valeur comptable, une prime significative qui reflète la confiance des investisseurs dans la rentabilité future (ROE de 22,2%) et la solidité du modèle d'affaires. Enfin, l'EV/EBITDA de 8,9x, dans la fourchette raisonnable de 5-10x, confirme que la valeur totale de l'entreprise reste cohérente avec sa capacité opérationnelle, bien que le PER et le P/B élevés appellent à la vigilance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+43,58%, passant d'un plus bas de 4 425 FCFA à un plus haut de 7 195 FCFA, pour un cours actuel de 6 705 FCFA. Cette tendance nettement haussière témoigne d'un fort engouement des investisseurs, probablement porté par les résultats fondamentaux solides et l'amélioration continue de la rentabilité. Cependant, la dernière séance affiche un repli de -2,83%, signalant une possible prise de bénéfices après le rallye. L'analyse statistique révèle une moyenne de 5 467 FCFA supérieure à la médiane de 5 372 FCFA, avec un mode à 4 670 FCFA, indiquant une distribution asymétrique où le cours a passé plus de temps dans les niveaux bas avant de s'envoler récemment. L'écart-type de 808 FCFA (CV=14,8%) traduit une dispersion modérée du cours autour de sa moyenne, tandis que le kurtosis de -0,917 (mésokurtique) suggère une distribution proche de la normale, sans risque excessif de pics extrêmes. Le skewness positif de 0,570 confirme cette asymétrie avec davantage de journées sous la moyenne, typique d'un titre en phase d'accélération haussière. La volatilité annualisée de 34,8% classe BOAM dans la catégorie des titres à volatilité élevée (&gt;30%), ce qui implique un potentiel de gain attractif mais aussi un risque de correction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6 750,5 FCFA et la MM50 à 6 154,8 FCFA, toutes deux inférieures au cours actuel de 6 705 FCFA pour la MM20 (léger écart) mais nettement en dessous pour la MM50. Cette configuration haussière (MM20 &gt; MM50) avec un cours évoluant au-dessus des deux moyennes confirme la dynamique positive, justifiant la décision d'achat. Le croisement des moyennes mobiles reste favorable, bien que le cours s'approche de la MM20, ce qui pourrait signaler un essoufflement à court terme.</w:t>
      </w:r>
    </w:p>
    <w:p>
      <w:pPr>
        <w:spacing w:after="120" w:line="276" w:lineRule="auto"/>
      </w:pPr>
      <w:r>
        <w:t>**Bandes de Bollinger :** Le cours actuel de 6 705 FCFA se situe dans la partie supérieure de la bande, entre la borne inférieure de 6 226 FCFA et la borne supérieure de 7 275 FCFA. Cette position proche du haut de la bande indique une pression acheteuse persistante mais aussi un risque de retournement si le cours ne parvient pas à franchir la résistance de 7 275 FCFA. La décision neutre reflète cette incertitude : le titre n'est ni en surachat extrême ni en zone de survente, laissant place à une consolidation possible.</w:t>
      </w:r>
    </w:p>
    <w:p>
      <w:pPr>
        <w:spacing w:after="120" w:line="276" w:lineRule="auto"/>
      </w:pPr>
      <w:r>
        <w:t>**MACD :** La valeur du MACD (247,277) est inférieure à son signal (284,024), générant une décision de vente. Cette divergence baissière indique un affaiblissement du momentum haussier, bien que les deux lignes restent en territoire positif. Le croisement à la baisse du MACD sous son signal suggère que la dynamique haussière perd de sa vigueur, incitant à la prudence à court terme.</w:t>
      </w:r>
    </w:p>
    <w:p>
      <w:pPr>
        <w:spacing w:after="120" w:line="276" w:lineRule="auto"/>
      </w:pPr>
      <w:r>
        <w:t>**RSI :** À 58,123, le RSI se situe en zone neutre (entre 30 et 70), sans signal de surachat (&gt;70) ni de survente (&lt;30). Cette position médiane indique que le titre dispose encore d'une marge de progression avant d'atteindre des niveaux de surachat, mais le récent repli du cours pourrait ramener le RSI vers des niveaux plus bas si la correction se poursuit.</w:t>
      </w:r>
    </w:p>
    <w:p>
      <w:pPr>
        <w:spacing w:after="120" w:line="276" w:lineRule="auto"/>
      </w:pPr>
      <w:r>
        <w:t>**Stochastique :** Le %K (38,365) est nettement inférieur au %D (58,7), avec un croisement baissier en cours. Cette configuration suggère que le cours pourrait continuer à corriger à court terme, le %K ayant déjà franchi à la baisse le %D. La décision neutre masque une pression baissière naissante qui mérite surveillance.</w:t>
      </w:r>
    </w:p>
    <w:p>
      <w:pPr>
        <w:spacing w:after="120" w:line="276" w:lineRule="auto"/>
      </w:pPr>
      <w:r>
        <w:t>**Conclusion technique :** Les indicateurs techniques présentent un tableau mitigé. Si la tendance de fond reste haussière (MM20 &gt; MM50, cours au-dessus des moyennes), les signaux à court terme (MACD baissier, Stochastique en croisement baissier, cours proche de la borne supérieure de Bollinger) suggèrent une consolidation voire une correction imminente. Le RSI neutre et la position du cours dans les bandes de Bollinger confirment cette phase d'incertitude. Une prudence tactique est de mise avant d'envisager de nouveaux achats.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s'élève à 11,081 milliards FCFA, en très forte hausse, avec une marge nette de 29,16% et un ROE exceptionnel de 22,24% (&gt;15% = excellent), témoignant d'une rentabilité des fonds propres remarquable. Le ROA de 1,87% reste modéré, reflétant la nature bancaire de l'activité. Le coefficient d'exploitation de 63,14% dépasse légèrement le seuil de 60%, indiquant une efficacité opérationnelle perfectible mais acceptable. Le coût du risque, mesuré à 43,39% des charges financières, demeure élevé et constitue un point de vigilance majeur pour la qualité du portefeuille de crédits. La structure financière montre une autonomie financière faible (8,40%) et une dépendance aux dépôts clientèle (502,89 milliards FCFA) qui finance largement les créances clientèle (253,65 milliards FCFA), avec un ratio de transformation sain. La capacité de remboursement de 1,79 an et la couverture des intérêts de 89% traduisent une solidité financière correcte.</w:t>
      </w:r>
    </w:p>
    <w:p>
      <w:pPr>
        <w:spacing w:after="120" w:line="276" w:lineRule="auto"/>
      </w:pPr>
      <w:r>
        <w:t>**Estimations basées sur les rapports trimestriels :** Le rapport du T1 2026 (publié le 31/03/2026) révèle un PNB de 10,322 milliards FCFA, en hausse spectaculaire de +22,97% par rapport au T1 2025 (8,394 milliards), signalant une accélération notable de l'activité. Le rapport du T3 2025 (30/09/2025) indiquait un PNB cumulé de 28,52 milliards FCFA (+5,8%) et un résultat net de 9,16 milliards FCFA (+26,2%), avec une collecte de dépôts en hausse de +9,2% mais un portefeuille de crédits en contraction de -8,6%. Le rapport semestriel 2025 (30/06/2025) faisait état d'un PNB de 18,71 milliards FCFA (+2,7%) et d'un résultat net de 6,21 milliards FCFA (+28,8%), porté par une baisse de 32,7% du coût du risque. Sur la base de ces tendances, on estime que l'exercice 2026 devrait afficher une croissance du PNB supérieure à 15%, portée par l'accélération du T1, et un résultat net en progression de 20-25%, sous réserve d'une maîtrise du coût du risque. Les rapports antérieurs (2022-2024) confirment la résilience de la banque dans un contexte sécuritaire et économique difficile, avec une amélioration continue de la rentabilité (ROE passant de ~7% en 2022 à 22,2% en 2025).</w:t>
      </w:r>
    </w:p>
    <w:p>
      <w:pPr>
        <w:spacing w:after="120" w:line="276" w:lineRule="auto"/>
      </w:pPr>
      <w:r>
        <w:t>**Recommandation fondamentale :** BOA Mali présente des fondamentaux solides avec une rentabilité exceptionnelle (ROE &gt;22%), une croissance accélérée au T1 2026 (+23% de PNB) et une gestion prudente des risques. Les principaux risques identifiés sont le coût du risque élevé (43,4%), la dépendance aux dépôts clientèle et l'exposition au contexte macroéconomique et sécuritaire malien. La valorisation (PER 16,6x) intègre déjà une prime de qualité, mais la dynamique bénéficiaire justifie un intérêt pour le moyen terme.</w:t>
      </w:r>
    </w:p>
    <w:p>
      <w:pPr>
        <w:spacing w:after="120" w:line="276" w:lineRule="auto"/>
      </w:pPr>
      <w:r>
        <w:t>---</w:t>
      </w:r>
    </w:p>
    <w:p>
      <w:pPr>
        <w:spacing w:after="120" w:line="276" w:lineRule="auto"/>
      </w:pPr>
      <w:r>
        <w:t>## PARTIE 4 : CONCLUSION D'INVESTISSEMENT</w:t>
      </w:r>
    </w:p>
    <w:p>
      <w:pPr>
        <w:spacing w:after="120" w:line="276" w:lineRule="auto"/>
      </w:pPr>
      <w:r>
        <w:t>La valorisation de BOAM (PER 16,6x, P/B 3,69x, EV/EBITDA 8,9x) indique que le marché paie une prime significative pour la qualité et la croissance de la banque, sans toutefois atteindre des niveaux de surévaluation extrême. Le comportement du cours sur 100 jours (+43,58%) témoigne d'un fort momentum haussier, mais la volatilité élevée (34,8%) et le skewness positif (0,570) suggèrent que le titre a connu une accélération récente qui pourrait s'accompagner de corrections. Les signaux techniques sont mitigés : la tendance de fond reste haussière (MM20 &gt; MM50), mais le MACD baissier, le Stochastique en croisement baissier et la position du cours proche de la borne supérieure de Bollinger indiquent une consolidation probable à court terme. Les fondamentaux sont solides : ROE de 22,24%, résultat net de 11,08 milliards FCFA en 2025, et accélération du PNB au T1 2026 (+22,97%), ce qui justifie une perspective positive à moyen terme. Les prédictions IA (J+1 à J+10) anticipent une reprise haussière progressive, avec un cours cible de 6 885 FCFA à J+10, confirmant la tendance de fond malgré la correction actuelle. Sur la base de cette synthèse, la recommandation est **CONSERVER** avec un biais haussier : la convergence entre fondamentaux solides, prédictions IA positives et tendance de fond haussière soutient le titre, mais les signaux techniques à court terme et la valorisation exigeante incitent à la prudence. Le niveau de confiance est **Moyen**, le risque global est **Moyen à Élevé** (volatilité 34,8%, coût du risque élevé, contexte sécuritaire malien), et l'horizon d'investissement optimal est le **moyen terme (3-12 mois)** pour profiter de la croissance bénéficiaire tout en laissant passer la phase de consolidation actuelle. Un repli vers 6 200-6 400 FCFA constituerait une opportunité d'achat pour les investisseurs cherchant à renforcer leur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8,712 titres</w:t>
            </w:r>
          </w:p>
        </w:tc>
        <w:tc>
          <w:tcPr>
            <w:tcW w:type="dxa" w:w="2268"/>
            <w:shd w:fill="FFF2CC" w:val="clear"/>
          </w:tcPr>
          <w:p>
            <w:r>
              <w:rPr>
                <w:b/>
                <w:color w:val="503200"/>
                <w:sz w:val="16"/>
              </w:rPr>
              <w:t xml:space="preserve">Cours actuel : </w:t>
            </w:r>
            <w:r>
              <w:rPr>
                <w:color w:val="000000"/>
                <w:sz w:val="17"/>
              </w:rPr>
              <w:t>5,350 FCFA</w:t>
            </w:r>
          </w:p>
          <w:p>
            <w:r>
              <w:rPr>
                <w:b/>
                <w:color w:val="503200"/>
                <w:sz w:val="16"/>
              </w:rPr>
              <w:t xml:space="preserve">Var. 100 jours : </w:t>
            </w:r>
            <w:r>
              <w:rPr>
                <w:b/>
                <w:color w:val="007800"/>
                <w:sz w:val="17"/>
              </w:rPr>
              <w:t>+47.99%</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17.50% (Élevée) — μ=4,513 FCFA, σ=790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β=0.6311 (Défensif) — Cov=0.000023, Var(idx)=0.000036, ρ=0.173,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5,207</w:t>
            </w:r>
          </w:p>
        </w:tc>
        <w:tc>
          <w:tcPr>
            <w:tcW w:type="dxa" w:w="1440"/>
            <w:shd w:fill="FAFAFA" w:val="clear"/>
          </w:tcPr>
          <w:p>
            <w:r>
              <w:rPr>
                <w:b/>
                <w:sz w:val="17"/>
              </w:rPr>
              <w:t>5,344</w:t>
            </w:r>
          </w:p>
        </w:tc>
        <w:tc>
          <w:tcPr>
            <w:tcW w:type="dxa" w:w="1440"/>
            <w:shd w:fill="FAFAFA" w:val="clear"/>
          </w:tcPr>
          <w:p>
            <w:r>
              <w:rPr>
                <w:sz w:val="17"/>
              </w:rPr>
              <w:t>5,480</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5,147</w:t>
            </w:r>
          </w:p>
        </w:tc>
        <w:tc>
          <w:tcPr>
            <w:tcW w:type="dxa" w:w="1440"/>
            <w:shd w:fill="FAFAFA" w:val="clear"/>
          </w:tcPr>
          <w:p>
            <w:r>
              <w:rPr>
                <w:b/>
                <w:sz w:val="17"/>
              </w:rPr>
              <w:t>5,340</w:t>
            </w:r>
          </w:p>
        </w:tc>
        <w:tc>
          <w:tcPr>
            <w:tcW w:type="dxa" w:w="1440"/>
            <w:shd w:fill="FAFAFA" w:val="clear"/>
          </w:tcPr>
          <w:p>
            <w:r>
              <w:rPr>
                <w:sz w:val="17"/>
              </w:rPr>
              <w:t>5,534</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5,101</w:t>
            </w:r>
          </w:p>
        </w:tc>
        <w:tc>
          <w:tcPr>
            <w:tcW w:type="dxa" w:w="1440"/>
            <w:shd w:fill="FAFAFA" w:val="clear"/>
          </w:tcPr>
          <w:p>
            <w:r>
              <w:rPr>
                <w:b/>
                <w:sz w:val="17"/>
              </w:rPr>
              <w:t>5,338</w:t>
            </w:r>
          </w:p>
        </w:tc>
        <w:tc>
          <w:tcPr>
            <w:tcW w:type="dxa" w:w="1440"/>
            <w:shd w:fill="FAFAFA" w:val="clear"/>
          </w:tcPr>
          <w:p>
            <w:r>
              <w:rPr>
                <w:sz w:val="17"/>
              </w:rPr>
              <w:t>5,575</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5,062</w:t>
            </w:r>
          </w:p>
        </w:tc>
        <w:tc>
          <w:tcPr>
            <w:tcW w:type="dxa" w:w="1440"/>
            <w:shd w:fill="FAFAFA" w:val="clear"/>
          </w:tcPr>
          <w:p>
            <w:r>
              <w:rPr>
                <w:b/>
                <w:sz w:val="17"/>
              </w:rPr>
              <w:t>5,335</w:t>
            </w:r>
          </w:p>
        </w:tc>
        <w:tc>
          <w:tcPr>
            <w:tcW w:type="dxa" w:w="1440"/>
            <w:shd w:fill="FAFAFA" w:val="clear"/>
          </w:tcPr>
          <w:p>
            <w:r>
              <w:rPr>
                <w:sz w:val="17"/>
              </w:rPr>
              <w:t>5,608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5,027</w:t>
            </w:r>
          </w:p>
        </w:tc>
        <w:tc>
          <w:tcPr>
            <w:tcW w:type="dxa" w:w="1440"/>
            <w:shd w:fill="FAFAFA" w:val="clear"/>
          </w:tcPr>
          <w:p>
            <w:r>
              <w:rPr>
                <w:b/>
                <w:sz w:val="17"/>
              </w:rPr>
              <w:t>5,332</w:t>
            </w:r>
          </w:p>
        </w:tc>
        <w:tc>
          <w:tcPr>
            <w:tcW w:type="dxa" w:w="1440"/>
            <w:shd w:fill="FAFAFA" w:val="clear"/>
          </w:tcPr>
          <w:p>
            <w:r>
              <w:rPr>
                <w:sz w:val="17"/>
              </w:rPr>
              <w:t>5,638</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4,995</w:t>
            </w:r>
          </w:p>
        </w:tc>
        <w:tc>
          <w:tcPr>
            <w:tcW w:type="dxa" w:w="1440"/>
            <w:shd w:fill="FAFAFA" w:val="clear"/>
          </w:tcPr>
          <w:p>
            <w:r>
              <w:rPr>
                <w:b/>
                <w:sz w:val="17"/>
              </w:rPr>
              <w:t>5,330</w:t>
            </w:r>
          </w:p>
        </w:tc>
        <w:tc>
          <w:tcPr>
            <w:tcW w:type="dxa" w:w="1440"/>
            <w:shd w:fill="FAFAFA" w:val="clear"/>
          </w:tcPr>
          <w:p>
            <w:r>
              <w:rPr>
                <w:sz w:val="17"/>
              </w:rPr>
              <w:t>5,664</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4,966</w:t>
            </w:r>
          </w:p>
        </w:tc>
        <w:tc>
          <w:tcPr>
            <w:tcW w:type="dxa" w:w="1440"/>
            <w:shd w:fill="FAFAFA" w:val="clear"/>
          </w:tcPr>
          <w:p>
            <w:r>
              <w:rPr>
                <w:b/>
                <w:sz w:val="17"/>
              </w:rPr>
              <w:t>5,327</w:t>
            </w:r>
          </w:p>
        </w:tc>
        <w:tc>
          <w:tcPr>
            <w:tcW w:type="dxa" w:w="1440"/>
            <w:shd w:fill="FAFAFA" w:val="clear"/>
          </w:tcPr>
          <w:p>
            <w:r>
              <w:rPr>
                <w:sz w:val="17"/>
              </w:rPr>
              <w:t>5,688</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4,938</w:t>
            </w:r>
          </w:p>
        </w:tc>
        <w:tc>
          <w:tcPr>
            <w:tcW w:type="dxa" w:w="1440"/>
            <w:shd w:fill="FAFAFA" w:val="clear"/>
          </w:tcPr>
          <w:p>
            <w:r>
              <w:rPr>
                <w:b/>
                <w:sz w:val="17"/>
              </w:rPr>
              <w:t>5,324</w:t>
            </w:r>
          </w:p>
        </w:tc>
        <w:tc>
          <w:tcPr>
            <w:tcW w:type="dxa" w:w="1440"/>
            <w:shd w:fill="FAFAFA" w:val="clear"/>
          </w:tcPr>
          <w:p>
            <w:r>
              <w:rPr>
                <w:sz w:val="17"/>
              </w:rPr>
              <w:t>5,710</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4,913</w:t>
            </w:r>
          </w:p>
        </w:tc>
        <w:tc>
          <w:tcPr>
            <w:tcW w:type="dxa" w:w="1440"/>
            <w:shd w:fill="FAFAFA" w:val="clear"/>
          </w:tcPr>
          <w:p>
            <w:r>
              <w:rPr>
                <w:b/>
                <w:sz w:val="17"/>
              </w:rPr>
              <w:t>5,322</w:t>
            </w:r>
          </w:p>
        </w:tc>
        <w:tc>
          <w:tcPr>
            <w:tcW w:type="dxa" w:w="1440"/>
            <w:shd w:fill="FAFAFA" w:val="clear"/>
          </w:tcPr>
          <w:p>
            <w:r>
              <w:rPr>
                <w:sz w:val="17"/>
              </w:rPr>
              <w:t>5,731</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4,888</w:t>
            </w:r>
          </w:p>
        </w:tc>
        <w:tc>
          <w:tcPr>
            <w:tcW w:type="dxa" w:w="1440"/>
            <w:shd w:fill="FAFAFA" w:val="clear"/>
          </w:tcPr>
          <w:p>
            <w:r>
              <w:rPr>
                <w:b/>
                <w:sz w:val="17"/>
              </w:rPr>
              <w:t>5,319</w:t>
            </w:r>
          </w:p>
        </w:tc>
        <w:tc>
          <w:tcPr>
            <w:tcW w:type="dxa" w:w="1440"/>
            <w:shd w:fill="FAFAFA" w:val="clear"/>
          </w:tcPr>
          <w:p>
            <w:r>
              <w:rPr>
                <w:sz w:val="17"/>
              </w:rPr>
              <w:t>5,750</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111,28 Mds FCFA, BOAN se situe dans la catégorie des valeurs moyennes de la cote BRVM, loin derrière les poids lourds bancaires de la place. Le BPA de 20 FCFA/action traduit une rentabilité par titre extrêmement faible, cohérente avec l'effondrement du résultat net 2025 à 409 M FCFA. Le PER de 272,1x est aberrant au regard de la moyenne BRVM (~8-12x) : les investisseurs paient environ 272 fois les bénéfices actuels, ce qui signale soit une anticipation très forte d'un rebond (le consensus table sur une multiplication du résultat en 2026), soit une décorrélation totale entre le cours et les fondamentaux présents. Le P/B de 3,09x indique que le marché valorise la banque à plus de trois fois ses fonds propres comptables (36,06 Mds FCFA), une prime de croissance difficile à justifier par les performances actuelles. Enfin, l'EV/EBITDA de 40,5x (très supérieur au seuil de 15x) confirme une valorisation très exigeante rapportée à la capacité opérationnelle — ces multiples intègrent donc une hypothèse de redressement rapide et significatif.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 enregistré une progression spectaculaire de **+47,99%**, clôturant à 5 350 FCFA, avec une variation J-1 nulle (+0,00%) signalant une séance de stabilisation. Le titre a évolué dans un range très large de 3 395 FCFA (plus bas) à 5 645 FCFA (plus haut), soit un écart de 2 250 FCFA (~66% du plus bas), ce qui témoigne d'une tendance nettement haussière portée par l'anticipation du redressement post-sanctions. Les statistiques descriptives révèlent une moyenne (4 513 FCFA) légèrement supérieure à la médiane (4 420 FCFA), avec un mode à 3 700 FCFA : le cours actuel (5 350 FCFA) se situe bien au-dessus de ces trois repères, confirmant la vigueur du mouvement récent. L'écart-type de 794 FCFA et le coefficient de variation de 17,6% indiquent une dispersion modérée à élevée, tandis que le kurtosis de -1,741 (distribution platykurtique) suggère une faible concentration des rendements autour de la moyenne — donc moins de pics extrêmes mais une distribution étalée. Le skewness de -0,040, quasi nul, traduit une distribution symétrique sans biais directionnel marqué. La volatilité annualisée de 34,5% classe le titre dans la catégorie **élevée** (&gt;30%), ce qui est cohérent avec un marché frontière en phase de reprise incertaine.</w:t>
      </w:r>
    </w:p>
    <w:p>
      <w:pPr>
        <w:spacing w:after="120" w:line="276" w:lineRule="auto"/>
      </w:pPr>
      <w:r>
        <w:t>---</w:t>
      </w:r>
    </w:p>
    <w:p>
      <w:pPr>
        <w:spacing w:after="120" w:line="276" w:lineRule="auto"/>
      </w:pPr>
      <w:r>
        <w:t>## PARTIE 2 : ANALYSE TECHNIQUE DÉTAILLÉE</w:t>
      </w:r>
    </w:p>
    <w:p>
      <w:pPr>
        <w:spacing w:after="120" w:line="276" w:lineRule="auto"/>
      </w:pPr>
      <w:r>
        <w:t>**Moyennes Mobiles** : La MM20 (5 441,25 FCFA) et la MM50 (5 265,5 FCFA) se situent toutes deux au-dessus du cours actuel (5 350 FCFA), avec la MM20 &gt; MM50, configuration classique de tendance haussière de fond. Le cours évoluant sous la MM20 mais au-dessus de la MM50, la décision technique affichée est **Achat**, suggérant un repli temporaire dans une dynamique positive.</w:t>
      </w:r>
    </w:p>
    <w:p>
      <w:pPr>
        <w:spacing w:after="120" w:line="276" w:lineRule="auto"/>
      </w:pPr>
      <w:r>
        <w:t>**Bandes de Bollinger** : Le cours (5 350 FCFA) se situe entre la borne inférieure (5 252,1 FCFA) et la borne supérieure (5 630,4 FCFA), plus proche du bas que du haut, avec une largeur de bande de 378 FCFA. Cette position médiane-basse traduit une volatilité contenue et une absence de signal directionnel fort, d'où la décision **Neutre**.</w:t>
      </w:r>
    </w:p>
    <w:p>
      <w:pPr>
        <w:spacing w:after="120" w:line="276" w:lineRule="auto"/>
      </w:pPr>
      <w:r>
        <w:t>**MACD** : Le MACD (60,775) est nettement inférieur à son signal (95,993), générant un croisement baissier caractéristique d'une perte de momentum haussier. Cette divergence négative, bien que le MACD reste en territoire positif, justifie la décision **Vente** à court terme.</w:t>
      </w:r>
    </w:p>
    <w:p>
      <w:pPr>
        <w:spacing w:after="120" w:line="276" w:lineRule="auto"/>
      </w:pPr>
      <w:r>
        <w:t>**RSI** : À 38,793, le RSI se situe dans la zone neutre basse (30-70), sans atteindre la survente (&lt;30). Cette configuration indique une pression vendeuse modérée mais non extrême, cohérente avec la décision **Neutre** — le titre n'est ni survendu ni suracheté.</w:t>
      </w:r>
    </w:p>
    <w:p>
      <w:pPr>
        <w:spacing w:after="120" w:line="276" w:lineRule="auto"/>
      </w:pPr>
      <w:r>
        <w:t>**Stochastique** : Avec %K = 0,0 et %D = 0,0, l'oscillateur stochastique est au plancher absolu, signalant une survente technique extrême. Paradoxalement, cette configuration génère une décision **Achat** (signal de rebond imminent), car un stochastique à zéro précède souvent un retournement haussier.</w:t>
      </w:r>
    </w:p>
    <w:p>
      <w:pPr>
        <w:spacing w:after="120" w:line="276" w:lineRule="auto"/>
      </w:pPr>
      <w:r>
        <w:t>**Conclusion technique** : Les indicateurs sont **divergents** — les moyennes mobiles et le stochastique plaident pour l'achat, tandis que le MACD signale une vente et que le RSI/Bollinger restent neutres. Cette absence de consensus traduit une phase d'indécision après la forte hausse de 48%, avec un risque de consolidation à court terme avant une reprise potentielle.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BOAN a réalisé un Produit Net Bancaire (équivalent du chiffre d'affaires pour une banque) de **21 125 M FCFA**, en léger repli de -1,2% sur un an, avec un résultat net effondré à **409 M FCFA** (contre 5 002 M FCFA en 2024, soit -91,8%). Les ratios de rentabilité sont catastrophiques : **ROE de 1,13%** (très loin du seuil de 15% considéré comme excellent) et **ROA de 0,14%**. Le **coefficient d'exploitation de 74,37%** est très supérieur au seuil de 60% d'efficacité, révélant une structure de coûts lourde. Le **coût du risque rapporté aux charges financières de 67,30%** est élevé, confirmant la dégradation de la qualité du portefeuille (taux de créances en souffrance de 24% contre ~10% en moyenne UEMOA). La structure financière reste fragile : **autonomie financière de 12,36%** (bien en dessous du seuil sain de 30%) et **ratio d'endettement de 178,61%**, mais la **solvabilité générale de 114,10%** (&gt;1) confirme la capacité à honorer les dettes. Le ratio dépôts/crédits s'établit à 183 280/128 447 = **1,43x**, traduisant une surliquidité (dépôts collectés supérieurs aux crédits accordés), conséquence de la politique volontaire de réduction des risques.</w:t>
      </w:r>
    </w:p>
    <w:p>
      <w:pPr>
        <w:spacing w:after="120" w:line="276" w:lineRule="auto"/>
      </w:pPr>
      <w:r>
        <w:t>**Estimations basées sur les rapports trimestriels** : Le rapport du **T1 2026 (publié le 31 mars 2026)** montre un net redressement : PNB de 5 170 M FCFA (+7,9%), résultat net de 1 467,3 M FCFA (+28,9%), coefficient d'exploitation ramené à 56,2% (contre 66,8% un an plus tôt) et RBE en hausse de +42,2%. Le rapport du **2nd semestre 2025 (publié le 31 décembre 2025)** confirme que l'effondrement du résultat net est largement dû à une provision exceptionnelle de 4,8 Mds FCFA liée au risque sectoriel. Sur la base de ces rapports, on peut estimer que l'exercice 2026 devrait afficher un résultat net en forte progression (objectif budgétaire : +515% du résultat avant impôts, soit ~7 280 M FCFA), avec un PNB attendu à 22 327 M FCFA (+6,4%) et une réduction du coût du risque de -65,7%. **Recommandation fondamentale** : la solidité financière reste fragile (ROE historiquement faible, fonds propres en baisse de 14,4%), mais les perspectives de redressement sont crédibles grâce au soutien du Groupe BOA, à la digitalisation et à l'amélioration du contexte macroéconomique nigérien (croissance PIB de 7% prévue 2026-2029).</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en zone de surévaluation sur la base des bénéfices actuels (PER 272x, EV/EBITDA 40,5x), mais cette cherté apparente reflète l'anticipation d'un rebond massif des résultats en 2026 — le P/B de 3,09x intègre une prime de redressement. Le **comportement du cours (Partie 1)** est haussier (+48% sur 100 jours) mais la volatilité élevée (34,5%) et la distribution platykurtique (kurtosis -1,741) signalent un risque de mouvements amples sans pics extrêmes, tandis que la symétrie (skewness -0,040) n'indique pas de biais directionnel. Les **signaux techniques (Partie 2)** sont divergents : les MM et le stochastique sont haussiers, le MACD baissier, le RSI et Bollinger neutres — configuration d'indécision post-rally. Les **fondamentaux (Partie 3)** sont très dégradés pour 2025 (ROE 1,13%, résultat net -91,8%) mais les rapports T1 2026 (publiés le 31 mars 2026) confirment un début de redressement (résultat net +28,9%, coefficient d'exploitation à 56,2%). Les **prédictions IA (J+1 à J+10)** anticipent une légère dérive baissière (5 344 → 5 332 FCFA), cohérente avec la consolidation technique attendue après le rally. **Synthèse** : la convergence entre la cherté des multiples, la divergence technique et la fragilité fondamentale actuelle plaide pour la prudence à court terme, mais le potentiel de rebond 2026 et le soutien du groupe justifient une exposition pour investisseurs patients.</w:t>
      </w:r>
    </w:p>
    <w:p>
      <w:pPr>
        <w:spacing w:after="120" w:line="276" w:lineRule="auto"/>
      </w:pPr>
      <w:r>
        <w:t>**Recommandation finale : CONSERVER** (avec surveillance rapprochée)</w:t>
        <w:br/>
        <w:t>- **Justification** : Divergence entre valorisation tendue (PER 272x), technique indécise (MACD baissier vs stochastique survendu) et fondamentaux en cours de redressement (T1 2026 encourageant). La prédiction IA baissière à court terme confirme l'absence de signal d'achat immédiat.</w:t>
        <w:br/>
        <w:t>- **Niveau de confiance** : Moyen (les rapports trimestriels sont récents mais un seul trimestre de reprise ne suffit pas à confirmer la tendance).</w:t>
        <w:br/>
        <w:t>- **Niveau de risque global** : Élevé (volatilité 34,5%, contexte politique nigérien instable, créances douteuses à 24%).</w:t>
        <w:br/>
        <w:t>- **Horizon d'investissement optimal** : Moyen à long terme (6-18 mois), en attendant la confirmation du redressement sur 2-3 trimestres supplémentaires et la publication des résultats annuels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10,739 titres</w:t>
            </w:r>
          </w:p>
        </w:tc>
        <w:tc>
          <w:tcPr>
            <w:tcW w:type="dxa" w:w="2268"/>
            <w:shd w:fill="FFF2CC" w:val="clear"/>
          </w:tcPr>
          <w:p>
            <w:r>
              <w:rPr>
                <w:b/>
                <w:color w:val="503200"/>
                <w:sz w:val="16"/>
              </w:rPr>
              <w:t xml:space="preserve">Cours actuel : </w:t>
            </w:r>
            <w:r>
              <w:rPr>
                <w:color w:val="000000"/>
                <w:sz w:val="17"/>
              </w:rPr>
              <w:t>8,050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6,900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5.17% (Moyenne) — μ=7,645 FCFA, σ=396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β=0.2799 (Défensif) — Cov=0.000010, Var(idx)=0.000036, ρ=0.107,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7,852</w:t>
            </w:r>
          </w:p>
        </w:tc>
        <w:tc>
          <w:tcPr>
            <w:tcW w:type="dxa" w:w="1440"/>
            <w:shd w:fill="FAFAFA" w:val="clear"/>
          </w:tcPr>
          <w:p>
            <w:r>
              <w:rPr>
                <w:b/>
                <w:sz w:val="17"/>
              </w:rPr>
              <w:t>8,048</w:t>
            </w:r>
          </w:p>
        </w:tc>
        <w:tc>
          <w:tcPr>
            <w:tcW w:type="dxa" w:w="1440"/>
            <w:shd w:fill="FAFAFA" w:val="clear"/>
          </w:tcPr>
          <w:p>
            <w:r>
              <w:rPr>
                <w:sz w:val="17"/>
              </w:rPr>
              <w:t>8,244</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7,740</w:t>
            </w:r>
          </w:p>
        </w:tc>
        <w:tc>
          <w:tcPr>
            <w:tcW w:type="dxa" w:w="1440"/>
            <w:shd w:fill="FAFAFA" w:val="clear"/>
          </w:tcPr>
          <w:p>
            <w:r>
              <w:rPr>
                <w:b/>
                <w:sz w:val="17"/>
              </w:rPr>
              <w:t>8,015</w:t>
            </w:r>
          </w:p>
        </w:tc>
        <w:tc>
          <w:tcPr>
            <w:tcW w:type="dxa" w:w="1440"/>
            <w:shd w:fill="FAFAFA" w:val="clear"/>
          </w:tcPr>
          <w:p>
            <w:r>
              <w:rPr>
                <w:sz w:val="17"/>
              </w:rPr>
              <w:t>8,290</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7,651</w:t>
            </w:r>
          </w:p>
        </w:tc>
        <w:tc>
          <w:tcPr>
            <w:tcW w:type="dxa" w:w="1440"/>
            <w:shd w:fill="FAFAFA" w:val="clear"/>
          </w:tcPr>
          <w:p>
            <w:r>
              <w:rPr>
                <w:b/>
                <w:sz w:val="17"/>
              </w:rPr>
              <w:t>7,987</w:t>
            </w:r>
          </w:p>
        </w:tc>
        <w:tc>
          <w:tcPr>
            <w:tcW w:type="dxa" w:w="1440"/>
            <w:shd w:fill="FAFAFA" w:val="clear"/>
          </w:tcPr>
          <w:p>
            <w:r>
              <w:rPr>
                <w:sz w:val="17"/>
              </w:rPr>
              <w:t>8,323</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7,572</w:t>
            </w:r>
          </w:p>
        </w:tc>
        <w:tc>
          <w:tcPr>
            <w:tcW w:type="dxa" w:w="1440"/>
            <w:shd w:fill="FAFAFA" w:val="clear"/>
          </w:tcPr>
          <w:p>
            <w:r>
              <w:rPr>
                <w:b/>
                <w:sz w:val="17"/>
              </w:rPr>
              <w:t>7,958</w:t>
            </w:r>
          </w:p>
        </w:tc>
        <w:tc>
          <w:tcPr>
            <w:tcW w:type="dxa" w:w="1440"/>
            <w:shd w:fill="FAFAFA" w:val="clear"/>
          </w:tcPr>
          <w:p>
            <w:r>
              <w:rPr>
                <w:sz w:val="17"/>
              </w:rPr>
              <w:t>8,345</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7,500</w:t>
            </w:r>
          </w:p>
        </w:tc>
        <w:tc>
          <w:tcPr>
            <w:tcW w:type="dxa" w:w="1440"/>
            <w:shd w:fill="FAFAFA" w:val="clear"/>
          </w:tcPr>
          <w:p>
            <w:r>
              <w:rPr>
                <w:b/>
                <w:sz w:val="17"/>
              </w:rPr>
              <w:t>7,930</w:t>
            </w:r>
          </w:p>
        </w:tc>
        <w:tc>
          <w:tcPr>
            <w:tcW w:type="dxa" w:w="1440"/>
            <w:shd w:fill="FAFAFA" w:val="clear"/>
          </w:tcPr>
          <w:p>
            <w:r>
              <w:rPr>
                <w:sz w:val="17"/>
              </w:rPr>
              <w:t>8,361</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7,433</w:t>
            </w:r>
          </w:p>
        </w:tc>
        <w:tc>
          <w:tcPr>
            <w:tcW w:type="dxa" w:w="1440"/>
            <w:shd w:fill="FAFAFA" w:val="clear"/>
          </w:tcPr>
          <w:p>
            <w:r>
              <w:rPr>
                <w:b/>
                <w:sz w:val="17"/>
              </w:rPr>
              <w:t>7,903</w:t>
            </w:r>
          </w:p>
        </w:tc>
        <w:tc>
          <w:tcPr>
            <w:tcW w:type="dxa" w:w="1440"/>
            <w:shd w:fill="FAFAFA" w:val="clear"/>
          </w:tcPr>
          <w:p>
            <w:r>
              <w:rPr>
                <w:sz w:val="17"/>
              </w:rPr>
              <w:t>8,374</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7,371</w:t>
            </w:r>
          </w:p>
        </w:tc>
        <w:tc>
          <w:tcPr>
            <w:tcW w:type="dxa" w:w="1440"/>
            <w:shd w:fill="FFDCE0" w:val="clear"/>
          </w:tcPr>
          <w:p>
            <w:r>
              <w:rPr>
                <w:b/>
                <w:sz w:val="17"/>
              </w:rPr>
              <w:t>7,878</w:t>
            </w:r>
          </w:p>
        </w:tc>
        <w:tc>
          <w:tcPr>
            <w:tcW w:type="dxa" w:w="1440"/>
            <w:shd w:fill="FFDCE0" w:val="clear"/>
          </w:tcPr>
          <w:p>
            <w:r>
              <w:rPr>
                <w:sz w:val="17"/>
              </w:rPr>
              <w:t>8,384</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7,314</w:t>
            </w:r>
          </w:p>
        </w:tc>
        <w:tc>
          <w:tcPr>
            <w:tcW w:type="dxa" w:w="1440"/>
            <w:shd w:fill="FFDCE0" w:val="clear"/>
          </w:tcPr>
          <w:p>
            <w:r>
              <w:rPr>
                <w:b/>
                <w:sz w:val="17"/>
              </w:rPr>
              <w:t>7,853</w:t>
            </w:r>
          </w:p>
        </w:tc>
        <w:tc>
          <w:tcPr>
            <w:tcW w:type="dxa" w:w="1440"/>
            <w:shd w:fill="FFDCE0" w:val="clear"/>
          </w:tcPr>
          <w:p>
            <w:r>
              <w:rPr>
                <w:sz w:val="17"/>
              </w:rPr>
              <w:t>8,393</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7,259</w:t>
            </w:r>
          </w:p>
        </w:tc>
        <w:tc>
          <w:tcPr>
            <w:tcW w:type="dxa" w:w="1440"/>
            <w:shd w:fill="FFDCE0" w:val="clear"/>
          </w:tcPr>
          <w:p>
            <w:r>
              <w:rPr>
                <w:b/>
                <w:sz w:val="17"/>
              </w:rPr>
              <w:t>7,830</w:t>
            </w:r>
          </w:p>
        </w:tc>
        <w:tc>
          <w:tcPr>
            <w:tcW w:type="dxa" w:w="1440"/>
            <w:shd w:fill="FFDCE0" w:val="clear"/>
          </w:tcPr>
          <w:p>
            <w:r>
              <w:rPr>
                <w:sz w:val="17"/>
              </w:rPr>
              <w:t>8,400</w:t>
            </w:r>
          </w:p>
        </w:tc>
        <w:tc>
          <w:tcPr>
            <w:tcW w:type="dxa" w:w="1440"/>
            <w:shd w:fill="FFDCE0" w:val="clear"/>
          </w:tcPr>
          <w:p>
            <w:r>
              <w:rPr>
                <w:b/>
                <w:color w:val="C00000"/>
                <w:sz w:val="17"/>
              </w:rPr>
              <w:t>-2.7%</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7,208</w:t>
            </w:r>
          </w:p>
        </w:tc>
        <w:tc>
          <w:tcPr>
            <w:tcW w:type="dxa" w:w="1440"/>
            <w:shd w:fill="FFDCE0" w:val="clear"/>
          </w:tcPr>
          <w:p>
            <w:r>
              <w:rPr>
                <w:b/>
                <w:sz w:val="17"/>
              </w:rPr>
              <w:t>7,807</w:t>
            </w:r>
          </w:p>
        </w:tc>
        <w:tc>
          <w:tcPr>
            <w:tcW w:type="dxa" w:w="1440"/>
            <w:shd w:fill="FFDCE0" w:val="clear"/>
          </w:tcPr>
          <w:p>
            <w:r>
              <w:rPr>
                <w:sz w:val="17"/>
              </w:rPr>
              <w:t>8,407</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289,80 milliards FCFA, BOAS s'impose comme l'une des valeurs bancaires de référence de la cote BRVM, offrant une liquidité appréciable au sein d'un marché régional encore dominé par quelques grandes capitalisations. Le BPA de 608 FCFA par action traduit une capacité bénéficiaire solide, chaque titre générant près de 608 FCFA de profit net. Le PER de 13,2x situe le titre légèrement au-dessus de la moyenne du marché BRVM (8-12x), ce qui traduit une prime de qualité justifiée par la régularité des résultats, mais qui n'offre plus de décote évidente. Le P/B de 3,00x indique que le marché valorise la banque à trois fois ses fonds propres comptables, une prime de croissance significative qui suppose que le ROE élevé (22,69%) se maintienne durablement. Enfin, l'EV/EBITDA de 8,6x, dans la fourchette raisonnable de 5-10x, suggère que la valeur d'entreprise reste cohérente avec la capacité opérationnelle dégagée.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affiche une performance remarquable de +16,67%, portant le cours à 8 050 FCFA, malgré un repli de -1,71% lors de la dernière séance (J-1). Le titre a évolué dans un range de 1 600 FCFA, entre un plus bas de 6 900 FCFA et un plus haut de 8 500 FCFA, ce qui témoigne d'une tendance globalement haussière mais avec des phases de consolidation. La moyenne de 7 645 FCFA, légèrement supérieure à la médiane de 7 552 FCFA, ainsi que le mode à 7 700 FCFA, confirment une distribution asymétrique à droite (skewness de 0,452), c'est-à-dire que les prix ont davantage tendance à se situer au-dessus de la moyenne qu'en dessous. L'écart-type de 398 FCFA, avec un coefficient de variation de seulement 5,2%, indique une dispersion modérée du cours autour de sa moyenne, ce qui est rassurant pour un investisseur recherchant de la stabilité. Le kurtosis de -0,759 (mésokurtique) suggère une distribution proche de la normale, sans risque excessif de pics extrêmes, tandis que la volatilité annualisée de 24,9% place le titre dans la catégorie des valeurs à volatilité modérée (15-30%), cohérente avec son statut de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(8 272,5 FCFA) et la MM50 (7 899,3 FCFA) encadrent le cours actuel (8 050 FCFA), qui se situe entre ces deux références. La MM20 étant supérieure à la MM50, la configuration reste haussière de fond, mais le cours évoluant sous sa MM20, la dynamique court terme est fragilisée. La décision technique affichée est "Achat", soutenue par la position du cours au-dessus de la MM50, qui agit comme support dynamique.</w:t>
      </w:r>
    </w:p>
    <w:p>
      <w:pPr>
        <w:spacing w:after="120" w:line="276" w:lineRule="auto"/>
      </w:pPr>
      <w:r>
        <w:t>**Bandes de Bollinger** : Le cours (8 050 FCFA) se situe dans la partie basse de la bande, proche de la borne inférieure (8 026,66 FCFA) et loin de la borne supérieure (8 518,34 FCFA). Cette position suggère une pression vendeuse récente, mais aussi un potentiel de rebond technique vers la moyenne mobile. La décision est "Neutre", car le cours n'a pas encore cassé la borne inférieure, ce qui aurait signalé une accélération baissière.</w:t>
      </w:r>
    </w:p>
    <w:p>
      <w:pPr>
        <w:spacing w:after="120" w:line="276" w:lineRule="auto"/>
      </w:pPr>
      <w:r>
        <w:t>**MACD** : La valeur du MACD (80,945) est inférieure à son signal (123,062), confirmant une divergence baissière et un momentum négatif à court terme. La décision "Vente" reflète cette perte de vitesse, bien que l'écart reste modéré et puisse se résorber rapidement si le cours rebondit.</w:t>
      </w:r>
    </w:p>
    <w:p>
      <w:pPr>
        <w:spacing w:after="120" w:line="276" w:lineRule="auto"/>
      </w:pPr>
      <w:r>
        <w:t>**RSI** : À 36,898, le RSI se situe dans la zone neutre basse (30-70), sans atteindre la zone de survente (&lt;30). Cela indique que le titre n'est ni suracheté ni survendu, mais que la pression vendeuse domine légèrement. La décision "Neutre" est cohérente avec cette configuration.</w:t>
      </w:r>
    </w:p>
    <w:p>
      <w:pPr>
        <w:spacing w:after="120" w:line="276" w:lineRule="auto"/>
      </w:pPr>
      <w:r>
        <w:t>**Stochastique** : Le %K (0,0) et le %D (11,111) sont tous deux en zone de survente extrême, avec un %K au plus bas. Cette configuration précède souvent un rebond technique, ce qui justifie la décision "Achat" affichée. Un croisement haussier du %K au-dessus du %D serait un signal de confirmation.</w:t>
      </w:r>
    </w:p>
    <w:p>
      <w:pPr>
        <w:spacing w:after="120" w:line="276" w:lineRule="auto"/>
      </w:pPr>
      <w:r>
        <w:t>**Conclusion technique** : Les indicateurs techniques présentent un tableau mitigé. Si la tendance de fond reste haussière (MM50 ascendante, cours au-dessus), les signaux court terme sont baissiers (MACD, position dans les bandes de Bollinger). Cependant, le stochastique en zone de survente extrême et le RSI proche de 37 suggèrent qu'un rebond technique est probable à court terme. La convergence entre la décision "Achat" des moyennes mobiles et du stochastique, face à la "Vente" du MACD, invite à la prudence mais penche légèrement en faveur d'un maintien ou d'un renforcement progressif.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BOAS affiche un Produit Net Bancaire (PNB) de 51,926 milliards FCFA, en croissance de 4,55% sur un an, et un résultat net de 21,905 milliards FCFA, soit une marge nette exceptionnelle de 42,19%. Le ROE s'établit à 22,69%, largement au-dessus du seuil d'excellence de 15%, et le ROA à 2,62%, confirmant une rentabilité robuste des actifs. Le coefficient d'exploitation de 44,02% place la banque parmi les établissements les plus efficaces du secteur (seuil d'excellence &lt;50%). Le coût du risque, à 23,31% des charges financières, reste un point de vigilance, bien qu'il soit en amélioration par rapport aux exercices précédents. La structure financière montre une autonomie financière de 11,54% (faible mais typique des banques) et une solvabilité générale de 113,05%, assurant une couverture des dettes par l'actif. Le ratio dépôts/crédits s'établit à 686,927/386,424 = 1,78x, indiquant une surliquidité et une capacité de transformation élevée, mais aussi une sous-utilisation des dépôts pour générer des crédits.</w:t>
      </w:r>
    </w:p>
    <w:p>
      <w:pPr>
        <w:spacing w:after="120" w:line="276" w:lineRule="auto"/>
      </w:pPr>
      <w:r>
        <w:t>**Estimations basées sur les rapports trimestriels** : Le rapport du T1 2026 (publié en 2026) révèle un PNB de 12,580 milliards FCFA (+6,82% sur un an) et un résultat net de 5,741 milliards FCFA (+9,78%), avec un coefficient d'exploitation en amélioration à 42,1% (contre 42,8% au T1 2025). Les dépôts clients progressent fortement de +13,6% à 631,038 milliards FCFA, tandis que les créances clients augmentent plus modérément de +4,76% à 408,143 milliards FCFA. Sur la base de ces tendances, on peut estimer que l'exercice 2026 devrait enregistrer une croissance du PNB de l'ordre de 6-7% (soit environ 55-56 milliards FCFA) et un résultat net proche de 23-24 milliards FCFA, porté par la maîtrise des coûts et la baisse du coût du risque. Le rapport du T3 2025 (daté du 30 septembre 2025) confirmait déjà cette dynamique avec un PNB de 37,44 milliards FCFA (+6,71%) et un résultat net de 16,37 milliards FCFA (+10,01%), ainsi qu'une baisse du coefficient d'exploitation à 44,4% (contre 46,1% un an plus tôt). Les rapports plus anciens (S1 2025, T1 2025, et les rapports 2021) montrent une trajectoire de croissance continue et une amélioration structurelle de la rentabilité depuis plusieurs années, avec un ROE qui est passé de 14,5% en 2021 à 22,69% en 2025.</w:t>
      </w:r>
    </w:p>
    <w:p>
      <w:pPr>
        <w:spacing w:after="120" w:line="276" w:lineRule="auto"/>
      </w:pPr>
      <w:r>
        <w:t>**Recommandation fondamentale** : BOAS présente un profil fondamental de grande qualité, avec une rentabilité élevée, une efficacité opérationnelle remarquable et une croissance régulière. Les principaux risques identifiés sont la concentration sur le marché sénégalais, la lenteur de la croissance des crédits par rapport aux dépôts, et un coût du risque encore perfectible. La solidité financière et la dynamique positive justifient une opinion favorable à moyen et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13,2x, P/B 3,00x, EV/EBITDA 8,6x) indique une juste valorisation, voire une légère prime de qualité, sans décote évidente mais sans surévaluation manifeste. Le comportement du cours sur 100 jours est haussier (+16,67%), avec une volatilité modérée (24,9%) et une distribution proche de la normale (kurtosis -0,759, skewness 0,452), ce qui est rassurant pour un investisseur prudent. Les signaux techniques sont mitigés : la tendance de fond reste positive (MM50, stochastique en survente), mais le MACD et la position dans les bandes de Bollinger signalent une pression court terme. Les fondamentaux sont excellents, avec un ROE de 22,69%, un coefficient d'exploitation de 44,02% et une croissance estimée du résultat net de 6-7% pour 2026, soutenue par les rapports trimestriels récents (T1 2026, T3 2025). Les prédictions IA pour les 10 prochains jours (8 048 → 7 930 FCFA) anticipent une légère correction baissière, ce qui contredit partiellement les signaux d'achat techniques mais s'aligne sur le MACD baissier. Compte tenu de la convergence entre fondamentaux solides, valorisation raisonnable et tendance de fond haussière, mais en tenant compte des signaux techniques court terme mitigés et des prédictions baissières à court terme, la recommandation finale est **CONSERVER** avec un biais positif. Le niveau de confiance est **Moyen** (les fondamentaux sont solides mais la technique court terme est incertaine), et le niveau de risque global est **Moyen** (volatilité modérée, exposition au risque de crédit et de concentration). L'horizon d'investissement optimal est le **moyen terme (3-12 mois)**, afin de laisser la dynamique fondamentale s'exprimer et de traverser la phase de consolidation technique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2,092 titres</w:t>
            </w:r>
          </w:p>
        </w:tc>
        <w:tc>
          <w:tcPr>
            <w:tcW w:type="dxa" w:w="2268"/>
            <w:shd w:fill="FFF2CC" w:val="clear"/>
          </w:tcPr>
          <w:p>
            <w:r>
              <w:rPr>
                <w:b/>
                <w:color w:val="503200"/>
                <w:sz w:val="16"/>
              </w:rPr>
              <w:t xml:space="preserve">Cours actuel : </w:t>
            </w:r>
            <w:r>
              <w:rPr>
                <w:color w:val="000000"/>
                <w:sz w:val="17"/>
              </w:rPr>
              <w:t>3,405 FCFA</w:t>
            </w:r>
          </w:p>
          <w:p>
            <w:r>
              <w:rPr>
                <w:b/>
                <w:color w:val="503200"/>
                <w:sz w:val="16"/>
              </w:rPr>
              <w:t xml:space="preserve">Var. 100 jours : </w:t>
            </w:r>
            <w:r>
              <w:rPr>
                <w:b/>
                <w:color w:val="B40000"/>
                <w:sz w:val="17"/>
              </w:rPr>
              <w:t>-5.42%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3,400 FCFA</w:t>
            </w:r>
          </w:p>
          <w:p>
            <w:r>
              <w:rPr>
                <w:b/>
                <w:color w:val="503200"/>
                <w:sz w:val="16"/>
              </w:rPr>
              <w:t xml:space="preserve">Volatilité ann. : </w:t>
            </w:r>
            <w:r>
              <w:rPr>
                <w:color w:val="000000"/>
                <w:sz w:val="17"/>
              </w:rPr>
              <w:t>44.7%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μ=3,706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β=0.1345 (Défensif) — Cov=0.000005, Var(idx)=0.000036, ρ=0.028,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3,309</w:t>
            </w:r>
          </w:p>
        </w:tc>
        <w:tc>
          <w:tcPr>
            <w:tcW w:type="dxa" w:w="1440"/>
            <w:shd w:fill="FAFAFA" w:val="clear"/>
          </w:tcPr>
          <w:p>
            <w:r>
              <w:rPr>
                <w:b/>
                <w:sz w:val="17"/>
              </w:rPr>
              <w:t>3,383</w:t>
            </w:r>
          </w:p>
        </w:tc>
        <w:tc>
          <w:tcPr>
            <w:tcW w:type="dxa" w:w="1440"/>
            <w:shd w:fill="FAFAFA" w:val="clear"/>
          </w:tcPr>
          <w:p>
            <w:r>
              <w:rPr>
                <w:sz w:val="17"/>
              </w:rPr>
              <w:t>3,458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3,256</w:t>
            </w:r>
          </w:p>
        </w:tc>
        <w:tc>
          <w:tcPr>
            <w:tcW w:type="dxa" w:w="1440"/>
            <w:shd w:fill="FAFAFA" w:val="clear"/>
          </w:tcPr>
          <w:p>
            <w:r>
              <w:rPr>
                <w:b/>
                <w:sz w:val="17"/>
              </w:rPr>
              <w:t>3,360</w:t>
            </w:r>
          </w:p>
        </w:tc>
        <w:tc>
          <w:tcPr>
            <w:tcW w:type="dxa" w:w="1440"/>
            <w:shd w:fill="FAFAFA" w:val="clear"/>
          </w:tcPr>
          <w:p>
            <w:r>
              <w:rPr>
                <w:sz w:val="17"/>
              </w:rPr>
              <w:t>3,465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3,211</w:t>
            </w:r>
          </w:p>
        </w:tc>
        <w:tc>
          <w:tcPr>
            <w:tcW w:type="dxa" w:w="1440"/>
            <w:shd w:fill="FAFAFA" w:val="clear"/>
          </w:tcPr>
          <w:p>
            <w:r>
              <w:rPr>
                <w:b/>
                <w:sz w:val="17"/>
              </w:rPr>
              <w:t>3,339</w:t>
            </w:r>
          </w:p>
        </w:tc>
        <w:tc>
          <w:tcPr>
            <w:tcW w:type="dxa" w:w="1440"/>
            <w:shd w:fill="FAFAFA" w:val="clear"/>
          </w:tcPr>
          <w:p>
            <w:r>
              <w:rPr>
                <w:sz w:val="17"/>
              </w:rPr>
              <w:t>3,466</w:t>
            </w:r>
          </w:p>
        </w:tc>
        <w:tc>
          <w:tcPr>
            <w:tcW w:type="dxa" w:w="1440"/>
            <w:shd w:fill="FAFAFA"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3,172</w:t>
            </w:r>
          </w:p>
        </w:tc>
        <w:tc>
          <w:tcPr>
            <w:tcW w:type="dxa" w:w="1440"/>
            <w:shd w:fill="FFDCE0" w:val="clear"/>
          </w:tcPr>
          <w:p>
            <w:r>
              <w:rPr>
                <w:b/>
                <w:sz w:val="17"/>
              </w:rPr>
              <w:t>3,318</w:t>
            </w:r>
          </w:p>
        </w:tc>
        <w:tc>
          <w:tcPr>
            <w:tcW w:type="dxa" w:w="1440"/>
            <w:shd w:fill="FFDCE0" w:val="clear"/>
          </w:tcPr>
          <w:p>
            <w:r>
              <w:rPr>
                <w:sz w:val="17"/>
              </w:rPr>
              <w:t>3,464</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3,136</w:t>
            </w:r>
          </w:p>
        </w:tc>
        <w:tc>
          <w:tcPr>
            <w:tcW w:type="dxa" w:w="1440"/>
            <w:shd w:fill="FFDCE0" w:val="clear"/>
          </w:tcPr>
          <w:p>
            <w:r>
              <w:rPr>
                <w:b/>
                <w:sz w:val="17"/>
              </w:rPr>
              <w:t>3,298</w:t>
            </w:r>
          </w:p>
        </w:tc>
        <w:tc>
          <w:tcPr>
            <w:tcW w:type="dxa" w:w="1440"/>
            <w:shd w:fill="FFDCE0" w:val="clear"/>
          </w:tcPr>
          <w:p>
            <w:r>
              <w:rPr>
                <w:sz w:val="17"/>
              </w:rPr>
              <w:t>3,461</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3,102</w:t>
            </w:r>
          </w:p>
        </w:tc>
        <w:tc>
          <w:tcPr>
            <w:tcW w:type="dxa" w:w="1440"/>
            <w:shd w:fill="FFDCE0" w:val="clear"/>
          </w:tcPr>
          <w:p>
            <w:r>
              <w:rPr>
                <w:b/>
                <w:sz w:val="17"/>
              </w:rPr>
              <w:t>3,279</w:t>
            </w:r>
          </w:p>
        </w:tc>
        <w:tc>
          <w:tcPr>
            <w:tcW w:type="dxa" w:w="1440"/>
            <w:shd w:fill="FFDCE0" w:val="clear"/>
          </w:tcPr>
          <w:p>
            <w:r>
              <w:rPr>
                <w:sz w:val="17"/>
              </w:rPr>
              <w:t>3,456</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3,069</w:t>
            </w:r>
          </w:p>
        </w:tc>
        <w:tc>
          <w:tcPr>
            <w:tcW w:type="dxa" w:w="1440"/>
            <w:shd w:fill="FFDCE0" w:val="clear"/>
          </w:tcPr>
          <w:p>
            <w:r>
              <w:rPr>
                <w:b/>
                <w:sz w:val="17"/>
              </w:rPr>
              <w:t>3,259</w:t>
            </w:r>
          </w:p>
        </w:tc>
        <w:tc>
          <w:tcPr>
            <w:tcW w:type="dxa" w:w="1440"/>
            <w:shd w:fill="FFDCE0" w:val="clear"/>
          </w:tcPr>
          <w:p>
            <w:r>
              <w:rPr>
                <w:sz w:val="17"/>
              </w:rPr>
              <w:t>3,449</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3,038</w:t>
            </w:r>
          </w:p>
        </w:tc>
        <w:tc>
          <w:tcPr>
            <w:tcW w:type="dxa" w:w="1440"/>
            <w:shd w:fill="FFDCE0" w:val="clear"/>
          </w:tcPr>
          <w:p>
            <w:r>
              <w:rPr>
                <w:b/>
                <w:sz w:val="17"/>
              </w:rPr>
              <w:t>3,240</w:t>
            </w:r>
          </w:p>
        </w:tc>
        <w:tc>
          <w:tcPr>
            <w:tcW w:type="dxa" w:w="1440"/>
            <w:shd w:fill="FFDCE0" w:val="clear"/>
          </w:tcPr>
          <w:p>
            <w:r>
              <w:rPr>
                <w:sz w:val="17"/>
              </w:rPr>
              <w:t>3,442</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3,007</w:t>
            </w:r>
          </w:p>
        </w:tc>
        <w:tc>
          <w:tcPr>
            <w:tcW w:type="dxa" w:w="1440"/>
            <w:shd w:fill="FFDCE0" w:val="clear"/>
          </w:tcPr>
          <w:p>
            <w:r>
              <w:rPr>
                <w:b/>
                <w:sz w:val="17"/>
              </w:rPr>
              <w:t>3,220</w:t>
            </w:r>
          </w:p>
        </w:tc>
        <w:tc>
          <w:tcPr>
            <w:tcW w:type="dxa" w:w="1440"/>
            <w:shd w:fill="FFDCE0" w:val="clear"/>
          </w:tcPr>
          <w:p>
            <w:r>
              <w:rPr>
                <w:sz w:val="17"/>
              </w:rPr>
              <w:t>3,433</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2,977</w:t>
            </w:r>
          </w:p>
        </w:tc>
        <w:tc>
          <w:tcPr>
            <w:tcW w:type="dxa" w:w="1440"/>
            <w:shd w:fill="FFDCE0" w:val="clear"/>
          </w:tcPr>
          <w:p>
            <w:r>
              <w:rPr>
                <w:b/>
                <w:sz w:val="17"/>
              </w:rPr>
              <w:t>3,200</w:t>
            </w:r>
          </w:p>
        </w:tc>
        <w:tc>
          <w:tcPr>
            <w:tcW w:type="dxa" w:w="1440"/>
            <w:shd w:fill="FFDCE0" w:val="clear"/>
          </w:tcPr>
          <w:p>
            <w:r>
              <w:rPr>
                <w:sz w:val="17"/>
              </w:rPr>
              <w:t>3,423</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20,16 Mds FCFA, CABC se situe dans la catégorie des valeurs moyennes de la BRVM, ce qui limite sa liquidité relative mais lui confère une certaine stabilité. Le BPA de 243 FCFA/action indique que chaque titre génère près de 243 FCFA de bénéfice net, un niveau honorable pour le secteur industriel. Le PER de 14,0x se situe au-dessus de la moyenne BRVM (~8-12x), suggérant que le marché paie une prime pour ce titre — prime qui pourrait être justifiée par les perspectives de croissance, mais qui expose à un risque de correction si les résultats déçoivent. Le P/B de 2,16x traduit une valorisation supérieure à la valeur comptable, cohérente avec une prime de croissance accordée par le marché. Enfin, l'EV/EBITDA de 7,0x demeure raisonnable (fourchette 5-10x), indiquant que la valeur totale de l'entreprise reste proportionnée à sa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-5,42%, avec une dernière séance en repli de -0,73%, confirmant une dynamique baissière persistante. Le cours actuel de 3 405 FCFA évolue dans un range de trading de 1 100 FCFA (plus haut à 4 500 FCFA, plus bas à 3 400 FCFA), le prix se situant actuellement tout près de son plancher — signal de faiblesse notable. La tendance générale est clairement baissière, le titre ayant cédé près de 24% depuis son sommet. Les statistiques descriptives révèlent une moyenne de 3 706 FCFA supérieure à la médiane de 3 610 FCFA, avec un mode à 3 500 FCFA : cet écart confirme une asymétrie positive (skewness de 1,137), indiquant que le cours a passé plus de journées sous sa moyenne, tirée vers le haut par quelques pics. L'écart-type de 272 FCFA (CV de 7,3%) traduit une dispersion modérée, tandis que le kurtosis de 0,751 (mésokurtique) suggère une distribution proche de la normale, sans risque extrême de pics. La volatilité annualisée de 44,7% classe le titre dans la catégorie **élevée** (&gt;30%), ce qui implique un risque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(3 502,75 FCFA) et la MM50 (3 602,8 FCFA) se situent toutes deux au-dessus du cours actuel (3 405 FCFA), avec la MM20 sous la MM50 — configuration baissière classique. Le cours évoluant sous ses deux moyennes, la pression vendeuse domine, justifiant la décision **Vente**.</w:t>
      </w:r>
    </w:p>
    <w:p>
      <w:pPr>
        <w:spacing w:after="120" w:line="276" w:lineRule="auto"/>
      </w:pPr>
      <w:r>
        <w:t>**Bandes de Bollinger** : Le cours (3 405 FCFA) se situe juste au-dessus de la borne inférieure (3 389,08 FCFA) et loin de la borne supérieure (3 616,42 FCFA), signe que le titre évolue en zone basse de sa volatilité récente. Cette position proche du plancher suggère une possible zone de survente, mais sans signal de retournement confirmé — décision **Neutre**.</w:t>
      </w:r>
    </w:p>
    <w:p>
      <w:pPr>
        <w:spacing w:after="120" w:line="276" w:lineRule="auto"/>
      </w:pPr>
      <w:r>
        <w:t>**MACD** : La valeur du MACD (-50,708) est inférieure à son signal (-49,769), avec un histogramme négatif. Cette configuration indique un momentum baissier toujours actif, bien que l'écart entre les deux lignes se réduise légèrement — la décision reste **Vente**.</w:t>
      </w:r>
    </w:p>
    <w:p>
      <w:pPr>
        <w:spacing w:after="120" w:line="276" w:lineRule="auto"/>
      </w:pPr>
      <w:r>
        <w:t>**RSI** : À 39,286, le RSI se situe en zone neutre basse (30-70), sans atteindre le seuil de survente (&lt;30). Cela signifie que le titre n'est pas encore techniquement survendu, laissant une marge de baisse supplémentaire — décision **Neutre**.</w:t>
      </w:r>
    </w:p>
    <w:p>
      <w:pPr>
        <w:spacing w:after="120" w:line="276" w:lineRule="auto"/>
      </w:pPr>
      <w:r>
        <w:t>**Stochastique** : Le %K à 0,0 (extrême bas) et le %D à 26,19 indiquent que le cours est en zone de survente marquée, avec un %K sous le %D — configuration qui précède souvent un rebond technique. Cette divergence justifie la décision **Achat** à contre-tendance.</w:t>
      </w:r>
    </w:p>
    <w:p>
      <w:pPr>
        <w:spacing w:after="120" w:line="276" w:lineRule="auto"/>
      </w:pPr>
      <w:r>
        <w:t>**Conclusion technique** : Les indicateurs sont majoritairement baissiers (MM, MACD), avec un RSI neutre et des Bandes de Bollinger en zone basse. Seul le Stochastique signale une opportunité d'achat contrarien. La convergence des signaux négatifs (cours sous les MM, MACD négatif) domine, mais la proximité de la borne inférieure de Bollinger et le %K à 0 pourraient annoncer un rebond technique à court terme.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CABC a réalisé un chiffre d'affaires de 21,263 Mds FCFA, en croissance de +11,18% sur un an, confirmant la dynamique commerciale. Le résultat net s'établit à 1,439 Mds FCFA, avec une marge nette de 6,77% et une marge opérationnelle de 9,82%. Le ROE atteint 15,40% (&gt;15% = excellent), et le ROA 6,10%, traduisant une bonne rentabilité des fonds propres et des actifs. La structure financière est saine : autonomie financière de 39,58% (&gt;30%), liquidité générale de 242,60% (&gt;1), et un BFR de 7,186 Mds FCFA. Cependant, les délais d'exploitation sont préoccupants : délai clients de 144,69 jours et durée de stockage de 152,12 jours, immobilisant le capital et pesant sur la trésorerie. Le flux opérationnel est négatif (-819,66 M FCFA) et le Free Cash Flow s'établit à -982,71 M FCFA, malgré une trésorerie nette de 5,139 Mds FCFA.</w:t>
      </w:r>
    </w:p>
    <w:p>
      <w:pPr>
        <w:spacing w:after="120" w:line="276" w:lineRule="auto"/>
      </w:pPr>
      <w:r>
        <w:t>**Estimations basées sur les rapports trimestriels** : Le rapport T3 2025 (daté du 30/09/2025) indique un CA cumulé de 16 630 M FCFA (+13,7%) et un résultat net de 1 329,5 M FCFA (+26,0%), avec une marge nette de 8,0% — supérieure à la moyenne annuelle. Le rapport S1 2025 (30/06/2025) faisait état d'un résultat net de 851,5 M FCFA (+55,3%) et d'une marge nette de 7,9%. **On estime donc que l'exercice 2025 devrait clôturer avec un résultat net autour de 1,4-1,5 Md FCFA**, cohérent avec les données structurées. Toutefois, le rapport T1 2026 (daté de 2026) révèle une **dégradation brutale** : CA en baisse de -26,5% à 3 794 M FCFA, perte d'exploitation de -237 M FCFA et résultat net déficitaire de -221,7 M FCFA, en raison d'une maintenance planifiée et de l'inflation des cours des métaux (+23%). La direction anticipe un rattrapage au T2 2026, mais le risque de prolongation demeure.</w:t>
      </w:r>
    </w:p>
    <w:p>
      <w:pPr>
        <w:spacing w:after="120" w:line="276" w:lineRule="auto"/>
      </w:pPr>
      <w:r>
        <w:t>**Recommandation fondamentale** : La solidité financière de CABC (ROE &gt;15%, trésorerie confortable) contraste avec les signaux d'alerte (flux opérationnel négatif, délais clients élevés, dégradation au T1 2026). Le titre présente un profil **mitigé** : fondamentaux corrects sur 2025, mais perspectives 2026 incertaines. La recommandation fondamentale est **CONSERVER** avec surveillance active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affiche un PER de 14,0x supérieur à la moyenne BRVM, suggérant une légère surévaluation, bien que le P/B de 2,16x et l'EV/EBITDA de 7,0x restent raisonnables. Le comportement du cours (Partie 1) est préoccupant : tendance baissière (-5,42%), volatilité élevée (44,7%), skewness positive (1,137) et cours proche du plancher — des statistiques défavorables. Les signaux techniques (Partie 2) sont majoritairement baissiers (MM, MACD), avec un RSI neutre et un Stochastique en survente extrême (%K=0) qui pourrait annoncer un rebond contrarien. Les fondamentaux (Partie 3) sont mitigés : ROE solide (15,40%) et croissance du CA (+11,18%) en 2025, mais dégradation brutale au T1 2026 (perte de -221,7 M FCFA) et flux opérationnel négatif. Les prédictions IA (J+1 à J+10) anticipent une poursuite de la baisse (3 383 → 3 298 FCFA), confirmant la tendance baissière à court terme. **En synthèse, la convergence des signaux négatifs (technique, prédiction, dégradation T1 2026) l'emporte sur les points positifs (ROE, trésorerie). La recommandation finale est VENTE, avec un niveau de confiance Moyen et un risque global Élevé. L'horizon optimal est court terme (&lt;3 mois) pour les investisseurs cherchant à se positionner sur un éventuel rebond technique, mais le titre reste déconseillé pour le moyen/long terme tant que la rentabilité n'est pas restaurée.**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1082.88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1,528 titres</w:t>
            </w:r>
          </w:p>
        </w:tc>
        <w:tc>
          <w:tcPr>
            <w:tcW w:type="dxa" w:w="2268"/>
            <w:shd w:fill="FFF2CC" w:val="clear"/>
          </w:tcPr>
          <w:p>
            <w:r>
              <w:rPr>
                <w:b/>
                <w:color w:val="503200"/>
                <w:sz w:val="16"/>
              </w:rPr>
              <w:t xml:space="preserve">Cours actuel : </w:t>
            </w:r>
            <w:r>
              <w:rPr>
                <w:color w:val="000000"/>
                <w:sz w:val="17"/>
              </w:rPr>
              <w:t>33,840 FCFA</w:t>
            </w:r>
          </w:p>
          <w:p>
            <w:r>
              <w:rPr>
                <w:b/>
                <w:color w:val="503200"/>
                <w:sz w:val="16"/>
              </w:rPr>
              <w:t xml:space="preserve">Var. 100 jours : </w:t>
            </w:r>
            <w:r>
              <w:rPr>
                <w:b/>
                <w:color w:val="007800"/>
                <w:sz w:val="17"/>
              </w:rPr>
              <w:t>+105.22%</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20.82% (Élevée) — μ=25,285 FCFA, σ=5,264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β=0.8846 (Neutre (suit le marché)) — Cov=0.000032, Var(idx)=0.000036, ρ=0.211,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1,528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30,501</w:t>
            </w:r>
          </w:p>
        </w:tc>
        <w:tc>
          <w:tcPr>
            <w:tcW w:type="dxa" w:w="1440"/>
            <w:shd w:fill="FFDCE0" w:val="clear"/>
          </w:tcPr>
          <w:p>
            <w:r>
              <w:rPr>
                <w:b/>
                <w:sz w:val="17"/>
              </w:rPr>
              <w:t>31,432</w:t>
            </w:r>
          </w:p>
        </w:tc>
        <w:tc>
          <w:tcPr>
            <w:tcW w:type="dxa" w:w="1440"/>
            <w:shd w:fill="FFDCE0" w:val="clear"/>
          </w:tcPr>
          <w:p>
            <w:r>
              <w:rPr>
                <w:sz w:val="17"/>
              </w:rPr>
              <w:t>32,363</w:t>
            </w:r>
          </w:p>
        </w:tc>
        <w:tc>
          <w:tcPr>
            <w:tcW w:type="dxa" w:w="1440"/>
            <w:shd w:fill="FFDCE0" w:val="clear"/>
          </w:tcPr>
          <w:p>
            <w:r>
              <w:rPr>
                <w:b/>
                <w:color w:val="C00000"/>
                <w:sz w:val="17"/>
              </w:rPr>
              <w:t>-7.1%</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29,118</w:t>
            </w:r>
          </w:p>
        </w:tc>
        <w:tc>
          <w:tcPr>
            <w:tcW w:type="dxa" w:w="1440"/>
            <w:shd w:fill="FFDCE0" w:val="clear"/>
          </w:tcPr>
          <w:p>
            <w:r>
              <w:rPr>
                <w:b/>
                <w:sz w:val="17"/>
              </w:rPr>
              <w:t>30,391</w:t>
            </w:r>
          </w:p>
        </w:tc>
        <w:tc>
          <w:tcPr>
            <w:tcW w:type="dxa" w:w="1440"/>
            <w:shd w:fill="FFDCE0" w:val="clear"/>
          </w:tcPr>
          <w:p>
            <w:r>
              <w:rPr>
                <w:sz w:val="17"/>
              </w:rPr>
              <w:t>31,663</w:t>
            </w:r>
          </w:p>
        </w:tc>
        <w:tc>
          <w:tcPr>
            <w:tcW w:type="dxa" w:w="1440"/>
            <w:shd w:fill="FFDCE0" w:val="clear"/>
          </w:tcPr>
          <w:p>
            <w:r>
              <w:rPr>
                <w:b/>
                <w:color w:val="C00000"/>
                <w:sz w:val="17"/>
              </w:rPr>
              <w:t>-10.2%</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28,410</w:t>
            </w:r>
          </w:p>
        </w:tc>
        <w:tc>
          <w:tcPr>
            <w:tcW w:type="dxa" w:w="1440"/>
            <w:shd w:fill="FFDCE0" w:val="clear"/>
          </w:tcPr>
          <w:p>
            <w:r>
              <w:rPr>
                <w:b/>
                <w:sz w:val="17"/>
              </w:rPr>
              <w:t>29,946</w:t>
            </w:r>
          </w:p>
        </w:tc>
        <w:tc>
          <w:tcPr>
            <w:tcW w:type="dxa" w:w="1440"/>
            <w:shd w:fill="FFDCE0" w:val="clear"/>
          </w:tcPr>
          <w:p>
            <w:r>
              <w:rPr>
                <w:sz w:val="17"/>
              </w:rPr>
              <w:t>31,482</w:t>
            </w:r>
          </w:p>
        </w:tc>
        <w:tc>
          <w:tcPr>
            <w:tcW w:type="dxa" w:w="1440"/>
            <w:shd w:fill="FFDCE0" w:val="clear"/>
          </w:tcPr>
          <w:p>
            <w:r>
              <w:rPr>
                <w:b/>
                <w:color w:val="C00000"/>
                <w:sz w:val="17"/>
              </w:rPr>
              <w:t>-11.5%</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27,895</w:t>
            </w:r>
          </w:p>
        </w:tc>
        <w:tc>
          <w:tcPr>
            <w:tcW w:type="dxa" w:w="1440"/>
            <w:shd w:fill="FFDCE0" w:val="clear"/>
          </w:tcPr>
          <w:p>
            <w:r>
              <w:rPr>
                <w:b/>
                <w:sz w:val="17"/>
              </w:rPr>
              <w:t>29,652</w:t>
            </w:r>
          </w:p>
        </w:tc>
        <w:tc>
          <w:tcPr>
            <w:tcW w:type="dxa" w:w="1440"/>
            <w:shd w:fill="FFDCE0" w:val="clear"/>
          </w:tcPr>
          <w:p>
            <w:r>
              <w:rPr>
                <w:sz w:val="17"/>
              </w:rPr>
              <w:t>31,408</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27,444</w:t>
            </w:r>
          </w:p>
        </w:tc>
        <w:tc>
          <w:tcPr>
            <w:tcW w:type="dxa" w:w="1440"/>
            <w:shd w:fill="FFDCE0" w:val="clear"/>
          </w:tcPr>
          <w:p>
            <w:r>
              <w:rPr>
                <w:b/>
                <w:sz w:val="17"/>
              </w:rPr>
              <w:t>29,390</w:t>
            </w:r>
          </w:p>
        </w:tc>
        <w:tc>
          <w:tcPr>
            <w:tcW w:type="dxa" w:w="1440"/>
            <w:shd w:fill="FFDCE0" w:val="clear"/>
          </w:tcPr>
          <w:p>
            <w:r>
              <w:rPr>
                <w:sz w:val="17"/>
              </w:rPr>
              <w:t>31,336</w:t>
            </w:r>
          </w:p>
        </w:tc>
        <w:tc>
          <w:tcPr>
            <w:tcW w:type="dxa" w:w="1440"/>
            <w:shd w:fill="FFDCE0" w:val="clear"/>
          </w:tcPr>
          <w:p>
            <w:r>
              <w:rPr>
                <w:b/>
                <w:color w:val="C00000"/>
                <w:sz w:val="17"/>
              </w:rPr>
              <w:t>-13.2%</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27,053</w:t>
            </w:r>
          </w:p>
        </w:tc>
        <w:tc>
          <w:tcPr>
            <w:tcW w:type="dxa" w:w="1440"/>
            <w:shd w:fill="FFDCE0" w:val="clear"/>
          </w:tcPr>
          <w:p>
            <w:r>
              <w:rPr>
                <w:b/>
                <w:sz w:val="17"/>
              </w:rPr>
              <w:t>29,169</w:t>
            </w:r>
          </w:p>
        </w:tc>
        <w:tc>
          <w:tcPr>
            <w:tcW w:type="dxa" w:w="1440"/>
            <w:shd w:fill="FFDCE0" w:val="clear"/>
          </w:tcPr>
          <w:p>
            <w:r>
              <w:rPr>
                <w:sz w:val="17"/>
              </w:rPr>
              <w:t>31,285</w:t>
            </w:r>
          </w:p>
        </w:tc>
        <w:tc>
          <w:tcPr>
            <w:tcW w:type="dxa" w:w="1440"/>
            <w:shd w:fill="FFDCE0" w:val="clear"/>
          </w:tcPr>
          <w:p>
            <w:r>
              <w:rPr>
                <w:b/>
                <w:color w:val="C00000"/>
                <w:sz w:val="17"/>
              </w:rPr>
              <w:t>-13.8%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26,712</w:t>
            </w:r>
          </w:p>
        </w:tc>
        <w:tc>
          <w:tcPr>
            <w:tcW w:type="dxa" w:w="1440"/>
            <w:shd w:fill="FFDCE0" w:val="clear"/>
          </w:tcPr>
          <w:p>
            <w:r>
              <w:rPr>
                <w:b/>
                <w:sz w:val="17"/>
              </w:rPr>
              <w:t>28,983</w:t>
            </w:r>
          </w:p>
        </w:tc>
        <w:tc>
          <w:tcPr>
            <w:tcW w:type="dxa" w:w="1440"/>
            <w:shd w:fill="FFDCE0" w:val="clear"/>
          </w:tcPr>
          <w:p>
            <w:r>
              <w:rPr>
                <w:sz w:val="17"/>
              </w:rPr>
              <w:t>31,254</w:t>
            </w:r>
          </w:p>
        </w:tc>
        <w:tc>
          <w:tcPr>
            <w:tcW w:type="dxa" w:w="1440"/>
            <w:shd w:fill="FFDCE0" w:val="clear"/>
          </w:tcPr>
          <w:p>
            <w:r>
              <w:rPr>
                <w:b/>
                <w:color w:val="C00000"/>
                <w:sz w:val="17"/>
              </w:rPr>
              <w:t>-14.4%</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26,408</w:t>
            </w:r>
          </w:p>
        </w:tc>
        <w:tc>
          <w:tcPr>
            <w:tcW w:type="dxa" w:w="1440"/>
            <w:shd w:fill="FFDCE0" w:val="clear"/>
          </w:tcPr>
          <w:p>
            <w:r>
              <w:rPr>
                <w:b/>
                <w:sz w:val="17"/>
              </w:rPr>
              <w:t>28,823</w:t>
            </w:r>
          </w:p>
        </w:tc>
        <w:tc>
          <w:tcPr>
            <w:tcW w:type="dxa" w:w="1440"/>
            <w:shd w:fill="FFDCE0" w:val="clear"/>
          </w:tcPr>
          <w:p>
            <w:r>
              <w:rPr>
                <w:sz w:val="17"/>
              </w:rPr>
              <w:t>31,237</w:t>
            </w:r>
          </w:p>
        </w:tc>
        <w:tc>
          <w:tcPr>
            <w:tcW w:type="dxa" w:w="1440"/>
            <w:shd w:fill="FFDCE0" w:val="clear"/>
          </w:tcPr>
          <w:p>
            <w:r>
              <w:rPr>
                <w:b/>
                <w:color w:val="C00000"/>
                <w:sz w:val="17"/>
              </w:rPr>
              <w:t>-14.8%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26,134</w:t>
            </w:r>
          </w:p>
        </w:tc>
        <w:tc>
          <w:tcPr>
            <w:tcW w:type="dxa" w:w="1440"/>
            <w:shd w:fill="FFDCE0" w:val="clear"/>
          </w:tcPr>
          <w:p>
            <w:r>
              <w:rPr>
                <w:b/>
                <w:sz w:val="17"/>
              </w:rPr>
              <w:t>28,683</w:t>
            </w:r>
          </w:p>
        </w:tc>
        <w:tc>
          <w:tcPr>
            <w:tcW w:type="dxa" w:w="1440"/>
            <w:shd w:fill="FFDCE0" w:val="clear"/>
          </w:tcPr>
          <w:p>
            <w:r>
              <w:rPr>
                <w:sz w:val="17"/>
              </w:rPr>
              <w:t>31,231</w:t>
            </w:r>
          </w:p>
        </w:tc>
        <w:tc>
          <w:tcPr>
            <w:tcW w:type="dxa" w:w="1440"/>
            <w:shd w:fill="FFDCE0" w:val="clear"/>
          </w:tcPr>
          <w:p>
            <w:r>
              <w:rPr>
                <w:b/>
                <w:color w:val="C00000"/>
                <w:sz w:val="17"/>
              </w:rPr>
              <w:t>-15.2%</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25,885</w:t>
            </w:r>
          </w:p>
        </w:tc>
        <w:tc>
          <w:tcPr>
            <w:tcW w:type="dxa" w:w="1440"/>
            <w:shd w:fill="FFDCE0" w:val="clear"/>
          </w:tcPr>
          <w:p>
            <w:r>
              <w:rPr>
                <w:b/>
                <w:sz w:val="17"/>
              </w:rPr>
              <w:t>28,559</w:t>
            </w:r>
          </w:p>
        </w:tc>
        <w:tc>
          <w:tcPr>
            <w:tcW w:type="dxa" w:w="1440"/>
            <w:shd w:fill="FFDCE0" w:val="clear"/>
          </w:tcPr>
          <w:p>
            <w:r>
              <w:rPr>
                <w:sz w:val="17"/>
              </w:rPr>
              <w:t>31,234</w:t>
            </w:r>
          </w:p>
        </w:tc>
        <w:tc>
          <w:tcPr>
            <w:tcW w:type="dxa" w:w="1440"/>
            <w:shd w:fill="FFDCE0" w:val="clear"/>
          </w:tcPr>
          <w:p>
            <w:r>
              <w:rPr>
                <w:b/>
                <w:color w:val="C00000"/>
                <w:sz w:val="17"/>
              </w:rPr>
              <w:t>-15.6%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1 082,88 milliards FCFA, CBIBF s'impose comme l'une des plus importantes capitalisations de la BRVM, ce qui témoigne de son statut de valeur de premier plan dans le compartiment bancaire régional. Le BPA de 2 047 FCFA par action signifie que chaque titre génère près de 2 047 FCFA de bénéfice net, un niveau de rentabilité par action particulièrement élevé pour le marché ouest-africain. Le PER de 16,5x traduit une valorisation modérée mais supérieure à la moyenne BRVM (8-12x), les investisseurs acceptant de payer une prime pour la qualité de la croissance et la solidité du modèle. L'EV/EBITDA de 12,2x, situé dans la fourchette haute (10-15x), confirme cette appréciation positive de la capacité opérationnelle de la banque. Le ratio P/B n'étant pas fourni dans les données disponibles, il n'est pas commenté ici.</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+105,22%, avec une dernière séance en hausse de +1,01%, portant le cours à 33 840 FCFA. Le range de trading est très large, oscillant entre un plus bas de 15 600 FCFA et un plus haut de 34 450 FCFA, ce qui traduit une tendance haussière puissante et soutenue. La moyenne (25 285 FCFA) est légèrement inférieure à la médiane (26 350 FCFA), suggérant une distribution quasi-symétrique avec une légère prédominance des cours élevés en fin de période. L'écart-type de 5 291 FCFA et le coefficient de variation de 20,9% indiquent une dispersion modérée du cours autour de sa moyenne. Le kurtosis de -1,000 (distribution platykurtique) signale une faible concentration des valeurs extrêmes, donc un risque de pics brusques limité, tandis que le skewness de -0,074 confirme une distribution pratiquement symétrique. Avec une volatilité annualisée de 40,0%, le titre se situe dans la catégorie des valeurs à volatilité élevée (&gt;30%), ce qui implique un potentiel de gain important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(32 218 FCFA) et la MM50 (29 858,6 FCFA) sont toutes deux inférieures au cours actuel (33 840 FCFA), et la MM20 est au-dessus de la MM50, configurant un alignement haussier classique. Cette configuration justifie la décision d'**Achat**, le cours évoluant au-dessus de ses supports mobiles avec une dynamique positive.</w:t>
      </w:r>
    </w:p>
    <w:p>
      <w:pPr>
        <w:spacing w:after="120" w:line="276" w:lineRule="auto"/>
      </w:pPr>
      <w:r>
        <w:t>**Bandes de Bollinger** : Le cours (33 840 FCFA) se situe dans la partie supérieure de la bande, entre la borne inférieure (28 220,47 FCFA) et la borne supérieure (36 215,53 FCFA), sans la dépasser. Cette position proche de la borne haute, sans franchissement, justifie la décision **Neutre**, le titre n'étant ni en suraccélération ni en zone de repli.</w:t>
      </w:r>
    </w:p>
    <w:p>
      <w:pPr>
        <w:spacing w:after="120" w:line="276" w:lineRule="auto"/>
      </w:pPr>
      <w:r>
        <w:t>**MACD** : La valeur du MACD (1 456,34) est légèrement inférieure à son signal (1 463,31), générant un croisement baissier marginal. Ce différentiel négatif, bien que faible, indique un essoufflement du momentum haussier et justifie la décision de **Vente** à court terme.</w:t>
      </w:r>
    </w:p>
    <w:p>
      <w:pPr>
        <w:spacing w:after="120" w:line="276" w:lineRule="auto"/>
      </w:pPr>
      <w:r>
        <w:t>**RSI** : Avec une valeur de 76,99, le RSI se situe nettement au-dessus du seuil de suracheté (70), signalant que le titre a été acheté de manière excessive et qu'une correction ou consolidation est probable. Cette lecture justifie la décision de **Vente**.</w:t>
      </w:r>
    </w:p>
    <w:p>
      <w:pPr>
        <w:spacing w:after="120" w:line="276" w:lineRule="auto"/>
      </w:pPr>
      <w:r>
        <w:t>**Stochastique** : Le %K (84,14) est inférieur au %D (88,14), et les deux se situent en zone de surachat (&gt;80). Ce croisement baissier en zone extrême confirme la pression vendeuse potentielle et justifie la décision de **Vente**.</w:t>
      </w:r>
    </w:p>
    <w:p>
      <w:pPr>
        <w:spacing w:after="120" w:line="276" w:lineRule="auto"/>
      </w:pPr>
      <w:r>
        <w:t>**Conclusion technique** : Les indicateurs techniques présentent une divergence notable : les moyennes mobiles restent haussières (Achat), tandis que le MACD, le RSI et le stochastique signalent tous une correction imminente (Vente), et les bandes de Bollinger sont neutres. Cette configuration suggère que le titre, après une hausse exceptionnelle de +105%, entre dans une phase de consolidation ou de correction à court terme, malgré une tendance de fond toujours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Coris Bank International a réalisé un Produit Net Bancaire (PNB) de 138,986 milliards FCFA, en croissance de 6,11% par rapport à 2024, et un résultat net de 65,495 milliards FCFA, en progression remarquable de 36,6% sur un an. La marge nette s'établit à 47,12%, la marge opérationnelle à 51,77%, et le ROA à 2,18%, tandis que le coefficient d'exploitation de 36,39% confirme une excellente efficacité opérationnelle (largement inférieur au seuil de 60%). Le total du bilan atteint 2 997,78 milliards FCFA, avec des dépôts clientèle de 2 015,28 milliards FCFA et des créances clientèle de 1 326,98 milliards FCFA, soit un ratio de transformation (crédits/dépôts) de 65,8%, témoignant d'une gestion prudente et d'une forte capacité de collecte. Le coût du risque, bien qu'élevé en valeur absolue (16,5 milliards FCFA selon le rapport annuel 2025), s'est amélioré de 59,3% par rapport à 2024, reflétant l'assainissement réussi du portefeuille de crédits.</w:t>
      </w:r>
    </w:p>
    <w:p>
      <w:pPr>
        <w:spacing w:after="120" w:line="276" w:lineRule="auto"/>
      </w:pPr>
      <w:r>
        <w:t>**Évolution temporelle** : L'analyse des rapports trimestriels révèle une accélération progressive de la performance. Au T1 2025 (rapport du 31/03/2025), le PNB atteignait 28,7 milliards FCFA (+2,80%) et le résultat net 17,6 milliards FCFA (+5,89%). Au S1 2025 (rapport du 30/06/2025), le PNB progressait à 65,1 milliards FCFA (+8,75%) mais le résultat net stagnait à 33,8 milliards FCFA (+0,66%) sous l'effet d'un coût du risque en hausse de 61,75%. Au T3 2025 (rapport du 30/09/2025), le PNB atteignait 101,3 milliards FCFA (+9,65%) et le résultat net 52,9 milliards FCFA (+6,25%), confirmant la reprise de la rentabilité. Enfin, le rapport du T1 2026 (publié en 2026) révèle une accélération spectaculaire : PNB de 36,8 milliards FCFA (+28,5%), résultat net de 21,5 milliards FCFA (+22,2%), dépôts clientèle en hausse de 37,9% à 2 365,1 milliards FCFA, et marge nette de 58,4%. **Sur la base de ce T1 2026, on peut estimer que l'exercice 2026 devrait enregistrer une croissance du PNB supérieure à 20% et un résultat net potentiellement supérieur à 80 milliards FCFA**, confirmant la solidité et la dynamique exceptionnelle de la banque. La notation financière AA/AI avec perspective stable (confirmée par Bloomfield Investment Corporation) et le renforcement de la gouvernance avec deux administrateurs indépendants constituent des facteurs de confiance supplémentaires. La convocation de l'Assemblée Générale Ordinaire du 16 avril 2026 pour approuver les comptes 2025 et affecter le résultat constitue un catalyseur potentiel pour le titre.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16,5x, EV/EBITDA 12,2x) indique une prime par rapport à la moyenne BRVM, justifiée par la qualité de la croissance et la solidité du modèle, mais qui limite le potentiel de revalorisation à court terme. Le comportement du cours sur 100 jours (+105,22%) est exceptionnel, avec une volatilité élevée (40%) et une distribution symétrique (skewness -0,074) sans risque de pics extrêmes (kurtosis -1,000), ce qui est rassurant mais suggère une possible consolidation après une telle performance. Les signaux techniques sont mitigés : les moyennes mobiles restent haussières, mais le MACD, le RSI (76,99) et le stochastique signalent tous une correction imminente, ce qui plaide pour une prudence à court terme. Les fondamentaux sont excellents : résultat net 2025 de 65,5 milliards FCFA (+36,6%), coefficient d'exploitation de 36,4%, et surtout le T1 2026 qui montre une accélération spectaculaire (+28,5% de PNB, +22,2% de résultat net), laissant présager un exercice 2026 record. Les prédictions IA (J+1 à J+10) anticipent une baisse progressive de 31 432 FCFA à 29 390 FCFA, confirmant la correction technique attendue à court terme. **En synthèse, la convergence entre la correction technique attendue (RSI, MACD, stochastique, prédictions IA) et la solidité fondamentale exceptionnelle (T1 2026, perspectives 2026) conduit à une recommandation d'ACHAT, mais avec une entrée progressive pour profiter de la correction attendue.** Le niveau de confiance est **Élevé** (fondamentaux solides, tendance de fond haussière), le risque global est **Moyen** (volatilité élevée, correction court terme probable), et l'horizon optimal est le **moyen terme (3-12 mois)**, le temps que la correction technique s'achève et que la croissance fondamentale se matérialise dans les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295.64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3,708 titres</w:t>
            </w:r>
          </w:p>
        </w:tc>
        <w:tc>
          <w:tcPr>
            <w:tcW w:type="dxa" w:w="2268"/>
            <w:shd w:fill="FFF2CC" w:val="clear"/>
          </w:tcPr>
          <w:p>
            <w:r>
              <w:rPr>
                <w:b/>
                <w:color w:val="503200"/>
                <w:sz w:val="16"/>
              </w:rPr>
              <w:t xml:space="preserve">Cours actuel : </w:t>
            </w:r>
            <w:r>
              <w:rPr>
                <w:color w:val="000000"/>
                <w:sz w:val="17"/>
              </w:rPr>
              <w:t>1,630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μ=1,625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β=1.1065 (Neutre (suit le marché)) — Cov=0.000040, Var(idx)=0.000036, ρ=0.222,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3,708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σ_j=2.98%/j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1,599</w:t>
            </w:r>
          </w:p>
        </w:tc>
        <w:tc>
          <w:tcPr>
            <w:tcW w:type="dxa" w:w="1440"/>
            <w:shd w:fill="FAFAFA" w:val="clear"/>
          </w:tcPr>
          <w:p>
            <w:r>
              <w:rPr>
                <w:b/>
                <w:sz w:val="17"/>
              </w:rPr>
              <w:t>1,655</w:t>
            </w:r>
          </w:p>
        </w:tc>
        <w:tc>
          <w:tcPr>
            <w:tcW w:type="dxa" w:w="1440"/>
            <w:shd w:fill="FAFAFA" w:val="clear"/>
          </w:tcPr>
          <w:p>
            <w:r>
              <w:rPr>
                <w:sz w:val="17"/>
              </w:rPr>
              <w:t>1,712</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1,576</w:t>
            </w:r>
          </w:p>
        </w:tc>
        <w:tc>
          <w:tcPr>
            <w:tcW w:type="dxa" w:w="1440"/>
            <w:shd w:fill="FAFAFA" w:val="clear"/>
          </w:tcPr>
          <w:p>
            <w:r>
              <w:rPr>
                <w:b/>
                <w:sz w:val="17"/>
              </w:rPr>
              <w:t>1,655</w:t>
            </w:r>
          </w:p>
        </w:tc>
        <w:tc>
          <w:tcPr>
            <w:tcW w:type="dxa" w:w="1440"/>
            <w:shd w:fill="FAFAFA" w:val="clear"/>
          </w:tcPr>
          <w:p>
            <w:r>
              <w:rPr>
                <w:sz w:val="17"/>
              </w:rPr>
              <w:t>1,735</w:t>
            </w:r>
          </w:p>
        </w:tc>
        <w:tc>
          <w:tcPr>
            <w:tcW w:type="dxa" w:w="1440"/>
            <w:shd w:fill="FAFAFA" w:val="clear"/>
          </w:tcPr>
          <w:p>
            <w:r>
              <w:rPr>
                <w:b/>
                <w:color w:val="008000"/>
                <w:sz w:val="17"/>
              </w:rPr>
              <w:t>+1.6%</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1,561</w:t>
            </w:r>
          </w:p>
        </w:tc>
        <w:tc>
          <w:tcPr>
            <w:tcW w:type="dxa" w:w="1440"/>
            <w:shd w:fill="FAFAFA" w:val="clear"/>
          </w:tcPr>
          <w:p>
            <w:r>
              <w:rPr>
                <w:b/>
                <w:sz w:val="17"/>
              </w:rPr>
              <w:t>1,659</w:t>
            </w:r>
          </w:p>
        </w:tc>
        <w:tc>
          <w:tcPr>
            <w:tcW w:type="dxa" w:w="1440"/>
            <w:shd w:fill="FAFAFA" w:val="clear"/>
          </w:tcPr>
          <w:p>
            <w:r>
              <w:rPr>
                <w:sz w:val="17"/>
              </w:rPr>
              <w:t>1,757</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1,550</w:t>
            </w:r>
          </w:p>
        </w:tc>
        <w:tc>
          <w:tcPr>
            <w:tcW w:type="dxa" w:w="1440"/>
            <w:shd w:fill="C6EFCE" w:val="clear"/>
          </w:tcPr>
          <w:p>
            <w:r>
              <w:rPr>
                <w:b/>
                <w:sz w:val="17"/>
              </w:rPr>
              <w:t>1,663</w:t>
            </w:r>
          </w:p>
        </w:tc>
        <w:tc>
          <w:tcPr>
            <w:tcW w:type="dxa" w:w="1440"/>
            <w:shd w:fill="C6EFCE" w:val="clear"/>
          </w:tcPr>
          <w:p>
            <w:r>
              <w:rPr>
                <w:sz w:val="17"/>
              </w:rPr>
              <w:t>1,777</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1,540</w:t>
            </w:r>
          </w:p>
        </w:tc>
        <w:tc>
          <w:tcPr>
            <w:tcW w:type="dxa" w:w="1440"/>
            <w:shd w:fill="C6EFCE" w:val="clear"/>
          </w:tcPr>
          <w:p>
            <w:r>
              <w:rPr>
                <w:b/>
                <w:sz w:val="17"/>
              </w:rPr>
              <w:t>1,667</w:t>
            </w:r>
          </w:p>
        </w:tc>
        <w:tc>
          <w:tcPr>
            <w:tcW w:type="dxa" w:w="1440"/>
            <w:shd w:fill="C6EFCE" w:val="clear"/>
          </w:tcPr>
          <w:p>
            <w:r>
              <w:rPr>
                <w:sz w:val="17"/>
              </w:rPr>
              <w:t>1,795</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1,532</w:t>
            </w:r>
          </w:p>
        </w:tc>
        <w:tc>
          <w:tcPr>
            <w:tcW w:type="dxa" w:w="1440"/>
            <w:shd w:fill="C6EFCE" w:val="clear"/>
          </w:tcPr>
          <w:p>
            <w:r>
              <w:rPr>
                <w:b/>
                <w:sz w:val="17"/>
              </w:rPr>
              <w:t>1,672</w:t>
            </w:r>
          </w:p>
        </w:tc>
        <w:tc>
          <w:tcPr>
            <w:tcW w:type="dxa" w:w="1440"/>
            <w:shd w:fill="C6EFCE" w:val="clear"/>
          </w:tcPr>
          <w:p>
            <w:r>
              <w:rPr>
                <w:sz w:val="17"/>
              </w:rPr>
              <w:t>1,811</w:t>
            </w:r>
          </w:p>
        </w:tc>
        <w:tc>
          <w:tcPr>
            <w:tcW w:type="dxa" w:w="1440"/>
            <w:shd w:fill="C6EFCE" w:val="clear"/>
          </w:tcPr>
          <w:p>
            <w:r>
              <w:rPr>
                <w:b/>
                <w:color w:val="008000"/>
                <w:sz w:val="17"/>
              </w:rPr>
              <w:t>+2.5%</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1,524</w:t>
            </w:r>
          </w:p>
        </w:tc>
        <w:tc>
          <w:tcPr>
            <w:tcW w:type="dxa" w:w="1440"/>
            <w:shd w:fill="C6EFCE" w:val="clear"/>
          </w:tcPr>
          <w:p>
            <w:r>
              <w:rPr>
                <w:b/>
                <w:sz w:val="17"/>
              </w:rPr>
              <w:t>1,676</w:t>
            </w:r>
          </w:p>
        </w:tc>
        <w:tc>
          <w:tcPr>
            <w:tcW w:type="dxa" w:w="1440"/>
            <w:shd w:fill="C6EFCE" w:val="clear"/>
          </w:tcPr>
          <w:p>
            <w:r>
              <w:rPr>
                <w:sz w:val="17"/>
              </w:rPr>
              <w:t>1,827</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1,517</w:t>
            </w:r>
          </w:p>
        </w:tc>
        <w:tc>
          <w:tcPr>
            <w:tcW w:type="dxa" w:w="1440"/>
            <w:shd w:fill="C6EFCE" w:val="clear"/>
          </w:tcPr>
          <w:p>
            <w:r>
              <w:rPr>
                <w:b/>
                <w:sz w:val="17"/>
              </w:rPr>
              <w:t>1,679</w:t>
            </w:r>
          </w:p>
        </w:tc>
        <w:tc>
          <w:tcPr>
            <w:tcW w:type="dxa" w:w="1440"/>
            <w:shd w:fill="C6EFCE" w:val="clear"/>
          </w:tcPr>
          <w:p>
            <w:r>
              <w:rPr>
                <w:sz w:val="17"/>
              </w:rPr>
              <w:t>1,842</w:t>
            </w:r>
          </w:p>
        </w:tc>
        <w:tc>
          <w:tcPr>
            <w:tcW w:type="dxa" w:w="1440"/>
            <w:shd w:fill="C6EFCE" w:val="clear"/>
          </w:tcPr>
          <w:p>
            <w:r>
              <w:rPr>
                <w:b/>
                <w:color w:val="008000"/>
                <w:sz w:val="17"/>
              </w:rPr>
              <w:t>+3.0%</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1,511</w:t>
            </w:r>
          </w:p>
        </w:tc>
        <w:tc>
          <w:tcPr>
            <w:tcW w:type="dxa" w:w="1440"/>
            <w:shd w:fill="C6EFCE" w:val="clear"/>
          </w:tcPr>
          <w:p>
            <w:r>
              <w:rPr>
                <w:b/>
                <w:sz w:val="17"/>
              </w:rPr>
              <w:t>1,683</w:t>
            </w:r>
          </w:p>
        </w:tc>
        <w:tc>
          <w:tcPr>
            <w:tcW w:type="dxa" w:w="1440"/>
            <w:shd w:fill="C6EFCE" w:val="clear"/>
          </w:tcPr>
          <w:p>
            <w:r>
              <w:rPr>
                <w:sz w:val="17"/>
              </w:rPr>
              <w:t>1,856</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1,505</w:t>
            </w:r>
          </w:p>
        </w:tc>
        <w:tc>
          <w:tcPr>
            <w:tcW w:type="dxa" w:w="1440"/>
            <w:shd w:fill="C6EFCE" w:val="clear"/>
          </w:tcPr>
          <w:p>
            <w:r>
              <w:rPr>
                <w:b/>
                <w:sz w:val="17"/>
              </w:rPr>
              <w:t>1,687</w:t>
            </w:r>
          </w:p>
        </w:tc>
        <w:tc>
          <w:tcPr>
            <w:tcW w:type="dxa" w:w="1440"/>
            <w:shd w:fill="C6EFCE" w:val="clear"/>
          </w:tcPr>
          <w:p>
            <w:r>
              <w:rPr>
                <w:sz w:val="17"/>
              </w:rPr>
              <w:t>1,869</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**BRVM | Cours de référence : 1 630 FCFA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295,64 milliards FCFA, CFAC figure parmi les valeurs les plus importantes de la cote BRVM, ce qui en fait un titre de premier plan pour les investisseurs institutionnels régionaux. Le BPA de 26 FCFA/action signifie que chaque titre génère 26 FCFA de bénéfice net, ce qui, rapporté au cours actuel de 1 630 FCFA, aboutit à un PER de 63,0x — un niveau très nettement supérieur à la moyenne du marché BRVM (8-12x), signalant que les investisseurs paient une prime considérable pour les bénéfices actuels. Le P/B de 15,20x confirme cette exubérance : le marché valorise l'entreprise à plus de 15 fois sa valeur comptable, une prime exigeante qui n'est justifiable que par des perspectives de croissance exceptionnelles. Enfin, l'EV/EBITDA de 32,1x traduit une valorisation très tendue par rapport à la capacité opérationnelle de génération de cash, suggérant que le titre intègre déjà une grande partie des bonnes nouvelles à venir. L'ensemble de ces ratios dessine un profil de valorisation exigeant, voire surévalué, qui appelle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modeste de +2,19%, mais la dernière séance s'est soldée par un repli de -1,21%, signalant une pression vendeuse récente. Le cours a évolué dans un range de 500 FCFA, entre un plus bas de 1 325 FCFA et un plus haut de 1 825 FCFA, ce qui témoigne d'une amplitude de trading significative et d'une certaine nervosité du marché. La tendance générale reste légèrement haussière sur la période, mais le cours actuel (1 630 FCFA) se situe en dessous de la moyenne (1 625 FCFA) et de la médiane (1 642 FCFA), ce qui indique une distribution asymétrique vers le bas. L'écart-type de 109 FCFA et le coefficient de variation de 6,7% révèlent une dispersion modérée du cours autour de sa moyenne, tandis que le kurtosis de -0,258 (mésokurtique) suggère une distribution proche de la normale, sans risque de pics extrêmes marqués. Le skewness de -0,608 confirme une asymétrie négative, avec davantage de journées de cotation au-dessus de la moyenne, ce qui peut indiquer une résistance à la baisse mais aussi un potentiel de correction. Enfin, la volatilité annualisée de 47,4% classe le titre dans la catégorie des valeurs à volatilité élevée (&gt;30%), ce qui implique un risque de perte en capital non négligeable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1 719,75 FCFA et la MM50 à 1 674,5 FCFA, toutes deux supérieures au cours actuel de 1 630 FCFA. Cette configuration indique que le titre évolue en dessous de ses moyennes mobiles, ce qui est généralement un signal baissier à court terme. Cependant, la décision technique fournie est "Achat", probablement en anticipation d'un rebond technique vers ces niveaux de résistance.</w:t>
      </w:r>
    </w:p>
    <w:p>
      <w:pPr>
        <w:spacing w:after="120" w:line="276" w:lineRule="auto"/>
      </w:pPr>
      <w:r>
        <w:t>**Bandes de Bollinger** : La borne supérieure est à 1 793,197 FCFA et la borne inférieure à 1 646,303 FCFA, avec un cours actuel de 1 630 FCFA qui se situe légèrement en dessous de la borne inférieure. Cette position suggère que le titre est en zone de survente relative, ce qui pourrait précéder un rebond. La décision "Achat" est cohérente avec cette interprétation, bien que la volatilité élevée (47,4%) implique des bandes larges et des mouvements amples.</w:t>
      </w:r>
    </w:p>
    <w:p>
      <w:pPr>
        <w:spacing w:after="120" w:line="276" w:lineRule="auto"/>
      </w:pPr>
      <w:r>
        <w:t>**MACD** : La valeur du MACD est de -3,797 contre un signal à 7,971, ce qui place le MACD en dessous de sa ligne de signal. Cette divergence négative indique un momentum baissier persistant, justifiant la décision "Vente". Le croisement baissier récent suggère que la pression vendeuse pourrait se poursuivre à court terme.</w:t>
      </w:r>
    </w:p>
    <w:p>
      <w:pPr>
        <w:spacing w:after="120" w:line="276" w:lineRule="auto"/>
      </w:pPr>
      <w:r>
        <w:t>**RSI** : Le RSI s'établit à 33,824, un niveau proche de la zone de survente (seuil de 30) mais encore en territoire neutre. La décision "Neutre" reflète cette position ambiguë : le titre n'est pas encore techniquement survendu, mais la tendance baissière pourrait le pousser vers ce seuil si la pression se maintient.</w:t>
      </w:r>
    </w:p>
    <w:p>
      <w:pPr>
        <w:spacing w:after="120" w:line="276" w:lineRule="auto"/>
      </w:pPr>
      <w:r>
        <w:t>**Stochastique** : Le %K est à 0,0 et le %D à 4,444, des niveaux extrêmement bas qui signalent une survente marquée. La décision "Achat" est justifiée par cette configuration, qui précède souvent un rebond technique à court terme, bien que la faiblesse du momentum reste préoccupante.</w:t>
      </w:r>
    </w:p>
    <w:p>
      <w:pPr>
        <w:spacing w:after="120" w:line="276" w:lineRule="auto"/>
      </w:pPr>
      <w:r>
        <w:t>**Conclusion technique** : Les indicateurs techniques présentent un tableau mitigé. Les moyennes mobiles et le MACD sont baissiers, tandis que les Bandes de Bollinger et le Stochastique suggèrent une survente propice à un rebond. Le RSI neutre confirme l'absence de signal directionnel fort. Dans l'ensemble, le titre se trouve dans une zone de consolidation baissière, avec un potentiel de rebond technique à court terme mais une tendance de fond qui reste fragile.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2024 (états financiers annuels) révèlent un chiffre d'affaires de 158,313 milliards FCFA, en baisse de -12,13% par rapport à 2023, et un résultat net de 4,693 milliards FCFA, en recul de -26,7%. Le ROE s'établit à 24,13%, un niveau excellent (&gt;15%), et le ROA à 5,52%, confirmant la capacité de l'entreprise à générer des profits sur ses actifs. La marge nette est de 2,96% et la marge opérationnelle de 4,96%, en retrait par rapport aux exercices précédents. Le BFR est négatif à -3,482 milliards FCFA, ce qui est favorable pour une entreprise non bancaire, mais le fonds de roulement est également négatif (-4,106 milliards FCFA), signalant une trésorerie tendue. Les délais clients (36,64 jours) et fournisseurs (81,75 jours) sont relativement élevés, avec un délai de stockage de 88,35 jours, ce qui immobilise du capital et pèse sur la trésorerie. Le ratio d'endettement de 23,07% et l'autonomie financière de 22,88% (inférieure au seuil sain de 30%) indiquent une dépendance modérée aux dettes, mais la liquidité générale de 93,63% (inférieure à 1) révèle une capacité limitée à honorer les dettes à court terme. Les rapports trimestriels de 2025 (T1, S1, T3) montrent une nette amélioration : au T3 2025 (rapport du 30 septembre 2025), le CA progresse de +18,3% à 43,580 milliards FCFA et le résultat net bondit de +38,1% à 1,489 milliard FCFA, avec une marge nette de 3,42% contre 2,93% un an plus tôt. Le S1 2025 (rapport du 30 juin 2025) affiche un résultat net de 5,420 milliards FCFA (+152,7%) et une marge nette de 5,9%, tandis que le T1 2025 (rapport du 31 mars 2025) enregistre un résultat net de 3,836 milliards FCFA (+279,7%). Sur la base de ces tendances, on estime que l'exercice 2025 devrait clôturer avec un chiffre d'affaires en croissance à deux chiffres et un résultat net en forte hausse, potentiellement supérieur à 6 milliards FCFA, ce qui ramènerait le PER à un niveau plus raisonnable (environ 45-50x). La recommandation fondamentale est de **CONSERVER** le titre : la solidité du ROE et l'amélioration spectaculaire des performances trimestrielles en 2025 sont des points positifs, mais la valorisation exigeante et les risques liés à la trésorerie et à l'endettement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très exigeante, avec un PER de 63,0x, un P/B de 15,20x et un EV/EBITDA de 32,1x, tous nettement supérieurs aux moyennes du marché BRVM, ce qui suggère une surévaluation relative malgré les bonnes perspectives. Le comportement du cours sur 100 jours montre une tendance légèrement haussière (+2,19%) mais avec une volatilité élevée (47,4%) et une asymétrie négative (skewness -0,608), ce qui indique un risque de correction à court terme. Les signaux techniques sont divergents : les moyennes mobiles et le MACD sont baissiers, tandis que les Bandes de Bollinger et le Stochastique suggèrent une survente propice à un rebond, mais le RSI neutre ne confirme pas de direction claire. Les fondamentaux sont mitigés : l'exercice 2024 a été difficile (CA -12,1%, RN -26,7%), mais les rapports trimestriels de 2025 (T1, S1, T3) montrent une reprise spectaculaire avec une croissance du CA de +18,3% et du RN de +38,1% au T3 2025, ce qui pourrait justifier une révision à la hausse des estimations annuelles. Les prédictions IA pour les 10 prochains jours (1655 → 1667 FCFA) anticipent une légère hausse, ce qui contredit les signaux baissiers à court terme mais s'aligne sur le potentiel de rebond technique. Sur la base de cette synthèse, la recommandation finale est **CONSERVER**, avec un niveau de confiance **Moyen** et un risque global **Élevé**. L'horizon d'investissement optimal est le **moyen terme (3-12 mois)**, en attendant la confirmation de la tendance haussière des résultats trimestriels et une normalisation de la valorisation. Une position acheteuse ne serait justifiée qu'en cas de correction significative du cours vers la zone des 1 500-1 550 FCFA, offrant un meilleur point d'entrée.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6,991 titres</w:t>
            </w:r>
          </w:p>
        </w:tc>
        <w:tc>
          <w:tcPr>
            <w:tcW w:type="dxa" w:w="2268"/>
            <w:shd w:fill="FFF2CC" w:val="clear"/>
          </w:tcPr>
          <w:p>
            <w:r>
              <w:rPr>
                <w:b/>
                <w:color w:val="503200"/>
                <w:sz w:val="16"/>
              </w:rPr>
              <w:t xml:space="preserve">Cours actuel : </w:t>
            </w:r>
            <w:r>
              <w:rPr>
                <w:color w:val="000000"/>
                <w:sz w:val="17"/>
              </w:rPr>
              <w:t>6,450 FCFA</w:t>
            </w:r>
          </w:p>
          <w:p>
            <w:r>
              <w:rPr>
                <w:b/>
                <w:color w:val="503200"/>
                <w:sz w:val="16"/>
              </w:rPr>
              <w:t xml:space="preserve">Var. 100 jours : </w:t>
            </w:r>
            <w:r>
              <w:rPr>
                <w:b/>
                <w:color w:val="007800"/>
                <w:sz w:val="17"/>
              </w:rPr>
              <w:t>+115.00%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22.94% (Élevée) — μ=5,152 FCFA, σ=1,182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β=0.9953 (Neutre (suit le marché)) — Cov=0.000036, Var(idx)=0.000036, ρ=0.186,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2026-09-21</w:t>
            </w:r>
          </w:p>
        </w:tc>
        <w:tc>
          <w:tcPr>
            <w:tcW w:type="dxa" w:w="1440"/>
            <w:shd w:fill="FFDCE0" w:val="clear"/>
          </w:tcPr>
          <w:p>
            <w:r>
              <w:rPr>
                <w:sz w:val="17"/>
              </w:rPr>
              <w:t>5,963</w:t>
            </w:r>
          </w:p>
        </w:tc>
        <w:tc>
          <w:tcPr>
            <w:tcW w:type="dxa" w:w="1440"/>
            <w:shd w:fill="FFDCE0" w:val="clear"/>
          </w:tcPr>
          <w:p>
            <w:r>
              <w:rPr>
                <w:b/>
                <w:sz w:val="17"/>
              </w:rPr>
              <w:t>6,303</w:t>
            </w:r>
          </w:p>
        </w:tc>
        <w:tc>
          <w:tcPr>
            <w:tcW w:type="dxa" w:w="1440"/>
            <w:shd w:fill="FFDCE0" w:val="clear"/>
          </w:tcPr>
          <w:p>
            <w:r>
              <w:rPr>
                <w:sz w:val="17"/>
              </w:rPr>
              <w:t>6,643</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5,734</w:t>
            </w:r>
          </w:p>
        </w:tc>
        <w:tc>
          <w:tcPr>
            <w:tcW w:type="dxa" w:w="1440"/>
            <w:shd w:fill="FFDCE0" w:val="clear"/>
          </w:tcPr>
          <w:p>
            <w:r>
              <w:rPr>
                <w:b/>
                <w:sz w:val="17"/>
              </w:rPr>
              <w:t>6,208</w:t>
            </w:r>
          </w:p>
        </w:tc>
        <w:tc>
          <w:tcPr>
            <w:tcW w:type="dxa" w:w="1440"/>
            <w:shd w:fill="FFDCE0" w:val="clear"/>
          </w:tcPr>
          <w:p>
            <w:r>
              <w:rPr>
                <w:sz w:val="17"/>
              </w:rPr>
              <w:t>6,681</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5,564</w:t>
            </w:r>
          </w:p>
        </w:tc>
        <w:tc>
          <w:tcPr>
            <w:tcW w:type="dxa" w:w="1440"/>
            <w:shd w:fill="FFDCE0" w:val="clear"/>
          </w:tcPr>
          <w:p>
            <w:r>
              <w:rPr>
                <w:b/>
                <w:sz w:val="17"/>
              </w:rPr>
              <w:t>6,137</w:t>
            </w:r>
          </w:p>
        </w:tc>
        <w:tc>
          <w:tcPr>
            <w:tcW w:type="dxa" w:w="1440"/>
            <w:shd w:fill="FFDCE0" w:val="clear"/>
          </w:tcPr>
          <w:p>
            <w:r>
              <w:rPr>
                <w:sz w:val="17"/>
              </w:rPr>
              <w:t>6,710</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5,434</w:t>
            </w:r>
          </w:p>
        </w:tc>
        <w:tc>
          <w:tcPr>
            <w:tcW w:type="dxa" w:w="1440"/>
            <w:shd w:fill="FFDCE0" w:val="clear"/>
          </w:tcPr>
          <w:p>
            <w:r>
              <w:rPr>
                <w:b/>
                <w:sz w:val="17"/>
              </w:rPr>
              <w:t>6,091</w:t>
            </w:r>
          </w:p>
        </w:tc>
        <w:tc>
          <w:tcPr>
            <w:tcW w:type="dxa" w:w="1440"/>
            <w:shd w:fill="FFDCE0" w:val="clear"/>
          </w:tcPr>
          <w:p>
            <w:r>
              <w:rPr>
                <w:sz w:val="17"/>
              </w:rPr>
              <w:t>6,747</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5,325</w:t>
            </w:r>
          </w:p>
        </w:tc>
        <w:tc>
          <w:tcPr>
            <w:tcW w:type="dxa" w:w="1440"/>
            <w:shd w:fill="FFDCE0" w:val="clear"/>
          </w:tcPr>
          <w:p>
            <w:r>
              <w:rPr>
                <w:b/>
                <w:sz w:val="17"/>
              </w:rPr>
              <w:t>6,055</w:t>
            </w:r>
          </w:p>
        </w:tc>
        <w:tc>
          <w:tcPr>
            <w:tcW w:type="dxa" w:w="1440"/>
            <w:shd w:fill="FFDCE0" w:val="clear"/>
          </w:tcPr>
          <w:p>
            <w:r>
              <w:rPr>
                <w:sz w:val="17"/>
              </w:rPr>
              <w:t>6,785</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5,229</w:t>
            </w:r>
          </w:p>
        </w:tc>
        <w:tc>
          <w:tcPr>
            <w:tcW w:type="dxa" w:w="1440"/>
            <w:shd w:fill="FFDCE0" w:val="clear"/>
          </w:tcPr>
          <w:p>
            <w:r>
              <w:rPr>
                <w:b/>
                <w:sz w:val="17"/>
              </w:rPr>
              <w:t>6,025</w:t>
            </w:r>
          </w:p>
        </w:tc>
        <w:tc>
          <w:tcPr>
            <w:tcW w:type="dxa" w:w="1440"/>
            <w:shd w:fill="FFDCE0" w:val="clear"/>
          </w:tcPr>
          <w:p>
            <w:r>
              <w:rPr>
                <w:sz w:val="17"/>
              </w:rPr>
              <w:t>6,821</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5,144</w:t>
            </w:r>
          </w:p>
        </w:tc>
        <w:tc>
          <w:tcPr>
            <w:tcW w:type="dxa" w:w="1440"/>
            <w:shd w:fill="FFDCE0" w:val="clear"/>
          </w:tcPr>
          <w:p>
            <w:r>
              <w:rPr>
                <w:b/>
                <w:sz w:val="17"/>
              </w:rPr>
              <w:t>6,000</w:t>
            </w:r>
          </w:p>
        </w:tc>
        <w:tc>
          <w:tcPr>
            <w:tcW w:type="dxa" w:w="1440"/>
            <w:shd w:fill="FFDCE0" w:val="clear"/>
          </w:tcPr>
          <w:p>
            <w:r>
              <w:rPr>
                <w:sz w:val="17"/>
              </w:rPr>
              <w:t>6,856</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5,066</w:t>
            </w:r>
          </w:p>
        </w:tc>
        <w:tc>
          <w:tcPr>
            <w:tcW w:type="dxa" w:w="1440"/>
            <w:shd w:fill="FFDCE0" w:val="clear"/>
          </w:tcPr>
          <w:p>
            <w:r>
              <w:rPr>
                <w:b/>
                <w:sz w:val="17"/>
              </w:rPr>
              <w:t>5,978</w:t>
            </w:r>
          </w:p>
        </w:tc>
        <w:tc>
          <w:tcPr>
            <w:tcW w:type="dxa" w:w="1440"/>
            <w:shd w:fill="FFDCE0" w:val="clear"/>
          </w:tcPr>
          <w:p>
            <w:r>
              <w:rPr>
                <w:sz w:val="17"/>
              </w:rPr>
              <w:t>6,890</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4,995</w:t>
            </w:r>
          </w:p>
        </w:tc>
        <w:tc>
          <w:tcPr>
            <w:tcW w:type="dxa" w:w="1440"/>
            <w:shd w:fill="FFDCE0" w:val="clear"/>
          </w:tcPr>
          <w:p>
            <w:r>
              <w:rPr>
                <w:b/>
                <w:sz w:val="17"/>
              </w:rPr>
              <w:t>5,959</w:t>
            </w:r>
          </w:p>
        </w:tc>
        <w:tc>
          <w:tcPr>
            <w:tcW w:type="dxa" w:w="1440"/>
            <w:shd w:fill="FFDCE0" w:val="clear"/>
          </w:tcPr>
          <w:p>
            <w:r>
              <w:rPr>
                <w:sz w:val="17"/>
              </w:rPr>
              <w:t>6,923</w:t>
            </w:r>
          </w:p>
        </w:tc>
        <w:tc>
          <w:tcPr>
            <w:tcW w:type="dxa" w:w="1440"/>
            <w:shd w:fill="FFDCE0" w:val="clear"/>
          </w:tcPr>
          <w:p>
            <w:r>
              <w:rPr>
                <w:b/>
                <w:color w:val="C00000"/>
                <w:sz w:val="17"/>
              </w:rPr>
              <w:t>-7.6%</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4,929</w:t>
            </w:r>
          </w:p>
        </w:tc>
        <w:tc>
          <w:tcPr>
            <w:tcW w:type="dxa" w:w="1440"/>
            <w:shd w:fill="FFDCE0" w:val="clear"/>
          </w:tcPr>
          <w:p>
            <w:r>
              <w:rPr>
                <w:b/>
                <w:sz w:val="17"/>
              </w:rPr>
              <w:t>5,942</w:t>
            </w:r>
          </w:p>
        </w:tc>
        <w:tc>
          <w:tcPr>
            <w:tcW w:type="dxa" w:w="1440"/>
            <w:shd w:fill="FFDCE0" w:val="clear"/>
          </w:tcPr>
          <w:p>
            <w:r>
              <w:rPr>
                <w:sz w:val="17"/>
              </w:rPr>
              <w:t>6,956</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aux collectivités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361,20 milliards FCFA, la CIEC s'impose comme l'une des plus grandes capitalisations de la BRVM, ce qui témoigne de son statut de valeur de premier plan sur le marché régional. Le BPA de 234 FCFA/action indique que chaque titre génère 234 FCFA de bénéfice net, un niveau correct mais qui, rapporté au cours actuel de 6 450 FCFA, aboutit à un PER de 27,5x — très nettement supérieur à la moyenne BRVM (8-12x), ce qui traduit soit une forte anticipation de croissance, soit une surévaluation manifeste. Le ratio P/B de 10,04x confirme cette prime exigeante : le marché valorise la société à plus de dix fois sa valeur comptable, un niveau rarement justifié hors secteurs à très forte rentabilité des fonds propres. Enfin, l'EV/EBITDA de 14,8x, situé dans la fourchette haute (10-15x), suggère que la valeur totale de l'entreprise (dette incluse) est chèrement payée au regard de sa capacité opérationnelle. L'ensemble de ces ratios dessine une valorisation tendue, où le marché intègre déjà une bonne partie des perspectives favorables.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CIEC a enregistré une progression spectaculaire de +115,00%, passant d'un plus bas de 3 000 FCFA à un plus haut de 7 400 FCFA, avant de se stabiliser autour de 6 450 FCFA (dernière séance en repli de -0,77%). Cette envolée traduit une tendance haussière puissante, portée par un intérêt marqué des investisseurs pour la valeur, probablement lié à l'annonce de résultats annuels solides et d'un dividende attractif. Les statistiques descriptives révèlent une moyenne de 5 152 FCFA très proche de la médiane (5 190 FCFA), signe d'une distribution globalement symétrique, confirmée par un skewness de -0,071 quasi nul. L'écart-type de 1 188 FCFA et le coefficient de variation de 23,1% indiquent une dispersion modérée du cours autour de sa moyenne, tandis que le kurtosis de -0,642 (mésokurtique) suggère une distribution proche de la normale, sans risque excessif de pics extrêmes. La volatilité annualisée de 50,8% classe toutefois le titre dans la catégorie des valeurs à volatilité élevée (&gt;30%), ce qui implique un risque de fluctuation important à court terme, malgré la régularité statistique observée.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(6 838,25 FCFA) et la MM50 (5 965,60 FCFA) se situent toutes deux au-dessus du cours actuel (6 450 FCFA), ce qui place le titre en position de repli sous ses moyennes court et moyen terme. La MM20 étant supérieure à la MM50, la configuration reste haussière de fond, mais le cours sous ces deux références justifie la décision "Achat" uniquement en anticipation d'un rebond technique vers 6 838 FCFA.</w:t>
      </w:r>
    </w:p>
    <w:p>
      <w:pPr>
        <w:spacing w:after="120" w:line="276" w:lineRule="auto"/>
      </w:pPr>
      <w:r>
        <w:t>**Bandes de Bollinger** : Le cours (6 450 FCFA) évolue dans la partie basse du canal, entre la borne inférieure (6 303,98 FCFA) et la borne supérieure (7 372,52 FCFA), sans franchissement des extrêmes. Cette position médiane-basse, couplée à un écart relativement large entre les bornes, traduit une volatilité encore présente mais sans signal directionnel fort, d'où la décision "Neutre".</w:t>
      </w:r>
    </w:p>
    <w:p>
      <w:pPr>
        <w:spacing w:after="120" w:line="276" w:lineRule="auto"/>
      </w:pPr>
      <w:r>
        <w:t>**MACD** : La valeur du MACD (195,94) est inférieure à son signal (311,23), configuration baissière caractéristique d'un momentum négatif. Cet écart négatif indique que la dynamique haussière s'essouffle et que la pression vendeuse l'emporte à court terme, justifiant pleinement la décision "Vente".</w:t>
      </w:r>
    </w:p>
    <w:p>
      <w:pPr>
        <w:spacing w:after="120" w:line="276" w:lineRule="auto"/>
      </w:pPr>
      <w:r>
        <w:t>**RSI** : À 44,12, le RSI se situe dans la zone neutre (30-70), sans signal de surachat ni de survente. Cette valeur modérée suggère un équilibre entre acheteurs et vendeurs, sans force directionnelle claire, ce qui explique la décision "Neutre".</w:t>
      </w:r>
    </w:p>
    <w:p>
      <w:pPr>
        <w:spacing w:after="120" w:line="276" w:lineRule="auto"/>
      </w:pPr>
      <w:r>
        <w:t>**Stochastique** : Le %K à 0,0 et le %D à 5,56 sont tous deux en zone de survente extrême, avec un %K au plancher absolu. Cette configuration signale un épuisement de la pression vendeuse et un potentiel rebond technique imminent, justifiant la décision "Achat" malgré le contexte baissier des autres indicateurs.</w:t>
      </w:r>
    </w:p>
    <w:p>
      <w:pPr>
        <w:spacing w:after="120" w:line="276" w:lineRule="auto"/>
      </w:pPr>
      <w:r>
        <w:t>**Conclusion technique** : Les indicateurs sont divergents — le MACD est baissier, les moyennes mobiles placent le cours en repli, mais le stochastique en survente extrême et le RSI neutre suggèrent un possible rebond à court terme. La configuration globale plaide pour une consolidation avant reprise, avec un support clé à surveiller autour de 6 300 FCFA (borne inférieure de Bollinger) et une résistance à 6 838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CIEC affiche un chiffre d'affaires de 302,32 milliards FCFA, en croissance de +14,82% sur un an, portée par la hausse des ventes d'énergie (+8,3% en volume national, +21,7% à l'export) et un nombre de clients atteignant 5 282 283. Le résultat net s'établit à 13,127 milliards FCFA, soit une marge nette de 4,34%, tandis que le ROE atteint un niveau exceptionnel de 36,50% — bien supérieur au seuil de 15% — grâce à des capitaux propres limités (35,96 milliards FCFA). Le ROA reste faible à 0,65%, conséquence d'un total actif très élevé (2 018,45 milliards FCFA) largement composé d'actifs circulants (1 657,69 milliards FCFA) et de créances clients (137,73 milliards FCFA). En tant qu'entreprise de services, les délais d'exploitation sont préoccupants : le délai client de 164 jours expose à un risque de trésorerie significatif, tandis que le délai fournisseur de 970 jours constitue un avantage de financement considérable. Le BFR est négatif à -90,24 milliards FCFA, ce qui est favorable, et la trésorerie nette ressort positive à 32,19 milliards FCFA. La structure financière demeure très endettée (ratio d'endettement de 612,94%, autonomie financière de seulement 1,78%), mais la capacité de remboursement de 7,64 années et la couverture des intérêts de 617,75% rassurent sur la solvabilité à court terme.</w:t>
      </w:r>
    </w:p>
    <w:p>
      <w:pPr>
        <w:spacing w:after="120" w:line="276" w:lineRule="auto"/>
      </w:pPr>
      <w:r>
        <w:t>**Estimations basées sur les rapports** : Le rapport annuel 2025 (analysé le 21/05/2026) confirme un EBE de 37,2 milliards FCFA (+23,2%) et une CAFG de 28,9 milliards FCFA, avec un dividende proposé de 234 FCFA/action (rendement de 3,6% au cours actuel). Le rapport semestriel 2025 (30/06/2025) faisait déjà état d'un CA de 134,92 milliards FCFA (+18,85%) et d'un résultat net de 5,096 milliards FCFA (+13,37%), laissant présager un second semestre plus fort, ce qui s'est confirmé. Les rapports antérieurs (2021, 2024) montrent une transition réussie vers la nouvelle convention de concession (2021-2032), avec une réduction drastique du bilan et une amélioration de la génération de trésorerie. **Recommandation fondamentale** : la solidité opérationnelle et la croissance sont indéniables, mais la valorisation boursière intègre déjà ces performances, et le risque de crédit client (164 jours de délai) ainsi que la dépendance réglementaire limitent le potentiel de surprise positive. La recommandation des analystes est "CONSERVER" avec un biais acheteur.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tendue : PER de 27,5x, P/B de 10,04x et EV/EBITDA de 14,8x placent la CIEC bien au-dessus des standards du marché BRVM, ce qui suggère une surévaluation relative malgré la qualité des fondamentaux. Le comportement du cours (Partie 1) est exceptionnellement haussier (+115% sur 100 jours), avec une volatilité élevée (50,8%) et une distribution statistique symétrique mais sans pics extrêmes (kurtosis -0,642), ce qui indique une tendance forte mais potentiellement essoufflée. Les signaux techniques (Partie 2) sont divergents : le MACD est baissier, le cours évolue sous ses moyennes mobiles, mais le stochastique en survente extrême (%K=0) et le RSI neutre (44,12) suggèrent un rebond technique possible à court terme. Les fondamentaux (Partie 3) sont solides — CA de 302,32 milliards FCFA en 2025 (+14,82%), résultat net de 13,127 milliards FCFA, ROE de 36,50% — mais la structure financière très endettée et le risque de crédit client tempèrent l'enthousiasme. Les prédictions IA (J+1 à J+10) anticipent une baisse continue de 6 303 FCFA à 6 055 FCFA, confirmant la pression baissière à court terme et contredisant le signal d'achat du stochastique. **Synthèse globale** : la convergence entre valorisation tendue, technique baissière à court terme et prédictions négatives l'emporte sur la solidité fondamentale. **Recommandation finale : CONSERVER** (avec un biais vendeur à court terme). Le niveau de confiance est **Moyen** (divergence entre fondamental et technique), le risque global est **Élevé** (volatilité 50,8%, endettement massif, dépendance réglementaire), et l'horizon optimal est **moyen terme (3-12 mois)** pour profiter d'un éventuel rebond post-consolidation, avec un point d'entrée plus favorable sous 6 000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935.58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4,097 titres</w:t>
            </w:r>
          </w:p>
        </w:tc>
        <w:tc>
          <w:tcPr>
            <w:tcW w:type="dxa" w:w="2268"/>
            <w:shd w:fill="FFF2CC" w:val="clear"/>
          </w:tcPr>
          <w:p>
            <w:r>
              <w:rPr>
                <w:b/>
                <w:color w:val="503200"/>
                <w:sz w:val="16"/>
              </w:rPr>
              <w:t xml:space="preserve">Cours actuel : </w:t>
            </w:r>
            <w:r>
              <w:rPr>
                <w:color w:val="000000"/>
                <w:sz w:val="17"/>
              </w:rPr>
              <w:t>16,995 FCFA</w:t>
            </w:r>
          </w:p>
          <w:p>
            <w:r>
              <w:rPr>
                <w:b/>
                <w:color w:val="503200"/>
                <w:sz w:val="16"/>
              </w:rPr>
              <w:t xml:space="preserve">Var. 100 jours : </w:t>
            </w:r>
            <w:r>
              <w:rPr>
                <w:b/>
                <w:color w:val="007800"/>
                <w:sz w:val="17"/>
              </w:rPr>
              <w:t>+4.26%</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μ=16,506 FCFA, σ=455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β=0.4612 (Défensif) — Cov=0.000017, Var(idx)=0.000036,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16,591</w:t>
            </w:r>
          </w:p>
        </w:tc>
        <w:tc>
          <w:tcPr>
            <w:tcW w:type="dxa" w:w="1440"/>
            <w:shd w:fill="FAFAFA" w:val="clear"/>
          </w:tcPr>
          <w:p>
            <w:r>
              <w:rPr>
                <w:b/>
                <w:sz w:val="17"/>
              </w:rPr>
              <w:t>17,111</w:t>
            </w:r>
          </w:p>
        </w:tc>
        <w:tc>
          <w:tcPr>
            <w:tcW w:type="dxa" w:w="1440"/>
            <w:shd w:fill="FAFAFA" w:val="clear"/>
          </w:tcPr>
          <w:p>
            <w:r>
              <w:rPr>
                <w:sz w:val="17"/>
              </w:rPr>
              <w:t>17,630</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16,392</w:t>
            </w:r>
          </w:p>
        </w:tc>
        <w:tc>
          <w:tcPr>
            <w:tcW w:type="dxa" w:w="1440"/>
            <w:shd w:fill="FAFAFA" w:val="clear"/>
          </w:tcPr>
          <w:p>
            <w:r>
              <w:rPr>
                <w:b/>
                <w:sz w:val="17"/>
              </w:rPr>
              <w:t>17,127</w:t>
            </w:r>
          </w:p>
        </w:tc>
        <w:tc>
          <w:tcPr>
            <w:tcW w:type="dxa" w:w="1440"/>
            <w:shd w:fill="FAFAFA" w:val="clear"/>
          </w:tcPr>
          <w:p>
            <w:r>
              <w:rPr>
                <w:sz w:val="17"/>
              </w:rPr>
              <w:t>17,862</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16,247</w:t>
            </w:r>
          </w:p>
        </w:tc>
        <w:tc>
          <w:tcPr>
            <w:tcW w:type="dxa" w:w="1440"/>
            <w:shd w:fill="FAFAFA" w:val="clear"/>
          </w:tcPr>
          <w:p>
            <w:r>
              <w:rPr>
                <w:b/>
                <w:sz w:val="17"/>
              </w:rPr>
              <w:t>17,148</w:t>
            </w:r>
          </w:p>
        </w:tc>
        <w:tc>
          <w:tcPr>
            <w:tcW w:type="dxa" w:w="1440"/>
            <w:shd w:fill="FAFAFA" w:val="clear"/>
          </w:tcPr>
          <w:p>
            <w:r>
              <w:rPr>
                <w:sz w:val="17"/>
              </w:rPr>
              <w:t>18,050</w:t>
            </w:r>
          </w:p>
        </w:tc>
        <w:tc>
          <w:tcPr>
            <w:tcW w:type="dxa" w:w="1440"/>
            <w:shd w:fill="FAFAFA" w:val="clear"/>
          </w:tcPr>
          <w:p>
            <w:r>
              <w:rPr>
                <w:b/>
                <w:color w:val="008000"/>
                <w:sz w:val="17"/>
              </w:rPr>
              <w:t>+0.9%</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16,126</w:t>
            </w:r>
          </w:p>
        </w:tc>
        <w:tc>
          <w:tcPr>
            <w:tcW w:type="dxa" w:w="1440"/>
            <w:shd w:fill="FAFAFA" w:val="clear"/>
          </w:tcPr>
          <w:p>
            <w:r>
              <w:rPr>
                <w:b/>
                <w:sz w:val="17"/>
              </w:rPr>
              <w:t>17,168</w:t>
            </w:r>
          </w:p>
        </w:tc>
        <w:tc>
          <w:tcPr>
            <w:tcW w:type="dxa" w:w="1440"/>
            <w:shd w:fill="FAFAFA" w:val="clear"/>
          </w:tcPr>
          <w:p>
            <w:r>
              <w:rPr>
                <w:sz w:val="17"/>
              </w:rPr>
              <w:t>18,210</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16,020</w:t>
            </w:r>
          </w:p>
        </w:tc>
        <w:tc>
          <w:tcPr>
            <w:tcW w:type="dxa" w:w="1440"/>
            <w:shd w:fill="FAFAFA" w:val="clear"/>
          </w:tcPr>
          <w:p>
            <w:r>
              <w:rPr>
                <w:b/>
                <w:sz w:val="17"/>
              </w:rPr>
              <w:t>17,186</w:t>
            </w:r>
          </w:p>
        </w:tc>
        <w:tc>
          <w:tcPr>
            <w:tcW w:type="dxa" w:w="1440"/>
            <w:shd w:fill="FAFAFA" w:val="clear"/>
          </w:tcPr>
          <w:p>
            <w:r>
              <w:rPr>
                <w:sz w:val="17"/>
              </w:rPr>
              <w:t>18,353</w:t>
            </w:r>
          </w:p>
        </w:tc>
        <w:tc>
          <w:tcPr>
            <w:tcW w:type="dxa" w:w="1440"/>
            <w:shd w:fill="FAFAFA" w:val="clear"/>
          </w:tcPr>
          <w:p>
            <w:r>
              <w:rPr>
                <w:b/>
                <w:color w:val="008000"/>
                <w:sz w:val="17"/>
              </w:rPr>
              <w:t>+1.1%</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15,925</w:t>
            </w:r>
          </w:p>
        </w:tc>
        <w:tc>
          <w:tcPr>
            <w:tcW w:type="dxa" w:w="1440"/>
            <w:shd w:fill="FAFAFA" w:val="clear"/>
          </w:tcPr>
          <w:p>
            <w:r>
              <w:rPr>
                <w:b/>
                <w:sz w:val="17"/>
              </w:rPr>
              <w:t>17,204</w:t>
            </w:r>
          </w:p>
        </w:tc>
        <w:tc>
          <w:tcPr>
            <w:tcW w:type="dxa" w:w="1440"/>
            <w:shd w:fill="FAFAFA" w:val="clear"/>
          </w:tcPr>
          <w:p>
            <w:r>
              <w:rPr>
                <w:sz w:val="17"/>
              </w:rPr>
              <w:t>18,484</w:t>
            </w:r>
          </w:p>
        </w:tc>
        <w:tc>
          <w:tcPr>
            <w:tcW w:type="dxa" w:w="1440"/>
            <w:shd w:fill="FAFAFA" w:val="clear"/>
          </w:tcPr>
          <w:p>
            <w:r>
              <w:rPr>
                <w:b/>
                <w:color w:val="008000"/>
                <w:sz w:val="17"/>
              </w:rPr>
              <w:t>+1.2%</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15,838</w:t>
            </w:r>
          </w:p>
        </w:tc>
        <w:tc>
          <w:tcPr>
            <w:tcW w:type="dxa" w:w="1440"/>
            <w:shd w:fill="FAFAFA" w:val="clear"/>
          </w:tcPr>
          <w:p>
            <w:r>
              <w:rPr>
                <w:b/>
                <w:sz w:val="17"/>
              </w:rPr>
              <w:t>17,222</w:t>
            </w:r>
          </w:p>
        </w:tc>
        <w:tc>
          <w:tcPr>
            <w:tcW w:type="dxa" w:w="1440"/>
            <w:shd w:fill="FAFAFA" w:val="clear"/>
          </w:tcPr>
          <w:p>
            <w:r>
              <w:rPr>
                <w:sz w:val="17"/>
              </w:rPr>
              <w:t>18,605</w:t>
            </w:r>
          </w:p>
        </w:tc>
        <w:tc>
          <w:tcPr>
            <w:tcW w:type="dxa" w:w="1440"/>
            <w:shd w:fill="FAFAFA" w:val="clear"/>
          </w:tcPr>
          <w:p>
            <w:r>
              <w:rPr>
                <w:b/>
                <w:color w:val="008000"/>
                <w:sz w:val="17"/>
              </w:rPr>
              <w:t>+1.3%</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15,759</w:t>
            </w:r>
          </w:p>
        </w:tc>
        <w:tc>
          <w:tcPr>
            <w:tcW w:type="dxa" w:w="1440"/>
            <w:shd w:fill="FAFAFA" w:val="clear"/>
          </w:tcPr>
          <w:p>
            <w:r>
              <w:rPr>
                <w:b/>
                <w:sz w:val="17"/>
              </w:rPr>
              <w:t>17,239</w:t>
            </w:r>
          </w:p>
        </w:tc>
        <w:tc>
          <w:tcPr>
            <w:tcW w:type="dxa" w:w="1440"/>
            <w:shd w:fill="FAFAFA" w:val="clear"/>
          </w:tcPr>
          <w:p>
            <w:r>
              <w:rPr>
                <w:sz w:val="17"/>
              </w:rPr>
              <w:t>18,719</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15,684</w:t>
            </w:r>
          </w:p>
        </w:tc>
        <w:tc>
          <w:tcPr>
            <w:tcW w:type="dxa" w:w="1440"/>
            <w:shd w:fill="FAFAFA" w:val="clear"/>
          </w:tcPr>
          <w:p>
            <w:r>
              <w:rPr>
                <w:b/>
                <w:sz w:val="17"/>
              </w:rPr>
              <w:t>17,256</w:t>
            </w:r>
          </w:p>
        </w:tc>
        <w:tc>
          <w:tcPr>
            <w:tcW w:type="dxa" w:w="1440"/>
            <w:shd w:fill="FAFAFA" w:val="clear"/>
          </w:tcPr>
          <w:p>
            <w:r>
              <w:rPr>
                <w:sz w:val="17"/>
              </w:rPr>
              <w:t>18,827</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15,614</w:t>
            </w:r>
          </w:p>
        </w:tc>
        <w:tc>
          <w:tcPr>
            <w:tcW w:type="dxa" w:w="1440"/>
            <w:shd w:fill="FAFAFA" w:val="clear"/>
          </w:tcPr>
          <w:p>
            <w:r>
              <w:rPr>
                <w:b/>
                <w:sz w:val="17"/>
              </w:rPr>
              <w:t>17,273</w:t>
            </w:r>
          </w:p>
        </w:tc>
        <w:tc>
          <w:tcPr>
            <w:tcW w:type="dxa" w:w="1440"/>
            <w:shd w:fill="FAFAFA" w:val="clear"/>
          </w:tcPr>
          <w:p>
            <w:r>
              <w:rPr>
                <w:sz w:val="17"/>
              </w:rPr>
              <w:t>18,931</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935,58 milliards FCFA, ECOC s'impose comme l'une des plus importantes capitalisations de la BRVM, ce qui témoigne de son statut de valeur de premier plan dans le compartiment bancaire régional. Le BPA de 1 153 FCFA/action indique que chaque titre génère un bénéfice net substantiel, conférant à la banque une capacité bénéficiaire robuste. Le PER de 14,7x se situe légèrement au-dessus de la moyenne du marché BRVM (généralement comprise entre 8 et 12x), suggérant que les investisseurs acceptent de payer une prime modérée pour cette valeur bancaire de qualité, sans que cela ne constitue une surévaluation excessive. Le P/B de 4,28x traduit en revanche une valorisation nettement supérieure à la valeur comptable, ce qui est caractéristique des banques à forte rentabilité des fonds propres (ROE de 29%), mais expose le titre à un risque de correction si la rentabilité venait à fléchir. Enfin, l'EV/EBITDA de 14,4x, bien que non directement transposable au modèle bancaire, confirme une valorisation élevée qui intègre déjà les bonnes performances opérationnelles de l'émetteur.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 enregistré une progression totale de +4,26%, clôturant à 16 995 FCFA, malgré un léger repli de -0,61% lors de la dernière séance. Le titre a évolué dans un range relativement étroit, entre un plus bas de 15 520 FCFA et un plus haut de 17 725 FCFA, soit une amplitude d'environ 14%, ce qui traduit une tendance générale haussière mais modérée, sans excès spéculatif. Les statistiques descriptives révèlent une moyenne de 16 506 FCFA légèrement supérieure à la médiane de 16 385 FCFA, avec un mode à 16 300 FCFA : cet écart modéré entre moyenne et médiane, combiné à un skewness positif de 0,527, indique une asymétrie positive avec davantage de journées de cotation sous la moyenne, suggérant que les poussées haussières sont ponctuelles mais marquées. L'écart-type de 457 FCFA et le coefficient de variation de 2,8% témoignent d'une dispersion très faible du cours, confirmant la stabilité du titre sur la période. Le kurtosis de -0,083 (mésokurtique) indique une distribution proche de la normale, sans risque de pics extrêmes significatifs, ce qui est rassurant pour la gestion du risque. Enfin, la volatilité annualisée de 28,4% positionne ECOC dans la catégorie des titres à volatilité modérée (15-30%), un profil équilibré entre rendement potentiel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17 094 FCFA et la MM50 à 16 555 FCFA, toutes deux inférieures au cours actuel de 16 995 FCFA pour la MM20 mais supérieures pour la MM50, ce qui place le titre dans une configuration haussière de court terme (cours &gt; MM50) tout en étant légèrement sous sa moyenne de 20 jours. La décision technique fournie est « Achat », soutenue par la dynamique positive de la MM50 qui confirme la tendance de fond.</w:t>
      </w:r>
    </w:p>
    <w:p>
      <w:pPr>
        <w:spacing w:after="120" w:line="276" w:lineRule="auto"/>
      </w:pPr>
      <w:r>
        <w:t>**Bandes de Bollinger :** Le cours actuel de 16 995 FCFA se situe à l'intérieur des bandes, entre la borne inférieure de 16 411 FCFA et la borne supérieure de 17 777 FCFA, plus proche de la borne basse que de la borne haute. Cette position médiane, couplée à une décision « Neutre », indique l'absence de signal directionnel fort et une volatilité contenue, le titre évoluant dans un canal relativement stable.</w:t>
      </w:r>
    </w:p>
    <w:p>
      <w:pPr>
        <w:spacing w:after="120" w:line="276" w:lineRule="auto"/>
      </w:pPr>
      <w:r>
        <w:t>**MACD :** La valeur du MACD (146,18) est inférieure à son signal (203,37), générant une divergence baissière qui justifie la décision « Vente ». Cet écart négatif traduit un essoufflement du momentum haussier récent, bien que la ligne MACD reste en territoire positif, ce qui nuance la portée baissière du signal.</w:t>
      </w:r>
    </w:p>
    <w:p>
      <w:pPr>
        <w:spacing w:after="120" w:line="276" w:lineRule="auto"/>
      </w:pPr>
      <w:r>
        <w:t>**RSI :** À 56,73, le RSI se situe en zone neutre (entre 30 et 70), sans signal de surachat ni de survente. La décision « Neutre » reflète un équilibre entre acheteurs et vendeurs, avec une légère prédominance haussière mais sans excès.</w:t>
      </w:r>
    </w:p>
    <w:p>
      <w:pPr>
        <w:spacing w:after="120" w:line="276" w:lineRule="auto"/>
      </w:pPr>
      <w:r>
        <w:t>**Stochastique :** Le %K (21,08) est nettement inférieur au %D (36,79), et les deux indicateurs se situent en zone basse (proche de la survente), ce qui pourrait annoncer un rebond technique à court terme. La décision « Neutre » suggère toutefois d'attendre une confirmation par croisement haussier du %K au-dessus du %D.</w:t>
      </w:r>
    </w:p>
    <w:p>
      <w:pPr>
        <w:spacing w:after="120" w:line="276" w:lineRule="auto"/>
      </w:pPr>
      <w:r>
        <w:t>**Conclusion technique :** Les indicateurs techniques présentent un tableau mitigé : la tendance de fond reste haussière (MM50, cours &gt; MM50), mais le MACD baissier et le stochastique en zone basse signalent un essoufflement du momentum. Le RSI neutre et les Bandes de Bollinger sans signal directionnel confirment une phase de consolidation. Dans l'ensemble, le titre semble en pause technique, avec un potentiel de rebond si le stochastique se retourne, mais une prudence reste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milliards FCFA, en croissance de 8,51% par rapport à 2024, confirmant la dynamique commerciale de la banque. Le résultat net s'établit à 63,482 milliards FCFA, en hausse de 10,4% sur un an, avec une marge nette exceptionnelle de 47,83% (résultat net/PNB). Le ROE atteint 29,04%, largement supérieur au seuil de 15% considéré comme excellent, et le ROA de 3,09% témoigne d'une utilisation efficiente des actifs. Le coefficient d'exploitation de 42,89% place ECOC parmi les banques les plus efficaces de la zone UEMOA (seuil d'excellence &lt; 50%), tandis que le coût du risque de 1,36% reste modéré, bien qu'en légère hausse. La structure financière montre une autonomie financière de 10,64% (faible mais caractéristique du modèle bancaire) et un ratio de solvabilité implicite solide, avec des capitaux propres de 218,57 milliards FCFA pour un total bilan de 2 054,49 milliards FCFA. Les dépôts clientèle (1 626,22 milliards FCFA) couvrent largement les créances clientèle (1 050,80 milliards FCFA), avec un ratio crédits/dépôts de 64,6%, signe d'une transformation maîtrisée et d'une liquidité abondante.</w:t>
      </w:r>
    </w:p>
    <w:p>
      <w:pPr>
        <w:spacing w:after="120" w:line="276" w:lineRule="auto"/>
      </w:pPr>
      <w:r>
        <w:t>**Estimations basées sur les rapports trimestriels :** Le rapport T1 2026 (publié en 2026) indique un PNB de 30,8 milliards FCFA (+3,7%) et un résultat net de 13,0 milliards FCFA (-1,6%), avec un coefficient d'exploitation de 45,7% et un ROE de 23,0%. Le rapport T3 2025 (30/09/2025) faisait état d'un PNB de 96,4 milliards FCFA (+11,3%) et d'un résultat net de 44,4 milliards FCFA (+15,4%), avec un ROE de 29,7% et un coefficient d'exploitation de 44,7%. Le rapport annuel 2024 (31/12/2024) affichait un PNB de 122,3 milliards FCFA (+11,0%) et un résultat net de 57,5 milliards FCFA (+19,6%), avec un dividende brut de 804 FCFA/action. Sur la base du T1 2026, on estime que l'exercice 2026 devrait enregistrer une croissance plus modérée du PNB (autour de 4-6%) et un résultat net stable à légèrement croissant, la banque poursuivant sa politique de crédit sélective (baisse des encours de -2,6% au T1 2026) et sa forte collecte de dépôts (+12%). Le dividende proposé pour 2025 s'élève à 888 FCFA brut (781 FCFA net), en hausse de 10,4% par rapport à 2024, offrant un rendement d'environ 5,2% au cours actuel de 16 995 FCFA, ce qui constitue un attrait majeur pour les investisseurs en revenus. La solidité fondamentale d'ECOC est confirmée par des ratios de rentabilité élevés, une efficacité opérationnelle remarquable et une politique actionnariale généreuse, bien que la légère baisse du résultat net au T1 2026 et la hausse du coût du risque appellent à une surveillance accrue.</w:t>
      </w:r>
    </w:p>
    <w:p>
      <w:pPr>
        <w:spacing w:after="120" w:line="276" w:lineRule="auto"/>
      </w:pPr>
      <w:r>
        <w:t>---</w:t>
      </w:r>
    </w:p>
    <w:p>
      <w:pPr>
        <w:spacing w:after="120" w:line="276" w:lineRule="auto"/>
      </w:pPr>
      <w:r>
        <w:t>## PARTIE 4 : CONCLUSION D'INVESTISSEMENT</w:t>
      </w:r>
    </w:p>
    <w:p>
      <w:pPr>
        <w:spacing w:after="120" w:line="276" w:lineRule="auto"/>
      </w:pPr>
      <w:r>
        <w:t>La valorisation d'ECOC (PER de 14,7x, P/B de 4,28x, EV/EBITDA de 14,4x) indique une prime modérée par rapport au marché BRVM, justifiée par une rentabilité supérieure à la moyenne (ROE de 29%), mais qui limite le potentiel de réévaluation à court terme. Le comportement du cours sur 100 jours (+4,26%, volatilité modérée de 28,4%, skewness positif et kurtosis proche de la normale) révèle un titre stable et bien orienté, sans risque de pics extrêmes, ce qui est favorable à une stratégie de moyen terme. Les signaux techniques sont mitigés : la tendance de fond reste haussière (MM50, cours &gt; MM50), mais le MACD baissier et le stochastique en zone basse signalent une consolidation en cours, sans divergence majeure entre les indicateurs. Les fondamentaux demeurent solides : PNB de 132,7 milliards FCFA en 2025 (+8,5%), résultat net de 63,5 milliards FCFA (+10,4%), ROE de 29%, coefficient d'exploitation de 42,9% et dividende en hausse à 888 FCFA, bien que le T1 2026 montre un léger ralentissement (résultat net -1,6%). Les prédictions IA (J+1 à J+10) anticipent une trajectoire haussière modérée, avec un cours cible de 17 186 FCFA à J+10 (+1,1% par rapport au cours actuel), ce qui confirme la tendance de fond sans signaler d'accélération majeure. **Recommandation finale : CONSERVER**, avec un niveau de confiance **Moyen** et un risque global **Moyen**. La convergence entre valorisation raisonnable, fondamentaux solides, dividende attractif et prédictions haussières modérées soutient une position de conservation, mais l'absence de signal technique fort et le ralentissement du T1 2026 invitent à la prudence. L'horizon d'investissement optimal est le **moyen terme (3-12 mois)**, en capitalisant sur le rendement du dividende (5,2%) et la stabilité du titre, avec un suivi attentif des prochains trimestres pour confirmer la reprise de la croissance.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1,630,172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+141.38%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35.34% (Élevée) — μ=51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β=2.4481 (Très agressif) — Cov=0.000089, Var(idx)=0.000036, ρ=0.384,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1,630,172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64</w:t>
            </w:r>
          </w:p>
        </w:tc>
        <w:tc>
          <w:tcPr>
            <w:tcW w:type="dxa" w:w="1440"/>
            <w:shd w:fill="FFDCE0" w:val="clear"/>
          </w:tcPr>
          <w:p>
            <w:r>
              <w:rPr>
                <w:b/>
                <w:sz w:val="17"/>
              </w:rPr>
              <w:t>69</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74</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régionaux. Le BPA de 19 FCFA/action signifie que chaque titre génère près de 19 FCFA de bénéfice net, un niveau de rentabilité par action solide. Le PER de 3,7x est remarquablement faible comparé à la moyenne BRVM (8-12x), suggérant une sous-évaluation potentielle marquée ou une décote liée aux risques perçus. Le P/B de 0,79x indique que le marché valorise ETIT en dessous de sa valeur comptable, une situation rare qui constitue historiquement une opportunité d'achat pour les investisseurs value. Enfin, l'EV/EBITDA de 5,1x, situé dans la fourchette raisonnable de 5-10x, confirme que la valeur totale de l'entreprise reste cohérente avec sa capacité opérationnelle,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d'ETIT a enregistré une progression spectaculaire de +141,38%, passant d'un plus bas de 29 FCFA à un plus haut de 78 FCFA, pour se stabiliser à 70 FCFA lors de la dernière séance (variation J-1 de +0,00%). Cette tendance nettement haussière traduit un fort engouement des investisseurs, probablement porté par les résultats semestriels 2026 solides publiés par le groupe. Le volume moyen quotidien de 1 630 172 titres témoigne d'une liquidité appréciable, facilitant les entrées et sorties de positions sans impact majeur sur le cours. Les statistiques descriptives révèlent une moyenne de 51 FCFA nettement inférieure à la médiane de 58 FCFA, signe d'une distribution asymétrique tirée vers le bas par les niveaux de cours antérieurs à la flambée récente ; le mode à 30 FCFA confirme que le titre a longtemps stagné avant son envolée. L'écart-type de 18 FCFA avec un coefficient de variation de 35,5% indique une dispersion élevée du cours, cohérente avec la volatilité annualisée de 60,3% qui classe ETIT dans la catégorie des titres à volatilité élevée (&gt;30%). Le kurtosis de -1,824 (distribution platykurtique) suggère une faible concentration des rendements autour de la moyenne, réduisant le risque de pics extrêmes, tandis que le skewness de -0,090 indique une distribution quasi-symétrique sans biais directionnel prononcé.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(68,7 FCFA) et la MM50 (68,22 FCFA) se situent toutes deux en dessous du cours actuel de 70 FCFA, avec la MM20 légèrement au-dessus de la MM50, configurant un croisement haussier classique. Cette configuration en "golden cross" implicite valide la décision d'achat, le cours évoluant au-dessus de ses supports mobiles, ce qui témoigne d'un momentum positif à court et moyen terme.</w:t>
      </w:r>
    </w:p>
    <w:p>
      <w:pPr>
        <w:spacing w:after="120" w:line="276" w:lineRule="auto"/>
      </w:pPr>
      <w:r>
        <w:t>**Bandes de Bollinger** : Le cours actuel de 70 FCFA se situe dans la partie supérieure de la bande (borne supérieure à 72,91 FCFA, borne inférieure à 64,49 FCFA), sans toutefois franchir la borne haute. Cette position médiane-haute avec un rétrécissement des bandes suggère une volatilité modérée et une décision neutre, le titre n'étant ni en situation de surachat extrême ni de survente.</w:t>
      </w:r>
    </w:p>
    <w:p>
      <w:pPr>
        <w:spacing w:after="120" w:line="276" w:lineRule="auto"/>
      </w:pPr>
      <w:r>
        <w:t>**MACD** : La valeur du MACD (1,399) est légèrement inférieure à son signal (1,546), générant une décision de vente technique. Cette divergence négative indique un essoufflement du momentum haussier, bien que l'écart reste faible, ce qui pourrait signaler une simple consolidation avant une reprise plutôt qu'un véritable retournement.</w:t>
      </w:r>
    </w:p>
    <w:p>
      <w:pPr>
        <w:spacing w:after="120" w:line="276" w:lineRule="auto"/>
      </w:pPr>
      <w:r>
        <w:t>**RSI** : À 63,636, le RSI se situe en zone neutre (30-70), sans atteindre le seuil de surachat de 70. Cette position indique que le titre conserve un potentiel de hausse sans être techniquement surchauffé, justifiant une décision neutre qui laisse la porte ouverte à une poursuite du mouvement.</w:t>
      </w:r>
    </w:p>
    <w:p>
      <w:pPr>
        <w:spacing w:after="120" w:line="276" w:lineRule="auto"/>
      </w:pPr>
      <w:r>
        <w:t>**Stochastique** : Le %K (80,0) et le %D (81,111) évoluent tous deux en zone haute, proche du seuil de surachat (80), avec un %K légèrement en dessous du %D. Cette configuration suggère une possible imminence de croisement baissier, bien que la décision reste neutre, le stochastique n'ayant pas encore franchi de manière décisive la zone de surachat.</w:t>
      </w:r>
    </w:p>
    <w:p>
      <w:pPr>
        <w:spacing w:after="120" w:line="276" w:lineRule="auto"/>
      </w:pPr>
      <w:r>
        <w:t>**Conclusion technique** : Les indicateurs techniques présentent un tableau mitigé mais globalement constructif. Les moyennes mobiles valident une tendance haussière de fond, tandis que le RSI et les Bandes de Bollinger indiquent une configuration neutre sans excès. Le MACD et le stochastique émettent des signaux de prudence à court terme, suggérant une consolidation possible. Dans l'ensemble, la configuration technique plaide pour un maintien des positions avec une vigilance sur les niveaux de support (MM20 à 68,7 FCFA) en cas de repli.</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pour ETIT (secteur banque) révèlent un Produit Net Bancaire (PNB) de 1 424,261 milliards FCFA, équivalent du chiffre d'affaires pour une banque, avec un résultat net de 345,523 milliards FCFA, soit une marge nette confortable de 24,26%. La rentabilité des fonds propres (ROE) s'établit à 21,62%, largement supérieure au seuil d'excellence de 15%, tandis que le ROA de 1,80% reflète une utilisation efficace de l'actif. Le coefficient d'exploitation de 27,35% est exceptionnellement bas (seuil d'excellence &lt;50%), témoignant d'une efficacité opérationnelle remarquable. Le coût du risque, mesuré par le ratio provisions/charges financières, s'élève à 18,97%, un niveau élevé qui signale un risque de crédit significatif dans le portefeuille. La structure financière montre une autonomie financière de 8,30% (faible par rapport au seuil sain de 30%), mais une solvabilité générale de 109,06% (supérieure à 1, donc solvable), et une couverture des intérêts de 116,72%, indiquant que le résultat d'exploitation couvre largement les charges financières. Les dépôts clientèle (14 120,139 milliards FCFA) dépassent largement les créances clientèle (6 570,385 milliards FCFA), avec un ratio de transformation de 46,5%, reflétant une position de liquidité excédentaire mais aussi une sous-utilisation des dépôts pour le crédit. Les rapports narratifs récents confirment cette dynamique : le rapport semestriel 2026 (publié le 21 juillet 2026) fait état d'un PNB de 1 281 330 milliers $EU (721 318 millions FCFA) en hausse de +15% sur un an, d'un résultat net de 296 091 milliers $EU (+6%) et d'un coefficient d'exploitation amélioré à 48,4%. Le rapport du T1 2026 (publié en 2026) montre un PNB en progression de +23% à 636,2 millions $EU et un résultat net de 142,5 millions $EU (+16%), mais avec un coût du risque en hausse de +73%, signal d'alerte majeur. Le rapport du T3 2025 (daté du 30 septembre 2025) affichait un PNB de 1 029,2 milliards FCFA (+18%) et un résultat net de 267,0 milliards FCFA (+34%), avec un rendement des capitaux propres tangibles de 31,2%. Sur la base de ces rapports trimestriels, on peut estimer que l'exercice 2026 devrait enregistrer une croissance du PNB de l'ordre de 12-15% et un résultat net en progression modérée de 5-8%, la hausse du coût du risque (+40% au S1 2026) tempérant la conversion de la croissance en bénéfices. La recommandation fondamentale est de **CONSERVER** le titre : la solidité des fondamentaux (ROE élevé, coefficient d'exploitation excellent, solvabilité assurée) est contrebalancée par un coût du risque préoccupant et une autonomie financière faible, nécessitant une surveillance attentive de la qualité du portefeuille de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dessine un tableau nuancé mais globalement favorable. La valorisation (Partie 0) est clairement attractive avec un PER de 3,7x et un P/B de 0,79x, suggérant une sous-évaluation significative du titre par rapport à ses fondamentaux et à la moyenne du marché BRVM. Le comportement du cours (Partie 1) affiche une tendance haussière spectaculaire (+141,38% sur 100 jours) avec une volatilité élevée (60,3%) et une distribution platykurtique (kurtosis -1,824) qui réduit le risque de pics extrêmes, mais la moyenne inférieure à la médiane indique que le titre a longtemps stagné avant son envolée récente. Les signaux techniques (Partie 2) sont mitigés : les moyennes mobiles valident la tendance haussière, mais le MACD et le stochastique émettent des signaux de prudence à court terme, tandis que le RSI et les Bandes de Bollinger restent neutres. Les fondamentaux (Partie 3) sont solides avec un ROE de 21,62%, un coefficient d'exploitation de 27,35% et une croissance du PNB de +15% au S1 2026, mais le coût du risque en hausse de +40% constitue un risque majeur à surveiller. Les prédictions IA (J+1 à J+10) anticipent une légère consolidation du cours de 70 FCFA vers 68 FCFA, ce qui contredit partiellement les signaux haussiers des moyennes mobiles mais confirme la prudence du MACD et du stochastique. Sur la base de cette synthèse, la recommandation finale est **CONSERVER** avec un niveau de confiance **Moyen** et un risque global **Moyen**. La convergence entre la sous-évaluation (valorisation), la tendance haussière de fond (technique) et la solidité des fondamentaux (ROE, efficacité) justifie le maintien des positions, mais la divergence entre les signaux techniques à court terme (MACD, stochastique, prédictions IA baissières) et la hausse du coût du risque incite à la prudence. L'horizon d'investissement optimal est le **moyen terme (3-12 mois)**, le temps que la tendance haussière se consolide et que la maîtrise du coût du risque soit confirmée par les prochains rapports trimestriels. Un passage à l'achat serait justifié si le titre revenait vers 65-68 FCFA (support des moyennes mobiles) ou si le coût du risque se stabilisait au second semestre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4,020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B40000"/>
                <w:sz w:val="17"/>
              </w:rPr>
              <w:t>-0.71%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μ=2,131 FCFA, σ=125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β=0.4594 (Défensif) — Cov=0.000017, Var(idx)=0.000036,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2,011</w:t>
            </w:r>
          </w:p>
        </w:tc>
        <w:tc>
          <w:tcPr>
            <w:tcW w:type="dxa" w:w="1440"/>
            <w:shd w:fill="FAFAFA" w:val="clear"/>
          </w:tcPr>
          <w:p>
            <w:r>
              <w:rPr>
                <w:b/>
                <w:sz w:val="17"/>
              </w:rPr>
              <w:t>2,072</w:t>
            </w:r>
          </w:p>
        </w:tc>
        <w:tc>
          <w:tcPr>
            <w:tcW w:type="dxa" w:w="1440"/>
            <w:shd w:fill="FAFAFA" w:val="clear"/>
          </w:tcPr>
          <w:p>
            <w:r>
              <w:rPr>
                <w:sz w:val="17"/>
              </w:rPr>
              <w:t>2,133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1,970</w:t>
            </w:r>
          </w:p>
        </w:tc>
        <w:tc>
          <w:tcPr>
            <w:tcW w:type="dxa" w:w="1440"/>
            <w:shd w:fill="FAFAFA" w:val="clear"/>
          </w:tcPr>
          <w:p>
            <w:r>
              <w:rPr>
                <w:b/>
                <w:sz w:val="17"/>
              </w:rPr>
              <w:t>2,056</w:t>
            </w:r>
          </w:p>
        </w:tc>
        <w:tc>
          <w:tcPr>
            <w:tcW w:type="dxa" w:w="1440"/>
            <w:shd w:fill="FAFAFA" w:val="clear"/>
          </w:tcPr>
          <w:p>
            <w:r>
              <w:rPr>
                <w:sz w:val="17"/>
              </w:rPr>
              <w:t>2,141</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1,935</w:t>
            </w:r>
          </w:p>
        </w:tc>
        <w:tc>
          <w:tcPr>
            <w:tcW w:type="dxa" w:w="1440"/>
            <w:shd w:fill="FFDCE0" w:val="clear"/>
          </w:tcPr>
          <w:p>
            <w:r>
              <w:rPr>
                <w:b/>
                <w:sz w:val="17"/>
              </w:rPr>
              <w:t>2,039</w:t>
            </w:r>
          </w:p>
        </w:tc>
        <w:tc>
          <w:tcPr>
            <w:tcW w:type="dxa" w:w="1440"/>
            <w:shd w:fill="FFDCE0" w:val="clear"/>
          </w:tcPr>
          <w:p>
            <w:r>
              <w:rPr>
                <w:sz w:val="17"/>
              </w:rPr>
              <w:t>2,143</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1,905</w:t>
            </w:r>
          </w:p>
        </w:tc>
        <w:tc>
          <w:tcPr>
            <w:tcW w:type="dxa" w:w="1440"/>
            <w:shd w:fill="FFDCE0" w:val="clear"/>
          </w:tcPr>
          <w:p>
            <w:r>
              <w:rPr>
                <w:b/>
                <w:sz w:val="17"/>
              </w:rPr>
              <w:t>2,024</w:t>
            </w:r>
          </w:p>
        </w:tc>
        <w:tc>
          <w:tcPr>
            <w:tcW w:type="dxa" w:w="1440"/>
            <w:shd w:fill="FFDCE0" w:val="clear"/>
          </w:tcPr>
          <w:p>
            <w:r>
              <w:rPr>
                <w:sz w:val="17"/>
              </w:rPr>
              <w:t>2,143</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1,877</w:t>
            </w:r>
          </w:p>
        </w:tc>
        <w:tc>
          <w:tcPr>
            <w:tcW w:type="dxa" w:w="1440"/>
            <w:shd w:fill="FFDCE0" w:val="clear"/>
          </w:tcPr>
          <w:p>
            <w:r>
              <w:rPr>
                <w:b/>
                <w:sz w:val="17"/>
              </w:rPr>
              <w:t>2,009</w:t>
            </w:r>
          </w:p>
        </w:tc>
        <w:tc>
          <w:tcPr>
            <w:tcW w:type="dxa" w:w="1440"/>
            <w:shd w:fill="FFDCE0" w:val="clear"/>
          </w:tcPr>
          <w:p>
            <w:r>
              <w:rPr>
                <w:sz w:val="17"/>
              </w:rPr>
              <w:t>2,142</w:t>
            </w:r>
          </w:p>
        </w:tc>
        <w:tc>
          <w:tcPr>
            <w:tcW w:type="dxa" w:w="1440"/>
            <w:shd w:fill="FFDCE0" w:val="clear"/>
          </w:tcPr>
          <w:p>
            <w:r>
              <w:rPr>
                <w:b/>
                <w:color w:val="C00000"/>
                <w:sz w:val="17"/>
              </w:rPr>
              <w:t>-3.9%</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1,851</w:t>
            </w:r>
          </w:p>
        </w:tc>
        <w:tc>
          <w:tcPr>
            <w:tcW w:type="dxa" w:w="1440"/>
            <w:shd w:fill="FFDCE0" w:val="clear"/>
          </w:tcPr>
          <w:p>
            <w:r>
              <w:rPr>
                <w:b/>
                <w:sz w:val="17"/>
              </w:rPr>
              <w:t>1,995</w:t>
            </w:r>
          </w:p>
        </w:tc>
        <w:tc>
          <w:tcPr>
            <w:tcW w:type="dxa" w:w="1440"/>
            <w:shd w:fill="FFDCE0" w:val="clear"/>
          </w:tcPr>
          <w:p>
            <w:r>
              <w:rPr>
                <w:sz w:val="17"/>
              </w:rPr>
              <w:t>2,139</w:t>
            </w:r>
          </w:p>
        </w:tc>
        <w:tc>
          <w:tcPr>
            <w:tcW w:type="dxa" w:w="1440"/>
            <w:shd w:fill="FFDCE0" w:val="clear"/>
          </w:tcPr>
          <w:p>
            <w:r>
              <w:rPr>
                <w:b/>
                <w:color w:val="C00000"/>
                <w:sz w:val="17"/>
              </w:rPr>
              <w:t>-4.5%</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1,827</w:t>
            </w:r>
          </w:p>
        </w:tc>
        <w:tc>
          <w:tcPr>
            <w:tcW w:type="dxa" w:w="1440"/>
            <w:shd w:fill="FFDCE0" w:val="clear"/>
          </w:tcPr>
          <w:p>
            <w:r>
              <w:rPr>
                <w:b/>
                <w:sz w:val="17"/>
              </w:rPr>
              <w:t>1,981</w:t>
            </w:r>
          </w:p>
        </w:tc>
        <w:tc>
          <w:tcPr>
            <w:tcW w:type="dxa" w:w="1440"/>
            <w:shd w:fill="FFDCE0" w:val="clear"/>
          </w:tcPr>
          <w:p>
            <w:r>
              <w:rPr>
                <w:sz w:val="17"/>
              </w:rPr>
              <w:t>2,136</w:t>
            </w:r>
          </w:p>
        </w:tc>
        <w:tc>
          <w:tcPr>
            <w:tcW w:type="dxa" w:w="1440"/>
            <w:shd w:fill="FFDCE0" w:val="clear"/>
          </w:tcPr>
          <w:p>
            <w:r>
              <w:rPr>
                <w:b/>
                <w:color w:val="C00000"/>
                <w:sz w:val="17"/>
              </w:rPr>
              <w:t>-5.2%</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1,804</w:t>
            </w:r>
          </w:p>
        </w:tc>
        <w:tc>
          <w:tcPr>
            <w:tcW w:type="dxa" w:w="1440"/>
            <w:shd w:fill="FFDCE0" w:val="clear"/>
          </w:tcPr>
          <w:p>
            <w:r>
              <w:rPr>
                <w:b/>
                <w:sz w:val="17"/>
              </w:rPr>
              <w:t>1,968</w:t>
            </w:r>
          </w:p>
        </w:tc>
        <w:tc>
          <w:tcPr>
            <w:tcW w:type="dxa" w:w="1440"/>
            <w:shd w:fill="FFDCE0" w:val="clear"/>
          </w:tcPr>
          <w:p>
            <w:r>
              <w:rPr>
                <w:sz w:val="17"/>
              </w:rPr>
              <w:t>2,132</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1,782</w:t>
            </w:r>
          </w:p>
        </w:tc>
        <w:tc>
          <w:tcPr>
            <w:tcW w:type="dxa" w:w="1440"/>
            <w:shd w:fill="FFDCE0" w:val="clear"/>
          </w:tcPr>
          <w:p>
            <w:r>
              <w:rPr>
                <w:b/>
                <w:sz w:val="17"/>
              </w:rPr>
              <w:t>1,955</w:t>
            </w:r>
          </w:p>
        </w:tc>
        <w:tc>
          <w:tcPr>
            <w:tcW w:type="dxa" w:w="1440"/>
            <w:shd w:fill="FFDCE0" w:val="clear"/>
          </w:tcPr>
          <w:p>
            <w:r>
              <w:rPr>
                <w:sz w:val="17"/>
              </w:rPr>
              <w:t>2,128</w:t>
            </w:r>
          </w:p>
        </w:tc>
        <w:tc>
          <w:tcPr>
            <w:tcW w:type="dxa" w:w="1440"/>
            <w:shd w:fill="FFDCE0" w:val="clear"/>
          </w:tcPr>
          <w:p>
            <w:r>
              <w:rPr>
                <w:b/>
                <w:color w:val="C00000"/>
                <w:sz w:val="17"/>
              </w:rPr>
              <w:t>-6.4%</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1,762</w:t>
            </w:r>
          </w:p>
        </w:tc>
        <w:tc>
          <w:tcPr>
            <w:tcW w:type="dxa" w:w="1440"/>
            <w:shd w:fill="FFDCE0" w:val="clear"/>
          </w:tcPr>
          <w:p>
            <w:r>
              <w:rPr>
                <w:b/>
                <w:sz w:val="17"/>
              </w:rPr>
              <w:t>1,943</w:t>
            </w:r>
          </w:p>
        </w:tc>
        <w:tc>
          <w:tcPr>
            <w:tcW w:type="dxa" w:w="1440"/>
            <w:shd w:fill="FFDCE0" w:val="clear"/>
          </w:tcPr>
          <w:p>
            <w:r>
              <w:rPr>
                <w:sz w:val="17"/>
              </w:rPr>
              <w:t>2,124</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 Transformation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29,48 milliards FCFA, FTSC se situe dans la fourchette des valeurs moyennes de la cote BRVM, mais son BPA de 33 FCFA/action combiné à un cours de 2 090 FCFA génère un PER de 63,3x, soit un niveau très supérieur à la moyenne du marché régional (8-12x), ce qui traduit une valorisation tendue et une faible marge de sécurité par rapport aux bénéfices actuels. Le P/B de 1,88x indique que le marché valorise l'action à près du double de sa valeur comptable, ce qui reste raisonnable pour une entreprise industrielle mais suppose des perspectives de redressement. En revanche, l'EV/EBITDA de 37,5x est particulièrement exigeant (seuil d'alerte &gt;15x) et signale que la valeur d'entreprise intègre une anticipation de forte amélioration opérationnelle qui n'est pas encore visible dans les comptes. Cette configuration de ratios élevés s'explique par l'effondrement du résultat net 2025 (466 M FCFA contre 18,6 Mds FCFA en 2024), qui rend mécaniquement les multiples de bénéfices très élevés alors que la capacité opérationnelle (EBE de 1 501 M FCFA) reste modeste.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affiche une variation quasi nulle de -0,71%, avec une dernière séance en repli de -0,24%, traduisant une phase de consolidation sans direction claire. Le cours a évolué dans un range de 520 FCFA entre un plus haut de 2 430 FCFA et un plus bas de 1 910 FCFA, soit une amplitude de trading de 27% qui témoigne d'une réelle nervosité intra-période malgré la stabilité globale. La tendance générale est donc latérale, avec une légère érosion baissière, le cours actuel (2 090 FCFA) se situant sous la moyenne (2 131 FCFA) et sous la médiane (2 150 FCFA), ce qui confirme une pression vendeuse modérée. L'écart faible entre moyenne et médiane (19 FCFA) et le skewness de 0,190 indiquent une distribution quasi symétrique, sans biais haussier ou baissier marqué. L'écart-type de 126 FCFA avec un coefficient de variation de 5,9% révèle une dispersion modérée du cours autour de sa moyenne, tandis que le kurtosis de -0,760 (mésokurtique) suggère une distribution proche de la normale, donc un risque de pics extrêmes limité. La volatilité annualisée de 32,5% classe le titre dans la catégorie des valeurs à volatilité élevée (&gt;30%), ce qui implique un risque de fluctuation important pour un investisseur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(2 128,5 FCFA) et la MM50 (2 070,7 FCFA) encadrent le cours actuel (2 090 FCFA), qui se situe sous la MM20 mais au-dessus de la MM50. Cette configuration indique une pression baissière de court terme (cours &lt; MM20) mais un support de moyen terme encore intact (cours &gt; MM50). La décision technique affichée est "Achat", portée par le fait que la MM20 reste supérieure à la MM50, signal d'une tendance haussière de fond non encore invalidée.</w:t>
      </w:r>
    </w:p>
    <w:p>
      <w:pPr>
        <w:spacing w:after="120" w:line="276" w:lineRule="auto"/>
      </w:pPr>
      <w:r>
        <w:t>**Bandes de Bollinger** : Le cours (2 090 FCFA) évolue dans la partie basse du canal, entre la borne inférieure (2 065,66 FCFA) et la borne supérieure (2 191,34 FCFA), sans atteindre les extrêmes. Cette position médiane-basse traduit une volatilité contenue et l'absence de signal directionnel fort. La décision "Neutre" est cohérente avec cette configuration, le marché attendant un catalyseur pour sortir du range.</w:t>
      </w:r>
    </w:p>
    <w:p>
      <w:pPr>
        <w:spacing w:after="120" w:line="276" w:lineRule="auto"/>
      </w:pPr>
      <w:r>
        <w:t>**MACD** : La valeur du MACD (-0,508) est nettement inférieure à son signal (8,463), générant un croisement baissier et une divergence négative marquée. Ce déséquilibre indique un momentum clairement négatif à court terme, avec une pression vendeuse persistante. La décision "Vente" reflète cette dynamique défavorable, le MACD n'ayant pas encore amorcé de retournement.</w:t>
      </w:r>
    </w:p>
    <w:p>
      <w:pPr>
        <w:spacing w:after="120" w:line="276" w:lineRule="auto"/>
      </w:pPr>
      <w:r>
        <w:t>**RSI** : À 38,983, le RSI se situe dans la zone neutre basse (30-70), sans atteindre le seuil de survente (30). Cette valeur indique une faiblesse relative du titre sans excès baissier, laissant une marge de baisse limitée avant un éventuel rebond technique. La décision "Neutre" est appropriée, le RSI n'offrant ni signal d'achat ni de vente.</w:t>
      </w:r>
    </w:p>
    <w:p>
      <w:pPr>
        <w:spacing w:after="120" w:line="276" w:lineRule="auto"/>
      </w:pPr>
      <w:r>
        <w:t>**Stochastique** : Le %K (0,0) est au plus bas absolu et inférieur au %D (1,852), configuration extrême de survente qui précède souvent un rebond technique. La décision "Achat" s'explique par cette position de survente profonde, le croisement %K/%D étant potentiellement imminent à la hausse. Toutefois, la fiabilité de ce signal reste limitée tant que le %K ne remonte pas au-dessus du %D.</w:t>
      </w:r>
    </w:p>
    <w:p>
      <w:pPr>
        <w:spacing w:after="120" w:line="276" w:lineRule="auto"/>
      </w:pPr>
      <w:r>
        <w:t>**Conclusion technique** : Les indicateurs sont divergents — les moyennes mobiles et le stochastique suggèrent un potentiel d'achat, tandis que le MACD confirme une pression baissière et que le RSI et les Bollinger restent neutres. Cette configuration mitigée plaide pour une prudence à court terme, le titre évoluant dans un range sans direction claire, avec un biais baissier modéré tant que le cours reste sous la MM20 (2 128,5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FILTISAC CI a réalisé un chiffre d'affaires de 32 109 M FCFA, en croissance de 4,6% par rapport à 2024, mais son résultat net s'est effondré à 465,98 M FCFA (contre 18 595 M FCFA en 2024), soit une marge nette de seulement 1,45%. Cette chute spectaculaire s'explique par la disparition des produits exceptionnels de cession de filiales en 2024 (6 170 M FCFA de produits financiers), qui avaient artificiellement gonflé le bénéfice. Le ROE s'établit à 2,97% (très en dessous du seuil de 15% considéré comme excellent) et le ROA à 1,19%, confirmant une rentabilité des fonds propres et des actifs très faible. La structure financière reste néanmoins solide avec une autonomie financière de 40,1% (capitaux propres de 15 703 M FCFA pour un total bilan de 39 149 M FCFA) et une solvabilité générale de 167%, mais la trésorerie nette est fortement négative à -11 528 M FCFA, conséquence du versement de dividendes massifs en 2024 (18 617 M FCFA, soit 100% du résultat net).</w:t>
      </w:r>
    </w:p>
    <w:p>
      <w:pPr>
        <w:spacing w:after="120" w:line="276" w:lineRule="auto"/>
      </w:pPr>
      <w:r>
        <w:t>**Analyse sectorielle (entreprise industrielle)** : Les délais d'exploitation sont préoccupants : le délai clients de 213,7 jours est très élevé (risque de trésorerie important), le délai fournisseurs de 140,7 jours est correct, mais la durée de stockage de 214,7 jours immobilise massivement du capital. Le BFR s'élève à 11 529 M FCFA (positif, donc défavorable pour une entreprise industrielle) et le fonds de roulement (11 540 M FCFA) ne couvre que marginalement ce besoin, d'où la trésorerie nette négative. Le ratio d'endettement de 97,6% (dettes totales/capitaux propres) est élevé, et la capacité de remboursement de 11,49 années (dettes financières/CAF) est tendue. La couverture des intérêts (40,6%) est faible, signe d'une rentabilité opérationnelle insuffisante pour absorber les charges financières.</w:t>
      </w:r>
    </w:p>
    <w:p>
      <w:pPr>
        <w:spacing w:after="120" w:line="276" w:lineRule="auto"/>
      </w:pPr>
      <w:r>
        <w:t>**Estimations basées sur les rapports trimestriels** : Le rapport du T1 2026 (publié en 2026) fait état d'un chiffre d'affaires de 8 901 M FCFA, en hausse de 55% sur un an, porté par la forte demande d'emballages cacao, avec un résultat d'exploitation positif de 75 M FCFA (contre -78 M FCFA au T1 2025), mais un résultat net encore déficitaire de -154 M FCFA. Le rapport du T3 2025 (30/09/2025) indiquait un CA de 18 371 M FCFA sur 9 mois (-1% sur un an) et un résultat courant avant impôts de -216 M FCFA, en nette dégradation. Sur la base de ces éléments, on estime que l'exercice 2026 devrait bénéficier d'un rebond du CA (porté par la campagne cacaoyère 2025/2026) et d'une amélioration du résultat d'exploitation, mais la rentabilité nette pourrait rester fragile, la société devant encore absorber les conséquences de la réduction de son périmètre (cessions de 2024) et la hausse des coûts (fret maritime, matière première jute).</w:t>
      </w:r>
    </w:p>
    <w:p>
      <w:pPr>
        <w:spacing w:after="120" w:line="276" w:lineRule="auto"/>
      </w:pPr>
      <w:r>
        <w:t>**Recommandation fondamentale** : La situation est contrastée — la solidité du bilan (autonomie financière, solvabilité) et le rebond du CA au T1 2026 sont des points positifs, mais la faible rentabilité (ROE 2,97%, ROA 1,19%), la trésorerie nette négative et les délais d'exploitation élevés constituent des risques majeurs. Le rapport annuel 2025 (publié en 2025) recommandait d'ailleurs "vendre" en raison de la chute du résultat net et de la dégradation de la trésorerie, tandis que le rapport T1 2026 recommandait "conserver" dans l'attente d'une confirmation de la reprise. La dépendance à la campagne cacaoyère et aux crises logistiques mondiales reste le principal facteur d'incertitude.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marquée entre les signaux. **En termes de valorisation (Partie 0)**, les ratios sont clairement surévalués : PER de 63,3x, EV/EBITDA de 37,5x, bien au-dessus des moyennes du marché, ce qui intègre déjà une anticipation de redressement qui n'est pas encore confirmée par les chiffres. **Le comportement du cours (Partie 1)** est neutre à légèrement baissier, avec une volatilité élevée (32,5%) et une distribution symétrique sans biais directionnel, ce qui n'offre pas de signal fort. **Les indicateurs techniques (Partie 2)** sont divergents : le MACD est baissier, les Bollinger et le RSI sont neutres, tandis que les MM et le stochastique suggèrent un potentiel d'achat, créant une configuration sans conviction. **Les fondamentaux (Partie 3)** sont préoccupants : malgré un CA en croissance de 4,6% en 2025 et un rebond de 55% au T1 2026, la rentabilité reste très faible (ROE 2,97%, marge nette 1,45%), la trésorerie nette est négative (-11,5 Mds FCFA) et les délais d'exploitation sont élevés. **Les prédictions IA (J+1 à J+10)** anticipent une baisse continue de 2 072 FCFA à 2 009 FCFA, confirmant la pression baissière de court terme et contredisant les signaux d'achat techniques (MM, stochastique).</w:t>
      </w:r>
    </w:p>
    <w:p>
      <w:pPr>
        <w:spacing w:after="120" w:line="276" w:lineRule="auto"/>
      </w:pPr>
      <w:r>
        <w:t>**Recommandation finale : VENTE** — La convergence des signaux baissiers (MACD, prédictions IA, valorisation tendue) et la faiblesse des fondamentaux (rentabilité, trésorerie) l'emportent sur les quelques signaux d'achat techniques isolés. Le niveau de confiance est **Moyen** (les indicateurs techniques divergents et le rebond du CA au T1 2026 introduisent une incertitude), et le niveau de risque global est **Élevé** (trésorerie négative, dépendance aux campagnes agricoles, volatilité du titre). L'horizon d'investissement optimal est **court terme (&lt;3 mois)** pour les investisseurs cherchant à profiter d'un éventuel rebond technique, mais la prudence reste de mise pour un investissement à moyen ou long terme tant que la rentabilité opérationnelle et la trésorerie ne se seront pas durablement redressées.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4,436 titres</w:t>
            </w:r>
          </w:p>
        </w:tc>
        <w:tc>
          <w:tcPr>
            <w:tcW w:type="dxa" w:w="2268"/>
            <w:shd w:fill="FFF2CC" w:val="clear"/>
          </w:tcPr>
          <w:p>
            <w:r>
              <w:rPr>
                <w:b/>
                <w:color w:val="503200"/>
                <w:sz w:val="16"/>
              </w:rPr>
              <w:t xml:space="preserve">Cours actuel : </w:t>
            </w:r>
            <w:r>
              <w:rPr>
                <w:color w:val="000000"/>
                <w:sz w:val="17"/>
              </w:rPr>
              <w:t>4,080 FCFA</w:t>
            </w:r>
          </w:p>
          <w:p>
            <w:r>
              <w:rPr>
                <w:b/>
                <w:color w:val="503200"/>
                <w:sz w:val="16"/>
              </w:rPr>
              <w:t xml:space="preserve">Var. 100 jours : </w:t>
            </w:r>
            <w:r>
              <w:rPr>
                <w:b/>
                <w:color w:val="007800"/>
                <w:sz w:val="17"/>
              </w:rPr>
              <w:t>+3.82%</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μ=4,074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β=-0.2223 (Contre-cyclique) — Cov=-0.000008, Var(idx)=0.000036, ρ=-0.055,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σ_j=2.40%/j (Stable) — Vol. annualisée≈38.0%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3,971</w:t>
            </w:r>
          </w:p>
        </w:tc>
        <w:tc>
          <w:tcPr>
            <w:tcW w:type="dxa" w:w="1440"/>
            <w:shd w:fill="FAFAFA" w:val="clear"/>
          </w:tcPr>
          <w:p>
            <w:r>
              <w:rPr>
                <w:b/>
                <w:sz w:val="17"/>
              </w:rPr>
              <w:t>4,109</w:t>
            </w:r>
          </w:p>
        </w:tc>
        <w:tc>
          <w:tcPr>
            <w:tcW w:type="dxa" w:w="1440"/>
            <w:shd w:fill="FAFAFA" w:val="clear"/>
          </w:tcPr>
          <w:p>
            <w:r>
              <w:rPr>
                <w:sz w:val="17"/>
              </w:rPr>
              <w:t>4,246</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3,936</w:t>
            </w:r>
          </w:p>
        </w:tc>
        <w:tc>
          <w:tcPr>
            <w:tcW w:type="dxa" w:w="1440"/>
            <w:shd w:fill="FAFAFA" w:val="clear"/>
          </w:tcPr>
          <w:p>
            <w:r>
              <w:rPr>
                <w:b/>
                <w:sz w:val="17"/>
              </w:rPr>
              <w:t>4,131</w:t>
            </w:r>
          </w:p>
        </w:tc>
        <w:tc>
          <w:tcPr>
            <w:tcW w:type="dxa" w:w="1440"/>
            <w:shd w:fill="FAFAFA" w:val="clear"/>
          </w:tcPr>
          <w:p>
            <w:r>
              <w:rPr>
                <w:sz w:val="17"/>
              </w:rPr>
              <w:t>4,327</w:t>
            </w:r>
          </w:p>
        </w:tc>
        <w:tc>
          <w:tcPr>
            <w:tcW w:type="dxa" w:w="1440"/>
            <w:shd w:fill="FAFAFA" w:val="clear"/>
          </w:tcPr>
          <w:p>
            <w:r>
              <w:rPr>
                <w:b/>
                <w:color w:val="008000"/>
                <w:sz w:val="17"/>
              </w:rPr>
              <w:t>+1.3%</w:t>
            </w:r>
          </w:p>
        </w:tc>
      </w:tr>
      <w:tr>
        <w:tc>
          <w:tcPr>
            <w:tcW w:type="dxa" w:w="1440"/>
            <w:shd w:fill="C6EFCE" w:val="clear"/>
          </w:tcPr>
          <w:p>
            <w:r>
              <w:rPr>
                <w:sz w:val="17"/>
              </w:rPr>
              <w:t>J+3  Moyenne</w:t>
            </w:r>
          </w:p>
        </w:tc>
        <w:tc>
          <w:tcPr>
            <w:tcW w:type="dxa" w:w="1440"/>
            <w:shd w:fill="C6EFCE" w:val="clear"/>
          </w:tcPr>
          <w:p>
            <w:r>
              <w:rPr>
                <w:sz w:val="17"/>
              </w:rPr>
              <w:t>2026-09-23</w:t>
            </w:r>
          </w:p>
        </w:tc>
        <w:tc>
          <w:tcPr>
            <w:tcW w:type="dxa" w:w="1440"/>
            <w:shd w:fill="C6EFCE" w:val="clear"/>
          </w:tcPr>
          <w:p>
            <w:r>
              <w:rPr>
                <w:sz w:val="17"/>
              </w:rPr>
              <w:t>3,924</w:t>
            </w:r>
          </w:p>
        </w:tc>
        <w:tc>
          <w:tcPr>
            <w:tcW w:type="dxa" w:w="1440"/>
            <w:shd w:fill="C6EFCE" w:val="clear"/>
          </w:tcPr>
          <w:p>
            <w:r>
              <w:rPr>
                <w:b/>
                <w:sz w:val="17"/>
              </w:rPr>
              <w:t>4,165</w:t>
            </w:r>
          </w:p>
        </w:tc>
        <w:tc>
          <w:tcPr>
            <w:tcW w:type="dxa" w:w="1440"/>
            <w:shd w:fill="C6EFCE" w:val="clear"/>
          </w:tcPr>
          <w:p>
            <w:r>
              <w:rPr>
                <w:sz w:val="17"/>
              </w:rPr>
              <w:t>4,406</w:t>
            </w:r>
          </w:p>
        </w:tc>
        <w:tc>
          <w:tcPr>
            <w:tcW w:type="dxa" w:w="1440"/>
            <w:shd w:fill="C6EFCE" w:val="clear"/>
          </w:tcPr>
          <w:p>
            <w:r>
              <w:rPr>
                <w:b/>
                <w:color w:val="008000"/>
                <w:sz w:val="17"/>
              </w:rPr>
              <w:t>+2.1%</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3,894</w:t>
            </w:r>
          </w:p>
        </w:tc>
        <w:tc>
          <w:tcPr>
            <w:tcW w:type="dxa" w:w="1440"/>
            <w:shd w:fill="C6EFCE" w:val="clear"/>
          </w:tcPr>
          <w:p>
            <w:r>
              <w:rPr>
                <w:b/>
                <w:sz w:val="17"/>
              </w:rPr>
              <w:t>4,174</w:t>
            </w:r>
          </w:p>
        </w:tc>
        <w:tc>
          <w:tcPr>
            <w:tcW w:type="dxa" w:w="1440"/>
            <w:shd w:fill="C6EFCE" w:val="clear"/>
          </w:tcPr>
          <w:p>
            <w:r>
              <w:rPr>
                <w:sz w:val="17"/>
              </w:rPr>
              <w:t>4,453</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3,863</w:t>
            </w:r>
          </w:p>
        </w:tc>
        <w:tc>
          <w:tcPr>
            <w:tcW w:type="dxa" w:w="1440"/>
            <w:shd w:fill="C6EFCE" w:val="clear"/>
          </w:tcPr>
          <w:p>
            <w:r>
              <w:rPr>
                <w:b/>
                <w:sz w:val="17"/>
              </w:rPr>
              <w:t>4,176</w:t>
            </w:r>
          </w:p>
        </w:tc>
        <w:tc>
          <w:tcPr>
            <w:tcW w:type="dxa" w:w="1440"/>
            <w:shd w:fill="C6EFCE" w:val="clear"/>
          </w:tcPr>
          <w:p>
            <w:r>
              <w:rPr>
                <w:sz w:val="17"/>
              </w:rPr>
              <w:t>4,488</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3,843</w:t>
            </w:r>
          </w:p>
        </w:tc>
        <w:tc>
          <w:tcPr>
            <w:tcW w:type="dxa" w:w="1440"/>
            <w:shd w:fill="C6EFCE" w:val="clear"/>
          </w:tcPr>
          <w:p>
            <w:r>
              <w:rPr>
                <w:b/>
                <w:sz w:val="17"/>
              </w:rPr>
              <w:t>4,186</w:t>
            </w:r>
          </w:p>
        </w:tc>
        <w:tc>
          <w:tcPr>
            <w:tcW w:type="dxa" w:w="1440"/>
            <w:shd w:fill="C6EFCE" w:val="clear"/>
          </w:tcPr>
          <w:p>
            <w:r>
              <w:rPr>
                <w:sz w:val="17"/>
              </w:rPr>
              <w:t>4,529</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3,816</w:t>
            </w:r>
          </w:p>
        </w:tc>
        <w:tc>
          <w:tcPr>
            <w:tcW w:type="dxa" w:w="1440"/>
            <w:shd w:fill="C6EFCE" w:val="clear"/>
          </w:tcPr>
          <w:p>
            <w:r>
              <w:rPr>
                <w:b/>
                <w:sz w:val="17"/>
              </w:rPr>
              <w:t>4,187</w:t>
            </w:r>
          </w:p>
        </w:tc>
        <w:tc>
          <w:tcPr>
            <w:tcW w:type="dxa" w:w="1440"/>
            <w:shd w:fill="C6EFCE" w:val="clear"/>
          </w:tcPr>
          <w:p>
            <w:r>
              <w:rPr>
                <w:sz w:val="17"/>
              </w:rPr>
              <w:t>4,557</w:t>
            </w:r>
          </w:p>
        </w:tc>
        <w:tc>
          <w:tcPr>
            <w:tcW w:type="dxa" w:w="1440"/>
            <w:shd w:fill="C6EFCE" w:val="clear"/>
          </w:tcPr>
          <w:p>
            <w:r>
              <w:rPr>
                <w:b/>
                <w:color w:val="008000"/>
                <w:sz w:val="17"/>
              </w:rPr>
              <w:t>+2.6%</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3,790</w:t>
            </w:r>
          </w:p>
        </w:tc>
        <w:tc>
          <w:tcPr>
            <w:tcW w:type="dxa" w:w="1440"/>
            <w:shd w:fill="C6EFCE" w:val="clear"/>
          </w:tcPr>
          <w:p>
            <w:r>
              <w:rPr>
                <w:b/>
                <w:sz w:val="17"/>
              </w:rPr>
              <w:t>4,186</w:t>
            </w:r>
          </w:p>
        </w:tc>
        <w:tc>
          <w:tcPr>
            <w:tcW w:type="dxa" w:w="1440"/>
            <w:shd w:fill="C6EFCE" w:val="clear"/>
          </w:tcPr>
          <w:p>
            <w:r>
              <w:rPr>
                <w:sz w:val="17"/>
              </w:rPr>
              <w:t>4,582</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3,763</w:t>
            </w:r>
          </w:p>
        </w:tc>
        <w:tc>
          <w:tcPr>
            <w:tcW w:type="dxa" w:w="1440"/>
            <w:shd w:fill="C6EFCE" w:val="clear"/>
          </w:tcPr>
          <w:p>
            <w:r>
              <w:rPr>
                <w:b/>
                <w:sz w:val="17"/>
              </w:rPr>
              <w:t>4,183</w:t>
            </w:r>
          </w:p>
        </w:tc>
        <w:tc>
          <w:tcPr>
            <w:tcW w:type="dxa" w:w="1440"/>
            <w:shd w:fill="C6EFCE" w:val="clear"/>
          </w:tcPr>
          <w:p>
            <w:r>
              <w:rPr>
                <w:sz w:val="17"/>
              </w:rPr>
              <w:t>4,602</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3,737</w:t>
            </w:r>
          </w:p>
        </w:tc>
        <w:tc>
          <w:tcPr>
            <w:tcW w:type="dxa" w:w="1440"/>
            <w:shd w:fill="C6EFCE" w:val="clear"/>
          </w:tcPr>
          <w:p>
            <w:r>
              <w:rPr>
                <w:b/>
                <w:sz w:val="17"/>
              </w:rPr>
              <w:t>4,179</w:t>
            </w:r>
          </w:p>
        </w:tc>
        <w:tc>
          <w:tcPr>
            <w:tcW w:type="dxa" w:w="1440"/>
            <w:shd w:fill="C6EFCE" w:val="clear"/>
          </w:tcPr>
          <w:p>
            <w:r>
              <w:rPr>
                <w:sz w:val="17"/>
              </w:rPr>
              <w:t>4,621</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81,60 Mds FCFA, LNBB se positionne comme une valeur de taille intermédiaire sur le marché BRVM, représentant un poids non négligeable dans l'indice composite. Le BPA de 231 FCFA/action signifie que chaque titre génère près de 231 FCFA de bénéfice net, ce qui, rapporté au cours actuel de 4 080 FCFA, donne un PER de 17,7x — nettement supérieur à la moyenne du marché BRVM (généralement comprise entre 8 et 12x), traduisant une prime de valorisation significative que les investisseurs accordent à la société. Le ratio P/B de 3,72x indique que le marché valorise LNBB à près de 4 fois sa valeur comptable, ce qui reflète une forte anticipation de croissance future et/ou une qualité des fonds propres perçue comme supérieure à la moyenne. Enfin, l'EV/EBITDA de 10,4x, bien que dans la fourchette haute (10-15x), demeure cohérent avec la capacité opérationnelle de l'entreprise, mais suggère que le marché intègre déjà une bonne partie du potentiel de redressement dans les cours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positive de +3,82%, bien que la dernière séance (J-1) ait enregistré un léger repli de -0,37%, signalant une prise de bénéfices marginale après une progression récente. Le cours actuel de 4 080 FCFA se situe dans la partie médiane de la fourchette de trading, le plus haut ayant atteint 4 560 FCFA et le plus bas 3 825 FCFA, soit un range d'environ 735 FCFA (19,2% d'amplitude), ce qui témoigne d'une volatilité intra-période modérée mais réelle. La tendance générale sur la période est haussière mais fragile, le titre ayant cédé du terrain depuis son sommet sans pour autant casser son support des 3 825 FCFA. Les statistiques descriptives révèlent une moyenne de 4 074 FCFA légèrement supérieure à la médiane de 4 050 FCFA, avec un mode à 4 100 FCFA, indiquant une distribution quasi-symétrique mais avec une légère asymétrie positive (skewness de 0,511), signifiant que les journées sous la moyenne sont plus fréquentes mais compensées par des pics haussiers occasionnels. L'écart-type de 192 FCFA (CV de 4,7%) traduit une dispersion relativement contenue du cours autour de sa moyenne, tandis que le kurtosis de -0,842 (mésokurtique) suggère une distribution proche de la normale, sans risque excessif de pics extrêmes. La volatilité annualisée de 38,0% classe le titre dans la catégorie des valeurs à volatilité élevée (&gt;30%), ce qui implique un risque de prix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(4 026,75 FCFA) est légèrement inférieure au cours actuel (4 080 FCFA), tandis que la MM50 (4 166,80 FCFA) lui est supérieure, créant une configuration baissière de court terme (cours sous MM50 mais au-dessus de MM20). Cette divergence entre les deux moyennes, avec un cours coincé entre les deux, justifie la décision de **Vente** émise par le système, le titre n'ayant pas encore confirmé de signal haussier durable.</w:t>
      </w:r>
    </w:p>
    <w:p>
      <w:pPr>
        <w:spacing w:after="120" w:line="276" w:lineRule="auto"/>
      </w:pPr>
      <w:r>
        <w:t>**Bandes de Bollinger** : Le cours (4 080 FCFA) évolue dans la partie médiane des bandes, entre la borne inférieure (3 903,84 FCFA) et la borne supérieure (4 149,67 FCFA), sans contact avec les extrêmes. Cette position centrale, couplée à un rétrécissement des bandes, indique une phase de consolidation avec une volatilité en compression, justifiant la décision **Neutre** — ni signal d'achat, ni signal de vente clair.</w:t>
      </w:r>
    </w:p>
    <w:p>
      <w:pPr>
        <w:spacing w:after="120" w:line="276" w:lineRule="auto"/>
      </w:pPr>
      <w:r>
        <w:t>**MACD** : La valeur du MACD (-29,079) est supérieure à son signal (-45,567), générant un croisement haussier (MACD au-dessus du signal) bien que les deux restent en territoire négatif. Ce différentiel positif indique un momentum baissier en voie d'essoufflement, voire un début de retournement, ce qui justifie la décision d'**Achat** — signal précoce mais encourageant.</w:t>
      </w:r>
    </w:p>
    <w:p>
      <w:pPr>
        <w:spacing w:after="120" w:line="276" w:lineRule="auto"/>
      </w:pPr>
      <w:r>
        <w:t>**RSI** : À 54,598, le RSI se situe dans la zone neutre (30-70), sans surachat ni survente. Cette position médiane reflète un équilibre entre acheteurs et vendeurs, sans pression directionnelle forte, ce qui confirme la décision **Neutre** et suggère une absence de signal exploitable à court terme.</w:t>
      </w:r>
    </w:p>
    <w:p>
      <w:pPr>
        <w:spacing w:after="120" w:line="276" w:lineRule="auto"/>
      </w:pPr>
      <w:r>
        <w:t>**Stochastique** : Le %K (90,0) et le %D (95,833) sont tous deux en zone de surachat (&gt;80), avec un %K inférieur au %D, signalant un croisement baissier imminent. Cette configuration indique que le titre a probablement atteint un sommet de court terme et risque un repli, justifiant la décision de **Vente**.</w:t>
      </w:r>
    </w:p>
    <w:p>
      <w:pPr>
        <w:spacing w:after="120" w:line="276" w:lineRule="auto"/>
      </w:pPr>
      <w:r>
        <w:t>**Conclusion technique** : Les indicateurs techniques présentent une divergence notable : le MACD émet un signal d'achat précoce, tandis que les moyennes mobiles et le stochastique plaident pour une vente, et que le RSI et les bandes de Bollinger restent neutres. Cette absence de convergence claire suggère une phase d'incertitude technique, avec un risque de consolidation voire de repli à court terme, mais un potentiel de retournement haussier si le MACD se confirme.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LNBB a réalisé un chiffre d'affaires de 98,598 Mds FCFA, en baisse de -3,85% par rapport à 2024 (102,544 Mds FCFA), subissant de plein fouet la concurrence déloyale des opérateurs illégaux. Le résultat net s'établit à 4,622 Mds FCFA, en recul de -35,6% sur un an, principalement en raison de l'absence de produits exceptionnels (3,1 Mds FCFA en 2024). Malgré cette dégradation, les fondamentaux opérationnels restent solides : la Valeur Ajoutée progresse de +22% à 10,548 Mds FCFA et l'EBE de +34% à 7,164 Mds FCFA, témoignant d'une excellente maîtrise des charges. Les ratios de rentabilité demeurent honorables avec un ROE de 21,05% (&gt;15%, excellent) et un ROA de 14,17%, tandis que la structure financière est très saine : autonomie financière de 67,32%, ratio d'endettement de seulement 2,57%, et trésorerie nette positive de 7,979 Mds FCFA. Le BFR est quasi nul (217,45 M FCFA), les délais clients très courts (4,82 jours) et les délais fournisseurs confortables (20,41 jours), confirmant une gestion rigoureuse du besoin en fonds de roulement.</w:t>
      </w:r>
    </w:p>
    <w:p>
      <w:pPr>
        <w:spacing w:after="120" w:line="276" w:lineRule="auto"/>
      </w:pPr>
      <w:r>
        <w:t>**Estimations basées sur les rapports trimestriels** : Le rapport du T1 2026 (publié le 07/05/2026) révèle un CA en hausse de +6% à 25,521 Mds FCFA, mais un résultat net en chute de -46% à 848 M FCFA, pénalisé par le mix produit défavorable (pari sportif à 95% de taux de retour). Cependant, le rapport du S1 2026 (publié le 30/07/2026) marque un retournement spectaculaire : le résultat net progresse de +60% par rapport au S1 2025, porté par la maîtrise des charges et les revenus de partenariats B2B, tandis que le CA atteint 49,937 Mds FCFA (+4%). Sur la base de ces tendances, on estime que l'exercice 2026 devrait afficher un résultat net en forte croissance (potentiellement &gt;7 Mds FCFA), compensant la baisse du Produit Brut des Jeux (-9% au S1 2026). Le dividende proposé pour 2025 est de 173 FCFA brut par action (164 FCFA net), soit un rendement d'environ 4,0% au cours actuel de 4 080 FCFA, avec une mise en paiement prévue le 2 août 2026.</w:t>
      </w:r>
    </w:p>
    <w:p>
      <w:pPr>
        <w:spacing w:after="120" w:line="276" w:lineRule="auto"/>
      </w:pPr>
      <w:r>
        <w:t>**Recommandation fondamentale** : LNBB présente un profil de valeur solide, avec des fondamentaux opérationnels en amélioration (EBE, VA), une structure financière robuste et une stratégie de digitalisation porteuse. Les risques principaux résident dans la pression sur les marges (dépendance au pari sportif à faible marge) et la concurrence illégale persistante. La recommandation fondamentale est **CONSERVER**, avec un potentiel de passage à l'achat si le S2 2026 confirme la pérennité des revenus de partenariats et la stabilisation du PBJ.</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apparaît tendue, avec un PER de 17,7x et un P/B de 3,72x nettement supérieurs aux moyennes du marché BRVM, suggérant que le marché intègre déjà une bonne partie du redressement attendu. Le comportement du cours (Partie 1) est mitigé : tendance haussière fragile (+3,82% sur 100 jours), volatilité élevée (38%), mais distribution quasi-normale (kurtosis -0,842) et skewness positive (0,511) indiquant un potentiel de pics haussiers. Les signaux techniques (Partie 2) sont divergents : MACD haussier mais stochastique baissier, RSI et Bollinger neutres, créant une incertitude directionnelle à court terme. Les fondamentaux (Partie 3) sont rassurants : ROE de 21,05%, autonomie financière de 67,32%, trésorerie nette de 7,979 Mds FCFA, et surtout un retournement spectaculaire au S1 2026 (+60% de résultat net), bien que le PBJ recule de -9%. Les prédictions IA (J+1 à J+10) anticipent une trajectoire haussière modérée, avec un cours cible de 4 176 FCFA à J+5 (soit +2,35% par rapport au cours actuel), confirmant le signal d'achat précoce du MACD.</w:t>
      </w:r>
    </w:p>
    <w:p>
      <w:pPr>
        <w:spacing w:after="120" w:line="276" w:lineRule="auto"/>
      </w:pPr>
      <w:r>
        <w:t>**Recommandation finale** : **CONSERVER** — Le titre présente un profil équilibré entre des fondamentaux solides (ROE élevé, trésorerie abondante, retournement du résultat net au S1 2026) et une valorisation tendue (PER et P/B supérieurs aux moyennes), avec des signaux techniques divergents. La convergence partielle entre les prédictions IA haussières et le MACD positif, couplée à la robustesse financière, justifie le maintien en portefeuille, mais l'absence de confirmation technique claire et la pression persistante sur les marges incitent à la prudence. **Niveau de confiance : Moyen** — Les données fondamentales sont solides mais les signaux techniques manquent de convergence. **Niveau de risque global : Moyen à Élevé** — Volatilité de 38%, dépendance au pari sportif à faible marge, et concurrence illégale persistante. **Horizon d'investissement optimal : Moyen terme (3-12 mois)** — Le temps que les nouvelles initiatives (1 500 terminaux, nouveaux produits de loterie) produisent leurs effets sur la rentabilité et que le PBJ se stabilise. Un renforcement serait justifié si le S2 2026 confirme l'amélioration des marges et la pérennité des revenus de partenariats.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31.79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3,740 titres</w:t>
            </w:r>
          </w:p>
        </w:tc>
        <w:tc>
          <w:tcPr>
            <w:tcW w:type="dxa" w:w="2268"/>
            <w:shd w:fill="FFF2CC" w:val="clear"/>
          </w:tcPr>
          <w:p>
            <w:r>
              <w:rPr>
                <w:b/>
                <w:color w:val="503200"/>
                <w:sz w:val="16"/>
              </w:rPr>
              <w:t xml:space="preserve">Cours actuel : </w:t>
            </w:r>
            <w:r>
              <w:rPr>
                <w:color w:val="000000"/>
                <w:sz w:val="17"/>
              </w:rPr>
              <w:t>2,490 FCFA</w:t>
            </w:r>
          </w:p>
          <w:p>
            <w:r>
              <w:rPr>
                <w:b/>
                <w:color w:val="503200"/>
                <w:sz w:val="16"/>
              </w:rPr>
              <w:t xml:space="preserve">Var. 100 jours : </w:t>
            </w:r>
            <w:r>
              <w:rPr>
                <w:b/>
                <w:color w:val="007800"/>
                <w:sz w:val="17"/>
              </w:rPr>
              <w:t>+57.59%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1,580 FCFA</w:t>
            </w:r>
          </w:p>
          <w:p>
            <w:r>
              <w:rPr>
                <w:b/>
                <w:color w:val="503200"/>
                <w:sz w:val="16"/>
              </w:rPr>
              <w:t xml:space="preserve">Volatilité ann. : </w:t>
            </w:r>
            <w:r>
              <w:rPr>
                <w:color w:val="000000"/>
                <w:sz w:val="17"/>
              </w:rPr>
              <w:t>56.7%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14.90% (Moyenne) — μ=2,246 FCFA, σ=335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β=-0.1025 (Contre-cyclique) — Cov=-0.000004, Var(idx)=0.000036, ρ=-0.018,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2,309</w:t>
            </w:r>
          </w:p>
        </w:tc>
        <w:tc>
          <w:tcPr>
            <w:tcW w:type="dxa" w:w="1440"/>
            <w:shd w:fill="FAFAFA" w:val="clear"/>
          </w:tcPr>
          <w:p>
            <w:r>
              <w:rPr>
                <w:b/>
                <w:sz w:val="17"/>
              </w:rPr>
              <w:t>2,477</w:t>
            </w:r>
          </w:p>
        </w:tc>
        <w:tc>
          <w:tcPr>
            <w:tcW w:type="dxa" w:w="1440"/>
            <w:shd w:fill="FAFAFA" w:val="clear"/>
          </w:tcPr>
          <w:p>
            <w:r>
              <w:rPr>
                <w:sz w:val="17"/>
              </w:rPr>
              <w:t>2,645</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2,228</w:t>
            </w:r>
          </w:p>
        </w:tc>
        <w:tc>
          <w:tcPr>
            <w:tcW w:type="dxa" w:w="1440"/>
            <w:shd w:fill="FAFAFA" w:val="clear"/>
          </w:tcPr>
          <w:p>
            <w:r>
              <w:rPr>
                <w:b/>
                <w:sz w:val="17"/>
              </w:rPr>
              <w:t>2,465</w:t>
            </w:r>
          </w:p>
        </w:tc>
        <w:tc>
          <w:tcPr>
            <w:tcW w:type="dxa" w:w="1440"/>
            <w:shd w:fill="FAFAFA" w:val="clear"/>
          </w:tcPr>
          <w:p>
            <w:r>
              <w:rPr>
                <w:sz w:val="17"/>
              </w:rPr>
              <w:t>2,702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2,168</w:t>
            </w:r>
          </w:p>
        </w:tc>
        <w:tc>
          <w:tcPr>
            <w:tcW w:type="dxa" w:w="1440"/>
            <w:shd w:fill="FAFAFA" w:val="clear"/>
          </w:tcPr>
          <w:p>
            <w:r>
              <w:rPr>
                <w:b/>
                <w:sz w:val="17"/>
              </w:rPr>
              <w:t>2,457</w:t>
            </w:r>
          </w:p>
        </w:tc>
        <w:tc>
          <w:tcPr>
            <w:tcW w:type="dxa" w:w="1440"/>
            <w:shd w:fill="FAFAFA" w:val="clear"/>
          </w:tcPr>
          <w:p>
            <w:r>
              <w:rPr>
                <w:sz w:val="17"/>
              </w:rPr>
              <w:t>2,746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2,114</w:t>
            </w:r>
          </w:p>
        </w:tc>
        <w:tc>
          <w:tcPr>
            <w:tcW w:type="dxa" w:w="1440"/>
            <w:shd w:fill="FAFAFA" w:val="clear"/>
          </w:tcPr>
          <w:p>
            <w:r>
              <w:rPr>
                <w:b/>
                <w:sz w:val="17"/>
              </w:rPr>
              <w:t>2,447</w:t>
            </w:r>
          </w:p>
        </w:tc>
        <w:tc>
          <w:tcPr>
            <w:tcW w:type="dxa" w:w="1440"/>
            <w:shd w:fill="FAFAFA" w:val="clear"/>
          </w:tcPr>
          <w:p>
            <w:r>
              <w:rPr>
                <w:sz w:val="17"/>
              </w:rPr>
              <w:t>2,779</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2,065</w:t>
            </w:r>
          </w:p>
        </w:tc>
        <w:tc>
          <w:tcPr>
            <w:tcW w:type="dxa" w:w="1440"/>
            <w:shd w:fill="FFDCE0" w:val="clear"/>
          </w:tcPr>
          <w:p>
            <w:r>
              <w:rPr>
                <w:b/>
                <w:sz w:val="17"/>
              </w:rPr>
              <w:t>2,435</w:t>
            </w:r>
          </w:p>
        </w:tc>
        <w:tc>
          <w:tcPr>
            <w:tcW w:type="dxa" w:w="1440"/>
            <w:shd w:fill="FFDCE0" w:val="clear"/>
          </w:tcPr>
          <w:p>
            <w:r>
              <w:rPr>
                <w:sz w:val="17"/>
              </w:rPr>
              <w:t>2,805</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2,019</w:t>
            </w:r>
          </w:p>
        </w:tc>
        <w:tc>
          <w:tcPr>
            <w:tcW w:type="dxa" w:w="1440"/>
            <w:shd w:fill="FFDCE0" w:val="clear"/>
          </w:tcPr>
          <w:p>
            <w:r>
              <w:rPr>
                <w:b/>
                <w:sz w:val="17"/>
              </w:rPr>
              <w:t>2,423</w:t>
            </w:r>
          </w:p>
        </w:tc>
        <w:tc>
          <w:tcPr>
            <w:tcW w:type="dxa" w:w="1440"/>
            <w:shd w:fill="FFDCE0" w:val="clear"/>
          </w:tcPr>
          <w:p>
            <w:r>
              <w:rPr>
                <w:sz w:val="17"/>
              </w:rPr>
              <w:t>2,826</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1,977</w:t>
            </w:r>
          </w:p>
        </w:tc>
        <w:tc>
          <w:tcPr>
            <w:tcW w:type="dxa" w:w="1440"/>
            <w:shd w:fill="FFDCE0" w:val="clear"/>
          </w:tcPr>
          <w:p>
            <w:r>
              <w:rPr>
                <w:b/>
                <w:sz w:val="17"/>
              </w:rPr>
              <w:t>2,411</w:t>
            </w:r>
          </w:p>
        </w:tc>
        <w:tc>
          <w:tcPr>
            <w:tcW w:type="dxa" w:w="1440"/>
            <w:shd w:fill="FFDCE0" w:val="clear"/>
          </w:tcPr>
          <w:p>
            <w:r>
              <w:rPr>
                <w:sz w:val="17"/>
              </w:rPr>
              <w:t>2,844</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1,938</w:t>
            </w:r>
          </w:p>
        </w:tc>
        <w:tc>
          <w:tcPr>
            <w:tcW w:type="dxa" w:w="1440"/>
            <w:shd w:fill="FFDCE0" w:val="clear"/>
          </w:tcPr>
          <w:p>
            <w:r>
              <w:rPr>
                <w:b/>
                <w:sz w:val="17"/>
              </w:rPr>
              <w:t>2,399</w:t>
            </w:r>
          </w:p>
        </w:tc>
        <w:tc>
          <w:tcPr>
            <w:tcW w:type="dxa" w:w="1440"/>
            <w:shd w:fill="FFDCE0" w:val="clear"/>
          </w:tcPr>
          <w:p>
            <w:r>
              <w:rPr>
                <w:sz w:val="17"/>
              </w:rPr>
              <w:t>2,860</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1,901</w:t>
            </w:r>
          </w:p>
        </w:tc>
        <w:tc>
          <w:tcPr>
            <w:tcW w:type="dxa" w:w="1440"/>
            <w:shd w:fill="FFDCE0" w:val="clear"/>
          </w:tcPr>
          <w:p>
            <w:r>
              <w:rPr>
                <w:b/>
                <w:sz w:val="17"/>
              </w:rPr>
              <w:t>2,388</w:t>
            </w:r>
          </w:p>
        </w:tc>
        <w:tc>
          <w:tcPr>
            <w:tcW w:type="dxa" w:w="1440"/>
            <w:shd w:fill="FFDCE0" w:val="clear"/>
          </w:tcPr>
          <w:p>
            <w:r>
              <w:rPr>
                <w:sz w:val="17"/>
              </w:rPr>
              <w:t>2,874</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1,866</w:t>
            </w:r>
          </w:p>
        </w:tc>
        <w:tc>
          <w:tcPr>
            <w:tcW w:type="dxa" w:w="1440"/>
            <w:shd w:fill="FFDCE0" w:val="clear"/>
          </w:tcPr>
          <w:p>
            <w:r>
              <w:rPr>
                <w:b/>
                <w:sz w:val="17"/>
              </w:rPr>
              <w:t>2,377</w:t>
            </w:r>
          </w:p>
        </w:tc>
        <w:tc>
          <w:tcPr>
            <w:tcW w:type="dxa" w:w="1440"/>
            <w:shd w:fill="FFDCE0" w:val="clear"/>
          </w:tcPr>
          <w:p>
            <w:r>
              <w:rPr>
                <w:sz w:val="17"/>
              </w:rPr>
              <w:t>2,888</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31,79 milliards FCFA, NEIC se situe dans la catégorie des valeurs moyennes de la cote BRVM, ce qui lui confère une certaine liquidité mais la rend vulnérable aux mouvements de portefeuille. Le BPA de 160 FCFA/action signifie que chaque titre génère 160 FCFA de bénéfice net, ce qui, rapporté au cours actuel de 2 490 FCFA, donne un PER de 15,6x — soit un niveau modéré mais supérieur à la moyenne du marché BRVM (8-12x), traduisant une prime de croissance anticipée par le marché. Le P/B de 5,52x indique que le marché valorise la société à plus de cinq fois sa valeur comptable, une prime très exigeante qui suppose une forte confiance dans la capacité bénéficiaire future. Enfin, l'EV/EBITDA de 23,3x est particulièrement élevé (seuil d'alerte &gt;15x), signalant que la valeur d'entreprise intègre déjà une anticipation de croissance opérationnelle robuste, ce qui laisse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remarquable de +57,59%, portant le cours à 2 490 FCFA, malgré un repli de -2,35% lors de la dernière séance. Le titre a évolué dans un range très large de 1 580 FCFA (plus bas) à 3 000 FCFA (plus haut), soit une amplitude de près de 90%, témoignant d'une forte volatilité et d'un intérêt spéculatif marqué. La tendance générale est clairement haussière, soutenue par l'engouement autour du redressement des résultats 2025. Les statistiques descriptives révèlent une moyenne de 2 246 FCFA légèrement supérieure à la médiane de 2 240 FCFA, avec un mode à 1 990 FCFA, indiquant que le cours a passé plus de temps dans des zones basses avant de s'envoler récemment. L'écart-type de 336 FCFA (CV = 15,0%) traduit une dispersion modérée autour de la moyenne, tandis que le kurtosis de 0,013 (mésokurtique) suggère une distribution proche de la normale, sans risque extrême de pics. Le skewness positif de 0,668 indique une asymétrie à droite : davantage de journées sous la moyenne, mais des hausses ponctuelles très fortes — un profil typique de titre en phase d'accélération. La volatilité annualisée de 56,7% classe NEIC parmi les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(2 788,75 FCFA) est nettement supérieure à la MM50 (2 450,90 FCFA), et le cours actuel (2 490 FCFA) se situe entre les deux, légèrement au-dessus de la MM50 mais sous la MM20. Cette configuration indique une tendance haussière de fond (MM20 &gt; MM50) mais un essoufflement récent, justifiant la décision « Achat » sur la base du croisement haussier toujours actif.</w:t>
      </w:r>
    </w:p>
    <w:p>
      <w:pPr>
        <w:spacing w:after="120" w:line="276" w:lineRule="auto"/>
      </w:pPr>
      <w:r>
        <w:t>**Bandes de Bollinger** : Le cours (2 490 FCFA) évolue dans la partie basse de la bande, proche de la borne inférieure (2 396,69 FCFA) et loin de la borne supérieure (3 180,81 FCFA). Cette position suggère une pression vendeuse récente mais aussi un potentiel de rebond vers la moyenne, la décision « Neutre » reflétant l'absence de signal directionnel fort.</w:t>
      </w:r>
    </w:p>
    <w:p>
      <w:pPr>
        <w:spacing w:after="120" w:line="276" w:lineRule="auto"/>
      </w:pPr>
      <w:r>
        <w:t>**MACD** : La valeur du MACD (55,46) est inférieure à son signal (114,43), avec un histogramme négatif, confirmant un momentum baissier de court terme. La décision « Vente » est cohérente avec cette divergence négative, bien que le MACD reste en territoire positif, ce qui tempère la portée du signal.</w:t>
      </w:r>
    </w:p>
    <w:p>
      <w:pPr>
        <w:spacing w:after="120" w:line="276" w:lineRule="auto"/>
      </w:pPr>
      <w:r>
        <w:t>**RSI** : À 27,27, le RSI est en zone de survente (&lt;30), ce qui indique que le titre a été excessivement vendu et pourrait connaître un rebond technique. La décision « Achat » est justifiée par cette configuration de survente, souvent précurseur d'un retournement haussier.</w:t>
      </w:r>
    </w:p>
    <w:p>
      <w:pPr>
        <w:spacing w:after="120" w:line="276" w:lineRule="auto"/>
      </w:pPr>
      <w:r>
        <w:t>**Stochastique** : Le %K (0,0) est au plus bas absolu et le %D (10,36) est également très faible, signalant une survente extrême. Le croisement potentiel à venir entre %K et %D pourrait générer un signal d'achat, ce qui justifie la décision « Achat » malgré la faiblesse actuelle.</w:t>
      </w:r>
    </w:p>
    <w:p>
      <w:pPr>
        <w:spacing w:after="120" w:line="276" w:lineRule="auto"/>
      </w:pPr>
      <w:r>
        <w:t>**Conclusion technique** : Les indicateurs sont divergents : les moyennes mobiles et le RSI/Stochastique plaident pour un achat (survente, tendance de fond haussière), tandis que le MACD et les Bandes de Bollinger suggèrent une prudence (momentum baissier, cours sous la MM20). Cette divergence indique une phase de consolidation probable avant une reprise, avec un risque de court terme encore présent.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NEI-CEDA CI affichent un chiffre d'affaires de 5,139 milliards FCFA, un résultat net de 2,037 milliards FCFA (contre une perte de 759 millions en 2024), un ROE exceptionnel de 35,39% et un ROA de 27,25%, témoignant d'une rentabilité des fonds propres et des actifs remarquable. La marge nette s'élève à 39,63%, bien que le taux de croissance du CA soit négatif (-23,80%), ce qui révèle une contraction de l'activité commerciale. En tant qu'entreprise du secteur de l'édition, les délais clients sont élevés (154,72 jours), signalant un risque de trésorerie important, tandis que le BFR de 1,498 milliard FCFA et le fonds de roulement de 5,693 milliards FCFA indiquent une structure financière solide. Le rapport du T3 2025 (daté du 30 septembre 2025) précise que le CA trimestriel a chuté de 35% à 3 406 millions FCFA, mais que le résultat net a bondi de 125% à 1 596 millions FCFA grâce à une reprise de provision pour redressement fiscal — un élément non récurrent qui masque la performance opérationnelle réelle. Le rapport du T1 2026 (daté de 2026) montre une forte croissance du CA (+137% à 115,1 millions FCFA) mais une perte nette persistante de -168,9 millions FCFA, bien qu'en amélioration. On estime, sur la base de ces rapports trimestriels, que l'exercice 2026 pourrait confirmer la reprise commerciale amorcée, mais la rentabilité nette reste dépendante d'éléments exceptionnels et la saisonnalité de l'activité (pic au T3) rend les projections annuelles incertaines. La solidité financière est réelle (autonomie financière de 77%, liquidité générale de 448%), mais la durabilité de la performance et la capacité à générer des flux opérationnels positifs (flux opérationnel de -527 millions FCFA en 2025) constituent des points de vigilance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PER de 15,6x (supérieur à la moyenne BRVM), P/B de 5,52x et EV/EBITDA de 23,3x intègrent déjà une forte anticipation de croissance, laissant peu de marge d'erreur. Le comportement du cours (Partie 1) est haussier sur 100 jours (+57,59%) mais avec une volatilité élevée (56,7%) et un skewness positif indiquant des hausses ponctuelles brutales, ce qui est favorable mais risqué. Les signaux techniques (Partie 2) sont divergents : le RSI et le Stochastique en survente plaident pour un rebond, mais le MACD et les Bandes de Bollinger suggèrent une consolidation, créant une incertitude directionnelle à court terme. Les fondamentaux (Partie 3) sont solides (ROE de 35,39%, ROA de 27,25%, capitaux propres de 5,755 milliards FCFA) mais masqués par des éléments non récurrents et une contraction du CA en 2025, avec une reprise fragile en 2026. Les prédictions IA (J+1 à J+10) anticipent une légère baisse continue de 2 477 à 2 435 FCFA, confirmant la pression baissière de court terme identifiée par le MACD. Sur la base de cette synthèse, la recommandation finale est **CONSERVER** : la convergence entre la valorisation exigeante, les signaux techniques mitigés et les fondamentaux solides mais dépendants d'éléments exceptionnels ne justifie pas un achat agressif, mais la solidité financière et le potentiel de redressement interdisent une vente. Le niveau de confiance est **Moyen** (divergence des indicateurs) et le niveau de risque global est **Élevé** (volatilité de 56,7%, valorisation tendue). L'horizon d'investissement optimal est **moyen terme (3-12 mois)**, en attendant la confirmation de la reprise commerciale et la normalisation des résultats opérationnels.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2,450 titres</w:t>
            </w:r>
          </w:p>
        </w:tc>
        <w:tc>
          <w:tcPr>
            <w:tcW w:type="dxa" w:w="2268"/>
            <w:shd w:fill="FFF2CC" w:val="clear"/>
          </w:tcPr>
          <w:p>
            <w:r>
              <w:rPr>
                <w:b/>
                <w:color w:val="503200"/>
                <w:sz w:val="16"/>
              </w:rPr>
              <w:t xml:space="preserve">Cours actuel : </w:t>
            </w:r>
            <w:r>
              <w:rPr>
                <w:color w:val="000000"/>
                <w:sz w:val="17"/>
              </w:rPr>
              <w:t>24,500 FCFA</w:t>
            </w:r>
          </w:p>
          <w:p>
            <w:r>
              <w:rPr>
                <w:b/>
                <w:color w:val="503200"/>
                <w:sz w:val="16"/>
              </w:rPr>
              <w:t xml:space="preserve">Var. 100 jours : </w:t>
            </w:r>
            <w:r>
              <w:rPr>
                <w:b/>
                <w:color w:val="007800"/>
                <w:sz w:val="17"/>
              </w:rPr>
              <w:t>+76.26%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16.27% (Élevée) — μ=20,431 FCFA, σ=3,323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β=1.2595 (Agressif) — Cov=0.000046, Var(idx)=0.000036, ρ=0.301,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23,798</w:t>
            </w:r>
          </w:p>
        </w:tc>
        <w:tc>
          <w:tcPr>
            <w:tcW w:type="dxa" w:w="1440"/>
            <w:shd w:fill="FAFAFA" w:val="clear"/>
          </w:tcPr>
          <w:p>
            <w:r>
              <w:rPr>
                <w:b/>
                <w:sz w:val="17"/>
              </w:rPr>
              <w:t>24,469</w:t>
            </w:r>
          </w:p>
        </w:tc>
        <w:tc>
          <w:tcPr>
            <w:tcW w:type="dxa" w:w="1440"/>
            <w:shd w:fill="FAFAFA" w:val="clear"/>
          </w:tcPr>
          <w:p>
            <w:r>
              <w:rPr>
                <w:sz w:val="17"/>
              </w:rPr>
              <w:t>25,139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23,504</w:t>
            </w:r>
          </w:p>
        </w:tc>
        <w:tc>
          <w:tcPr>
            <w:tcW w:type="dxa" w:w="1440"/>
            <w:shd w:fill="FAFAFA" w:val="clear"/>
          </w:tcPr>
          <w:p>
            <w:r>
              <w:rPr>
                <w:b/>
                <w:sz w:val="17"/>
              </w:rPr>
              <w:t>24,452</w:t>
            </w:r>
          </w:p>
        </w:tc>
        <w:tc>
          <w:tcPr>
            <w:tcW w:type="dxa" w:w="1440"/>
            <w:shd w:fill="FAFAFA" w:val="clear"/>
          </w:tcPr>
          <w:p>
            <w:r>
              <w:rPr>
                <w:sz w:val="17"/>
              </w:rPr>
              <w:t>25,400</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23,279</w:t>
            </w:r>
          </w:p>
        </w:tc>
        <w:tc>
          <w:tcPr>
            <w:tcW w:type="dxa" w:w="1440"/>
            <w:shd w:fill="FAFAFA" w:val="clear"/>
          </w:tcPr>
          <w:p>
            <w:r>
              <w:rPr>
                <w:b/>
                <w:sz w:val="17"/>
              </w:rPr>
              <w:t>24,439</w:t>
            </w:r>
          </w:p>
        </w:tc>
        <w:tc>
          <w:tcPr>
            <w:tcW w:type="dxa" w:w="1440"/>
            <w:shd w:fill="FAFAFA" w:val="clear"/>
          </w:tcPr>
          <w:p>
            <w:r>
              <w:rPr>
                <w:sz w:val="17"/>
              </w:rPr>
              <w:t>25,599</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23,090</w:t>
            </w:r>
          </w:p>
        </w:tc>
        <w:tc>
          <w:tcPr>
            <w:tcW w:type="dxa" w:w="1440"/>
            <w:shd w:fill="FAFAFA" w:val="clear"/>
          </w:tcPr>
          <w:p>
            <w:r>
              <w:rPr>
                <w:b/>
                <w:sz w:val="17"/>
              </w:rPr>
              <w:t>24,429</w:t>
            </w:r>
          </w:p>
        </w:tc>
        <w:tc>
          <w:tcPr>
            <w:tcW w:type="dxa" w:w="1440"/>
            <w:shd w:fill="FAFAFA" w:val="clear"/>
          </w:tcPr>
          <w:p>
            <w:r>
              <w:rPr>
                <w:sz w:val="17"/>
              </w:rPr>
              <w:t>25,768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22,923</w:t>
            </w:r>
          </w:p>
        </w:tc>
        <w:tc>
          <w:tcPr>
            <w:tcW w:type="dxa" w:w="1440"/>
            <w:shd w:fill="FAFAFA" w:val="clear"/>
          </w:tcPr>
          <w:p>
            <w:r>
              <w:rPr>
                <w:b/>
                <w:sz w:val="17"/>
              </w:rPr>
              <w:t>24,420</w:t>
            </w:r>
          </w:p>
        </w:tc>
        <w:tc>
          <w:tcPr>
            <w:tcW w:type="dxa" w:w="1440"/>
            <w:shd w:fill="FAFAFA" w:val="clear"/>
          </w:tcPr>
          <w:p>
            <w:r>
              <w:rPr>
                <w:sz w:val="17"/>
              </w:rPr>
              <w:t>25,916</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22,773</w:t>
            </w:r>
          </w:p>
        </w:tc>
        <w:tc>
          <w:tcPr>
            <w:tcW w:type="dxa" w:w="1440"/>
            <w:shd w:fill="FAFAFA" w:val="clear"/>
          </w:tcPr>
          <w:p>
            <w:r>
              <w:rPr>
                <w:b/>
                <w:sz w:val="17"/>
              </w:rPr>
              <w:t>24,411</w:t>
            </w:r>
          </w:p>
        </w:tc>
        <w:tc>
          <w:tcPr>
            <w:tcW w:type="dxa" w:w="1440"/>
            <w:shd w:fill="FAFAFA" w:val="clear"/>
          </w:tcPr>
          <w:p>
            <w:r>
              <w:rPr>
                <w:sz w:val="17"/>
              </w:rPr>
              <w:t>26,050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22,634</w:t>
            </w:r>
          </w:p>
        </w:tc>
        <w:tc>
          <w:tcPr>
            <w:tcW w:type="dxa" w:w="1440"/>
            <w:shd w:fill="FAFAFA" w:val="clear"/>
          </w:tcPr>
          <w:p>
            <w:r>
              <w:rPr>
                <w:b/>
                <w:sz w:val="17"/>
              </w:rPr>
              <w:t>24,404</w:t>
            </w:r>
          </w:p>
        </w:tc>
        <w:tc>
          <w:tcPr>
            <w:tcW w:type="dxa" w:w="1440"/>
            <w:shd w:fill="FAFAFA" w:val="clear"/>
          </w:tcPr>
          <w:p>
            <w:r>
              <w:rPr>
                <w:sz w:val="17"/>
              </w:rPr>
              <w:t>26,173</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22,505</w:t>
            </w:r>
          </w:p>
        </w:tc>
        <w:tc>
          <w:tcPr>
            <w:tcW w:type="dxa" w:w="1440"/>
            <w:shd w:fill="FAFAFA" w:val="clear"/>
          </w:tcPr>
          <w:p>
            <w:r>
              <w:rPr>
                <w:b/>
                <w:sz w:val="17"/>
              </w:rPr>
              <w:t>24,396</w:t>
            </w:r>
          </w:p>
        </w:tc>
        <w:tc>
          <w:tcPr>
            <w:tcW w:type="dxa" w:w="1440"/>
            <w:shd w:fill="FAFAFA" w:val="clear"/>
          </w:tcPr>
          <w:p>
            <w:r>
              <w:rPr>
                <w:sz w:val="17"/>
              </w:rPr>
              <w:t>26,287</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22,384</w:t>
            </w:r>
          </w:p>
        </w:tc>
        <w:tc>
          <w:tcPr>
            <w:tcW w:type="dxa" w:w="1440"/>
            <w:shd w:fill="FAFAFA" w:val="clear"/>
          </w:tcPr>
          <w:p>
            <w:r>
              <w:rPr>
                <w:b/>
                <w:sz w:val="17"/>
              </w:rPr>
              <w:t>24,389</w:t>
            </w:r>
          </w:p>
        </w:tc>
        <w:tc>
          <w:tcPr>
            <w:tcW w:type="dxa" w:w="1440"/>
            <w:shd w:fill="FAFAFA" w:val="clear"/>
          </w:tcPr>
          <w:p>
            <w:r>
              <w:rPr>
                <w:sz w:val="17"/>
              </w:rPr>
              <w:t>26,394</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22,269</w:t>
            </w:r>
          </w:p>
        </w:tc>
        <w:tc>
          <w:tcPr>
            <w:tcW w:type="dxa" w:w="1440"/>
            <w:shd w:fill="FAFAFA" w:val="clear"/>
          </w:tcPr>
          <w:p>
            <w:r>
              <w:rPr>
                <w:b/>
                <w:sz w:val="17"/>
              </w:rPr>
              <w:t>24,382</w:t>
            </w:r>
          </w:p>
        </w:tc>
        <w:tc>
          <w:tcPr>
            <w:tcW w:type="dxa" w:w="1440"/>
            <w:shd w:fill="FAFAFA" w:val="clear"/>
          </w:tcPr>
          <w:p>
            <w:r>
              <w:rPr>
                <w:sz w:val="17"/>
              </w:rPr>
              <w:t>26,495</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606,00 Mds FCFA, NSBC s'impose comme l'une des valeurs bancaires les plus significatives de la cote BRVM, reflétant la solidité d'un établissement de premier plan dans la zone UEMOA. Le BPA de 1 646 FCFA/action indique que chaque titre génère près de 1 646 FCFA de bénéfice net, un niveau élevé qui traduit la forte rentabilité de la banque. Le PER de 14,9x situe le titre légèrement au-dessus de la moyenne du marché BRVM (8-12x), ce qui suggère que les investisseurs paient une prime modérée pour la qualité de la croissance, sans pour autant tomber dans une surévaluation excessive. Le P/B de 2,60x confirme cette prime de croissance : le marché valorise NSBC à 2,6 fois sa valeur comptable, un niveau justifié par un ROE de 17,45% nettement supérieur au coût des fonds propres. En revanche, l'EV/EBITDA de 22,2x apparaît très exigeant (seuil d'alerte &gt;15x), signalant que la valeur d'entreprise intègre déjà une grande partie des anticipations de croissance future ; ce ratio élevé invite à la prudence quant au potentiel d'appréciation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**+76,26%**, passant d'un plus bas de 13 810 FCFA à un plus haut de 24 885 FCFA, pour un cours actuel de 24 500 FCFA (variation J-1 quasi nulle à -0,02%, signe d'une stabilisation après le rallye). Le range de trading de 11 075 FCFA témoigne d'une tendance nettement haussière, portée par des fondamentaux solides et un intérêt croissant des investisseurs pour le secteur bancaire ivoirien. Les statistiques descriptives révèlent une distribution asymétrique : la moyenne (20 431 FCFA) est inférieure à la médiane (21 130 FCFA), confirmant un skewness négatif de -0,683 — interprété comme « plus de journées au-dessus de la moyenne » — ce qui signifie que le cours a passé davantage de temps dans les niveaux élevés de sa fourchette, une configuration typique d'un titre en fin de tendance haussière mature. L'écart-type de 3 340 FCFA (CV=16,3%) indique une dispersion modérée du cours autour de sa moyenne, tandis que le kurtosis de -0,637 (mésokurtique) suggère une distribution proche de la normale, sans risque excessif de pics extrêmes. La volatilité annualisée de 39,6% classe le titre dans la catégorie **élevée** (&gt;30%), ce qui est cohérent avec un rallye de +76% mais implique un risque de correction significatif si le momentum s'essouffle.</w:t>
      </w:r>
    </w:p>
    <w:p>
      <w:pPr>
        <w:spacing w:after="120" w:line="276" w:lineRule="auto"/>
      </w:pPr>
      <w:r>
        <w:t>---</w:t>
      </w:r>
    </w:p>
    <w:p>
      <w:pPr>
        <w:spacing w:after="120" w:line="276" w:lineRule="auto"/>
      </w:pPr>
      <w:r>
        <w:t>## PARTIE 2 : ANALYSE TECHNIQUE DÉTAILLÉE</w:t>
      </w:r>
    </w:p>
    <w:p>
      <w:pPr>
        <w:spacing w:after="120" w:line="276" w:lineRule="auto"/>
      </w:pPr>
      <w:r>
        <w:t>**Moyennes Mobiles** : La MM20 (23 647 FCFA) et la MM50 (23 218 FCFA) se situent toutes deux sous le cours actuel (24 500 FCFA), confirmant une configuration haussière de court et moyen terme. L'écart positif entre le cours et ces moyennes, ainsi que la MM20 au-dessus de la MM50, valide la décision d'**Achat** signalée par le système.</w:t>
      </w:r>
    </w:p>
    <w:p>
      <w:pPr>
        <w:spacing w:after="120" w:line="276" w:lineRule="auto"/>
      </w:pPr>
      <w:r>
        <w:t>**Bandes de Bollinger** : Le cours (24 500 FCFA) évolue dans la partie supérieure de la bande, entre la borne inférieure (21 954 FCFA) et la borne supérieure (25 340 FCFA), sans franchir cette dernière. Cette position proche de la borne haute, sans breakout, justifie la décision **Neutre** : le titre est en zone de résistance, avec un potentiel de consolidation avant une nouvelle impulsion.</w:t>
      </w:r>
    </w:p>
    <w:p>
      <w:pPr>
        <w:spacing w:after="120" w:line="276" w:lineRule="auto"/>
      </w:pPr>
      <w:r>
        <w:t>**MACD** : Le MACD (457,19) est supérieur à son signal (402,98), avec un histogramme positif qui traduit un momentum haussier toujours actif. Cette divergence positive confirme la décision d'**Achat**, bien que l'ampleur de l'écart suggère un essoufflement progressif du mouvement.</w:t>
      </w:r>
    </w:p>
    <w:p>
      <w:pPr>
        <w:spacing w:after="120" w:line="276" w:lineRule="auto"/>
      </w:pPr>
      <w:r>
        <w:t>**RSI** : À 69,934, le RSI frôle le seuil de surachat (70) sans le franchir, ce qui place l'indicateur en zone **Neutre** haute. Cette configuration indique que le titre conserve de la vigueur mais approche d'une zone où les prises de bénéfices pourraient s'intensifier.</w:t>
      </w:r>
    </w:p>
    <w:p>
      <w:pPr>
        <w:spacing w:after="120" w:line="276" w:lineRule="auto"/>
      </w:pPr>
      <w:r>
        <w:t>**Stochastique** : Avec %K à 80,052 et %D à 81,407, les deux lignes évoluent en zone de surachat (&gt;80), et %K est légèrement sous %D, signalant un possible croisement baissier imminent. Cette configuration justifie la décision de **Vente** à court terme, en anticipation d'un repli technique.</w:t>
      </w:r>
    </w:p>
    <w:p>
      <w:pPr>
        <w:spacing w:after="120" w:line="276" w:lineRule="auto"/>
      </w:pPr>
      <w:r>
        <w:t>**Conclusion technique** : Les indicateurs présentent une divergence notable : les moyennes mobiles et le MACD confirment la tendance haussière de fond, tandis que le RSI (proche de 70) et le stochastique (en surachat) alertent sur un risque de correction à court terme. Le titre se trouve dans une zone de résistance (borne supérieure de Bollinger à 25 340 FCFA) qui pourrait déclencher une consolidation. La convergence des signaux suggère un **momentum haussier mature**, nécessitant une gestion prudente des positions.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Côte d'Ivoire affiche un Produit Net Bancaire (PNB, équivalent du chiffre d'affaires pour une banque) de **112,928 Mds FCFA**, en croissance de **+15,45%** par rapport à 2024 (97,8 Mds FCFA selon les états financiers certifiés 2024). Le résultat net s'établit à **40,712 Mds FCFA**, soit une marge nette de **36,05%** — un niveau exceptionnel qui témoigne d'une excellente transformation du PNB en profit. Le ROE atteint **17,45%** (&gt;15% = excellent) et le ROA **1,32%**, confirmant la rentabilité élevée des fonds propres et des actifs. Le coefficient d'exploitation de **54,59%** (&lt;60%) atteste d'une banque efficace, en amélioration de 5,1 points sur un an. Le coût du risque, à **7,54%** des charges financières, reste un point de vigilance : il est passé d'un produit de +0,6 Md FCFA en 2024 à une charge de -8,5 Mds FCFA en 2025, signalant une dégradation de la qualité du portefeuille ou un provisionnement plus prudent. La structure financière montre une autonomie financière de **7,59%** (capitaux propres/total bilan), typique du modèle bancaire, avec un ratio de solvabilité générale de 108,22% (&gt;1 = solvable) et une couverture des intérêts de 82,25%.</w:t>
      </w:r>
    </w:p>
    <w:p>
      <w:pPr>
        <w:spacing w:after="120" w:line="276" w:lineRule="auto"/>
      </w:pPr>
      <w:r>
        <w:t>**Estimations basées sur les rapports trimestriels** : Le rapport du **T1 2026 (publié le 31/03/2026)** révèle un PNB de 28,615 Mds FCFA (+28% sur un an) et un résultat net de **10,912 Mds FCFA (+53%)**, avec une marge nette de 38,1% en amélioration de 6 points. Cette dynamique, portée par l'activité titres et la maîtrise du coût du risque, permet d'**estimer** que l'exercice 2026 devrait enregistrer une nouvelle année de croissance à deux chiffres, avec un résultat net potentiellement supérieur à 45 Mds FCFA si la tendance se maintient. Le rapport **T3 2025 (30/09/2025)** confirmait déjà cette trajectoire avec un PNB de 77,4 Mds FCFA (+7%) et un résultat net de 25,0 Mds FCFA (+6%), tandis que le **S1 2025 (30/06/2025)** affichait un PNB de 50,5 Mds FCFA (+10,6%) et un résultat net de 16,3 Mds FCFA (+12,3%). L'évolution trimestrielle montre une **accélération progressive** de la croissance, avec un T1 2026 nettement supérieur aux trimestres précédents.</w:t>
      </w:r>
    </w:p>
    <w:p>
      <w:pPr>
        <w:spacing w:after="120" w:line="276" w:lineRule="auto"/>
      </w:pPr>
      <w:r>
        <w:t>**Recommandation fondamentale** : NSBC présente des fondamentaux solides (ROE &gt;17%, marge nette &gt;36%, coefficient d'exploitation &lt;55%) et une dynamique commerciale robuste, portée par la collecte de dépôts (+32% en 2025) et l'activité titres. Les principaux risques identifiés sont la dégradation du coût du risque (provisions en forte hausse) et la concentration de la performance sur l'activité titres, potentiellement volatile. La recommandation fondamentale est **CONSERVER**, avec un biais positif à moyen terme, en attendant la confirmation de la maîtrise du risque de crédit et la publication du dividende 2025 (non communiqué à ce jour).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 PER de 14,9x et le P/B de 2,60x indiquent une légère surévaluation relative par rapport à la moyenne du marché BRVM, tandis que l'EV/EBITDA de 22,2x apparaît très exigeant, suggérant que le potentiel d'appréciation à court terme est limité. Le **comportement du cours (Partie 1)** est nettement haussier (+76,26% sur 100 jours), mais les statistiques (skewness négatif, RSI proche de 70, volatilité élevée de 39,6%) signalent un essoufflement possible et un risque de correction. Les **signaux techniques (Partie 2)** sont divergents : les moyennes mobiles et le MACD confirment la tendance haussière, mais le stochastique (en surachat) et le RSI (proche de 70) alertent sur un repli imminent, ce qui justifie une décision **Neutre** à court terme. Les **fondamentaux (Partie 3)** restent solides (ROE 17,45%, marge nette 36%, PNB +15,45% en 2025), avec une accélération au T1 2026 (+53% de résultat net), mais le coût du risque en dégradation constitue un point de vigilance. Les **prédictions IA (J+1 à J+10)** anticipent une légère baisse du cours (24 469 FCFA à 24 420 FCFA), confirmant la thèse d'une consolidation après le rallye.</w:t>
      </w:r>
    </w:p>
    <w:p>
      <w:pPr>
        <w:spacing w:after="120" w:line="276" w:lineRule="auto"/>
      </w:pPr>
      <w:r>
        <w:t>**Recommandation finale : CONSERVER**. La convergence entre une valorisation exigeante, des signaux techniques de surachat et des prédictions baissières à court terme plaide contre un achat immédiat, tandis que la solidité des fondamentaux et la croissance du T1 2026 justifient de ne pas vendre. Le niveau de confiance est **Moyen**, car si les fondamentaux sont robustes, l'incertitude sur le coût du risque et la volatilité du titre limitent la visibilité. Le risque global est **Moyen à Élevé** (volatilité de 39,6%, EV/EBITDA élevé). L'horizon d'investissement optimal est le **moyen terme (3-12 mois)**, en attendant une correction technique offrant un point d'entrée plus favorable, ou la confirmation d'une maîtrise durable du coût du risque pour 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353.13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1,216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007800"/>
                <w:sz w:val="17"/>
              </w:rPr>
              <w:t>+29.29%</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12.65% (Moyenne) — μ=15,143 FCFA, σ=1,916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β=0.1408 (Défensif) — Cov=0.000005, Var(idx)=0.000036, ρ=0.035,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15,748</w:t>
            </w:r>
          </w:p>
        </w:tc>
        <w:tc>
          <w:tcPr>
            <w:tcW w:type="dxa" w:w="1440"/>
            <w:shd w:fill="C6EFCE" w:val="clear"/>
          </w:tcPr>
          <w:p>
            <w:r>
              <w:rPr>
                <w:b/>
                <w:sz w:val="17"/>
              </w:rPr>
              <w:t>16,452</w:t>
            </w:r>
          </w:p>
        </w:tc>
        <w:tc>
          <w:tcPr>
            <w:tcW w:type="dxa" w:w="1440"/>
            <w:shd w:fill="C6EFCE" w:val="clear"/>
          </w:tcPr>
          <w:p>
            <w:r>
              <w:rPr>
                <w:sz w:val="17"/>
              </w:rPr>
              <w:t>17,155</w:t>
            </w:r>
          </w:p>
        </w:tc>
        <w:tc>
          <w:tcPr>
            <w:tcW w:type="dxa" w:w="1440"/>
            <w:shd w:fill="C6EFCE" w:val="clear"/>
          </w:tcPr>
          <w:p>
            <w:r>
              <w:rPr>
                <w:b/>
                <w:color w:val="008000"/>
                <w:sz w:val="17"/>
              </w:rPr>
              <w:t>+2.8%</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15,418</w:t>
            </w:r>
          </w:p>
        </w:tc>
        <w:tc>
          <w:tcPr>
            <w:tcW w:type="dxa" w:w="1440"/>
            <w:shd w:fill="C6EFCE" w:val="clear"/>
          </w:tcPr>
          <w:p>
            <w:r>
              <w:rPr>
                <w:b/>
                <w:sz w:val="17"/>
              </w:rPr>
              <w:t>16,410</w:t>
            </w:r>
          </w:p>
        </w:tc>
        <w:tc>
          <w:tcPr>
            <w:tcW w:type="dxa" w:w="1440"/>
            <w:shd w:fill="C6EFCE" w:val="clear"/>
          </w:tcPr>
          <w:p>
            <w:r>
              <w:rPr>
                <w:sz w:val="17"/>
              </w:rPr>
              <w:t>17,402</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15,192</w:t>
            </w:r>
          </w:p>
        </w:tc>
        <w:tc>
          <w:tcPr>
            <w:tcW w:type="dxa" w:w="1440"/>
            <w:shd w:fill="C6EFCE" w:val="clear"/>
          </w:tcPr>
          <w:p>
            <w:r>
              <w:rPr>
                <w:b/>
                <w:sz w:val="17"/>
              </w:rPr>
              <w:t>16,407</w:t>
            </w:r>
          </w:p>
        </w:tc>
        <w:tc>
          <w:tcPr>
            <w:tcW w:type="dxa" w:w="1440"/>
            <w:shd w:fill="C6EFCE" w:val="clear"/>
          </w:tcPr>
          <w:p>
            <w:r>
              <w:rPr>
                <w:sz w:val="17"/>
              </w:rPr>
              <w:t>17,622</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15,009</w:t>
            </w:r>
          </w:p>
        </w:tc>
        <w:tc>
          <w:tcPr>
            <w:tcW w:type="dxa" w:w="1440"/>
            <w:shd w:fill="C6EFCE" w:val="clear"/>
          </w:tcPr>
          <w:p>
            <w:r>
              <w:rPr>
                <w:b/>
                <w:sz w:val="17"/>
              </w:rPr>
              <w:t>16,412</w:t>
            </w:r>
          </w:p>
        </w:tc>
        <w:tc>
          <w:tcPr>
            <w:tcW w:type="dxa" w:w="1440"/>
            <w:shd w:fill="C6EFCE" w:val="clear"/>
          </w:tcPr>
          <w:p>
            <w:r>
              <w:rPr>
                <w:sz w:val="17"/>
              </w:rPr>
              <w:t>17,816</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14,848</w:t>
            </w:r>
          </w:p>
        </w:tc>
        <w:tc>
          <w:tcPr>
            <w:tcW w:type="dxa" w:w="1440"/>
            <w:shd w:fill="C6EFCE" w:val="clear"/>
          </w:tcPr>
          <w:p>
            <w:r>
              <w:rPr>
                <w:b/>
                <w:sz w:val="17"/>
              </w:rPr>
              <w:t>16,418</w:t>
            </w:r>
          </w:p>
        </w:tc>
        <w:tc>
          <w:tcPr>
            <w:tcW w:type="dxa" w:w="1440"/>
            <w:shd w:fill="C6EFCE" w:val="clear"/>
          </w:tcPr>
          <w:p>
            <w:r>
              <w:rPr>
                <w:sz w:val="17"/>
              </w:rPr>
              <w:t>17,988</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14,702</w:t>
            </w:r>
          </w:p>
        </w:tc>
        <w:tc>
          <w:tcPr>
            <w:tcW w:type="dxa" w:w="1440"/>
            <w:shd w:fill="C6EFCE" w:val="clear"/>
          </w:tcPr>
          <w:p>
            <w:r>
              <w:rPr>
                <w:b/>
                <w:sz w:val="17"/>
              </w:rPr>
              <w:t>16,422</w:t>
            </w:r>
          </w:p>
        </w:tc>
        <w:tc>
          <w:tcPr>
            <w:tcW w:type="dxa" w:w="1440"/>
            <w:shd w:fill="C6EFCE" w:val="clear"/>
          </w:tcPr>
          <w:p>
            <w:r>
              <w:rPr>
                <w:sz w:val="17"/>
              </w:rPr>
              <w:t>18,143</w:t>
            </w:r>
          </w:p>
        </w:tc>
        <w:tc>
          <w:tcPr>
            <w:tcW w:type="dxa" w:w="1440"/>
            <w:shd w:fill="C6EFCE" w:val="clear"/>
          </w:tcPr>
          <w:p>
            <w:r>
              <w:rPr>
                <w:b/>
                <w:color w:val="008000"/>
                <w:sz w:val="17"/>
              </w:rPr>
              <w:t>+2.6%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14,567</w:t>
            </w:r>
          </w:p>
        </w:tc>
        <w:tc>
          <w:tcPr>
            <w:tcW w:type="dxa" w:w="1440"/>
            <w:shd w:fill="C6EFCE" w:val="clear"/>
          </w:tcPr>
          <w:p>
            <w:r>
              <w:rPr>
                <w:b/>
                <w:sz w:val="17"/>
              </w:rPr>
              <w:t>16,425</w:t>
            </w:r>
          </w:p>
        </w:tc>
        <w:tc>
          <w:tcPr>
            <w:tcW w:type="dxa" w:w="1440"/>
            <w:shd w:fill="C6EFCE" w:val="clear"/>
          </w:tcPr>
          <w:p>
            <w:r>
              <w:rPr>
                <w:sz w:val="17"/>
              </w:rPr>
              <w:t>18,284</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14,441</w:t>
            </w:r>
          </w:p>
        </w:tc>
        <w:tc>
          <w:tcPr>
            <w:tcW w:type="dxa" w:w="1440"/>
            <w:shd w:fill="C6EFCE" w:val="clear"/>
          </w:tcPr>
          <w:p>
            <w:r>
              <w:rPr>
                <w:b/>
                <w:sz w:val="17"/>
              </w:rPr>
              <w:t>16,428</w:t>
            </w:r>
          </w:p>
        </w:tc>
        <w:tc>
          <w:tcPr>
            <w:tcW w:type="dxa" w:w="1440"/>
            <w:shd w:fill="C6EFCE" w:val="clear"/>
          </w:tcPr>
          <w:p>
            <w:r>
              <w:rPr>
                <w:sz w:val="17"/>
              </w:rPr>
              <w:t>18,415</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14,322</w:t>
            </w:r>
          </w:p>
        </w:tc>
        <w:tc>
          <w:tcPr>
            <w:tcW w:type="dxa" w:w="1440"/>
            <w:shd w:fill="C6EFCE" w:val="clear"/>
          </w:tcPr>
          <w:p>
            <w:r>
              <w:rPr>
                <w:b/>
                <w:sz w:val="17"/>
              </w:rPr>
              <w:t>16,430</w:t>
            </w:r>
          </w:p>
        </w:tc>
        <w:tc>
          <w:tcPr>
            <w:tcW w:type="dxa" w:w="1440"/>
            <w:shd w:fill="C6EFCE" w:val="clear"/>
          </w:tcPr>
          <w:p>
            <w:r>
              <w:rPr>
                <w:sz w:val="17"/>
              </w:rPr>
              <w:t>18,537</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14,210</w:t>
            </w:r>
          </w:p>
        </w:tc>
        <w:tc>
          <w:tcPr>
            <w:tcW w:type="dxa" w:w="1440"/>
            <w:shd w:fill="C6EFCE" w:val="clear"/>
          </w:tcPr>
          <w:p>
            <w:r>
              <w:rPr>
                <w:b/>
                <w:sz w:val="17"/>
              </w:rPr>
              <w:t>16,432</w:t>
            </w:r>
          </w:p>
        </w:tc>
        <w:tc>
          <w:tcPr>
            <w:tcW w:type="dxa" w:w="1440"/>
            <w:shd w:fill="C6EFCE" w:val="clear"/>
          </w:tcPr>
          <w:p>
            <w:r>
              <w:rPr>
                <w:sz w:val="17"/>
              </w:rPr>
              <w:t>18,653</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353,13 milliards FCFA, Nestlé Côte d'Ivoire s'impose comme l'une des valeurs les plus capitalisées de la BRVM, ce qui en fait un pilier de l'indice BRVM Composite et un titre de référence pour les investisseurs institutionnels. Le BPA de 835 FCFA/action signifie que chaque titre génère près de 835 FCFA de bénéfice net, un niveau de rentabilité par action solide qui traduit la robustesse du modèle. Le PER de 19,2x situe le titre nettement au-dessus de la moyenne du marché BRVM (8-12x), signalant que les investisseurs acceptent de payer une prime significative pour la qualité de la signature Nestlé, sa stabilité et sa politique de distribution historique. Le P/B de 11,93x, très supérieur au seuil de 4x, révèle une valorisation exigeante : le marché valorise l'entreprise à près de 12 fois sa valeur comptable, ce qui s'explique par la faiblesse relative des capitaux propres (29,6 Mds FCFA) face à la capitalisation, mais expose le titre à un risque de correction si la rentabilité venait à fléchir. Enfin, l'EV/EBITDA de 9,5x, dans la fourchette raisonnable de 5-10x, indique que la valeur totale de l'entreprise (dette incluse) reste cohérente avec sa capacité opérationnelle à générer de l'EBITDA (46,2 Mds FCFA en 2025), offrant un contrepoids rassurant à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affiche une performance remarquable de +29,29%, portée par une dynamique haussière soutenue, bien que la dernière séance (J-1) marque une correction de -2,17%, signe d'une prise de bénéfices après le rallye. Le cours actuel de 16 000 FCFA se situe à mi-chemin entre le plus bas de 11 150 FCFA et le plus haut de 18 000 FCFA, ce qui traduit un range de trading très large de près de 6 850 FCFA (soit 61% d'amplitude), confirmant la forte volatilité du titre. La tendance générale reste haussière sur la période, mais la récente consolidation suggère un essoufflement du momentum acheteur. Les statistiques descriptives révèlent une moyenne de 15 143 FCFA légèrement inférieure à la médiane de 15 995 FCFA, avec un mode à 16 900 FCFA : cet écart indique une distribution asymétrique où les journées de forte hausse tirent la médiane vers le haut, tandis que la moyenne est plombée par quelques séances de baisse marquée. L'écart-type de 1 925 FCFA et le coefficient de variation de 12,7% traduisent une dispersion modérée du cours autour de sa moyenne, tandis que le kurtosis de -0,981 (mésokurtique) indique une distribution proche de la normale, sans pics extrêmes fréquents — un profil rassurant pour la gestion du risque. Le skewness de -0,702 (asymétrie négative) confirme que le titre a passé plus de journées au-dessus de sa moyenne, mais que les baisses, lorsqu'elles surviennent, sont plus amples que les hausses. Enfin, la volatilité annualisée de 38,6% classe NTLC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(16 711,5 FCFA) et la MM50 (16 628,4 FCFA) se situent toutes deux au-dessus du cours actuel (16 000 FCFA), ce qui place le titre en position baissière à court terme par rapport à ses références mobiles. Cependant, la MM20 étant légèrement supérieure à la MM50, la configuration reste haussière sur le moyen terme (croisement doré), et la décision fournie est "Achat" — le repli actuel pourrait constituer un point d'entrée intéressant si le cours rebondit vers ces moyennes.</w:t>
      </w:r>
    </w:p>
    <w:p>
      <w:pPr>
        <w:spacing w:after="120" w:line="276" w:lineRule="auto"/>
      </w:pPr>
      <w:r>
        <w:t>**Bandes de Bollinger** : Le cours (16 000 FCFA) évolue dans la partie basse de la bande de Bollinger, entre la borne inférieure (15 822,7 FCFA) et la borne supérieure (17 600,3 FCFA), sans les toucher. Cette position médiane-basse, combinée à une décision "Neutre", suggère une absence de signal directionnel fort : le marché est en phase de consolidation, et une cassure de la borne inférieure (15 822 FCFA) serait un signal baissier, tandis qu'un retour vers 17 600 FCFA confirmerait la reprise haussière.</w:t>
      </w:r>
    </w:p>
    <w:p>
      <w:pPr>
        <w:spacing w:after="120" w:line="276" w:lineRule="auto"/>
      </w:pPr>
      <w:r>
        <w:t>**MACD** : La valeur du MACD (-81,859) est nettement inférieure à son signal (23,211), ce qui génère une divergence baissière marquée et justifie la décision "Vente". Le momentum est clairement négatif à court terme, et le croisement MACD sous sa ligne de signal, intervenu récemment, indique que la pression vendeuse l'emporte sur la dynamique acheteuse — un signal de prudence qui contredit la décision des moyennes mobiles.</w:t>
      </w:r>
    </w:p>
    <w:p>
      <w:pPr>
        <w:spacing w:after="120" w:line="276" w:lineRule="auto"/>
      </w:pPr>
      <w:r>
        <w:t>**RSI** : À 42,618, le RSI se situe dans la zone neutre (30-70), sans atteindre la zone de survente (&lt;30) ni de surachat (&gt;70). La décision "Neutre" reflète un équilibre relatif entre acheteurs et vendeurs, mais la tendance du RSI à se rapprocher de la zone basse suggère une perte de momentum haussier, sans pour autant signaler un retournement imminent.</w:t>
      </w:r>
    </w:p>
    <w:p>
      <w:pPr>
        <w:spacing w:after="120" w:line="276" w:lineRule="auto"/>
      </w:pPr>
      <w:r>
        <w:t>**Stochastique** : Le %K à 0,0 et le %D à 10,807 indiquent que le cours se situe au plus bas de sa fourchette récente, avec un %K en zone de survente extrême. La décision "Achat" s'explique par le fait qu'un %K à 0 est historiquement un signal de rebond potentiel, mais l'absence de croisement haussier confirmé avec le %D (qui reste à 10,8) invite à la prudence : le signal est précoce et pourrait être un faux départ.</w:t>
      </w:r>
    </w:p>
    <w:p>
      <w:pPr>
        <w:spacing w:after="120" w:line="276" w:lineRule="auto"/>
      </w:pPr>
      <w:r>
        <w:t>**Conclusion technique** : Les indicateurs techniques sont divergents. Les moyennes mobiles et le stochastique plaident pour un achat (repli sur support et survente), tandis que le MACD et la position du cours sous les MM20/MM50 suggèrent une poursuite de la correction. Le RSI neutre et les Bandes de Bollinger sans signal fort confirment une phase d'incertitude. Dans ce contexte, la prudence est de mise : un rebond technique est possible, mais la confirmation d'un retournement haussier nécessiterait une cassure au-dessus de 16 700 FCFA (MM20) avec un MACD qui se redresse.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brossent le portrait d'une entreprise solide mais confrontée à des pressions sur ses marges. En 2025, Nestlé Côte d'Ivoire a réalisé un chiffre d'affaires de 233,261 milliards FCFA, en croissance de 5,97% par rapport à 2024 (220,113 Mds FCFA), portée par la dynamique des ventes de produits fabriqués (+6,3%) et de marchandises (+4%). Le résultat net s'établit à 18,427 milliards FCFA, en légère hausse de 1,53%, mais la marge nette recule à 7,90% (contre 8,25% en 2024), signe que la croissance du CA ne se répercute pas intégralement en bas de bilan. Le ROE de 62,28% reste exceptionnel (&gt;15% = excellent), mais il est mécaniquement gonflé par la faiblesse des capitaux propres (29,588 Mds FCFA) et un endettement élevé (dettes totales de 160,371 Mds FCFA, ratio d'endettement de 135,85%). Le ROA de 9,70% est correct mais reflète la lourdeur du bilan (total actif de 189,959 Mds FCFA). En tant qu'entreprise non bancaire, les délais d'exploitation sont critiques : le délai clients de 74,30 jours est élevé et constitue un risque de trésorerie, tandis que la durée de stockage de 59,39 jours immobilise du capital. Le BFR de 22,625 Mds FCFA et le fonds de roulement négatif (-24,206 Mds FCFA) traduisent une trésorerie nette négative de -46,831 Mds FCFA, ce qui explique le recours massif à l'endettement court terme (trésorerie passive en hausse à 56,1 Mds FCFA selon le rapport annuel 2025). La liquidité générale de 79,86% (&lt;1) est insuffisante pour couvrir le passif circulant, et l'autonomie financière de 15,58% est bien en deçà du seuil sain de 30%. Les rapports trimestriels confirment cette tendance : le T1 2025 (rapport du 31/03/2025) avait vu le CA reculer de -11% à 54,08 Mds FCFA, mais avec une marge nette en hausse à 10,1% ; le S1 2025 (rapport du 30/06/2025) affichait un CA stable à 116,44 Mds FCFA et un résultat net en baisse de -23,5% à 9,46 Mds FCFA ; le T3 2025 (rapport du 30/09/2025) montrait un CA cumulé de 173,41 Mds FCFA (+1,36%) et un résultat net de 11,94 Mds FCFA (-21,3%). L'année 2025 s'est donc terminée sur un rebond au T4, permettant de limiter la baisse du résultat net annuel à -1,5% seulement. Plus récemment, le rapport T1 2026 (publié en 2026) révèle une accélération spectaculaire : CA de 70,82 Mds FCFA (+31%) et résultat net de 7,53 Mds FCFA (+37%), avec une marge nette en amélioration à 10,6%. Sur la base de ce T1 2026, on peut estimer que l'exercice 2026 devrait afficher une croissance du CA de l'ordre de 15-20% (si la dynamique se maintient) et un résultat net en hausse de 20-25%, porté par l'amélioration des marges et la maîtrise des coûts. La politique de dividende a toutefois changé : le dividende brut total proposé pour 2025 est de 9,27 Mds FCFA (payout de 50,3%), contre 18,10 Mds FCFA en 2024 (payout de 99,7%), signalant une stratégie de réinvestissement massif (report à nouveau de 9,22 Mds FCFA) pour financer la croissance. En conclusion, Nestlé CI reste fondamentalement solide (ROE élevé, croissance du CA, marque forte), mais les risques sont réels : endettement élevé, trésorerie nette négative, délais clients longs, et dépendance aux matières premières. La recommandation fondamentale est de **CONSERVER** le titre, avec un biais positif si la dynamique du T1 2026 se confirme sur les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**Valorisation (Partie 0)** : le PER de 19,2x et le P/B de 11,93x indiquent une surévaluation relative par rapport au marché BRVM, mais l'EV/EBITDA de 9,5x reste raisonnable, suggérant que la prime de qualité est justifiée par la solidité de la signature. **Comportement du cours (Partie 1)** : la tendance haussière de +29,29% sur 100 jours est impressionnante, mais la volatilité élevée (38,6%) et le skewness négatif (-0,702) avertissent que les corrections peuvent être brutales ; la récente baisse de -2,17% en J-1 s'inscrit dans cette logique. **Signaux techniques (Partie 2)** : la divergence entre les moyennes mobiles (achat) et le MACD (vente) crée une incertitude, tandis que le RSI neutre et le stochastique en survente extrême suggèrent qu'un rebond technique est possible à court terme, mais sans confirmation forte. **Fondamentaux (Partie 3)** : l'exercice 2025 a été marqué par une croissance modérée du CA (+5,97%) et une stagnation du résultat net (+1,53%), mais le T1 2026 (+31% de CA, +37% de résultat net) ouvre des perspectives très favorables ; cependant, l'endettement élevé et la trésorerie nette négative restent des points de vigilance. **Prédictions IA (J+1 à J+10)** : la trajectoire prévue (16 452 FCFA le 21/09, puis stabilisation autour de 16 410-16 418 FCFA) suggère une légère reprise à court terme (+2,8% par rapport au cours actuel de 16 000 FCFA), ce qui confirme le potentiel de rebond technique identifié par le stochastique, mais sans emballement majeur. Sur la base de cette synthèse, la convergence entre les fondamentaux solides (T1 2026 exceptionnel), la valorisation exigeante mais justifiée, et les signaux techniques mitigés plaide pour une recommandation de **CONSERVER** avec un biais acheteur pour les investisseurs déjà positionnés. Le niveau de confiance est **Moyen** (les fondamentaux sont bons mais la technique est incertaine), le risque global est **Moyen** (volatilité élevée et endettement important), et l'horizon d'investissement optimal est le **moyen terme (3-12 mois)**, le temps que la dynamique du T1 2026 se confirme et que les marges se redressent durablement. Une recommandation **ACHAT** serait justifiée en cas de correction du cours vers 15 000-15 500 FCFA (zone de support), offrant un meilleur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5,227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+7.01%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2.92% (Faible) — μ=2,833 FCFA, σ=83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β=0.4150 (Défensif) — Cov=0.000015, Var(idx)=0.000036, ρ=0.129,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2,804</w:t>
            </w:r>
          </w:p>
        </w:tc>
        <w:tc>
          <w:tcPr>
            <w:tcW w:type="dxa" w:w="1440"/>
            <w:shd w:fill="FAFAFA" w:val="clear"/>
          </w:tcPr>
          <w:p>
            <w:r>
              <w:rPr>
                <w:b/>
                <w:sz w:val="17"/>
              </w:rPr>
              <w:t>2,877</w:t>
            </w:r>
          </w:p>
        </w:tc>
        <w:tc>
          <w:tcPr>
            <w:tcW w:type="dxa" w:w="1440"/>
            <w:shd w:fill="FAFAFA" w:val="clear"/>
          </w:tcPr>
          <w:p>
            <w:r>
              <w:rPr>
                <w:sz w:val="17"/>
              </w:rPr>
              <w:t>2,951</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2,770</w:t>
            </w:r>
          </w:p>
        </w:tc>
        <w:tc>
          <w:tcPr>
            <w:tcW w:type="dxa" w:w="1440"/>
            <w:shd w:fill="FAFAFA" w:val="clear"/>
          </w:tcPr>
          <w:p>
            <w:r>
              <w:rPr>
                <w:b/>
                <w:sz w:val="17"/>
              </w:rPr>
              <w:t>2,873</w:t>
            </w:r>
          </w:p>
        </w:tc>
        <w:tc>
          <w:tcPr>
            <w:tcW w:type="dxa" w:w="1440"/>
            <w:shd w:fill="FAFAFA" w:val="clear"/>
          </w:tcPr>
          <w:p>
            <w:r>
              <w:rPr>
                <w:sz w:val="17"/>
              </w:rPr>
              <w:t>2,977</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2,741</w:t>
            </w:r>
          </w:p>
        </w:tc>
        <w:tc>
          <w:tcPr>
            <w:tcW w:type="dxa" w:w="1440"/>
            <w:shd w:fill="FAFAFA" w:val="clear"/>
          </w:tcPr>
          <w:p>
            <w:r>
              <w:rPr>
                <w:b/>
                <w:sz w:val="17"/>
              </w:rPr>
              <w:t>2,867</w:t>
            </w:r>
          </w:p>
        </w:tc>
        <w:tc>
          <w:tcPr>
            <w:tcW w:type="dxa" w:w="1440"/>
            <w:shd w:fill="FAFAFA" w:val="clear"/>
          </w:tcPr>
          <w:p>
            <w:r>
              <w:rPr>
                <w:sz w:val="17"/>
              </w:rPr>
              <w:t>2,993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2,715</w:t>
            </w:r>
          </w:p>
        </w:tc>
        <w:tc>
          <w:tcPr>
            <w:tcW w:type="dxa" w:w="1440"/>
            <w:shd w:fill="FAFAFA" w:val="clear"/>
          </w:tcPr>
          <w:p>
            <w:r>
              <w:rPr>
                <w:b/>
                <w:sz w:val="17"/>
              </w:rPr>
              <w:t>2,860</w:t>
            </w:r>
          </w:p>
        </w:tc>
        <w:tc>
          <w:tcPr>
            <w:tcW w:type="dxa" w:w="1440"/>
            <w:shd w:fill="FAFAFA" w:val="clear"/>
          </w:tcPr>
          <w:p>
            <w:r>
              <w:rPr>
                <w:sz w:val="17"/>
              </w:rPr>
              <w:t>3,006</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2,691</w:t>
            </w:r>
          </w:p>
        </w:tc>
        <w:tc>
          <w:tcPr>
            <w:tcW w:type="dxa" w:w="1440"/>
            <w:shd w:fill="FAFAFA" w:val="clear"/>
          </w:tcPr>
          <w:p>
            <w:r>
              <w:rPr>
                <w:b/>
                <w:sz w:val="17"/>
              </w:rPr>
              <w:t>2,854</w:t>
            </w:r>
          </w:p>
        </w:tc>
        <w:tc>
          <w:tcPr>
            <w:tcW w:type="dxa" w:w="1440"/>
            <w:shd w:fill="FAFAFA" w:val="clear"/>
          </w:tcPr>
          <w:p>
            <w:r>
              <w:rPr>
                <w:sz w:val="17"/>
              </w:rPr>
              <w:t>3,016</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2,670</w:t>
            </w:r>
          </w:p>
        </w:tc>
        <w:tc>
          <w:tcPr>
            <w:tcW w:type="dxa" w:w="1440"/>
            <w:shd w:fill="FAFAFA" w:val="clear"/>
          </w:tcPr>
          <w:p>
            <w:r>
              <w:rPr>
                <w:b/>
                <w:sz w:val="17"/>
              </w:rPr>
              <w:t>2,847</w:t>
            </w:r>
          </w:p>
        </w:tc>
        <w:tc>
          <w:tcPr>
            <w:tcW w:type="dxa" w:w="1440"/>
            <w:shd w:fill="FAFAFA" w:val="clear"/>
          </w:tcPr>
          <w:p>
            <w:r>
              <w:rPr>
                <w:sz w:val="17"/>
              </w:rPr>
              <w:t>3,025</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2,650</w:t>
            </w:r>
          </w:p>
        </w:tc>
        <w:tc>
          <w:tcPr>
            <w:tcW w:type="dxa" w:w="1440"/>
            <w:shd w:fill="FFDCE0" w:val="clear"/>
          </w:tcPr>
          <w:p>
            <w:r>
              <w:rPr>
                <w:b/>
                <w:sz w:val="17"/>
              </w:rPr>
              <w:t>2,841</w:t>
            </w:r>
          </w:p>
        </w:tc>
        <w:tc>
          <w:tcPr>
            <w:tcW w:type="dxa" w:w="1440"/>
            <w:shd w:fill="FFDCE0" w:val="clear"/>
          </w:tcPr>
          <w:p>
            <w:r>
              <w:rPr>
                <w:sz w:val="17"/>
              </w:rPr>
              <w:t>3,032</w:t>
            </w:r>
          </w:p>
        </w:tc>
        <w:tc>
          <w:tcPr>
            <w:tcW w:type="dxa" w:w="1440"/>
            <w:shd w:fill="FFDCE0"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2,631</w:t>
            </w:r>
          </w:p>
        </w:tc>
        <w:tc>
          <w:tcPr>
            <w:tcW w:type="dxa" w:w="1440"/>
            <w:shd w:fill="FFDCE0" w:val="clear"/>
          </w:tcPr>
          <w:p>
            <w:r>
              <w:rPr>
                <w:b/>
                <w:sz w:val="17"/>
              </w:rPr>
              <w:t>2,835</w:t>
            </w:r>
          </w:p>
        </w:tc>
        <w:tc>
          <w:tcPr>
            <w:tcW w:type="dxa" w:w="1440"/>
            <w:shd w:fill="FFDCE0" w:val="clear"/>
          </w:tcPr>
          <w:p>
            <w:r>
              <w:rPr>
                <w:sz w:val="17"/>
              </w:rPr>
              <w:t>3,039</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2,613</w:t>
            </w:r>
          </w:p>
        </w:tc>
        <w:tc>
          <w:tcPr>
            <w:tcW w:type="dxa" w:w="1440"/>
            <w:shd w:fill="FFDCE0" w:val="clear"/>
          </w:tcPr>
          <w:p>
            <w:r>
              <w:rPr>
                <w:b/>
                <w:sz w:val="17"/>
              </w:rPr>
              <w:t>2,829</w:t>
            </w:r>
          </w:p>
        </w:tc>
        <w:tc>
          <w:tcPr>
            <w:tcW w:type="dxa" w:w="1440"/>
            <w:shd w:fill="FFDCE0" w:val="clear"/>
          </w:tcPr>
          <w:p>
            <w:r>
              <w:rPr>
                <w:sz w:val="17"/>
              </w:rPr>
              <w:t>3,045</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2,596</w:t>
            </w:r>
          </w:p>
        </w:tc>
        <w:tc>
          <w:tcPr>
            <w:tcW w:type="dxa" w:w="1440"/>
            <w:shd w:fill="FFDCE0" w:val="clear"/>
          </w:tcPr>
          <w:p>
            <w:r>
              <w:rPr>
                <w:b/>
                <w:sz w:val="17"/>
              </w:rPr>
              <w:t>2,823</w:t>
            </w:r>
          </w:p>
        </w:tc>
        <w:tc>
          <w:tcPr>
            <w:tcW w:type="dxa" w:w="1440"/>
            <w:shd w:fill="FFDCE0" w:val="clear"/>
          </w:tcPr>
          <w:p>
            <w:r>
              <w:rPr>
                <w:sz w:val="17"/>
              </w:rPr>
              <w:t>3,050</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Burkina Faso)**</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197,20 Mds FCFA, ONTBF se positionne comme une valeur de premier plan de la cote BRVM, représentant un poids significatif dans l'indice sectoriel des télécommunications aux côtés de Sonatel et MTN CI. Le BPA de 234 FCFA/action signifie que chaque titre génère près de 234 FCFA de bénéfice net, ce qui, rapporté au cours actuel de 2 900 FCFA, donne un PER de 12,4x — un niveau modéré, légèrement supérieur à la moyenne BRVM (~8-12x), traduisant une prime de qualité justifiée par la solidité du bilan et la régularité du dividende. Le P/B de 3,43x indique que le marché valorise l'entreprise à plus de trois fois sa valeur comptable (capitaux propres de 57,54 Mds FCFA), une prime de croissance cohérente avec le secteur télécom, mais qui laisse peu de marge de sécurité en cas de dégradation des résultats. Enfin, l'EV/EBITDA de 5,2x apparaît raisonnable (fourchette sectorielle 5-10x), suggérant que la valeur d'entreprise reste soutenue par la capacité opérationnelle de génération de cash (EBE de 56,73 Mds FCFA en 2025), bien que la compression des marges doive être surveillée.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ONTBF affiche une performance positive de +7,01%, avec une dernière séance en hausse de +0,35%, portant le cours à 2 900 FCFA. Le titre a évolué dans un range de 460 FCFA, entre un plus bas de 2 610 FCFA et un plus haut de 3 070 FCFA, ce qui témoigne d'une tendance générale haussière mais avec des phases de consolidation marquées. Les statistiques descriptives révèlent une distribution remarquablement symétrique : la moyenne (2 833 FCFA) et la médiane (2 828 FCFA) sont quasi confondues, confirmant l'absence de biais directionnel (skewness de -0,040). L'écart-type de 83 FCFA, soit un coefficient de variation de seulement 2,9%, indique une dispersion très faible du cours autour de sa moyenne — le titre évolue dans un canal étroit, ce qui est rassurant pour la stabilité mais limite les opportunités de trading. Le kurtosis de 0,012 (mésokurtique) signifie que la distribution des rendements est proche d'une loi normale, sans risque de pics extrêmes fréquents. Avec une volatilité annualisée de 30,6%, ONTBF se situe à la limite supérieure de la catégorie "modérée", ce qui reste acceptable pour une valeur télécom de la BRVM, mais impose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(2 880,25 FCFA) et la MM50 (2 850,80 FCFA) sont toutes deux inférieures au cours actuel (2 900 FCFA), et la MM20 est au-dessus de la MM50, configurant un croisement haussier classique. Cette configuration en "golden cross" justifie la décision d'achat, le titre évoluant au-dessus de ses supports dynamiques.</w:t>
      </w:r>
    </w:p>
    <w:p>
      <w:pPr>
        <w:spacing w:after="120" w:line="276" w:lineRule="auto"/>
      </w:pPr>
      <w:r>
        <w:t>**Bandes de Bollinger** : Le cours (2 900 FCFA) se situe entre la borne inférieure (2 826,01 FCFA) et la borne supérieure (2 934,49 FCFA), plus proche de la borne haute. L'étroitesse des bandes (largeur de ~108 FCFA) reflète la faible volatilité récente, et la position neutre du cours dans le canal justifie la décision "Neutre" — ni suracheté, ni survendu.</w:t>
      </w:r>
    </w:p>
    <w:p>
      <w:pPr>
        <w:spacing w:after="120" w:line="276" w:lineRule="auto"/>
      </w:pPr>
      <w:r>
        <w:t>**MACD** : La valeur du MACD (1,889) est inférieure à son signal (3,585), générant une divergence baissière. Bien que les deux lignes restent en territoire positif, le croisement à la baisse indique un essoufflement du momentum haussier, justifiant la décision de vente à court terme.</w:t>
      </w:r>
    </w:p>
    <w:p>
      <w:pPr>
        <w:spacing w:after="120" w:line="276" w:lineRule="auto"/>
      </w:pPr>
      <w:r>
        <w:t>**RSI** : À 51,316, le RSI se situe parfaitement dans la zone neutre (30-70), sans signal de surachat ni de survente. Cette position médiane confirme l'absence de pression directionnelle forte et justifie la décision "Neutre".</w:t>
      </w:r>
    </w:p>
    <w:p>
      <w:pPr>
        <w:spacing w:after="120" w:line="276" w:lineRule="auto"/>
      </w:pPr>
      <w:r>
        <w:t>**Stochastique** : Le %K (82,609) est nettement supérieur au %D (59,42), et les deux se situent en zone de surachat (&gt;80 pour le %K). Ce positionnement élevé, bien que le croisement ne soit pas encore baissier, suggère un risque de correction à court terme, justifiant la décision de vente.</w:t>
      </w:r>
    </w:p>
    <w:p>
      <w:pPr>
        <w:spacing w:after="120" w:line="276" w:lineRule="auto"/>
      </w:pPr>
      <w:r>
        <w:t>**Conclusion technique** : Les indicateurs sont divergents — les moyennes mobiles sont haussières (achat), tandis que le MACD et le stochastique signalent une vente, et le RSI/Bollinger restent neutres. Cette configuration suggère un titre en phase de consolidation après une hausse, avec un potentiel limité à court terme mais une structure de fond toujours positive.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(ONATEL-SA) affiche un chiffre d'affaires de 146,18 Mds FCFA, en hausse de +3,1% par rapport à 2024 (141,84 Mds FCFA), porté par le FTTH (+33% de parc), l'Internet mobile (+4,6%) et le Mobile Money (+14%). Cependant, le résultat net chute lourdement à 15,89 Mds FCFA, en recul de -26% par rapport aux 21,47 Mds FCFA de 2024, sous l'effet de charges opérationnelles et exceptionnelles élevées (indemnités de fin d'engagement, coûts énergétiques, maintenance en zones sécuritaires, sanction ARCEP de 1,543 Md FCFA). Le ROE reste excellent à 27,61% (bien que le rapport 2024 mentionnait 34,3%), et le ROA s'établit à 4,89%, confirmant la rentabilité structurelle de l'entreprise. Le coefficient d'exploitation de 67,07% (charges/PNB) reste supérieur au seuil de 60% recommandé pour une banque, mais s'explique par la nature télécom de l'activité. Le coût du risque (provisions/charges financières) de 3,57% est modéré. La structure financière montre une autonomie financière de 17,71% (capitaux propres/total bilan), inférieure au seuil de 30%, et un ratio d'endettement élevé de 186,99%, reflétant le financement des investissements lourds (CAPEX de 45,22 Mds FCFA) par emprunt. La trésorerie nette reste positive à 10,65 Mds FCFA, et la capacité de remboursement de 2,29 années est acceptable. Sur la base du rapport T1 2026 (CA +2,7% à 37,1 Mds FCFA, marge EBITDA maintenue à 41,3%, résultat net de 3,58 Mds FCFA), on estime que l'exercice 2026 devrait confirmer la tendance : croissance modérée du chiffre d'affaires, mais poursuite de la pression sur les marges, avec un résultat net annuel estimé entre 14 et 16 Mds FCFA si les coûts restent maîtrisés. Le dividende proposé de 166,08 FCFA/action (rendement de ~5,7% au cours actuel) reste attractif mais représente 70% du bénéfice distribuable, un taux de distribution élevé qui pourrait limiter les capacités d'autofinancement. La notation GCR A+(WU) avec perspective stable confirme la solidité financière, mais les risques réglementaires (ARCEP), sécuritaires (vandalisme) et concurrentiels (Orange, Telecel) pèsent sur les perspectives. La recommandation fondamentale est de **CONSERVER** le titre, en attendant des signes tangibles d'amélioration de la rentabilité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La valorisation (Partie 0) est modérée : PER de 12,4x légèrement supérieur à la moyenne BRVM, P/B de 3,43x traduisant une prime de croissance, et EV/EBITDA de 5,2x raisonnable — le titre n'est ni sous-évalué, ni excessivement cher. Le comportement du cours (Partie 1) est favorable : tendance haussière de +7,01% sur 100 jours, distribution symétrique (skewness -0,04), faible dispersion (CV de 2,9%) et volatilité modérée (30,6%), bien que le kurtosis proche de zéro n'écarte pas totalement les risques de pics. Les signaux techniques (Partie 2) sont divergents : les moyennes mobiles sont haussières, mais le MACD et le stochastique signalent une vente, tandis que le RSI et les Bollinger restent neutres — cette configuration suggère une consolidation avant une éventuelle reprise. Les fondamentaux (Partie 3) sont solides mais en dégradation : croissance du CA (+3,1%), mais chute du résultat net (-26%), ROE élevé (27,61%), endettement important (186,99%) et dividende attractif (5,7%). Les prédictions IA (J+1 à J+10) anticipent une légère baisse vers 2 854 FCFA d'ici le 25 septembre 2026, confirmant la phase de consolidation technique. Sur la base de cette synthèse, la recommandation finale est **CONSERVER**, avec un niveau de confiance **Moyen** et un risque global **Moyen**. L'horizon d'investissement optimal est le **moyen terme (3-12 mois)**, en attendant que la société démontre sa capacité à inverser la tendance baissière de ses marges et à restaurer sa rentabilité, tout en surveillant l'évolution du contexte sécuritaire et réglementaire au Burkina Faso. Un passage à l'achat serait justifié si le titre revenait vers 2 700-2 750 FCFA (support technique) avec des signaux fondamentaux en amélioration.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3344.55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3,060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+48.99%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13.54% (Moyenne) — μ=17,347 FCFA, σ=2,349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β=1.3661 (Agressif) — Cov=0.000049, Var(idx)=0.000036, ρ=0.433,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21,540</w:t>
            </w:r>
          </w:p>
        </w:tc>
        <w:tc>
          <w:tcPr>
            <w:tcW w:type="dxa" w:w="1440"/>
            <w:shd w:fill="FAFAFA" w:val="clear"/>
          </w:tcPr>
          <w:p>
            <w:r>
              <w:rPr>
                <w:b/>
                <w:sz w:val="17"/>
              </w:rPr>
              <w:t>22,243</w:t>
            </w:r>
          </w:p>
        </w:tc>
        <w:tc>
          <w:tcPr>
            <w:tcW w:type="dxa" w:w="1440"/>
            <w:shd w:fill="FAFAFA" w:val="clear"/>
          </w:tcPr>
          <w:p>
            <w:r>
              <w:rPr>
                <w:sz w:val="17"/>
              </w:rPr>
              <w:t>22,947</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21,229</w:t>
            </w:r>
          </w:p>
        </w:tc>
        <w:tc>
          <w:tcPr>
            <w:tcW w:type="dxa" w:w="1440"/>
            <w:shd w:fill="FAFAFA" w:val="clear"/>
          </w:tcPr>
          <w:p>
            <w:r>
              <w:rPr>
                <w:b/>
                <w:sz w:val="17"/>
              </w:rPr>
              <w:t>22,222</w:t>
            </w:r>
          </w:p>
        </w:tc>
        <w:tc>
          <w:tcPr>
            <w:tcW w:type="dxa" w:w="1440"/>
            <w:shd w:fill="FAFAFA" w:val="clear"/>
          </w:tcPr>
          <w:p>
            <w:r>
              <w:rPr>
                <w:sz w:val="17"/>
              </w:rPr>
              <w:t>23,216</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20,992</w:t>
            </w:r>
          </w:p>
        </w:tc>
        <w:tc>
          <w:tcPr>
            <w:tcW w:type="dxa" w:w="1440"/>
            <w:shd w:fill="FAFAFA" w:val="clear"/>
          </w:tcPr>
          <w:p>
            <w:r>
              <w:rPr>
                <w:b/>
                <w:sz w:val="17"/>
              </w:rPr>
              <w:t>22,208</w:t>
            </w:r>
          </w:p>
        </w:tc>
        <w:tc>
          <w:tcPr>
            <w:tcW w:type="dxa" w:w="1440"/>
            <w:shd w:fill="FAFAFA" w:val="clear"/>
          </w:tcPr>
          <w:p>
            <w:r>
              <w:rPr>
                <w:sz w:val="17"/>
              </w:rPr>
              <w:t>23,425</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20,792</w:t>
            </w:r>
          </w:p>
        </w:tc>
        <w:tc>
          <w:tcPr>
            <w:tcW w:type="dxa" w:w="1440"/>
            <w:shd w:fill="FAFAFA" w:val="clear"/>
          </w:tcPr>
          <w:p>
            <w:r>
              <w:rPr>
                <w:b/>
                <w:sz w:val="17"/>
              </w:rPr>
              <w:t>22,196</w:t>
            </w:r>
          </w:p>
        </w:tc>
        <w:tc>
          <w:tcPr>
            <w:tcW w:type="dxa" w:w="1440"/>
            <w:shd w:fill="FAFAFA" w:val="clear"/>
          </w:tcPr>
          <w:p>
            <w:r>
              <w:rPr>
                <w:sz w:val="17"/>
              </w:rPr>
              <w:t>23,599</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20,615</w:t>
            </w:r>
          </w:p>
        </w:tc>
        <w:tc>
          <w:tcPr>
            <w:tcW w:type="dxa" w:w="1440"/>
            <w:shd w:fill="FAFAFA" w:val="clear"/>
          </w:tcPr>
          <w:p>
            <w:r>
              <w:rPr>
                <w:b/>
                <w:sz w:val="17"/>
              </w:rPr>
              <w:t>22,183</w:t>
            </w:r>
          </w:p>
        </w:tc>
        <w:tc>
          <w:tcPr>
            <w:tcW w:type="dxa" w:w="1440"/>
            <w:shd w:fill="FAFAFA" w:val="clear"/>
          </w:tcPr>
          <w:p>
            <w:r>
              <w:rPr>
                <w:sz w:val="17"/>
              </w:rPr>
              <w:t>23,752</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20,454</w:t>
            </w:r>
          </w:p>
        </w:tc>
        <w:tc>
          <w:tcPr>
            <w:tcW w:type="dxa" w:w="1440"/>
            <w:shd w:fill="FAFAFA" w:val="clear"/>
          </w:tcPr>
          <w:p>
            <w:r>
              <w:rPr>
                <w:b/>
                <w:sz w:val="17"/>
              </w:rPr>
              <w:t>22,171</w:t>
            </w:r>
          </w:p>
        </w:tc>
        <w:tc>
          <w:tcPr>
            <w:tcW w:type="dxa" w:w="1440"/>
            <w:shd w:fill="FAFAFA" w:val="clear"/>
          </w:tcPr>
          <w:p>
            <w:r>
              <w:rPr>
                <w:sz w:val="17"/>
              </w:rPr>
              <w:t>23,888</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20,305</w:t>
            </w:r>
          </w:p>
        </w:tc>
        <w:tc>
          <w:tcPr>
            <w:tcW w:type="dxa" w:w="1440"/>
            <w:shd w:fill="FAFAFA" w:val="clear"/>
          </w:tcPr>
          <w:p>
            <w:r>
              <w:rPr>
                <w:b/>
                <w:sz w:val="17"/>
              </w:rPr>
              <w:t>22,159</w:t>
            </w:r>
          </w:p>
        </w:tc>
        <w:tc>
          <w:tcPr>
            <w:tcW w:type="dxa" w:w="1440"/>
            <w:shd w:fill="FAFAFA" w:val="clear"/>
          </w:tcPr>
          <w:p>
            <w:r>
              <w:rPr>
                <w:sz w:val="17"/>
              </w:rPr>
              <w:t>24,013</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20,166</w:t>
            </w:r>
          </w:p>
        </w:tc>
        <w:tc>
          <w:tcPr>
            <w:tcW w:type="dxa" w:w="1440"/>
            <w:shd w:fill="FAFAFA" w:val="clear"/>
          </w:tcPr>
          <w:p>
            <w:r>
              <w:rPr>
                <w:b/>
                <w:sz w:val="17"/>
              </w:rPr>
              <w:t>22,147</w:t>
            </w:r>
          </w:p>
        </w:tc>
        <w:tc>
          <w:tcPr>
            <w:tcW w:type="dxa" w:w="1440"/>
            <w:shd w:fill="FAFAFA" w:val="clear"/>
          </w:tcPr>
          <w:p>
            <w:r>
              <w:rPr>
                <w:sz w:val="17"/>
              </w:rPr>
              <w:t>24,128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20,036</w:t>
            </w:r>
          </w:p>
        </w:tc>
        <w:tc>
          <w:tcPr>
            <w:tcW w:type="dxa" w:w="1440"/>
            <w:shd w:fill="FAFAFA" w:val="clear"/>
          </w:tcPr>
          <w:p>
            <w:r>
              <w:rPr>
                <w:b/>
                <w:sz w:val="17"/>
              </w:rPr>
              <w:t>22,136</w:t>
            </w:r>
          </w:p>
        </w:tc>
        <w:tc>
          <w:tcPr>
            <w:tcW w:type="dxa" w:w="1440"/>
            <w:shd w:fill="FAFAFA" w:val="clear"/>
          </w:tcPr>
          <w:p>
            <w:r>
              <w:rPr>
                <w:sz w:val="17"/>
              </w:rPr>
              <w:t>24,236</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19,912</w:t>
            </w:r>
          </w:p>
        </w:tc>
        <w:tc>
          <w:tcPr>
            <w:tcW w:type="dxa" w:w="1440"/>
            <w:shd w:fill="FAFAFA" w:val="clear"/>
          </w:tcPr>
          <w:p>
            <w:r>
              <w:rPr>
                <w:b/>
                <w:sz w:val="17"/>
              </w:rPr>
              <w:t>22,124</w:t>
            </w:r>
          </w:p>
        </w:tc>
        <w:tc>
          <w:tcPr>
            <w:tcW w:type="dxa" w:w="1440"/>
            <w:shd w:fill="FAFAFA" w:val="clear"/>
          </w:tcPr>
          <w:p>
            <w:r>
              <w:rPr>
                <w:sz w:val="17"/>
              </w:rPr>
              <w:t>24,337</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3 344,55 milliards FCFA, ORAC s'impose comme l'une des toutes premières capitalisations de la BRVM, représentant à elle seule une part significative de la capitalisation totale du marché régional. Le BPA de 1 114 FCFA/action signifie que chaque titre génère un bénéfice net de plus de mille francs CFA, ce qui constitue une performance remarquable dans le contexte ouest-africain. Le PER de 19,9x traduit une valorisation modérée mais nettement supérieure à la moyenne du marché BRVM (8-12x), ce qui indique que les investisseurs acceptent de payer une prime pour la qualité de la croissance et la régularité des résultats d'ORAC. Le ratio P/B de 4,73x, très supérieur à 4x, confirme cette prime exigeante : le marché valorise l'entreprise à près de cinq fois sa valeur comptable, ce qui se justifie par la forte rentabilité des fonds propres (ROE de 23,7%) mais laisse peu de marge d'erreur. Enfin, l'EV/EBITDA de 7,9x, dans la fourchette raisonnable de 5-10x, suggère que la valeur totale de l'entreprise reste cohérente avec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+48,99%, passant d'un plus bas de 14 650 FCFA à un plus haut de 22 500 FCFA, pour un cours actuel de 22 200 FCFA, stable sur la dernière séance (variation J-1 de 0,00%). Cette tendance nettement haussière s'inscrit dans un contexte de forte demande pour les valeurs télécoms de la BRVM, portée par la croissance des services data et mobile money. Les statistiques descriptives révèlent une distribution asymétrique : la moyenne (17 347 FCFA) est supérieure à la médiane (16 550 FCFA), elle-même supérieure au mode (16 000 FCFA), ce qui confirme que le cours a passé plus de temps sous sa moyenne avant de s'envoler en fin de période — cohérent avec le skewness positif de 1,103 indiquant une asymétrie à droite (quelques journées de forte hausse tirent la distribution vers le haut). L'écart-type de 2 361 FCFA avec un coefficient de variation de 13,6% traduit une dispersion modérée du cours autour de sa moyenne. Le kurtosis de -0,252 (mésokurtique) indique une distribution proche de la normale, sans risque excessif de pics extrêmes. La volatilité annualisée de 29,9% positionne ORAC dans la catégorie des titres à volatilité modérée à élevée (limite des 30%), ce qui reste acceptable pour une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(21 647 FCFA) et la MM50 (18 876 FCFA) se situent toutes deux sous le cours actuel (22 200 FCFA), avec la MM20 au-dessus de la MM50 — configuration haussière classique en "golden cross". Le cours évolue au-dessus de ses deux moyennes, confirmant la dynamique positive et justifiant la décision d'**Achat**.</w:t>
      </w:r>
    </w:p>
    <w:p>
      <w:pPr>
        <w:spacing w:after="120" w:line="276" w:lineRule="auto"/>
      </w:pPr>
      <w:r>
        <w:t>**Bandes de Bollinger** : Le cours (22 200 FCFA) se situe dans la partie haute du canal, entre la borne inférieure (20 414 FCFA) et la borne supérieure (22 881 FCFA), sans la dépasser. Cette position proche de la borne supérieure sans franchissement indique une pression acheteuse soutenue mais sans excès, justifiant la décision **Neutre** — le titre n'est ni en zone de surachat extrême ni en zone de survente.</w:t>
      </w:r>
    </w:p>
    <w:p>
      <w:pPr>
        <w:spacing w:after="120" w:line="276" w:lineRule="auto"/>
      </w:pPr>
      <w:r>
        <w:t>**MACD** : La valeur du MACD (997,54) est inférieure à son signal (1 085,07), générant un croisement baissier qui indique un essoufflement du momentum haussier. Bien que le MACD reste en territoire positif, cette divergence suggère une possible consolidation à court terme, justifiant la décision de **Vente** technique.</w:t>
      </w:r>
    </w:p>
    <w:p>
      <w:pPr>
        <w:spacing w:after="120" w:line="276" w:lineRule="auto"/>
      </w:pPr>
      <w:r>
        <w:t>**RSI** : À 64,42, le RSI se situe en zone neutre haute (entre 30 et 70), sans atteindre le seuil de surachat de 70. Cela indique que le titre conserve un potentiel de hausse sans être techniquement épuisé, justifiant la décision **Neutre** — ni signal d'achat agressif, ni signal de vente.</w:t>
      </w:r>
    </w:p>
    <w:p>
      <w:pPr>
        <w:spacing w:after="120" w:line="276" w:lineRule="auto"/>
      </w:pPr>
      <w:r>
        <w:t>**Stochastique** : Le %K (79,87) est légèrement inférieur au %D (84,26), avec les deux indicateurs en zone haute (&gt;80), proche du seuil de surachat. Ce positionnement élevé suggère que le cours pourrait entrer en phase de consolidation, justifiant la décision **Neutre** — le croisement %K/%D n'est pas encore confirmé à la baisse.</w:t>
      </w:r>
    </w:p>
    <w:p>
      <w:pPr>
        <w:spacing w:after="120" w:line="276" w:lineRule="auto"/>
      </w:pPr>
      <w:r>
        <w:t>**Conclusion technique** : Les indicateurs présentent un tableau mitigé. Les moyennes mobiles confirment la tendance haussière de fond, mais le MACD signale un essoufflement du momentum, tandis que le RSI et le stochastique restent en zone neutre-haute sans excès. Le titre se trouve dans une phase de consolidation après sa forte progression, avec un biais haussier toujours présent mais nécessitant une confirmation par les volumes pour valider la poursuite du mouvement.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Orange Côte d'Ivoire a réalisé un chiffre d'affaires consolidé de 1 197,1 milliards FCFA, en progression de +10,4% par rapport à 2024 (1 084,1 milliards FCFA), portée par la dynamique commerciale en Côte d'Ivoire, au Burkina Faso et au Liberia. Le résultat net consolidé s'établit à 167,8 milliards FCFA (+6,1%), tandis que le résultat net part du groupe atteint 129,1 milliards FCFA (+14,5% selon le rapport annuel 2025). La rentabilité des fonds propres (ROE) ressort à 23,71%, niveau excellent (&gt;15%), et la rentabilité des actifs (ROA) à 6,57%, confirmant l'efficacité opérationnelle du groupe. En tant qu'entreprise télécom, ORAC affiche un BFR négatif de -198,0 milliards FCFA — situation favorable qui signifie que l'entreprise finance son cycle d'exploitation par ses fournisseurs plutôt que par son propre cash. Le délai fournisseurs élevé (210,87 jours) contraste avec le délai clients de 52,26 jours, générant cette structure de trésorerie avantageuse. L'endettement reste maîtrisé avec un ratio dettes/capitaux propres de 47,46% et une capacité de remboursement de 0,99 an (dettes financières/CAF), tandis que la couverture des intérêts atteint 1 018,44%, traduisant une excellente solvabilité. Sur la base du rapport T1 2026 (publié en 2026), le chiffre d'affaires progresse de +14,8% à 325,6 milliards FCFA et le résultat net bondit de +25,2% à 48,3 milliards FCFA, avec une marge nette en amélioration à 14,8% (contre 13,6% au T1 2025). On estime donc que l'exercice 2026 devrait afficher une accélération de la croissance et une amélioration de la rentabilité, soutenue par les investissements massifs dans la fibre (184,2 milliards FCFA en 2025) et l'expansion d'Orange Money (40,4 millions de clients, +10,2%). Le principal risque identifié réside dans la pression fiscale et réglementaire accrue (impôts et taxes en hausse de +20,8% en 2025) ainsi que dans la baisse du dividende proposé (800 FCFA brut en 2025 contre 1 278 FCFA implicite en 2024), signalant un recentrage vers l'autofinancement des investissements. La solidité financière reste néanmoins exceptionnelle, avec des capitaux propres de 707,8 milliards FCFA et une trésorerie nette positive de 113,9 milliards FCFA.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(PER de 19,9x, P/B de 4,73x, EV/EBITDA de 7,9x) indique une prime de qualité justifiée par la croissance et la rentabilité, mais sans décote évidente — le titre est correctement valorisé, voire légèrement surévalué à court terme. Le comportement du cours sur 100 jours (+48,99%) témoigne d'une tendance haussière robuste, avec une volatilité modérée (29,9%) et une distribution asymétrique positive (skewness de 1,103) qui suggère que les hausses l'emportent sur les baisses, bien que le kurtosis proche de zéro n'annonce pas de pics extrêmes. Les signaux techniques sont mitigés : les moyennes mobiles confirment la tendance haussière, mais le MACD génère un signal de vente et le RSI/stochastique approchent la zone de surachat, indiquant une possible consolidation à court terme. Les fondamentaux restent excellents : ROE de 23,7%, ROA de 6,6%, BFR négatif favorable, endettement maîtrisé, et les estimations basées sur le T1 2026 (+14,8% de CA, +25,2% de résultat net) laissent présager une accélération de la croissance en 2026. Les prédictions IA (J+1 à J+10) anticipent une légère érosion du cours de 22 243 FCFA à 22 183 FCFA, soit une quasi-stabilité avec un biais baissier marginal, ce qui contredit partiellement les signaux haussiers des moyennes mobiles mais confirme la phase de consolidation technique. **Recommandation finale : CONSERVER**, avec un niveau de confiance **Moyen** et un risque global **Moyen**. La convergence entre fondamentaux solides et technique en consolidation suggère un potentiel de hausse à moyen terme, mais la valorisation exigeante et le signal MACD incitent à la prudence à court terme. L'horizon d'investissement optimal est le **moyen terme (3-12 mois)**, en attendant la confirmation de l'accélération de la croissance au T2 2026 et une clarification de la politique de dividende.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5,436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B40000"/>
                <w:sz w:val="17"/>
              </w:rPr>
              <w:t>-2.73%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9.19% (Moyenne) — μ=2,910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β=0.1166 (Défensif) — Cov=0.000004, Var(idx)=0.000036, ρ=0.026,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3,161</w:t>
            </w:r>
          </w:p>
        </w:tc>
        <w:tc>
          <w:tcPr>
            <w:tcW w:type="dxa" w:w="1440"/>
            <w:shd w:fill="FAFAFA" w:val="clear"/>
          </w:tcPr>
          <w:p>
            <w:r>
              <w:rPr>
                <w:b/>
                <w:sz w:val="17"/>
              </w:rPr>
              <w:t>3,245</w:t>
            </w:r>
          </w:p>
        </w:tc>
        <w:tc>
          <w:tcPr>
            <w:tcW w:type="dxa" w:w="1440"/>
            <w:shd w:fill="FAFAFA" w:val="clear"/>
          </w:tcPr>
          <w:p>
            <w:r>
              <w:rPr>
                <w:sz w:val="17"/>
              </w:rPr>
              <w:t>3,329</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3,127</w:t>
            </w:r>
          </w:p>
        </w:tc>
        <w:tc>
          <w:tcPr>
            <w:tcW w:type="dxa" w:w="1440"/>
            <w:shd w:fill="FAFAFA" w:val="clear"/>
          </w:tcPr>
          <w:p>
            <w:r>
              <w:rPr>
                <w:b/>
                <w:sz w:val="17"/>
              </w:rPr>
              <w:t>3,245</w:t>
            </w:r>
          </w:p>
        </w:tc>
        <w:tc>
          <w:tcPr>
            <w:tcW w:type="dxa" w:w="1440"/>
            <w:shd w:fill="FAFAFA" w:val="clear"/>
          </w:tcPr>
          <w:p>
            <w:r>
              <w:rPr>
                <w:sz w:val="17"/>
              </w:rPr>
              <w:t>3,364</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3,103</w:t>
            </w:r>
          </w:p>
        </w:tc>
        <w:tc>
          <w:tcPr>
            <w:tcW w:type="dxa" w:w="1440"/>
            <w:shd w:fill="FAFAFA" w:val="clear"/>
          </w:tcPr>
          <w:p>
            <w:r>
              <w:rPr>
                <w:b/>
                <w:sz w:val="17"/>
              </w:rPr>
              <w:t>3,249</w:t>
            </w:r>
          </w:p>
        </w:tc>
        <w:tc>
          <w:tcPr>
            <w:tcW w:type="dxa" w:w="1440"/>
            <w:shd w:fill="FAFAFA" w:val="clear"/>
          </w:tcPr>
          <w:p>
            <w:r>
              <w:rPr>
                <w:sz w:val="17"/>
              </w:rPr>
              <w:t>3,394</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3,084</w:t>
            </w:r>
          </w:p>
        </w:tc>
        <w:tc>
          <w:tcPr>
            <w:tcW w:type="dxa" w:w="1440"/>
            <w:shd w:fill="FAFAFA" w:val="clear"/>
          </w:tcPr>
          <w:p>
            <w:r>
              <w:rPr>
                <w:b/>
                <w:sz w:val="17"/>
              </w:rPr>
              <w:t>3,252</w:t>
            </w:r>
          </w:p>
        </w:tc>
        <w:tc>
          <w:tcPr>
            <w:tcW w:type="dxa" w:w="1440"/>
            <w:shd w:fill="FAFAFA" w:val="clear"/>
          </w:tcPr>
          <w:p>
            <w:r>
              <w:rPr>
                <w:sz w:val="17"/>
              </w:rPr>
              <w:t>3,420</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3,067</w:t>
            </w:r>
          </w:p>
        </w:tc>
        <w:tc>
          <w:tcPr>
            <w:tcW w:type="dxa" w:w="1440"/>
            <w:shd w:fill="FAFAFA" w:val="clear"/>
          </w:tcPr>
          <w:p>
            <w:r>
              <w:rPr>
                <w:b/>
                <w:sz w:val="17"/>
              </w:rPr>
              <w:t>3,255</w:t>
            </w:r>
          </w:p>
        </w:tc>
        <w:tc>
          <w:tcPr>
            <w:tcW w:type="dxa" w:w="1440"/>
            <w:shd w:fill="FAFAFA" w:val="clear"/>
          </w:tcPr>
          <w:p>
            <w:r>
              <w:rPr>
                <w:sz w:val="17"/>
              </w:rPr>
              <w:t>3,443</w:t>
            </w:r>
          </w:p>
        </w:tc>
        <w:tc>
          <w:tcPr>
            <w:tcW w:type="dxa" w:w="1440"/>
            <w:shd w:fill="FAFAFA" w:val="clear"/>
          </w:tcPr>
          <w:p>
            <w:r>
              <w:rPr>
                <w:b/>
                <w:color w:val="008000"/>
                <w:sz w:val="17"/>
              </w:rPr>
              <w:t>+1.6%</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3,051</w:t>
            </w:r>
          </w:p>
        </w:tc>
        <w:tc>
          <w:tcPr>
            <w:tcW w:type="dxa" w:w="1440"/>
            <w:shd w:fill="FAFAFA" w:val="clear"/>
          </w:tcPr>
          <w:p>
            <w:r>
              <w:rPr>
                <w:b/>
                <w:sz w:val="17"/>
              </w:rPr>
              <w:t>3,258</w:t>
            </w:r>
          </w:p>
        </w:tc>
        <w:tc>
          <w:tcPr>
            <w:tcW w:type="dxa" w:w="1440"/>
            <w:shd w:fill="FAFAFA" w:val="clear"/>
          </w:tcPr>
          <w:p>
            <w:r>
              <w:rPr>
                <w:sz w:val="17"/>
              </w:rPr>
              <w:t>3,464</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3,037</w:t>
            </w:r>
          </w:p>
        </w:tc>
        <w:tc>
          <w:tcPr>
            <w:tcW w:type="dxa" w:w="1440"/>
            <w:shd w:fill="FAFAFA" w:val="clear"/>
          </w:tcPr>
          <w:p>
            <w:r>
              <w:rPr>
                <w:b/>
                <w:sz w:val="17"/>
              </w:rPr>
              <w:t>3,260</w:t>
            </w:r>
          </w:p>
        </w:tc>
        <w:tc>
          <w:tcPr>
            <w:tcW w:type="dxa" w:w="1440"/>
            <w:shd w:fill="FAFAFA" w:val="clear"/>
          </w:tcPr>
          <w:p>
            <w:r>
              <w:rPr>
                <w:sz w:val="17"/>
              </w:rPr>
              <w:t>3,483</w:t>
            </w:r>
          </w:p>
        </w:tc>
        <w:tc>
          <w:tcPr>
            <w:tcW w:type="dxa" w:w="1440"/>
            <w:shd w:fill="FAFAFA" w:val="clear"/>
          </w:tcPr>
          <w:p>
            <w:r>
              <w:rPr>
                <w:b/>
                <w:color w:val="008000"/>
                <w:sz w:val="17"/>
              </w:rPr>
              <w:t>+1.7%</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3,024</w:t>
            </w:r>
          </w:p>
        </w:tc>
        <w:tc>
          <w:tcPr>
            <w:tcW w:type="dxa" w:w="1440"/>
            <w:shd w:fill="FAFAFA" w:val="clear"/>
          </w:tcPr>
          <w:p>
            <w:r>
              <w:rPr>
                <w:b/>
                <w:sz w:val="17"/>
              </w:rPr>
              <w:t>3,263</w:t>
            </w:r>
          </w:p>
        </w:tc>
        <w:tc>
          <w:tcPr>
            <w:tcW w:type="dxa" w:w="1440"/>
            <w:shd w:fill="FAFAFA" w:val="clear"/>
          </w:tcPr>
          <w:p>
            <w:r>
              <w:rPr>
                <w:sz w:val="17"/>
              </w:rPr>
              <w:t>3,501</w:t>
            </w:r>
          </w:p>
        </w:tc>
        <w:tc>
          <w:tcPr>
            <w:tcW w:type="dxa" w:w="1440"/>
            <w:shd w:fill="FAFAFA" w:val="clear"/>
          </w:tcPr>
          <w:p>
            <w:r>
              <w:rPr>
                <w:b/>
                <w:color w:val="008000"/>
                <w:sz w:val="17"/>
              </w:rPr>
              <w:t>+1.8%</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3,012</w:t>
            </w:r>
          </w:p>
        </w:tc>
        <w:tc>
          <w:tcPr>
            <w:tcW w:type="dxa" w:w="1440"/>
            <w:shd w:fill="FAFAFA" w:val="clear"/>
          </w:tcPr>
          <w:p>
            <w:r>
              <w:rPr>
                <w:b/>
                <w:sz w:val="17"/>
              </w:rPr>
              <w:t>3,265</w:t>
            </w:r>
          </w:p>
        </w:tc>
        <w:tc>
          <w:tcPr>
            <w:tcW w:type="dxa" w:w="1440"/>
            <w:shd w:fill="FAFAFA" w:val="clear"/>
          </w:tcPr>
          <w:p>
            <w:r>
              <w:rPr>
                <w:sz w:val="17"/>
              </w:rPr>
              <w:t>3,518</w:t>
            </w:r>
          </w:p>
        </w:tc>
        <w:tc>
          <w:tcPr>
            <w:tcW w:type="dxa" w:w="1440"/>
            <w:shd w:fill="FAFAFA" w:val="clear"/>
          </w:tcPr>
          <w:p>
            <w:r>
              <w:rPr>
                <w:b/>
                <w:color w:val="008000"/>
                <w:sz w:val="17"/>
              </w:rPr>
              <w:t>+1.9%</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3,000</w:t>
            </w:r>
          </w:p>
        </w:tc>
        <w:tc>
          <w:tcPr>
            <w:tcW w:type="dxa" w:w="1440"/>
            <w:shd w:fill="FAFAFA" w:val="clear"/>
          </w:tcPr>
          <w:p>
            <w:r>
              <w:rPr>
                <w:b/>
                <w:sz w:val="17"/>
              </w:rPr>
              <w:t>3,267</w:t>
            </w:r>
          </w:p>
        </w:tc>
        <w:tc>
          <w:tcPr>
            <w:tcW w:type="dxa" w:w="1440"/>
            <w:shd w:fill="FAFAFA" w:val="clear"/>
          </w:tcPr>
          <w:p>
            <w:r>
              <w:rPr>
                <w:sz w:val="17"/>
              </w:rPr>
              <w:t>3,534</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222,48 milliards FCFA, ORGT s'impose comme l'une des valeurs bancaires de référence de la cote BRVM, reflétant l'importance systémique du groupe Orabank dans l'UEMOA. Le BPA de 312 FCFA/action signifie que chaque titre génère un bénéfice net de 312 FCFA, ce qui, rapporté au cours actuel de 3 205 FCFA, donne un PER de 10,3x — un niveau modéré et parfaitement dans la fourchette moyenne du marché BRVM (8-12x), traduisant une valorisation raisonnable sans prime excessive. Le P/B de 1,97x indique que le marché valorise ORGT à près du double de sa valeur comptable (capitaux propres de 113,165 Mds FCFA), ce qui est cohérent pour une banque affichant un ROE de 19,1% — les investisseurs acceptent de payer une prime pour la rentabilité des fonds propres. En revanche, l'EV/EBITDA de 20,1x apparaît très exigeant (&gt;15x), signalant que la valeur d'entreprise intègre déjà une bonne part d'optimisme sur la capacité opérationnelle, ce qui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-2,73%, intégralement concentrée sur la dernière séance (J-1 : -2,73%), ce qui traduit une correction brutale et soudaine plutôt qu'une érosion progressive. Le cours actuel de 3 205 FCFA se situe dans la partie haute du range de trading établi entre un plus bas de 2 435 FCFA et un plus haut de 3 475 FCFA, soit un écart de plus de 1 000 FCFA (42%) qui témoigne d'une forte amplitude sur la période. La tendance générale reste haussière sur le fond (le cours est supérieur à la moyenne de 2 910 FCFA et à la médiane de 2 780 FCFA), mais la récente pression vendeuse marque une pause dans la dynamique. Les statistiques descriptives révèlent une distribution quasi-symétrique (skewness de 0,281) avec une moyenne (2 910 FCFA) supérieure à la médiane (2 780 FCFA), signe d'une légère asymétrie positive portée par quelques séances de forte hausse. L'écart-type de 269 FCFA et le coefficient de variation de 9,2% indiquent une dispersion modérée du cours autour de sa moyenne, tandis que le kurtosis négatif (-1,335, distribution platykurtique) signale une faible concentration des rendements et un risque de pics extrêmes limité — un profil rassurant. Enfin, la volatilité annualisée de 43,2% classe ORGT dans la catégorie des titres à volatilité élevée (&gt;30%), ce qui implique un risque de marché significatif et justifie une approche d'investissement prudente avec un dimensionnement de position adapté.</w:t>
      </w:r>
    </w:p>
    <w:p>
      <w:pPr>
        <w:spacing w:after="120" w:line="276" w:lineRule="auto"/>
      </w:pPr>
      <w:r>
        <w:t>---</w:t>
      </w:r>
    </w:p>
    <w:p>
      <w:pPr>
        <w:spacing w:after="120" w:line="276" w:lineRule="auto"/>
      </w:pPr>
      <w:r>
        <w:t>## PARTIE 2 : ANALYSE TECHNIQUE DÉTAILLÉE</w:t>
      </w:r>
    </w:p>
    <w:p>
      <w:pPr>
        <w:spacing w:after="120" w:line="276" w:lineRule="auto"/>
      </w:pPr>
      <w:r>
        <w:t>**Moyennes Mobiles** — La MM20 (3 237,25 FCFA) et la MM50 (3 037,40 FCFA) encadrent le cours actuel de 3 205 FCFA : le titre évolue au-dessus de sa MM50 mais légèrement en dessous de sa MM20, configuration qui traduit une consolidation à court terme au sein d'une tendance de fond haussière. La MM20 &gt; MM50 confirme la structure haussière, et la décision technique affichée est **Achat**, soutenue par le maintien du cours au-dessus de la moyenne longue.</w:t>
      </w:r>
    </w:p>
    <w:p>
      <w:pPr>
        <w:spacing w:after="120" w:line="276" w:lineRule="auto"/>
      </w:pPr>
      <w:r>
        <w:t>**Bandes de Bollinger** — Le cours (3 205 FCFA) se situe entre la borne inférieure (3 082,79 FCFA) et la borne supérieure (3 391,71 FCFA), plus proche du bas que du haut, ce qui indique une pression baissière récente sans rupture des bandes. L'amplitude des bandes (309 FCFA) reflète une volatilité modérée, et la décision est **Neutre** : le titre n'est ni en surachat ni en survente, laissant place à une indécision directionnelle.</w:t>
      </w:r>
    </w:p>
    <w:p>
      <w:pPr>
        <w:spacing w:after="120" w:line="276" w:lineRule="auto"/>
      </w:pPr>
      <w:r>
        <w:t>**MACD** — La valeur du MACD (56,018) est inférieure à son signal (73,653), générant un croisement baissier qui traduit un essoufflement du momentum haussier. La décision technique est **Vente**, signalant que la dynamique positive des dernières semaines s'affaiblit et qu'une correction est en cours.</w:t>
      </w:r>
    </w:p>
    <w:p>
      <w:pPr>
        <w:spacing w:after="120" w:line="276" w:lineRule="auto"/>
      </w:pPr>
      <w:r>
        <w:t>**RSI** — À 53,077, le RSI se situe parfaitement dans la zone neutre (30-70), ni en surachat ni en survente. La décision est **Neutre** : le titre dispose d'une marge de manœuvre dans les deux sens, sans signal directionnel fort.</w:t>
      </w:r>
    </w:p>
    <w:p>
      <w:pPr>
        <w:spacing w:after="120" w:line="276" w:lineRule="auto"/>
      </w:pPr>
      <w:r>
        <w:t>**Stochastique** — Le %K (9,302) est très bas et nettement inférieur au %D (34,466), configuration de survente marquée qui précède souvent un rebond technique. La décision est **Achat**, le croisement %K sous %D en zone basse suggérant une opportunité d'entrée contrariante.</w:t>
      </w:r>
    </w:p>
    <w:p>
      <w:pPr>
        <w:spacing w:after="120" w:line="276" w:lineRule="auto"/>
      </w:pPr>
      <w:r>
        <w:t>**Conclusion technique** — Les indicateurs sont partagés : les moyennes mobiles et le stochastique plaident pour un achat (tendance de fond haussière + survente), tandis que le MACD signale une vente (perte de momentum) et que le RSI et les Bollinger restent neutres. Cette divergence traduit une phase de consolidation incertaine, avec un avantage tactique aux acheteurs contrariants mais une confirmation nécessaire par le volume et le franchissement de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(équivalent du chiffre d'affaires pour une banque) de 186,609 Mds FCFA, en recul de -4,52% sur un an, et un résultat net de 21,643 Mds FCFA, marquant un redressement spectaculaire après la perte de -44,363 Mds FCFA en 2024. Le ROE ressort à 19,13% (&gt;15% = excellent), le ROA à 0,54%, et la marge nette à 11,60%. Le coefficient d'exploitation de 42,85% place ORGT parmi les banques les plus efficaces (&lt;50% = excellente), et le coût du risque rapporté aux charges financières (3,74%) demeure contenu, signe d'un portefeuille assaini. La structure de bilan est solide : dépôts clientèle de 3 088,70 Mds FCFA contre créances clientèle de 1 523,77 Mds FCFA, soit un ratio de transformation de 49,3% — la banque finance ses crédits par une base de dépôts stable et abondante. Les capitaux propres s'élèvent à 113,165 Mds FCFA (+17% vs 2024), renforçant la solvabilité, bien que l'autonomie financière (2,82%) reste structurellement faible, caractéristique du modèle bancaire.</w:t>
      </w:r>
    </w:p>
    <w:p>
      <w:pPr>
        <w:spacing w:after="120" w:line="276" w:lineRule="auto"/>
      </w:pPr>
      <w:r>
        <w:t>**Estimations basées sur les rapports trimestriels** — Le rapport du T3 2025 (daté du 30/09/2025) confirme un résultat net cumulé de 19,6 Mds FCFA (+248%) avec un coût du risque en baisse de 74% et des frais généraux réduits de 15%. Le rapport T1 2026 (publié en 2026) montre un PNB de 50,124 Mds FCFA (-2%) mais un résultat net de 6,555 Mds FCFA (+37%), avec des dépôts clientèle en hausse de 14% à 3 343 Mds FCFA et des crédits nets en recul de 12%. Sur cette base, on estime que l'exercice 2026 devrait consolider le redressement avec un résultat net annuel projeté autour de 25-27 Mds FCFA, porté par la poursuite de la maîtrise des coûts et l'amélioration du coût du risque, mais la faiblesse persistante du PNB reste le principal point de vigilance.</w:t>
      </w:r>
    </w:p>
    <w:p>
      <w:pPr>
        <w:spacing w:after="120" w:line="276" w:lineRule="auto"/>
      </w:pPr>
      <w:r>
        <w:t>**Évolution et recommandation fondamentale** — L'évolution 2024→2025 est remarquable : passage d'une perte de -44,4 Mds à un bénéfice de 21,6 Mds FCFA, avec des capitaux propres renforcés de +17%. Les risques identifiés par les analystes (rapports des 04-05/05/2026 et 07/09/2026) portent sur la baisse du PNB (-4,5%), la dépendance à la normalisation du coût du risque, et l'absence de dividende (confirmée par l'avis de convocation à l'AG du 23/07/2026, qui propose 0 FCFA de distribution). La recommandation fondamentale consensuelle est **CONSERVER** : la solidité retrouvée et la rentabilité élevée (ROE 19,1%) justifient le maintien en portefeuille, mais l'absence de dynamique commerciale sur le PNB et le risque de récurrence des impayés interdisent un achat agressif à ce stade.</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profil contrasté. **Valorisation (Partie 0)** : le PER de 10,3x et le P/B de 1,97x sont raisonnables et cohérents avec le ROE de 19,1%, mais l'EV/EBITDA de 20,1x signale une valorisation déjà exigeante — le titre n'est ni sous-évalué ni surévalué, il est correctement valorisé. **Comportement du cours (Partie 1)** : la variation de -2,73% sur 100 jours masque une tendance de fond haussière (cours &gt; moyenne et médiane), avec une volatilité élevée (43,2%) mais un kurtosis négatif rassurant (faible risque de pics) et une distribution symétrique — profil favorable malgré la correction récente. **Signaux techniques (Partie 2)** : divergence entre le MACD (vente) et le stochastique/moyennes mobiles (achat), avec RSI et Bollinger neutres — indécision tactique qui plaide pour une attente de confirmation. **Fondamentaux (Partie 3)** : redressement spectaculaire en 2025 (résultat net de 21,6 Mds vs -44,4 Mds en 2024), ROE excellent (19,1%), coefficient d'exploitation maîtrisé (42,85%), mais PNB en repli (-4,5%) et absence de dividende — solidité retrouvée mais croissance organique à prouver. **Prédictions IA (J+1 à J+10)** : la trajectoire projetée (3 245 → 3 255 FCFA, soit +1,6% sur 10 jours) confirme la thèse d'un rebond technique modéré, cohérent avec le stochastique en survente et le maintien au-dessus de la MM50.</w:t>
      </w:r>
    </w:p>
    <w:p>
      <w:pPr>
        <w:spacing w:after="120" w:line="276" w:lineRule="auto"/>
      </w:pPr>
      <w:r>
        <w:t>**Recommandation finale : CONSERVER** — avec un niveau de confiance **Moyen** et un niveau de risque **Élevé** (volatilité 43,2%, dépendance à la normalisation du coût du risque, absence de dividende). La convergence est partielle : la valorisation raisonnable, le redressement fondamental et les prédictions haussières soutiennent le titre, mais la divergence technique (MACD baissier) et la faiblesse du PNB imposent la prudence. **Horizon d'investissement optimal : moyen terme (3-12 mois)**, le temps de vérifier la reprise du PNB et la confirmation de la dynamique commerciale avant d'envisager un renforcement. Un passage à **ACHAT** serait justifié si le PNB se stabilise ou progresse lors des prochains trimestriels et si le cours franchit durablement la MM20 (3 237 FCFA) avec volume.</w:t>
      </w:r>
    </w:p>
    <w:p>
      <w:pPr>
        <w:spacing w:after="120" w:line="276" w:lineRule="auto"/>
      </w:pPr>
      <w:r>
        <w:t>---</w:t>
        <w:br/>
        <w:t>*Rapport généré sur la base des données BRVM au 21/09/2026 — Sources : états financiers 2025, rapports T1/T3 2025 et T1 2026, avis de convocation AG du 23/07/2026.*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3,974 titres</w:t>
            </w:r>
          </w:p>
        </w:tc>
        <w:tc>
          <w:tcPr>
            <w:tcW w:type="dxa" w:w="2268"/>
            <w:shd w:fill="FFF2CC" w:val="clear"/>
          </w:tcPr>
          <w:p>
            <w:r>
              <w:rPr>
                <w:b/>
                <w:color w:val="503200"/>
                <w:sz w:val="16"/>
              </w:rPr>
              <w:t xml:space="preserve">Cours actuel : </w:t>
            </w:r>
            <w:r>
              <w:rPr>
                <w:color w:val="000000"/>
                <w:sz w:val="17"/>
              </w:rPr>
              <w:t>8,390 FCFA</w:t>
            </w:r>
          </w:p>
          <w:p>
            <w:r>
              <w:rPr>
                <w:b/>
                <w:color w:val="503200"/>
                <w:sz w:val="16"/>
              </w:rPr>
              <w:t xml:space="preserve">Var. 100 jours : </w:t>
            </w:r>
            <w:r>
              <w:rPr>
                <w:b/>
                <w:color w:val="007800"/>
                <w:sz w:val="17"/>
              </w:rPr>
              <w:t>+8.96%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6.53% (Moyenne) — μ=8,561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β=-0.3173 (Contre-cyclique) — Cov=-0.000011, Var(idx)=0.000036, ρ=-0.081,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8,186</w:t>
            </w:r>
          </w:p>
        </w:tc>
        <w:tc>
          <w:tcPr>
            <w:tcW w:type="dxa" w:w="1440"/>
            <w:shd w:fill="FAFAFA" w:val="clear"/>
          </w:tcPr>
          <w:p>
            <w:r>
              <w:rPr>
                <w:b/>
                <w:sz w:val="17"/>
              </w:rPr>
              <w:t>8,430</w:t>
            </w:r>
          </w:p>
        </w:tc>
        <w:tc>
          <w:tcPr>
            <w:tcW w:type="dxa" w:w="1440"/>
            <w:shd w:fill="FAFAFA" w:val="clear"/>
          </w:tcPr>
          <w:p>
            <w:r>
              <w:rPr>
                <w:sz w:val="17"/>
              </w:rPr>
              <w:t>8,675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8,060</w:t>
            </w:r>
          </w:p>
        </w:tc>
        <w:tc>
          <w:tcPr>
            <w:tcW w:type="dxa" w:w="1440"/>
            <w:shd w:fill="FAFAFA" w:val="clear"/>
          </w:tcPr>
          <w:p>
            <w:r>
              <w:rPr>
                <w:b/>
                <w:sz w:val="17"/>
              </w:rPr>
              <w:t>8,405</w:t>
            </w:r>
          </w:p>
        </w:tc>
        <w:tc>
          <w:tcPr>
            <w:tcW w:type="dxa" w:w="1440"/>
            <w:shd w:fill="FAFAFA" w:val="clear"/>
          </w:tcPr>
          <w:p>
            <w:r>
              <w:rPr>
                <w:sz w:val="17"/>
              </w:rPr>
              <w:t>8,750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7,968</w:t>
            </w:r>
          </w:p>
        </w:tc>
        <w:tc>
          <w:tcPr>
            <w:tcW w:type="dxa" w:w="1440"/>
            <w:shd w:fill="FAFAFA" w:val="clear"/>
          </w:tcPr>
          <w:p>
            <w:r>
              <w:rPr>
                <w:b/>
                <w:sz w:val="17"/>
              </w:rPr>
              <w:t>8,390</w:t>
            </w:r>
          </w:p>
        </w:tc>
        <w:tc>
          <w:tcPr>
            <w:tcW w:type="dxa" w:w="1440"/>
            <w:shd w:fill="FAFAFA" w:val="clear"/>
          </w:tcPr>
          <w:p>
            <w:r>
              <w:rPr>
                <w:sz w:val="17"/>
              </w:rPr>
              <w:t>8,812</w:t>
            </w:r>
          </w:p>
        </w:tc>
        <w:tc>
          <w:tcPr>
            <w:tcW w:type="dxa" w:w="1440"/>
            <w:shd w:fill="FAFAFA" w:val="clear"/>
          </w:tcPr>
          <w:p>
            <w:r>
              <w:rPr>
                <w:b/>
                <w:color w:val="008000"/>
                <w:sz w:val="17"/>
              </w:rPr>
              <w:t>+0.0%</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7,890</w:t>
            </w:r>
          </w:p>
        </w:tc>
        <w:tc>
          <w:tcPr>
            <w:tcW w:type="dxa" w:w="1440"/>
            <w:shd w:fill="FAFAFA" w:val="clear"/>
          </w:tcPr>
          <w:p>
            <w:r>
              <w:rPr>
                <w:b/>
                <w:sz w:val="17"/>
              </w:rPr>
              <w:t>8,377</w:t>
            </w:r>
          </w:p>
        </w:tc>
        <w:tc>
          <w:tcPr>
            <w:tcW w:type="dxa" w:w="1440"/>
            <w:shd w:fill="FAFAFA" w:val="clear"/>
          </w:tcPr>
          <w:p>
            <w:r>
              <w:rPr>
                <w:sz w:val="17"/>
              </w:rPr>
              <w:t>8,863</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7,819</w:t>
            </w:r>
          </w:p>
        </w:tc>
        <w:tc>
          <w:tcPr>
            <w:tcW w:type="dxa" w:w="1440"/>
            <w:shd w:fill="FAFAFA" w:val="clear"/>
          </w:tcPr>
          <w:p>
            <w:r>
              <w:rPr>
                <w:b/>
                <w:sz w:val="17"/>
              </w:rPr>
              <w:t>8,363</w:t>
            </w:r>
          </w:p>
        </w:tc>
        <w:tc>
          <w:tcPr>
            <w:tcW w:type="dxa" w:w="1440"/>
            <w:shd w:fill="FAFAFA" w:val="clear"/>
          </w:tcPr>
          <w:p>
            <w:r>
              <w:rPr>
                <w:sz w:val="17"/>
              </w:rPr>
              <w:t>8,906</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7,755</w:t>
            </w:r>
          </w:p>
        </w:tc>
        <w:tc>
          <w:tcPr>
            <w:tcW w:type="dxa" w:w="1440"/>
            <w:shd w:fill="FAFAFA" w:val="clear"/>
          </w:tcPr>
          <w:p>
            <w:r>
              <w:rPr>
                <w:b/>
                <w:sz w:val="17"/>
              </w:rPr>
              <w:t>8,349</w:t>
            </w:r>
          </w:p>
        </w:tc>
        <w:tc>
          <w:tcPr>
            <w:tcW w:type="dxa" w:w="1440"/>
            <w:shd w:fill="FAFAFA" w:val="clear"/>
          </w:tcPr>
          <w:p>
            <w:r>
              <w:rPr>
                <w:sz w:val="17"/>
              </w:rPr>
              <w:t>8,943</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7,695</w:t>
            </w:r>
          </w:p>
        </w:tc>
        <w:tc>
          <w:tcPr>
            <w:tcW w:type="dxa" w:w="1440"/>
            <w:shd w:fill="FAFAFA" w:val="clear"/>
          </w:tcPr>
          <w:p>
            <w:r>
              <w:rPr>
                <w:b/>
                <w:sz w:val="17"/>
              </w:rPr>
              <w:t>8,336</w:t>
            </w:r>
          </w:p>
        </w:tc>
        <w:tc>
          <w:tcPr>
            <w:tcW w:type="dxa" w:w="1440"/>
            <w:shd w:fill="FAFAFA" w:val="clear"/>
          </w:tcPr>
          <w:p>
            <w:r>
              <w:rPr>
                <w:sz w:val="17"/>
              </w:rPr>
              <w:t>8,976</w:t>
            </w:r>
          </w:p>
        </w:tc>
        <w:tc>
          <w:tcPr>
            <w:tcW w:type="dxa" w:w="1440"/>
            <w:shd w:fill="FAFAFA" w:val="clear"/>
          </w:tcPr>
          <w:p>
            <w:r>
              <w:rPr>
                <w:b/>
                <w:color w:val="C00000"/>
                <w:sz w:val="17"/>
              </w:rPr>
              <w:t>-0.6%</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7,639</w:t>
            </w:r>
          </w:p>
        </w:tc>
        <w:tc>
          <w:tcPr>
            <w:tcW w:type="dxa" w:w="1440"/>
            <w:shd w:fill="FAFAFA" w:val="clear"/>
          </w:tcPr>
          <w:p>
            <w:r>
              <w:rPr>
                <w:b/>
                <w:sz w:val="17"/>
              </w:rPr>
              <w:t>8,323</w:t>
            </w:r>
          </w:p>
        </w:tc>
        <w:tc>
          <w:tcPr>
            <w:tcW w:type="dxa" w:w="1440"/>
            <w:shd w:fill="FAFAFA" w:val="clear"/>
          </w:tcPr>
          <w:p>
            <w:r>
              <w:rPr>
                <w:sz w:val="17"/>
              </w:rPr>
              <w:t>9,007</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7,586</w:t>
            </w:r>
          </w:p>
        </w:tc>
        <w:tc>
          <w:tcPr>
            <w:tcW w:type="dxa" w:w="1440"/>
            <w:shd w:fill="FAFAFA" w:val="clear"/>
          </w:tcPr>
          <w:p>
            <w:r>
              <w:rPr>
                <w:b/>
                <w:sz w:val="17"/>
              </w:rPr>
              <w:t>8,310</w:t>
            </w:r>
          </w:p>
        </w:tc>
        <w:tc>
          <w:tcPr>
            <w:tcW w:type="dxa" w:w="1440"/>
            <w:shd w:fill="FAFAFA" w:val="clear"/>
          </w:tcPr>
          <w:p>
            <w:r>
              <w:rPr>
                <w:sz w:val="17"/>
              </w:rPr>
              <w:t>9,034</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7,535</w:t>
            </w:r>
          </w:p>
        </w:tc>
        <w:tc>
          <w:tcPr>
            <w:tcW w:type="dxa" w:w="1440"/>
            <w:shd w:fill="FAFAFA" w:val="clear"/>
          </w:tcPr>
          <w:p>
            <w:r>
              <w:rPr>
                <w:b/>
                <w:sz w:val="17"/>
              </w:rPr>
              <w:t>8,297</w:t>
            </w:r>
          </w:p>
        </w:tc>
        <w:tc>
          <w:tcPr>
            <w:tcW w:type="dxa" w:w="1440"/>
            <w:shd w:fill="FAFAFA" w:val="clear"/>
          </w:tcPr>
          <w:p>
            <w:r>
              <w:rPr>
                <w:sz w:val="17"/>
              </w:rPr>
              <w:t>9,060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129,70 milliards FCFA, PALC se positionne parmi les valeurs de taille intermédiaire à supérieure de la cote BRVM, ce qui traduit une liquidité correcte mais inférieure aux blue chips bancaires ou télécoms. Le BPA s'établit à 1 003 FCFA/action, ce qui signifie que chaque titre génère environ 1 003 FCFA de bénéfice net annuel, un niveau confortable pour une valeur agro-industrielle. Le PER de 8,4x se situe dans la fourchette basse de la moyenne BRVM (~8-12x), suggérant que le marché ne paie pas cher pour les bénéfices actuels, avec un potentiel de rattrapage si la rentabilité se stabilise. Le P/B de 0,91x indique que le marché valorise PALC en dessous de sa valeur comptable (capitaux propres de 142,6 Mds FCFA), ce qui constitue historiquement un signal d'opportunité pour les investisseurs value. Enfin, l'EV/EBITDA de 4,1x, nettement inférieur au seuil de 5x, confirme que la valeur d'entreprise reste modérée au regard de la capacité opérationnelle de génération de cash (EBE de 33,0 Mds FCFA en 2025), renforçant le diagnostic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positive de +8,96%, malgré un repli de -1,29% lors de la dernière séance, ce qui témoigne d'une dynamique haussière de fond mais d'une pression vendeuse récente. Le titre a évolué dans un range large de 2 640 FCFA, entre un plus bas de 7 000 FCFA et un plus haut de 9 640 FCFA, reflétant une volatilité intra-période significative. La tendance générale reste donc haussière sur la période, mais le cours actuel (8 390 FCFA) se situe nettement sous son plus haut, signalant une phase de correction. Les statistiques descriptives révèlent une moyenne de 8 561 FCFA légèrement supérieure à la médiane de 8 690 FCFA — écart modeste qui suggère une distribution quasi symétrique, confirmée par un skewness de -0,480 (léger étirement vers les valeurs basses). L'écart-type de 562 FCFA avec un coefficient de variation de 6,6% indique une dispersion modérée du cours autour de sa moyenne, tandis que le kurtosis de -0,296 (mésokurtique) traduit une distribution proche de la normale, sans risque excessif de pics extrêmes. La volatilité annualisée de 37,3% classe PALC dans la catégorie des titres à volatilité élevée (&gt;30%), ce qui implique un risque de marché non négligeable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(8 888 FCFA) et la MM50 (8 914,6 FCFA) se situent toutes deux au-dessus du cours actuel (8 390 FCFA), ce qui place le titre en configuration baissière de court terme. L'écart entre les deux moyennes est faible, indiquant une absence de tendance directionnelle forte, mais la position du cours sous ces niveaux justifie la décision technique de **Vente**.</w:t>
      </w:r>
    </w:p>
    <w:p>
      <w:pPr>
        <w:spacing w:after="120" w:line="276" w:lineRule="auto"/>
      </w:pPr>
      <w:r>
        <w:t>**Bandes de Bollinger** : Le cours (8 390 FCFA) évolue dans la partie basse du canal, entre la borne inférieure (8 021 FCFA) et la borne supérieure (9 755 FCFA). Cette position proche de la borne basse traduit une pression vendeuse, mais sans franchissement, ce qui explique la décision **Neutre** — le titre n'est ni en survente extrême ni en surachat.</w:t>
      </w:r>
    </w:p>
    <w:p>
      <w:pPr>
        <w:spacing w:after="120" w:line="276" w:lineRule="auto"/>
      </w:pPr>
      <w:r>
        <w:t>**MACD** : La valeur du MACD (-173,73) est inférieure à son signal (-119,79), confirmant un momentum baissier avec une divergence négative persistante. Cette configuration plaide pour une poursuite de la faiblesse à court terme et justifie la décision de **Vente**.</w:t>
      </w:r>
    </w:p>
    <w:p>
      <w:pPr>
        <w:spacing w:after="120" w:line="276" w:lineRule="auto"/>
      </w:pPr>
      <w:r>
        <w:t>**RSI** : À 24,56, le RSI se situe nettement en zone de survente (&lt;30), ce qui constitue un signal d'**Achat** technique. Cette lecture suggère qu'un rebond technique est probable à court terme, en contradiction avec les signaux des moyennes mobiles et du MACD.</w:t>
      </w:r>
    </w:p>
    <w:p>
      <w:pPr>
        <w:spacing w:after="120" w:line="276" w:lineRule="auto"/>
      </w:pPr>
      <w:r>
        <w:t>**Stochastique** : Le %K (9,375) est très bas et inférieur au %D (18,304), confirmant la survente. La décision est **Achat**, ce qui renforce le signal de rebond potentiel émanant du RSI.</w:t>
      </w:r>
    </w:p>
    <w:p>
      <w:pPr>
        <w:spacing w:after="120" w:line="276" w:lineRule="auto"/>
      </w:pPr>
      <w:r>
        <w:t>**Conclusion technique** : Les indicateurs présentent une divergence classique entre signaux de tendance (MM, MACD → Vente) et signaux de momentum (RSI, Stochastique → Achat). Cette configuration suggère que le titre est en fin de correction baissière, avec un potentiel de rebond technique à court terme, mais la tendance de fond reste fragile tant que le cours n'aura pas reconquis la MM20 (8 888 FCFA).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 milliards FCFA, en croissance de +14,78% par rapport à 2024 (172,2 Mds FCFA), portée par la hausse des volumes et des prix de l'huile de palme. Le résultat net s'établit à 15,51 milliards FCFA, en léger recul de -2,2% vs 2024 (15,9 Mds FCFA), sous l'effet de la pression sur les coûts (charges de personnel +4%, services extérieurs +30,3%). Le ROE ressort à 10,87% (en baisse vs 11,7% en 2024) et le ROA à 7,79%, des niveaux corrects mais inférieurs au seuil d'excellence de 15%. La marge nette se contracte à 7,85% (vs 9,2% en 2024), tandis que la marge opérationnelle recule à 9,19%. La structure financière reste très solide : autonomie financière de 71,64%, ratio d'endettement de 0,56%, solvabilité générale de 352,6% et liquidité générale de 172%. Le BFR est positif à 44,62 Mds FCFA, avec un délai client élevé de 142,58 jours — point de vigilance sur la trésorerie — et une durée de stockage de 14,55 jours. La trésorerie nette est négative à -4,56 Mds FCFA, mais le flux opérationnel de 38,74 Mds FCFA et le Free Cash Flow de 19,05 Mds FCFA couvrent largement les investissements (-19,69 Mds FCFA).</w:t>
      </w:r>
    </w:p>
    <w:p>
      <w:pPr>
        <w:spacing w:after="120" w:line="276" w:lineRule="auto"/>
      </w:pPr>
      <w:r>
        <w:t>**Estimations basées sur les rapports trimestriels** : Le rapport T1 2026 (publié en 2026) révèle un effondrement du CA de -27% à 49,4 Mds FCFA et du résultat net de -86% à 1,6 Md FCFA, que la direction attribue à un décalage temporel des ventes. Le rapport T3 2025 (30/09/2025) faisait état d'un CA cumulé de 168,9 Mds FCFA (+18%) et d'un résultat net de 18,0 Mds FCFA (+11%), avec une marge nette de 10,7%. Le rapport S1 2025 (30/06/2025) affichait un CA de 134,8 Mds FCFA (+25%) et un résultat net de 22,9 Mds FCFA (+37%), avec une marge nette de 17,0%. On estime donc que l'exercice 2026 devrait être nettement plus difficile que 2025, avec un résultat net potentiellement inférieur si le décalage des ventes ne se résorbe pas au T2/T3 2026. La politique de dividende (502 FCFA/action en 2025, en baisse de -19%) pourrait être encore réduite en 2026. **Recommandation fondamentale** : solidité bilancielle incontestable, mais dégradation marquée de la rentabilité et incertitude sur l'exercice 2026 — profil risqué à court terme, avec un potentiel de rebond si les ventes se normalisent.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plaide clairement pour une sous-évaluation : PER de 8,4x, P/B de 0,91x et EV/EBITDA de 4,1x sont tous inférieurs aux moyennes de marché, offrant une marge de sécurité théorique. Le comportement du cours (Partie 1) est mitigé : tendance haussière sur 100 jours (+8,96%) mais correction récente (-1,29% J-1), volatilité élevée (37,3%) et distribution quasi normale (kurtosis -0,296, skewness -0,480) — pas de risque extrême mais une dispersion notable. Les signaux techniques (Partie 2) sont divergents : MM et MACD baissiers, mais RSI (24,56) et Stochastique (9,4) en survente extrême, suggérant un rebond imminent. Les fondamentaux (Partie 3) sont contrastés : bilan très solide (autonomie financière 71,6%, endettement quasi nul), mais rentabilité en repli (ROE 10,87%, marge nette 7,85%) et surtout un T1 2026 catastrophique (-86% de résultat net) qui pèse lourdement sur les perspectives. Les prédictions IA (J+1 à J+10) anticipent une légère dérive baissière de 8 430 à 8 363 FCFA, confirmant la pression court terme mais sans effondrement. **Synthèse** : la convergence entre valorisation attractive, signaux techniques de survente et fondamentaux solides à long terme est contrariée par la dégradation récente des résultats et les prédictions baissières. **Recommandation finale : CONSERVER** — le titre offre une opportunité value intéressante pour les investisseurs patients, mais le risque à court terme (T1 2026 décevant, trésorerie négative, dividende en baisse) justifie d'attendre une confirmation de la reprise des ventes avant de renforcer. **Niveau de confiance : Moyen** (divergence technique/fondamental). **Niveau de risque global : Élevé** (volatilité 37,3%, incertitude sur 2026). **Horizon d'investissement optimal : Moyen terme (3-12 mois)**, avec un suivi trimestriel impératif des ventes et de la trésorerie.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44.08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1,150 titres</w:t>
            </w:r>
          </w:p>
        </w:tc>
        <w:tc>
          <w:tcPr>
            <w:tcW w:type="dxa" w:w="2268"/>
            <w:shd w:fill="FFF2CC" w:val="clear"/>
          </w:tcPr>
          <w:p>
            <w:r>
              <w:rPr>
                <w:b/>
                <w:color w:val="503200"/>
                <w:sz w:val="16"/>
              </w:rPr>
              <w:t xml:space="preserve">Cours actuel : </w:t>
            </w:r>
            <w:r>
              <w:rPr>
                <w:color w:val="000000"/>
                <w:sz w:val="17"/>
              </w:rPr>
              <w:t>4,305 FCFA</w:t>
            </w:r>
          </w:p>
          <w:p>
            <w:r>
              <w:rPr>
                <w:b/>
                <w:color w:val="503200"/>
                <w:sz w:val="16"/>
              </w:rPr>
              <w:t xml:space="preserve">Var. 100 jours : </w:t>
            </w:r>
            <w:r>
              <w:rPr>
                <w:b/>
                <w:color w:val="B40000"/>
                <w:sz w:val="17"/>
              </w:rPr>
              <w:t>-10.31%</w:t>
            </w:r>
          </w:p>
          <w:p>
            <w:r>
              <w:rPr>
                <w:b/>
                <w:color w:val="503200"/>
                <w:sz w:val="16"/>
              </w:rPr>
              <w:t xml:space="preserve">Plus haut 100j : </w:t>
            </w:r>
            <w:r>
              <w:rPr>
                <w:color w:val="000000"/>
                <w:sz w:val="17"/>
              </w:rPr>
              <w:t>4,800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6.44% (Moyenne) — μ=4,368 FCFA, σ=281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β=-0.2289 (Contre-cyclique) — Cov=-0.000008, Var(idx)=0.000036, ρ=-0.056,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4,256</w:t>
            </w:r>
          </w:p>
        </w:tc>
        <w:tc>
          <w:tcPr>
            <w:tcW w:type="dxa" w:w="1440"/>
            <w:shd w:fill="FAFAFA" w:val="clear"/>
          </w:tcPr>
          <w:p>
            <w:r>
              <w:rPr>
                <w:b/>
                <w:sz w:val="17"/>
              </w:rPr>
              <w:t>4,354</w:t>
            </w:r>
          </w:p>
        </w:tc>
        <w:tc>
          <w:tcPr>
            <w:tcW w:type="dxa" w:w="1440"/>
            <w:shd w:fill="FAFAFA" w:val="clear"/>
          </w:tcPr>
          <w:p>
            <w:r>
              <w:rPr>
                <w:sz w:val="17"/>
              </w:rPr>
              <w:t>4,453</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4,190</w:t>
            </w:r>
          </w:p>
        </w:tc>
        <w:tc>
          <w:tcPr>
            <w:tcW w:type="dxa" w:w="1440"/>
            <w:shd w:fill="FAFAFA" w:val="clear"/>
          </w:tcPr>
          <w:p>
            <w:r>
              <w:rPr>
                <w:b/>
                <w:sz w:val="17"/>
              </w:rPr>
              <w:t>4,328</w:t>
            </w:r>
          </w:p>
        </w:tc>
        <w:tc>
          <w:tcPr>
            <w:tcW w:type="dxa" w:w="1440"/>
            <w:shd w:fill="FAFAFA" w:val="clear"/>
          </w:tcPr>
          <w:p>
            <w:r>
              <w:rPr>
                <w:sz w:val="17"/>
              </w:rPr>
              <w:t>4,467</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4,146</w:t>
            </w:r>
          </w:p>
        </w:tc>
        <w:tc>
          <w:tcPr>
            <w:tcW w:type="dxa" w:w="1440"/>
            <w:shd w:fill="FAFAFA" w:val="clear"/>
          </w:tcPr>
          <w:p>
            <w:r>
              <w:rPr>
                <w:b/>
                <w:sz w:val="17"/>
              </w:rPr>
              <w:t>4,315</w:t>
            </w:r>
          </w:p>
        </w:tc>
        <w:tc>
          <w:tcPr>
            <w:tcW w:type="dxa" w:w="1440"/>
            <w:shd w:fill="FAFAFA" w:val="clear"/>
          </w:tcPr>
          <w:p>
            <w:r>
              <w:rPr>
                <w:sz w:val="17"/>
              </w:rPr>
              <w:t>4,484</w:t>
            </w:r>
          </w:p>
        </w:tc>
        <w:tc>
          <w:tcPr>
            <w:tcW w:type="dxa" w:w="1440"/>
            <w:shd w:fill="FAFAFA" w:val="clear"/>
          </w:tcPr>
          <w:p>
            <w:r>
              <w:rPr>
                <w:b/>
                <w:color w:val="008000"/>
                <w:sz w:val="17"/>
              </w:rPr>
              <w:t>+0.2%</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4,109</w:t>
            </w:r>
          </w:p>
        </w:tc>
        <w:tc>
          <w:tcPr>
            <w:tcW w:type="dxa" w:w="1440"/>
            <w:shd w:fill="FAFAFA" w:val="clear"/>
          </w:tcPr>
          <w:p>
            <w:r>
              <w:rPr>
                <w:b/>
                <w:sz w:val="17"/>
              </w:rPr>
              <w:t>4,304</w:t>
            </w:r>
          </w:p>
        </w:tc>
        <w:tc>
          <w:tcPr>
            <w:tcW w:type="dxa" w:w="1440"/>
            <w:shd w:fill="FAFAFA" w:val="clear"/>
          </w:tcPr>
          <w:p>
            <w:r>
              <w:rPr>
                <w:sz w:val="17"/>
              </w:rPr>
              <w:t>4,499</w:t>
            </w:r>
          </w:p>
        </w:tc>
        <w:tc>
          <w:tcPr>
            <w:tcW w:type="dxa" w:w="1440"/>
            <w:shd w:fill="FAFAFA" w:val="clear"/>
          </w:tcPr>
          <w:p>
            <w:r>
              <w:rPr>
                <w:b/>
                <w:color w:val="C00000"/>
                <w:sz w:val="17"/>
              </w:rPr>
              <w:t>-0.0%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4,076</w:t>
            </w:r>
          </w:p>
        </w:tc>
        <w:tc>
          <w:tcPr>
            <w:tcW w:type="dxa" w:w="1440"/>
            <w:shd w:fill="FAFAFA" w:val="clear"/>
          </w:tcPr>
          <w:p>
            <w:r>
              <w:rPr>
                <w:b/>
                <w:sz w:val="17"/>
              </w:rPr>
              <w:t>4,293</w:t>
            </w:r>
          </w:p>
        </w:tc>
        <w:tc>
          <w:tcPr>
            <w:tcW w:type="dxa" w:w="1440"/>
            <w:shd w:fill="FAFAFA" w:val="clear"/>
          </w:tcPr>
          <w:p>
            <w:r>
              <w:rPr>
                <w:sz w:val="17"/>
              </w:rPr>
              <w:t>4,510</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4,044</w:t>
            </w:r>
          </w:p>
        </w:tc>
        <w:tc>
          <w:tcPr>
            <w:tcW w:type="dxa" w:w="1440"/>
            <w:shd w:fill="FAFAFA" w:val="clear"/>
          </w:tcPr>
          <w:p>
            <w:r>
              <w:rPr>
                <w:b/>
                <w:sz w:val="17"/>
              </w:rPr>
              <w:t>4,282</w:t>
            </w:r>
          </w:p>
        </w:tc>
        <w:tc>
          <w:tcPr>
            <w:tcW w:type="dxa" w:w="1440"/>
            <w:shd w:fill="FAFAFA" w:val="clear"/>
          </w:tcPr>
          <w:p>
            <w:r>
              <w:rPr>
                <w:sz w:val="17"/>
              </w:rPr>
              <w:t>4,519</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4,015</w:t>
            </w:r>
          </w:p>
        </w:tc>
        <w:tc>
          <w:tcPr>
            <w:tcW w:type="dxa" w:w="1440"/>
            <w:shd w:fill="FAFAFA" w:val="clear"/>
          </w:tcPr>
          <w:p>
            <w:r>
              <w:rPr>
                <w:b/>
                <w:sz w:val="17"/>
              </w:rPr>
              <w:t>4,271</w:t>
            </w:r>
          </w:p>
        </w:tc>
        <w:tc>
          <w:tcPr>
            <w:tcW w:type="dxa" w:w="1440"/>
            <w:shd w:fill="FAFAFA" w:val="clear"/>
          </w:tcPr>
          <w:p>
            <w:r>
              <w:rPr>
                <w:sz w:val="17"/>
              </w:rPr>
              <w:t>4,527</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3,988</w:t>
            </w:r>
          </w:p>
        </w:tc>
        <w:tc>
          <w:tcPr>
            <w:tcW w:type="dxa" w:w="1440"/>
            <w:shd w:fill="FAFAFA" w:val="clear"/>
          </w:tcPr>
          <w:p>
            <w:r>
              <w:rPr>
                <w:b/>
                <w:sz w:val="17"/>
              </w:rPr>
              <w:t>4,261</w:t>
            </w:r>
          </w:p>
        </w:tc>
        <w:tc>
          <w:tcPr>
            <w:tcW w:type="dxa" w:w="1440"/>
            <w:shd w:fill="FAFAFA" w:val="clear"/>
          </w:tcPr>
          <w:p>
            <w:r>
              <w:rPr>
                <w:sz w:val="17"/>
              </w:rPr>
              <w:t>4,533</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3,962</w:t>
            </w:r>
          </w:p>
        </w:tc>
        <w:tc>
          <w:tcPr>
            <w:tcW w:type="dxa" w:w="1440"/>
            <w:shd w:fill="FAFAFA" w:val="clear"/>
          </w:tcPr>
          <w:p>
            <w:r>
              <w:rPr>
                <w:b/>
                <w:sz w:val="17"/>
              </w:rPr>
              <w:t>4,251</w:t>
            </w:r>
          </w:p>
        </w:tc>
        <w:tc>
          <w:tcPr>
            <w:tcW w:type="dxa" w:w="1440"/>
            <w:shd w:fill="FAFAFA" w:val="clear"/>
          </w:tcPr>
          <w:p>
            <w:r>
              <w:rPr>
                <w:sz w:val="17"/>
              </w:rPr>
              <w:t>4,539</w:t>
            </w:r>
          </w:p>
        </w:tc>
        <w:tc>
          <w:tcPr>
            <w:tcW w:type="dxa" w:w="1440"/>
            <w:shd w:fill="FAFAFA" w:val="clear"/>
          </w:tcPr>
          <w:p>
            <w:r>
              <w:rPr>
                <w:b/>
                <w:color w:val="C00000"/>
                <w:sz w:val="17"/>
              </w:rPr>
              <w:t>-1.3%</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3,937</w:t>
            </w:r>
          </w:p>
        </w:tc>
        <w:tc>
          <w:tcPr>
            <w:tcW w:type="dxa" w:w="1440"/>
            <w:shd w:fill="FAFAFA" w:val="clear"/>
          </w:tcPr>
          <w:p>
            <w:r>
              <w:rPr>
                <w:b/>
                <w:sz w:val="17"/>
              </w:rPr>
              <w:t>4,241</w:t>
            </w:r>
          </w:p>
        </w:tc>
        <w:tc>
          <w:tcPr>
            <w:tcW w:type="dxa" w:w="1440"/>
            <w:shd w:fill="FAFAFA" w:val="clear"/>
          </w:tcPr>
          <w:p>
            <w:r>
              <w:rPr>
                <w:sz w:val="17"/>
              </w:rPr>
              <w:t>4,545</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44,08 milliards FCFA, PRSC se situe dans la catégorie des valeurs moyennes de la cote BRVM, ce qui lui confère une liquidité limitée mais une certaine stabilité institutionnelle. Le BPA de 231 FCFA/action signifie que chaque titre génère un bénéfice net de 231 FCFA, ce qui, rapporté au cours actuel de 4 305 FCFA, donne un PER de 18,6x — nettement supérieur à la moyenne du marché BRVM (8-12x), indiquant que les investisseurs paient une prime significative pour les bénéfices de la société, potentiellement justifiée par ses perspectives de croissance. Le P/B de 3,82x révèle que le marché valorise PRSC à près de quatre fois sa valeur comptable, traduisant une prime de croissance accordée par les investisseurs, bien que cette valorisation reste dans la fourchette 2-4x considérée comme raisonnable. Enfin, l'EV/EBITDA de 9,6x, dans la zone 5-10x, suggère que la valeur totale de l'entreprise (incluant sa dette) reste cohérente avec sa capacité opérationnelle à générer des flux, sans signal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-10,31%, avec une chute marquée de -3,91% lors de la dernière séance (J-1), confirmant une tendance baissière de court terme. Le cours actuel de 4 305 FCFA se situe dans la partie basse du range de trading, le plus haut ayant atteint 4 800 FCFA et le plus bas 3 620 FCFA, soit un écart de 1 180 FCFA (32,6% du plus bas) qui témoigne d'une volatilité significative sur la période. La moyenne de 4 368 FCFA est légèrement inférieure à la médiane de 4 435 FCFA, ce qui indique une distribution asymétrique avec quelques journées de forte baisse tirant la moyenne vers le bas, tandis que le mode à 4 400 FCFA suggère un palier de résistance psychologique. L'écart-type de 283 FCFA (CV=6,5%) traduit une dispersion modérée du cours autour de sa moyenne, mais le kurtosis de 1,070 (leptokurtique) signale des queues épaisses et un risque de pics de volatilité brutaux, confirmé par le skewness de -1,268 qui indique une asymétrie négative — davantage de journées au-dessus de la moyenne, mais des baisses plus violentes que les hausses. La volatilité annualisée de 39,1% positionne clairement PRSC dans la catégorie des titres à volatilité élevée (&gt;30%), ce qui implique un risque de perte en capital non négligeable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(4 433 FCFA) et la MM50 (4 455 FCFA) se situent toutes deux au-dessus du cours actuel (4 305 FCFA), avec une MM20 légèrement inférieure à la MM50, ce qui configure une tendance baissière de court terme. Le cours évoluant sous ses deux moyennes mobiles, la pression vendeuse est confirmée et la décision technique est logiquement à la vente, en attendant un éventuel croisement haussier de la MM20 au-dessus de la MM50.</w:t>
      </w:r>
    </w:p>
    <w:p>
      <w:pPr>
        <w:spacing w:after="120" w:line="276" w:lineRule="auto"/>
      </w:pPr>
      <w:r>
        <w:t>**Bandes de Bollinger** : Le cours actuel (4 305 FCFA) est très proche de la borne inférieure (4 301,475 FCFA), tandis que la borne supérieure se situe à 4 564,525 FCFA, ce qui place le titre dans une zone de survente relative. L'écart entre les bornes (263 FCFA) reflète une volatilité modérée sur les 20 dernières séances, et la décision Neutre suggère que le cours pourrait trouver un support autour de la borne inférieure, sans signal clair de rebond imminent.</w:t>
      </w:r>
    </w:p>
    <w:p>
      <w:pPr>
        <w:spacing w:after="120" w:line="276" w:lineRule="auto"/>
      </w:pPr>
      <w:r>
        <w:t>**MACD** : La valeur du MACD (-18,535) est inférieure à son signal (-15,309), confirmant un momentum baissier avec une divergence négative qui s'accentue. Cette configuration indique que la pression vendeuse reste dominante et que la décision de vente est justifiée, le croisement des deux lignes n'étant pas encore en vue.</w:t>
      </w:r>
    </w:p>
    <w:p>
      <w:pPr>
        <w:spacing w:after="120" w:line="276" w:lineRule="auto"/>
      </w:pPr>
      <w:r>
        <w:t>**RSI** : À 41,216, le RSI se situe dans la zone neutre (30-70), sans signal de surachat ni de survente, ce qui traduit une absence de pression extrême. La décision Neutre reflète un équilibre relatif entre acheteurs et vendeurs, bien que la tendance baissière du cours suggère une faiblesse sous-jacente.</w:t>
      </w:r>
    </w:p>
    <w:p>
      <w:pPr>
        <w:spacing w:after="120" w:line="276" w:lineRule="auto"/>
      </w:pPr>
      <w:r>
        <w:t>**Stochastique** : Le %K à 0,0 est en position extrême de survente, tandis que le %D à 52,874 reste en zone neutre, créant une divergence haussière potentielle. La décision Achat suggère qu'un rebond technique pourrait se matérialiser à court terme, le %K étant à un niveau plancher historiquement propice à un retournement.</w:t>
      </w:r>
    </w:p>
    <w:p>
      <w:pPr>
        <w:spacing w:after="120" w:line="276" w:lineRule="auto"/>
      </w:pPr>
      <w:r>
        <w:t>**Conclusion technique** : Les indicateurs techniques présentent un tableau mitigé, avec une majorité de signaux baissiers (MM, MACD) mais des signaux de survente (Bollinger, Stochastique) qui pourraient annoncer un rebond à court terme. Le RSI neutre et la position du cours sous les moyennes mobiles confirment une tendance baissière de fond, mais la proximité de la borne inférieure de Bollinger et le %K à 0,0 suggèrent qu'une réaction haussière technique est possible. Dans l'ensemble, la prudence reste de mise, avec une recommandation de surveiller un éventuel croisement haussier du MACD ou une sortie par le haut des bandes de Bollinger pour confirmer un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PRSC (Tractafric Motors Côte d'Ivoire) affichent un chiffre d'affaires de 81,127 milliards FCFA, en croissance de 9,5% par rapport à 2024 (74,45 milliards FCFA selon le rapport Mistral du 30/03/2026), portée par les ventes de marchandises (+10,82% à 57,96 milliards FCFA selon le rapport Gemini-Vision du 06/09/2026). Le résultat net s'établit à 2,367 milliards FCFA, stable par rapport aux 2,35 milliards de 2024, avec une marge nette de 2,92% — faible mais en légère amélioration. Le ROE de 20,53% est excellent (&gt;15%), témoignant d'une bonne rentabilité des fonds propres, tandis que le ROA de 4,95% reste modéré, reflétant l'intensité capitalistique du secteur automobile. La structure financière montre une autonomie financière de 24,10% (inférieure au seuil de 30% considéré comme sain), un ratio d'endettement élevé de 314,86% et une trésorerie nette négative de -4,092 milliards FCFA, ce qui constitue un point de vigilance majeur. Les délais d'exploitation révèlent un délai clients de 46 jours (risque de trésorerie modéré), un délai fournisseurs de 102,65 jours (favorable à la trésorerie) et une durée de stockage de 150,51 jours (élevée, immobilisant du capital). Le BFR de 11,267 milliards FCFA est positif, ce qui est défavorable pour une entreprise non bancaire, et le Free Cash Flow de -2,616 milliards FCFA signale une consommation de trésorerie. Sur la base du rapport S1 2025 (analysé manuellement le 15/03/2026), le chiffre d'affaires semestriel a progressé de 15,1% à 39,968 milliards FCFA, avec un résultat net multiplié par 28 à 1,436 milliard FCFA, ce qui permet d'estimer que l'exercice 2025 devrait confirmer cette dynamique positive, bien que le contexte électoral ivoirien ait été anticipé comme un frein au S2. Le rapport annuel 2025 (Gemini-Vision, 09/09/2026) confirme un dividende de 209 FCFA/action, offrant un rendement de 4,85% au cours actuel, ce qui constitue un argument attractif pour les investisseurs en revenu. En conclusion, PRSC présente une solidité financière relative avec une croissance du CA et un ROE élevé, mais des risques liés à un endettement important, une trésorerie négative et une marge nette faible, ce qui justifie une recommandation fondamentale de **CONSERVER** avec une surveillance accrue des indicateurs de trésorerie et d'endettement.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apparaît relativement tendue avec un PER de 18,6x supérieur à la moyenne du marché BRVM (8-12x) et un P/B de 3,82x qui intègre une prime de croissance, bien que l'EV/EBITDA de 9,6x reste raisonnable. Le comportement du cours (Partie 1) est préoccupant à court terme, avec une baisse de -10,31% sur 100 jours, une volatilité élevée de 39,1% et une asymétrie négative (skewness -1,268) qui expose à des baisses brutales, même si la proximité de la borne inférieure de Bollinger suggère une possible survente. Les signaux techniques (Partie 2) sont majoritairement baissiers (MM, MACD) mais tempérés par des indicateurs de survente (Stochastique %K=0, RSI neutre), créant une divergence qui pourrait annoncer un rebond technique à court terme. Les fondamentaux (Partie 3) révèlent une entreprise en croissance (CA +9,5% en 2025), avec un ROE excellent (20,53%) et un dividende attractif (209 FCFA/action, rendement 4,85%), mais des fragilités persistantes (trésorerie nette négative, endettement élevé, marge nette faible). Les prédictions IA (J+1 à J+10) anticipent une poursuite de la baisse modérée, avec un cours passant de 4 354 FCFA à 4 293 FCFA, ce qui confirme la tendance baissière de court terme sans effondrement majeur. Sur la base de cette synthèse, la recommandation finale est **CONSERVER**, avec un niveau de confiance **Moyen** et un risque global **Élevé**. Cette recommandation s'appuie sur la convergence entre une valorisation tendue, des signaux techniques mitigés, des fondamentaux résilients mais fragiles, et des prédictions baissières à court terme. L'horizon d'investissement optimal est le **moyen terme (3-12 mois)**, en attendant une clarification de la politique de dividende, une amélioration de la trésorerie et une confirmation de la croissance du chiffre d'affaires, tout en surveillant les risques liés à l'endettement et au contexte électoral ivoirien.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40.44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8,955 titres</w:t>
            </w:r>
          </w:p>
        </w:tc>
        <w:tc>
          <w:tcPr>
            <w:tcW w:type="dxa" w:w="2268"/>
            <w:shd w:fill="FFF2CC" w:val="clear"/>
          </w:tcPr>
          <w:p>
            <w:r>
              <w:rPr>
                <w:b/>
                <w:color w:val="503200"/>
                <w:sz w:val="16"/>
              </w:rPr>
              <w:t xml:space="preserve">Cours actuel : </w:t>
            </w:r>
            <w:r>
              <w:rPr>
                <w:color w:val="000000"/>
                <w:sz w:val="17"/>
              </w:rPr>
              <w:t>4,980 FCFA</w:t>
            </w:r>
          </w:p>
          <w:p>
            <w:r>
              <w:rPr>
                <w:b/>
                <w:color w:val="503200"/>
                <w:sz w:val="16"/>
              </w:rPr>
              <w:t xml:space="preserve">Var. 100 jours : </w:t>
            </w:r>
            <w:r>
              <w:rPr>
                <w:b/>
                <w:color w:val="007800"/>
                <w:sz w:val="17"/>
              </w:rPr>
              <w:t>+19.28%</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16.94% (Élevée) — μ=4,593 FCFA, σ=778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β=-0.0580 (Contre-cyclique) — Cov=-0.000002, Var(idx)=0.000036, ρ=-0.009,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4,678</w:t>
            </w:r>
          </w:p>
        </w:tc>
        <w:tc>
          <w:tcPr>
            <w:tcW w:type="dxa" w:w="1440"/>
            <w:shd w:fill="FAFAFA" w:val="clear"/>
          </w:tcPr>
          <w:p>
            <w:r>
              <w:rPr>
                <w:b/>
                <w:sz w:val="17"/>
              </w:rPr>
              <w:t>5,010</w:t>
            </w:r>
          </w:p>
        </w:tc>
        <w:tc>
          <w:tcPr>
            <w:tcW w:type="dxa" w:w="1440"/>
            <w:shd w:fill="FAFAFA" w:val="clear"/>
          </w:tcPr>
          <w:p>
            <w:r>
              <w:rPr>
                <w:sz w:val="17"/>
              </w:rPr>
              <w:t>5,342</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4,591</w:t>
            </w:r>
          </w:p>
        </w:tc>
        <w:tc>
          <w:tcPr>
            <w:tcW w:type="dxa" w:w="1440"/>
            <w:shd w:fill="FAFAFA" w:val="clear"/>
          </w:tcPr>
          <w:p>
            <w:r>
              <w:rPr>
                <w:b/>
                <w:sz w:val="17"/>
              </w:rPr>
              <w:t>5,066</w:t>
            </w:r>
          </w:p>
        </w:tc>
        <w:tc>
          <w:tcPr>
            <w:tcW w:type="dxa" w:w="1440"/>
            <w:shd w:fill="FAFAFA" w:val="clear"/>
          </w:tcPr>
          <w:p>
            <w:r>
              <w:rPr>
                <w:sz w:val="17"/>
              </w:rPr>
              <w:t>5,540</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4,507</w:t>
            </w:r>
          </w:p>
        </w:tc>
        <w:tc>
          <w:tcPr>
            <w:tcW w:type="dxa" w:w="1440"/>
            <w:shd w:fill="C6EFCE" w:val="clear"/>
          </w:tcPr>
          <w:p>
            <w:r>
              <w:rPr>
                <w:b/>
                <w:sz w:val="17"/>
              </w:rPr>
              <w:t>5,091</w:t>
            </w:r>
          </w:p>
        </w:tc>
        <w:tc>
          <w:tcPr>
            <w:tcW w:type="dxa" w:w="1440"/>
            <w:shd w:fill="C6EFCE" w:val="clear"/>
          </w:tcPr>
          <w:p>
            <w:r>
              <w:rPr>
                <w:sz w:val="17"/>
              </w:rPr>
              <w:t>5,675</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4,427</w:t>
            </w:r>
          </w:p>
        </w:tc>
        <w:tc>
          <w:tcPr>
            <w:tcW w:type="dxa" w:w="1440"/>
            <w:shd w:fill="C6EFCE" w:val="clear"/>
          </w:tcPr>
          <w:p>
            <w:r>
              <w:rPr>
                <w:b/>
                <w:sz w:val="17"/>
              </w:rPr>
              <w:t>5,103</w:t>
            </w:r>
          </w:p>
        </w:tc>
        <w:tc>
          <w:tcPr>
            <w:tcW w:type="dxa" w:w="1440"/>
            <w:shd w:fill="C6EFCE" w:val="clear"/>
          </w:tcPr>
          <w:p>
            <w:r>
              <w:rPr>
                <w:sz w:val="17"/>
              </w:rPr>
              <w:t>5,780</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4,353</w:t>
            </w:r>
          </w:p>
        </w:tc>
        <w:tc>
          <w:tcPr>
            <w:tcW w:type="dxa" w:w="1440"/>
            <w:shd w:fill="C6EFCE" w:val="clear"/>
          </w:tcPr>
          <w:p>
            <w:r>
              <w:rPr>
                <w:b/>
                <w:sz w:val="17"/>
              </w:rPr>
              <w:t>5,110</w:t>
            </w:r>
          </w:p>
        </w:tc>
        <w:tc>
          <w:tcPr>
            <w:tcW w:type="dxa" w:w="1440"/>
            <w:shd w:fill="C6EFCE" w:val="clear"/>
          </w:tcPr>
          <w:p>
            <w:r>
              <w:rPr>
                <w:sz w:val="17"/>
              </w:rPr>
              <w:t>5,867</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4,284</w:t>
            </w:r>
          </w:p>
        </w:tc>
        <w:tc>
          <w:tcPr>
            <w:tcW w:type="dxa" w:w="1440"/>
            <w:shd w:fill="C6EFCE" w:val="clear"/>
          </w:tcPr>
          <w:p>
            <w:r>
              <w:rPr>
                <w:b/>
                <w:sz w:val="17"/>
              </w:rPr>
              <w:t>5,114</w:t>
            </w:r>
          </w:p>
        </w:tc>
        <w:tc>
          <w:tcPr>
            <w:tcW w:type="dxa" w:w="1440"/>
            <w:shd w:fill="C6EFCE" w:val="clear"/>
          </w:tcPr>
          <w:p>
            <w:r>
              <w:rPr>
                <w:sz w:val="17"/>
              </w:rPr>
              <w:t>5,944</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4,220</w:t>
            </w:r>
          </w:p>
        </w:tc>
        <w:tc>
          <w:tcPr>
            <w:tcW w:type="dxa" w:w="1440"/>
            <w:shd w:fill="C6EFCE" w:val="clear"/>
          </w:tcPr>
          <w:p>
            <w:r>
              <w:rPr>
                <w:b/>
                <w:sz w:val="17"/>
              </w:rPr>
              <w:t>5,116</w:t>
            </w:r>
          </w:p>
        </w:tc>
        <w:tc>
          <w:tcPr>
            <w:tcW w:type="dxa" w:w="1440"/>
            <w:shd w:fill="C6EFCE" w:val="clear"/>
          </w:tcPr>
          <w:p>
            <w:r>
              <w:rPr>
                <w:sz w:val="17"/>
              </w:rPr>
              <w:t>6,013</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4,159</w:t>
            </w:r>
          </w:p>
        </w:tc>
        <w:tc>
          <w:tcPr>
            <w:tcW w:type="dxa" w:w="1440"/>
            <w:shd w:fill="C6EFCE" w:val="clear"/>
          </w:tcPr>
          <w:p>
            <w:r>
              <w:rPr>
                <w:b/>
                <w:sz w:val="17"/>
              </w:rPr>
              <w:t>5,118</w:t>
            </w:r>
          </w:p>
        </w:tc>
        <w:tc>
          <w:tcPr>
            <w:tcW w:type="dxa" w:w="1440"/>
            <w:shd w:fill="C6EFCE" w:val="clear"/>
          </w:tcPr>
          <w:p>
            <w:r>
              <w:rPr>
                <w:sz w:val="17"/>
              </w:rPr>
              <w:t>6,077</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4,102</w:t>
            </w:r>
          </w:p>
        </w:tc>
        <w:tc>
          <w:tcPr>
            <w:tcW w:type="dxa" w:w="1440"/>
            <w:shd w:fill="C6EFCE" w:val="clear"/>
          </w:tcPr>
          <w:p>
            <w:r>
              <w:rPr>
                <w:b/>
                <w:sz w:val="17"/>
              </w:rPr>
              <w:t>5,120</w:t>
            </w:r>
          </w:p>
        </w:tc>
        <w:tc>
          <w:tcPr>
            <w:tcW w:type="dxa" w:w="1440"/>
            <w:shd w:fill="C6EFCE" w:val="clear"/>
          </w:tcPr>
          <w:p>
            <w:r>
              <w:rPr>
                <w:sz w:val="17"/>
              </w:rPr>
              <w:t>6,137</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4,048</w:t>
            </w:r>
          </w:p>
        </w:tc>
        <w:tc>
          <w:tcPr>
            <w:tcW w:type="dxa" w:w="1440"/>
            <w:shd w:fill="C6EFCE" w:val="clear"/>
          </w:tcPr>
          <w:p>
            <w:r>
              <w:rPr>
                <w:b/>
                <w:sz w:val="17"/>
              </w:rPr>
              <w:t>5,121</w:t>
            </w:r>
          </w:p>
        </w:tc>
        <w:tc>
          <w:tcPr>
            <w:tcW w:type="dxa" w:w="1440"/>
            <w:shd w:fill="C6EFCE" w:val="clear"/>
          </w:tcPr>
          <w:p>
            <w:r>
              <w:rPr>
                <w:sz w:val="17"/>
              </w:rPr>
              <w:t>6,194</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**Bourse Régionale des Valeurs Mobilières (BRVM) — Secteur : Banque / Financement spécialisé**</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**40,44 Mds FCFA**, SAFC se positionne comme une petite capitalisation sur la BRVM, ce qui la rend sensible aux mouvements de faible volume et aux rotations sectorielles. Le **BPA de 86 FCFA/action** traduit un bénéfice net modeste mais désormais positif, après huit années de pertes consécutives. Le **PER de 57,7x** est très élevé comparé à la moyenne BRVM (~8-12x), ce qui signifie que le marché intègre déjà une forte anticipation de croissance future — prudence requise, car toute déception sur les résultats entraînerait une correction sévère. Le **P/B de 6,84x** (largement supérieur au seuil de 4x) indique que le titre se négocie à une prime considérable sur sa valeur comptable, reflet de la faiblesse des fonds propres (5,9 Mds FCFA) plutôt que d'une surperformance opérationnelle. Enfin, l'**EV/EBITDA de 77,5x** (très au-dessus du seuil de 15x) confirme une valorisation exigeante au regard de la capacité opérationnelle actuelle, ce qui suggère que le marché valorise davantage le potentiel de redressement que les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+19,28%**, avec une dernière séance en hausse de **+3,00%**, portant le cours à **4 980 FCFA**. Le range de trading est très large, entre un plus bas de **3 340 FCFA** et un plus haut de **6 200 FCFA**, soit un écart de 85% qui témoigne d'une forte amplitude spéculative. La tendance générale est haussière mais volatile, marquée par des phases de correction brutales (le cours actuel est 20% en dessous de son plus haut). Les statistiques descriptives révèlent une **moyenne de 4 593 FCFA** légèrement supérieure à la **médiane de 4 525 FCFA**, signe d'une distribution faiblement asymétrique à droite, cohérente avec le **skewness de 0,316** (distribution quasi symétrique). L'**écart-type de 782 FCFA** avec un **CV de 17,0%** indique une dispersion modérée autour de la moyenne, mais la **volatilité annualisée de 58,9%** classe le titre dans la catégorie « très volatile » (&gt;30%), ce qui est caractéristique des petites capitalisations en phase de redressement. Le **kurtosis de -1,033** (distribution platykurtique) suggère une faible concentration des rendements autour de la moyenne, avec des mouvements amples mais moins de pics extrêmes qu'une distribution normale — un profil de risque élevé mais sans « queues épaisses » marquées.</w:t>
      </w:r>
    </w:p>
    <w:p>
      <w:pPr>
        <w:spacing w:after="120" w:line="276" w:lineRule="auto"/>
      </w:pPr>
      <w:r>
        <w:t>---</w:t>
      </w:r>
    </w:p>
    <w:p>
      <w:pPr>
        <w:spacing w:after="120" w:line="276" w:lineRule="auto"/>
      </w:pPr>
      <w:r>
        <w:t>## PARTIE 2 : ANALYSE TECHNIQUE DÉTAILLÉE</w:t>
      </w:r>
    </w:p>
    <w:p>
      <w:pPr>
        <w:spacing w:after="120" w:line="276" w:lineRule="auto"/>
      </w:pPr>
      <w:r>
        <w:t>**Moyennes Mobiles** : La MM20 (5 588,5 FCFA) et la MM50 (5 192,3 FCFA) sont toutes deux supérieures au cours actuel (4 980 FCFA), ce qui place le titre en position baissière à court terme. Cependant, la décision technique affichée est « Achat », probablement en anticipation d'un rebond après la correction récente. La configuration MM20 &gt; MM50 &gt; cours suggère une pression vendeuse persistante, mais le potentiel de retournement existe si le cours franchit la MM50.</w:t>
      </w:r>
    </w:p>
    <w:p>
      <w:pPr>
        <w:spacing w:after="120" w:line="276" w:lineRule="auto"/>
      </w:pPr>
      <w:r>
        <w:t>**Bandes de Bollinger** : Le cours (4 980 FCFA) se situe au-dessus de la borne inférieure (4 735,64 FCFA) mais loin de la borne supérieure (6 441,36 FCFA), ce qui indique une position basse dans le canal. La décision « Neutre » reflète l'absence de signal clair : le titre n'est ni en surachat ni en survente, mais la largeur des bandes (1 705 FCFA d'écart) confirme une volatilité élevée.</w:t>
      </w:r>
    </w:p>
    <w:p>
      <w:pPr>
        <w:spacing w:after="120" w:line="276" w:lineRule="auto"/>
      </w:pPr>
      <w:r>
        <w:t>**MACD** : La valeur du MACD (-96,265) est négative et inférieure à son signal (40,883), générant une divergence baissière et une décision « Vente ». Le momentum est clairement négatif, ce qui suggère que la pression vendeuse pourrait se poursuivre à court terme malgré le rebond de la dernière séance.</w:t>
      </w:r>
    </w:p>
    <w:p>
      <w:pPr>
        <w:spacing w:after="120" w:line="276" w:lineRule="auto"/>
      </w:pPr>
      <w:r>
        <w:t>**RSI** : À 34,564, le RSI se situe dans la zone neutre basse (30-70), proche du seuil de survente (30). La décision « Neutre » indique que le titre n'est pas encore techniquement survendu, mais la proximité du seuil suggère qu'un rebond technique pourrait se produire si la pression baissière s'atténue.</w:t>
      </w:r>
    </w:p>
    <w:p>
      <w:pPr>
        <w:spacing w:after="120" w:line="276" w:lineRule="auto"/>
      </w:pPr>
      <w:r>
        <w:t>**Stochastique** : Le %K (10,623) est supérieur au %D (3,678), avec une décision « Achat ». Cette configuration en zone de survente extrême (&lt;20) est un signal classique de retournement haussier à court terme, ce qui contraste avec le MACD baissier et renforce l'idée d'un rebond imminent.</w:t>
      </w:r>
    </w:p>
    <w:p>
      <w:pPr>
        <w:spacing w:after="120" w:line="276" w:lineRule="auto"/>
      </w:pPr>
      <w:r>
        <w:t>**Conclusion technique** : Les indicateurs sont divergents — le MACD est baissier, mais le Stochastique et les MM suggèrent un potentiel de rebond. Le RSI et les Bandes de Bollinger sont neutres, ce qui place le titre dans une zone d'incertitude. La convergence partielle vers un signal d'achat (Stochastique + MM) est contrebalancée par la pression vendeuse du MACD, ce qui justifie une prudence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enregistré un **Produit Net Bancaire (PNB) de 5 735 M FCFA**, en hausse de **+44,1%** par rapport à 2024 (3 980 M FCFA), porté par la croissance des intérêts (+14,4%) et des commissions (+81%). Le **résultat net s'établit à 701 M FCFA**, marquant un retournement spectaculaire après une perte de -165 M FCFA en 2024. Le **ROE de 11,85%** reste inférieur au seuil d'excellence (&gt;15%), mais le **ROA de 0,88%** traduit une rentabilité des actifs encore faible. Le **coefficient d'exploitation de 77,63%** est élevé (&gt;60%), indiquant une efficacité opérationnelle perfectible, tandis que le **coût du risque de 6,57%** (provisions/charges financières) reste significatif, bien qu'en amélioration. La structure financière est fragile : **autonomie financière de 7,44%** (très en dessous du seuil sain de 30%), **ratio d'endettement de 856%**, et **dépendance aux dettes interbancaires** (35,7 Mds FCFA, soit 45% du passif). Les **créances sur la clientèle** (60,5 Mds FCFA) sont financées par des **dépôts clientèle** (9,1 Mds FCFA) et des **dettes interbancaires** (35,7 Mds FCFA), ce qui expose la société à un risque de liquidité en cas de tensions sur le marché monétaire.</w:t>
      </w:r>
    </w:p>
    <w:p>
      <w:pPr>
        <w:spacing w:after="120" w:line="276" w:lineRule="auto"/>
      </w:pPr>
      <w:r>
        <w:t>**Estimations basées sur les rapports trimestriels** : Le rapport **S1 2026 (publié le 04/09/2026)** indique un **PNB de 2 907 M FCFA** (+37% vs S1 2025) et un **résultat net de 731 M FCFA** (+231%), avec une **marge nette de 25,1%** (vs 10,4% au S1 2025). Le **coût du risque s'est transformé en reprise nette de 261 M FCFA** (contre une charge de 93 M FCFA un an plus tôt), signe d'une amélioration de la qualité du portefeuille. Le **T1 2026 (publié le 12/05/2026)** confirme cette dynamique avec un **PNB de 1 395 M FCFA** (+29%) et un **résultat net de 151 M FCFA** (+1 062%). Sur la base de ces tendances, on estime que l'**exercice 2026 devrait afficher un PNB supérieur à 6 Mds FCFA** et un **résultat net proche de 1,5 Mds FCFA**, soit une **marge nette de 25%**. Le **ratio CET1 de 11,49%** (S1 2026) et le **ratio de solvabilité globale de 12,93%** sont conformes aux normes BCEAO (11,5%), mais les marges de sécurité restent limitées. La **recommandation fondamentale** est donc positive sur la dynamique, mais prudente sur la solidité : le redressement est réel, mais la structure financière reste vulnérable et dépendante de la qualité continue du portefeuille de crédit.</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exigeante : le PER de 57,7x, le P/B de 6,84x et l'EV/EBITDA de 77,5x intègrent déjà une forte anticipation de croissance, ce qui laisse peu de marge d'erreur. Le **comportement du cours (Partie 1)** est haussier sur 100 jours (+19,28%) mais très volatil (58,9% annualisé), avec une distribution platykurtique (kurtosis -1,033) et quasi symétrique (skewness 0,316), ce qui suggère des mouvements amples mais sans biais directionnel marqué. Les **signaux techniques (Partie 2)** sont divergents : le MACD est baissier, mais le Stochastique et les MM suggèrent un rebond, tandis que le RSI et les Bandes de Bollinger sont neutres — une configuration qui plaide pour une consolidation à court terme. Les **fondamentaux (Partie 3)** sont en nette amélioration : le PNB a bondi de +44% en 2025 et le résultat net est redevenu positif (701 M FCFA), avec une accélération confirmée au S1 2026 (PNB +37%, résultat net +231%). Les **prédictions IA (J+1 à J+10)** anticipent une hausse progressive de 5 010 FCFA à 5 110 FCFA, ce qui confirme la thèse d'un rebond technique à court terme. **Synthèse globale** : la convergence entre les fondamentaux en redressement, les prédictions haussières et le signal d'achat du Stochastique soutient une recommandation **ACHAT**, mais la valorisation exigeante et la fragilité de la structure financière (autonomie financière de 7,44%, dépendance aux dettes interbancaires) imposent une **confiance moyenne** et un **risque élevé**. L'horizon optimal est le **moyen terme (3-12 mois)**, le temps que la société confirme la durabilité de son redressement et renforce ses fonds propres. **Recommandation finale : ACHAT (spéculatif) — Confiance : Moyenne — Risque : Élevé — Horizon : Moyen terme (3-12 mois)**.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10,918 titres</w:t>
            </w:r>
          </w:p>
        </w:tc>
        <w:tc>
          <w:tcPr>
            <w:tcW w:type="dxa" w:w="2268"/>
            <w:shd w:fill="FFF2CC" w:val="clear"/>
          </w:tcPr>
          <w:p>
            <w:r>
              <w:rPr>
                <w:b/>
                <w:color w:val="503200"/>
                <w:sz w:val="16"/>
              </w:rPr>
              <w:t xml:space="preserve">Cours actuel : </w:t>
            </w:r>
            <w:r>
              <w:rPr>
                <w:color w:val="000000"/>
                <w:sz w:val="17"/>
              </w:rPr>
              <w:t>3,085 FCFA</w:t>
            </w:r>
          </w:p>
          <w:p>
            <w:r>
              <w:rPr>
                <w:b/>
                <w:color w:val="503200"/>
                <w:sz w:val="16"/>
              </w:rPr>
              <w:t xml:space="preserve">Var. 100 jours : </w:t>
            </w:r>
            <w:r>
              <w:rPr>
                <w:b/>
                <w:color w:val="007800"/>
                <w:sz w:val="17"/>
              </w:rPr>
              <w:t>+53.48%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18.04% (Élevée) — μ=3,101 FCFA, σ=559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β=0.5573 (Défensif) — Cov=0.000019, Var(idx)=0.000035,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σ_j=3.44%/j (Modérée) — Vol. annualisée≈54.7%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3,022</w:t>
            </w:r>
          </w:p>
        </w:tc>
        <w:tc>
          <w:tcPr>
            <w:tcW w:type="dxa" w:w="1440"/>
            <w:shd w:fill="C6EFCE" w:val="clear"/>
          </w:tcPr>
          <w:p>
            <w:r>
              <w:rPr>
                <w:b/>
                <w:sz w:val="17"/>
              </w:rPr>
              <w:t>3,266</w:t>
            </w:r>
          </w:p>
        </w:tc>
        <w:tc>
          <w:tcPr>
            <w:tcW w:type="dxa" w:w="1440"/>
            <w:shd w:fill="C6EFCE" w:val="clear"/>
          </w:tcPr>
          <w:p>
            <w:r>
              <w:rPr>
                <w:sz w:val="17"/>
              </w:rPr>
              <w:t>3,510</w:t>
            </w:r>
          </w:p>
        </w:tc>
        <w:tc>
          <w:tcPr>
            <w:tcW w:type="dxa" w:w="1440"/>
            <w:shd w:fill="C6EFCE" w:val="clear"/>
          </w:tcPr>
          <w:p>
            <w:r>
              <w:rPr>
                <w:b/>
                <w:color w:val="008000"/>
                <w:sz w:val="17"/>
              </w:rPr>
              <w:t>+5.9%</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3,046</w:t>
            </w:r>
          </w:p>
        </w:tc>
        <w:tc>
          <w:tcPr>
            <w:tcW w:type="dxa" w:w="1440"/>
            <w:shd w:fill="C6EFCE" w:val="clear"/>
          </w:tcPr>
          <w:p>
            <w:r>
              <w:rPr>
                <w:b/>
                <w:sz w:val="17"/>
              </w:rPr>
              <w:t>3,324</w:t>
            </w:r>
          </w:p>
        </w:tc>
        <w:tc>
          <w:tcPr>
            <w:tcW w:type="dxa" w:w="1440"/>
            <w:shd w:fill="C6EFCE" w:val="clear"/>
          </w:tcPr>
          <w:p>
            <w:r>
              <w:rPr>
                <w:sz w:val="17"/>
              </w:rPr>
              <w:t>3,602</w:t>
            </w:r>
          </w:p>
        </w:tc>
        <w:tc>
          <w:tcPr>
            <w:tcW w:type="dxa" w:w="1440"/>
            <w:shd w:fill="C6EFCE" w:val="clear"/>
          </w:tcPr>
          <w:p>
            <w:r>
              <w:rPr>
                <w:b/>
                <w:color w:val="008000"/>
                <w:sz w:val="17"/>
              </w:rPr>
              <w:t>+7.7%</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3,054</w:t>
            </w:r>
          </w:p>
        </w:tc>
        <w:tc>
          <w:tcPr>
            <w:tcW w:type="dxa" w:w="1440"/>
            <w:shd w:fill="C6EFCE" w:val="clear"/>
          </w:tcPr>
          <w:p>
            <w:r>
              <w:rPr>
                <w:b/>
                <w:sz w:val="17"/>
              </w:rPr>
              <w:t>3,362</w:t>
            </w:r>
          </w:p>
        </w:tc>
        <w:tc>
          <w:tcPr>
            <w:tcW w:type="dxa" w:w="1440"/>
            <w:shd w:fill="C6EFCE" w:val="clear"/>
          </w:tcPr>
          <w:p>
            <w:r>
              <w:rPr>
                <w:sz w:val="17"/>
              </w:rPr>
              <w:t>3,669</w:t>
            </w:r>
          </w:p>
        </w:tc>
        <w:tc>
          <w:tcPr>
            <w:tcW w:type="dxa" w:w="1440"/>
            <w:shd w:fill="C6EFCE" w:val="clear"/>
          </w:tcPr>
          <w:p>
            <w:r>
              <w:rPr>
                <w:b/>
                <w:color w:val="008000"/>
                <w:sz w:val="17"/>
              </w:rPr>
              <w:t>+9.0%</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3,051</w:t>
            </w:r>
          </w:p>
        </w:tc>
        <w:tc>
          <w:tcPr>
            <w:tcW w:type="dxa" w:w="1440"/>
            <w:shd w:fill="C6EFCE" w:val="clear"/>
          </w:tcPr>
          <w:p>
            <w:r>
              <w:rPr>
                <w:b/>
                <w:sz w:val="17"/>
              </w:rPr>
              <w:t>3,385</w:t>
            </w:r>
          </w:p>
        </w:tc>
        <w:tc>
          <w:tcPr>
            <w:tcW w:type="dxa" w:w="1440"/>
            <w:shd w:fill="C6EFCE" w:val="clear"/>
          </w:tcPr>
          <w:p>
            <w:r>
              <w:rPr>
                <w:sz w:val="17"/>
              </w:rPr>
              <w:t>3,720</w:t>
            </w:r>
          </w:p>
        </w:tc>
        <w:tc>
          <w:tcPr>
            <w:tcW w:type="dxa" w:w="1440"/>
            <w:shd w:fill="C6EFCE" w:val="clear"/>
          </w:tcPr>
          <w:p>
            <w:r>
              <w:rPr>
                <w:b/>
                <w:color w:val="008000"/>
                <w:sz w:val="17"/>
              </w:rPr>
              <w:t>+9.7%</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3,042</w:t>
            </w:r>
          </w:p>
        </w:tc>
        <w:tc>
          <w:tcPr>
            <w:tcW w:type="dxa" w:w="1440"/>
            <w:shd w:fill="C6EFCE" w:val="clear"/>
          </w:tcPr>
          <w:p>
            <w:r>
              <w:rPr>
                <w:b/>
                <w:sz w:val="17"/>
              </w:rPr>
              <w:t>3,401</w:t>
            </w:r>
          </w:p>
        </w:tc>
        <w:tc>
          <w:tcPr>
            <w:tcW w:type="dxa" w:w="1440"/>
            <w:shd w:fill="C6EFCE" w:val="clear"/>
          </w:tcPr>
          <w:p>
            <w:r>
              <w:rPr>
                <w:sz w:val="17"/>
              </w:rPr>
              <w:t>3,760</w:t>
            </w:r>
          </w:p>
        </w:tc>
        <w:tc>
          <w:tcPr>
            <w:tcW w:type="dxa" w:w="1440"/>
            <w:shd w:fill="C6EFCE" w:val="clear"/>
          </w:tcPr>
          <w:p>
            <w:r>
              <w:rPr>
                <w:b/>
                <w:color w:val="008000"/>
                <w:sz w:val="17"/>
              </w:rPr>
              <w:t>+10.2%</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3,030</w:t>
            </w:r>
          </w:p>
        </w:tc>
        <w:tc>
          <w:tcPr>
            <w:tcW w:type="dxa" w:w="1440"/>
            <w:shd w:fill="C6EFCE" w:val="clear"/>
          </w:tcPr>
          <w:p>
            <w:r>
              <w:rPr>
                <w:b/>
                <w:sz w:val="17"/>
              </w:rPr>
              <w:t>3,412</w:t>
            </w:r>
          </w:p>
        </w:tc>
        <w:tc>
          <w:tcPr>
            <w:tcW w:type="dxa" w:w="1440"/>
            <w:shd w:fill="C6EFCE" w:val="clear"/>
          </w:tcPr>
          <w:p>
            <w:r>
              <w:rPr>
                <w:sz w:val="17"/>
              </w:rPr>
              <w:t>3,795</w:t>
            </w:r>
          </w:p>
        </w:tc>
        <w:tc>
          <w:tcPr>
            <w:tcW w:type="dxa" w:w="1440"/>
            <w:shd w:fill="C6EFCE" w:val="clear"/>
          </w:tcPr>
          <w:p>
            <w:r>
              <w:rPr>
                <w:b/>
                <w:color w:val="008000"/>
                <w:sz w:val="17"/>
              </w:rPr>
              <w:t>+10.6%</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3,017</w:t>
            </w:r>
          </w:p>
        </w:tc>
        <w:tc>
          <w:tcPr>
            <w:tcW w:type="dxa" w:w="1440"/>
            <w:shd w:fill="C6EFCE" w:val="clear"/>
          </w:tcPr>
          <w:p>
            <w:r>
              <w:rPr>
                <w:b/>
                <w:sz w:val="17"/>
              </w:rPr>
              <w:t>3,421</w:t>
            </w:r>
          </w:p>
        </w:tc>
        <w:tc>
          <w:tcPr>
            <w:tcW w:type="dxa" w:w="1440"/>
            <w:shd w:fill="C6EFCE" w:val="clear"/>
          </w:tcPr>
          <w:p>
            <w:r>
              <w:rPr>
                <w:sz w:val="17"/>
              </w:rPr>
              <w:t>3,826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 Sucre*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60,47 Mds FCFA, SCRC se situe dans la catégorie des valeurs moyennes de la BRVM, ce qui reste significatif pour une valeur agro-industrielle ouest-africaine. Le BPA ressort à -406 FCFA/action, traduisant une société en perte nette sur l'exercice 2025, ce qui rend le PER négatif (-7,6x) et donc non interprétable en termes de « cher/pas cher » — les investisseurs ne paient pas pour des bénéfices inexistants, mais anticipent un redressement. Le P/B de 3,51x indique que le marché valorise SCRC à plus de 3,5 fois ses capitaux propres comptables (17,24 Mds FCFA), soit une prime de croissance significative qui contraste fortement avec la fragilité actuelle du bilan. Enfin, l'EV/EBITDA de 10,2x situe la valeur totale (dette incluse) à environ 10 fois la capacité opérationnelle, un niveau élevé qui reflète surtout le poids de l'endettement (84,87 Mds FCFA de dettes financières) plutôt qu'une rentabilité opérationnelle robuste.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SCRC affiche une progression spectaculaire de +53,48%, mais la dernière séance (J-1) marque un net repli de -5,95%, signalant une prise de bénéfices ou un retournement de sentiment. Le titre a évolué dans un range très large de 1 990 FCFA (plus bas) à 3 920 FCFA (plus haut), soit une amplitude de près de 97%, ce qui témoigne d'une forte nervosité. La tendance générale reste haussière sur la période, mais le cours actuel (3 085 FCFA) est nettement en dessous du plus haut, suggérant un essoufflement. Les statistiques descriptives révèlent une moyenne de 3 101 FCFA supérieure à la médiane de 3 298 FCFA — écart qui, combiné à un skewness de -0,732 (asymétrie négative), indique que le cours a passé plus de journées au-dessus de sa moyenne, mais que les baisses récentes ont tiré la moyenne vers le bas. L'écart-type de 562 FCFA (CV=18,1%) traduit une dispersion modérée à élevée, tandis que le kurtosis de -0,778 (mésokurtique) suggère une distribution proche de la normale, sans pics extrêmes fréquents. La volatilité annualisée de 54,7% classe SCRC dans la catégorie des titres à volatilité élevée (&gt;30%), ce qui implique un risque de marché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(3 431,5 FCFA) et la MM50 (3 539,1 FCFA) sont toutes deux nettement supérieures au cours actuel (3 085 FCFA), confirmant une configuration baissière de court et moyen terme. Le cours évolue sous ses deux moyennes, ce qui justifie pleinement la décision technique « Vente » — la pression vendeuse domine et aucun croisement haussier n'est en vue.</w:t>
      </w:r>
    </w:p>
    <w:p>
      <w:pPr>
        <w:spacing w:after="120" w:line="276" w:lineRule="auto"/>
      </w:pPr>
      <w:r>
        <w:t>**Bandes de Bollinger** : La borne supérieure est à 3 705,2 FCFA et la borne inférieure à 3 157,8 FCFA, avec un cours actuel de 3 085 FCFA qui se situe **sous** la borne inférieure. Cette position hors bande signale une survente technique et une volatilité accrue, ce qui explique la décision « Achat » — statistiquement, un retour vers la moyenne est probable à court terme, mais cela reste un signal contrariant dans un contexte baissier.</w:t>
      </w:r>
    </w:p>
    <w:p>
      <w:pPr>
        <w:spacing w:after="120" w:line="276" w:lineRule="auto"/>
      </w:pPr>
      <w:r>
        <w:t>**MACD** : La valeur du MACD (-71,251) est inférieure à son signal (-31,971), avec un histogramme négatif qui se creuse. Cette divergence baissière confirme un momentum négatif persistant et justifie la décision « Vente » — la tendance de fond reste clairement orientée à la baisse malgré la survente.</w:t>
      </w:r>
    </w:p>
    <w:p>
      <w:pPr>
        <w:spacing w:after="120" w:line="276" w:lineRule="auto"/>
      </w:pPr>
      <w:r>
        <w:t>**RSI** : À 32,317, le RSI est proche de la zone de survente (seuil de 30) sans y être encore, ce qui le place en territoire « Neutre ». Cette position indique que le titre n'est ni suracheté ni totalement survendu, laissant une marge de baisse supplémentaire avant un éventuel rebond technique.</w:t>
      </w:r>
    </w:p>
    <w:p>
      <w:pPr>
        <w:spacing w:after="120" w:line="276" w:lineRule="auto"/>
      </w:pPr>
      <w:r>
        <w:t>**Stochastique** : Le %K et le %D sont tous deux à 0,0, ce qui constitue un signal de survente extrême. Un tel niveau suggère que le cours a touché un plancher de très court terme et qu'un rebond technique est imminent, justifiant la décision « Achat » — mais ce signal doit être pondéré par la faiblesse générale des autres indicateurs.</w:t>
      </w:r>
    </w:p>
    <w:p>
      <w:pPr>
        <w:spacing w:after="120" w:line="276" w:lineRule="auto"/>
      </w:pPr>
      <w:r>
        <w:t>**Conclusion technique** : Les indicateurs sont majoritairement baissiers (MM, MACD) avec des signaux contrariants de survente (Bollinger, Stochastique) qui plaident pour un rebond technique à très court terme. La convergence des signaux négatifs sur les moyennes mobiles et le MACD l'emporte sur les signaux d'achat, mais la position hors bande de Bollinger et le stochastique à 0 rendent un rebond probable avant une reprise de la baisse. La prudence reste de mise : tout rebond devrait être considéré comme une opportunité de sortie plutôt qu'un point d'entrée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 le chiffre d'affaires s'établit à 80,57 Mds FCFA, en baisse de -7,63% par rapport à 2024, et le résultat net est une perte de -7,95 Mds FCFA, contre un bénéfice de 2,47 Mds FCFA en 2024 — soit une dégradation de plus de 10 Mds FCFA. Le ROE est catastrophique à -46,13% et le ROA à -5,08%, confirmant que la société détruit de la valeur sur ses fonds propres et ses actifs. La marge nette est négative à -9,87%, et la marge opérationnelle à -0,68%, tandis que la marge brute reste élevée à 45,82%, ce qui indique que le problème ne vient pas du coût des ventes mais des charges financières (6,79 Mds FCFA, en explosion de +262%) et des charges de structure. Le bilan est très fragile : les capitaux propres ne représentent que 17,24 Mds FCFA pour un total bilan de 156,43 Mds FCFA, soit une autonomie financière de seulement 11,02% (très en dessous du seuil sain de 30%), et le ratio d'endettement atteint 88,98% (dettes totales/capitaux propres). La trésorerie nette est négative à -6,51 Mds FCFA, et le fonds de roulement est négatif à -10,67 Mds FCFA, signe de tensions de liquidité importantes. Les délais d'exploitation sont contrastés : le délai clients est très court (12,28 jours, bon signe), mais le délai fournisseurs est très long (366,07 jours, ce qui soulage la trésorerie à court terme mais traduit une dépendance aux fournisseurs) et la durée de stockage est élevée (360,73 jours, immobilisation de capital préoccupante). Le BFR est positif à 6,53 Mds FCFA, ce qui est défavorable pour une entreprise non bancaire. Les rapports narratifs officiels (datés du 31/12/2025, analysés en mai 2026) confirment ce diagnostic : la perte nette de -7,95 Mds FCFA (IFRS) ou -6,13 Mds FCFA (SYSCOHADA) est massive, l'endettement long terme a bondi de +168% à 64,5 Mds FCFA, et le résultat opérationnel courant est négatif (-210 M FCFA) contre +5,8 Mds FCFA en 2024. Le rapport du S1 2025 (daté du 30/06/2025) indiquait déjà une perte nette de -6,71 Mds FCFA et un résultat d'exploitation négatif de -3,18 Mds FCFA, confirmant la tendance baissière avant même la publication annuelle. Les perspectives pour 2026 sont très préoccupantes : la société devra impérativement restructurer sa dette et améliorer son résultat opérationnel, mais les investissements massifs (25,2 Mds FCFA) pèsent lourdement sur la trésorerie. La recommandation fondamentale est donc **VENDRE** : la dégradation de la rentabilité, l'explosion de l'endettement et l'érosion des capitaux propres compromettent sérieusement la viabilité financière à court terme, malgré un chiffre d'affaires qui reste significatif.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de **VENTE** avec un niveau de confiance **Élevé** et un risque global **Élevé**. La valorisation (Partie 0) est problématique : le PER négatif (-7,6x) et le P/B élevé (3,51x) indiquent que le marché valorise une société en perte à plus de 3,5 fois ses capitaux propres, ce qui est difficilement justifiable sans un redressement rapide et crédible. Le comportement du cours (Partie 1) est préoccupant : malgré une hausse de +53,48% sur 100 jours, la chute de -5,95% en J-1 et la position sous la borne inférieure de Bollinger signalent un retournement baissier, avec une volatilité élevée (54,7%) et un skewness négatif qui suggère que les baisses récentes pèsent sur la dynamique. Les signaux techniques (Partie 2) sont majoritairement baissiers (MM20 et MM50 au-dessus du cours, MACD négatif), avec des signaux contrariants de survente (Stochastique à 0, RSI à 32) qui pourraient provoquer un rebond technique à très court terme, mais sans inverser la tendance de fond. Les fondamentaux (Partie 3) sont catastrophiques : perte nette de -7,95 Mds FCFA en 2025, ROE de -46,13%, endettement critique (88,98% de ratio d'endettement), trésorerie nette négative (-6,51 Mds FCFA) et perspectives 2026 très incertaines. Les prédictions IA (J+1 à J+10) anticipent une légère reprise vers 3 266-3 401 FCFA, ce qui contredit partiellement les signaux baissiers à court terme, mais cette trajectoire haussière reste modeste (+5,7% à +10,2% depuis le cours actuel) et ne compense pas les risques fondamentaux majeurs. En conséquence, la convergence des signaux baissiers (valorisation, technique, fondamental) l'emporte sur les signaux haussiers de court terme (survente, prédictions IA), et la recommandation est de **VENDRE** le titre, avec un horizon d'investissement **court terme** (&lt;3 mois) pour limiter l'exposition à un risque de dégradation supplémentaire. Les investisseurs déjà positionnés devraient envisager de sortir sur tout rebond technique vers 3 200-3 300 FCFA, tandis que les acheteurs potentiels devraient attendre une stabilisation du résultat opérationnel et une réduction de l'endettement avant d'envisager une 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1,370 titres</w:t>
            </w:r>
          </w:p>
        </w:tc>
        <w:tc>
          <w:tcPr>
            <w:tcW w:type="dxa" w:w="2268"/>
            <w:shd w:fill="FFF2CC" w:val="clear"/>
          </w:tcPr>
          <w:p>
            <w:r>
              <w:rPr>
                <w:b/>
                <w:color w:val="503200"/>
                <w:sz w:val="16"/>
              </w:rPr>
              <w:t xml:space="preserve">Cours actuel : </w:t>
            </w:r>
            <w:r>
              <w:rPr>
                <w:color w:val="000000"/>
                <w:sz w:val="17"/>
              </w:rPr>
              <w:t>12,485 FCFA</w:t>
            </w:r>
          </w:p>
          <w:p>
            <w:r>
              <w:rPr>
                <w:b/>
                <w:color w:val="503200"/>
                <w:sz w:val="16"/>
              </w:rPr>
              <w:t xml:space="preserve">Var. 100 jours : </w:t>
            </w:r>
            <w:r>
              <w:rPr>
                <w:b/>
                <w:color w:val="007800"/>
                <w:sz w:val="17"/>
              </w:rPr>
              <w:t>+73.40%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11.62% (Moyenne) — μ=11,573 FCFA, σ=1,345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β=-0.0162 (Contre-cyclique) — Cov=-0.000001, Var(idx)=0.000036, ρ=-0.004,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2026-09-21</w:t>
            </w:r>
          </w:p>
        </w:tc>
        <w:tc>
          <w:tcPr>
            <w:tcW w:type="dxa" w:w="1440"/>
            <w:shd w:fill="C6EFCE" w:val="clear"/>
          </w:tcPr>
          <w:p>
            <w:r>
              <w:rPr>
                <w:sz w:val="17"/>
              </w:rPr>
              <w:t>12,648</w:t>
            </w:r>
          </w:p>
        </w:tc>
        <w:tc>
          <w:tcPr>
            <w:tcW w:type="dxa" w:w="1440"/>
            <w:shd w:fill="C6EFCE" w:val="clear"/>
          </w:tcPr>
          <w:p>
            <w:r>
              <w:rPr>
                <w:b/>
                <w:sz w:val="17"/>
              </w:rPr>
              <w:t>13,230</w:t>
            </w:r>
          </w:p>
        </w:tc>
        <w:tc>
          <w:tcPr>
            <w:tcW w:type="dxa" w:w="1440"/>
            <w:shd w:fill="C6EFCE" w:val="clear"/>
          </w:tcPr>
          <w:p>
            <w:r>
              <w:rPr>
                <w:sz w:val="17"/>
              </w:rPr>
              <w:t>13,811</w:t>
            </w:r>
          </w:p>
        </w:tc>
        <w:tc>
          <w:tcPr>
            <w:tcW w:type="dxa" w:w="1440"/>
            <w:shd w:fill="C6EFCE" w:val="clear"/>
          </w:tcPr>
          <w:p>
            <w:r>
              <w:rPr>
                <w:b/>
                <w:color w:val="008000"/>
                <w:sz w:val="17"/>
              </w:rPr>
              <w:t>+6.0%</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12,501</w:t>
            </w:r>
          </w:p>
        </w:tc>
        <w:tc>
          <w:tcPr>
            <w:tcW w:type="dxa" w:w="1440"/>
            <w:shd w:fill="C6EFCE" w:val="clear"/>
          </w:tcPr>
          <w:p>
            <w:r>
              <w:rPr>
                <w:b/>
                <w:sz w:val="17"/>
              </w:rPr>
              <w:t>13,329</w:t>
            </w:r>
          </w:p>
        </w:tc>
        <w:tc>
          <w:tcPr>
            <w:tcW w:type="dxa" w:w="1440"/>
            <w:shd w:fill="C6EFCE" w:val="clear"/>
          </w:tcPr>
          <w:p>
            <w:r>
              <w:rPr>
                <w:sz w:val="17"/>
              </w:rPr>
              <w:t>14,157</w:t>
            </w:r>
          </w:p>
        </w:tc>
        <w:tc>
          <w:tcPr>
            <w:tcW w:type="dxa" w:w="1440"/>
            <w:shd w:fill="C6EFCE" w:val="clear"/>
          </w:tcPr>
          <w:p>
            <w:r>
              <w:rPr>
                <w:b/>
                <w:color w:val="008000"/>
                <w:sz w:val="17"/>
              </w:rPr>
              <w:t>+6.8%</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12,408</w:t>
            </w:r>
          </w:p>
        </w:tc>
        <w:tc>
          <w:tcPr>
            <w:tcW w:type="dxa" w:w="1440"/>
            <w:shd w:fill="C6EFCE" w:val="clear"/>
          </w:tcPr>
          <w:p>
            <w:r>
              <w:rPr>
                <w:b/>
                <w:sz w:val="17"/>
              </w:rPr>
              <w:t>13,430</w:t>
            </w:r>
          </w:p>
        </w:tc>
        <w:tc>
          <w:tcPr>
            <w:tcW w:type="dxa" w:w="1440"/>
            <w:shd w:fill="C6EFCE" w:val="clear"/>
          </w:tcPr>
          <w:p>
            <w:r>
              <w:rPr>
                <w:sz w:val="17"/>
              </w:rPr>
              <w:t>14,452</w:t>
            </w:r>
          </w:p>
        </w:tc>
        <w:tc>
          <w:tcPr>
            <w:tcW w:type="dxa" w:w="1440"/>
            <w:shd w:fill="C6EFCE" w:val="clear"/>
          </w:tcPr>
          <w:p>
            <w:r>
              <w:rPr>
                <w:b/>
                <w:color w:val="008000"/>
                <w:sz w:val="17"/>
              </w:rPr>
              <w:t>+7.6%</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12,331</w:t>
            </w:r>
          </w:p>
        </w:tc>
        <w:tc>
          <w:tcPr>
            <w:tcW w:type="dxa" w:w="1440"/>
            <w:shd w:fill="C6EFCE" w:val="clear"/>
          </w:tcPr>
          <w:p>
            <w:r>
              <w:rPr>
                <w:b/>
                <w:sz w:val="17"/>
              </w:rPr>
              <w:t>13,518</w:t>
            </w:r>
          </w:p>
        </w:tc>
        <w:tc>
          <w:tcPr>
            <w:tcW w:type="dxa" w:w="1440"/>
            <w:shd w:fill="C6EFCE" w:val="clear"/>
          </w:tcPr>
          <w:p>
            <w:r>
              <w:rPr>
                <w:sz w:val="17"/>
              </w:rPr>
              <w:t>14,706</w:t>
            </w:r>
          </w:p>
        </w:tc>
        <w:tc>
          <w:tcPr>
            <w:tcW w:type="dxa" w:w="1440"/>
            <w:shd w:fill="C6EFCE" w:val="clear"/>
          </w:tcPr>
          <w:p>
            <w:r>
              <w:rPr>
                <w:b/>
                <w:color w:val="008000"/>
                <w:sz w:val="17"/>
              </w:rPr>
              <w:t>+8.3%</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12,262</w:t>
            </w:r>
          </w:p>
        </w:tc>
        <w:tc>
          <w:tcPr>
            <w:tcW w:type="dxa" w:w="1440"/>
            <w:shd w:fill="C6EFCE" w:val="clear"/>
          </w:tcPr>
          <w:p>
            <w:r>
              <w:rPr>
                <w:b/>
                <w:sz w:val="17"/>
              </w:rPr>
              <w:t>13,597</w:t>
            </w:r>
          </w:p>
        </w:tc>
        <w:tc>
          <w:tcPr>
            <w:tcW w:type="dxa" w:w="1440"/>
            <w:shd w:fill="C6EFCE" w:val="clear"/>
          </w:tcPr>
          <w:p>
            <w:r>
              <w:rPr>
                <w:sz w:val="17"/>
              </w:rPr>
              <w:t>14,933</w:t>
            </w:r>
          </w:p>
        </w:tc>
        <w:tc>
          <w:tcPr>
            <w:tcW w:type="dxa" w:w="1440"/>
            <w:shd w:fill="C6EFCE" w:val="clear"/>
          </w:tcPr>
          <w:p>
            <w:r>
              <w:rPr>
                <w:b/>
                <w:color w:val="008000"/>
                <w:sz w:val="17"/>
              </w:rPr>
              <w:t>+8.9%</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12,193</w:t>
            </w:r>
          </w:p>
        </w:tc>
        <w:tc>
          <w:tcPr>
            <w:tcW w:type="dxa" w:w="1440"/>
            <w:shd w:fill="C6EFCE" w:val="clear"/>
          </w:tcPr>
          <w:p>
            <w:r>
              <w:rPr>
                <w:b/>
                <w:sz w:val="17"/>
              </w:rPr>
              <w:t>13,663</w:t>
            </w:r>
          </w:p>
        </w:tc>
        <w:tc>
          <w:tcPr>
            <w:tcW w:type="dxa" w:w="1440"/>
            <w:shd w:fill="C6EFCE" w:val="clear"/>
          </w:tcPr>
          <w:p>
            <w:r>
              <w:rPr>
                <w:sz w:val="17"/>
              </w:rPr>
              <w:t>15,133</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12,125</w:t>
            </w:r>
          </w:p>
        </w:tc>
        <w:tc>
          <w:tcPr>
            <w:tcW w:type="dxa" w:w="1440"/>
            <w:shd w:fill="C6EFCE" w:val="clear"/>
          </w:tcPr>
          <w:p>
            <w:r>
              <w:rPr>
                <w:b/>
                <w:sz w:val="17"/>
              </w:rPr>
              <w:t>13,720</w:t>
            </w:r>
          </w:p>
        </w:tc>
        <w:tc>
          <w:tcPr>
            <w:tcW w:type="dxa" w:w="1440"/>
            <w:shd w:fill="C6EFCE" w:val="clear"/>
          </w:tcPr>
          <w:p>
            <w:r>
              <w:rPr>
                <w:sz w:val="17"/>
              </w:rPr>
              <w:t>15,315</w:t>
            </w:r>
          </w:p>
        </w:tc>
        <w:tc>
          <w:tcPr>
            <w:tcW w:type="dxa" w:w="1440"/>
            <w:shd w:fill="C6EFCE" w:val="clear"/>
          </w:tcPr>
          <w:p>
            <w:r>
              <w:rPr>
                <w:b/>
                <w:color w:val="008000"/>
                <w:sz w:val="17"/>
              </w:rPr>
              <w:t>+9.9%</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12,057</w:t>
            </w:r>
          </w:p>
        </w:tc>
        <w:tc>
          <w:tcPr>
            <w:tcW w:type="dxa" w:w="1440"/>
            <w:shd w:fill="C6EFCE" w:val="clear"/>
          </w:tcPr>
          <w:p>
            <w:r>
              <w:rPr>
                <w:b/>
                <w:sz w:val="17"/>
              </w:rPr>
              <w:t>13,768</w:t>
            </w:r>
          </w:p>
        </w:tc>
        <w:tc>
          <w:tcPr>
            <w:tcW w:type="dxa" w:w="1440"/>
            <w:shd w:fill="C6EFCE" w:val="clear"/>
          </w:tcPr>
          <w:p>
            <w:r>
              <w:rPr>
                <w:sz w:val="17"/>
              </w:rPr>
              <w:t>15,478</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11,986</w:t>
            </w:r>
          </w:p>
        </w:tc>
        <w:tc>
          <w:tcPr>
            <w:tcW w:type="dxa" w:w="1440"/>
            <w:shd w:fill="C6EFCE" w:val="clear"/>
          </w:tcPr>
          <w:p>
            <w:r>
              <w:rPr>
                <w:b/>
                <w:sz w:val="17"/>
              </w:rPr>
              <w:t>13,806</w:t>
            </w:r>
          </w:p>
        </w:tc>
        <w:tc>
          <w:tcPr>
            <w:tcW w:type="dxa" w:w="1440"/>
            <w:shd w:fill="C6EFCE" w:val="clear"/>
          </w:tcPr>
          <w:p>
            <w:r>
              <w:rPr>
                <w:sz w:val="17"/>
              </w:rPr>
              <w:t>15,626</w:t>
            </w:r>
          </w:p>
        </w:tc>
        <w:tc>
          <w:tcPr>
            <w:tcW w:type="dxa" w:w="1440"/>
            <w:shd w:fill="C6EFCE" w:val="clear"/>
          </w:tcPr>
          <w:p>
            <w:r>
              <w:rPr>
                <w:b/>
                <w:color w:val="008000"/>
                <w:sz w:val="17"/>
              </w:rPr>
              <w:t>+10.6%</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11,913</w:t>
            </w:r>
          </w:p>
        </w:tc>
        <w:tc>
          <w:tcPr>
            <w:tcW w:type="dxa" w:w="1440"/>
            <w:shd w:fill="C6EFCE" w:val="clear"/>
          </w:tcPr>
          <w:p>
            <w:r>
              <w:rPr>
                <w:b/>
                <w:sz w:val="17"/>
              </w:rPr>
              <w:t>13,835</w:t>
            </w:r>
          </w:p>
        </w:tc>
        <w:tc>
          <w:tcPr>
            <w:tcW w:type="dxa" w:w="1440"/>
            <w:shd w:fill="C6EFCE" w:val="clear"/>
          </w:tcPr>
          <w:p>
            <w:r>
              <w:rPr>
                <w:sz w:val="17"/>
              </w:rPr>
              <w:t>15,756</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Distribution d'eau / Services publics**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112,36 Mds FCFA, SDCC s'affirme comme une valeur de taille intermédiaire sur la cote BRVM, représentative d'un acteur stratégique du secteur de l'eau en Côte d'Ivoire. Le BPA de 518 FCFA/action signifie que chaque titre génère un bénéfice net de 518 FCFA, ce qui, rapporté au cours actuel de 12 485 FCFA, confère un PER de 24,1x — nettement supérieur à la moyenne du marché BRVM (8-12x), signalant que les investisseurs paient une prime significative pour les bénéfices, soit en anticipation d'une croissance future, soit en raison d'une surévaluation. Le P/B de 5,70x (largement supérieur au seuil de 4x) confirme cette valorisation exigeante : le marché valorise l'entreprise à près de 6 fois sa valeur comptable, ce qui traduit une forte prime de qualité et de rareté sectorielle. Enfin, l'EV/EBITDA de 14,7x, situé dans la fourchette haute (10-15x), indique que la valeur totale de l'entreprise (incluant la dette) représente près de 15 fois sa capacité opérationnelle — un niveau qui n'offre pas de marge de sécurité évidente et suppose une exécution parfaite des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SDCC a enregistré une progression spectaculaire de +73,40%, passant d'un plus bas de 7 200 FCFA à un plus haut de 13 885 FCFA, avant de refluer à 12 485 FCFA, soit une correction de -7,48% lors de la dernière séance — mouvement baissier brutal qui traduit une prise de profit après un rallye exceptionnel. Le range de trading (7 200 – 13 885 FCFA) est particulièrement large, illustrant une tendance haussière puissante mais ponctuée de fortes oscillations. Les statistiques descriptives révèlent une distribution asymétrique : la moyenne (11 573 FCFA) est inférieure à la médiane (11 900 FCFA), confirmant un skewness négatif de -1,194, c'est-à-dire que la majorité des séances se sont déroulées au-dessus de la moyenne, avec quelques journées de forte baisse qui tirent la moyenne vers le bas. L'écart-type de 1 352 FCFA (CV = 11,7%) indique une dispersion modérée du cours autour de sa moyenne, mais le kurtosis excédentaire de 1,662 (distribution leptokurtique) signale des queues épaisses, donc un risque accru de pics de volatilité violents — ce que confirme la chute de -7,48% en une seule séance. Enfin, la volatilité annualisée de 40,3% classe SDCC dans la catégorie des titres à volatilité élevée (&gt;30%), ce qui implique un risque significatif pour les investisseurs, mais aussi un potentiel de gain amplifié.</w:t>
      </w:r>
    </w:p>
    <w:p>
      <w:pPr>
        <w:spacing w:after="120" w:line="276" w:lineRule="auto"/>
      </w:pPr>
      <w:r>
        <w:t>---</w:t>
      </w:r>
    </w:p>
    <w:p>
      <w:pPr>
        <w:spacing w:after="120" w:line="276" w:lineRule="auto"/>
      </w:pPr>
      <w:r>
        <w:t>## PARTIE 2 : ANALYSE TECHNIQUE DÉTAILLÉE</w:t>
      </w:r>
    </w:p>
    <w:p>
      <w:pPr>
        <w:spacing w:after="120" w:line="276" w:lineRule="auto"/>
      </w:pPr>
      <w:r>
        <w:t>**Moyennes Mobiles** : La MM20 (13 089 FCFA) est supérieure à la MM50 (12 293 FCFA), configuration haussière classique (croisement doré), mais le cours actuel (12 485 FCFA) est repassé sous la MM20, signalant une perte de momentum à court terme. La décision affichée est "Achat", portée par la structure haussière des moyennes, mais la position du cours sous la MM20 invite à la prudence.</w:t>
      </w:r>
    </w:p>
    <w:p>
      <w:pPr>
        <w:spacing w:after="120" w:line="276" w:lineRule="auto"/>
      </w:pPr>
      <w:r>
        <w:t>**Bandes de Bollinger** : Le cours (12 485 FCFA) évolue dans la partie basse de la bande (borne inférieure : 12 020,78 FCFA ; borne supérieure : 14 157,22 FCFA), sans atteindre la zone de survente. La largeur des bandes reflète une volatilité élevée, et la décision "Neutre" suggère que le titre n'est ni suracheté ni survendu, mais en phase de consolidation après la correction.</w:t>
      </w:r>
    </w:p>
    <w:p>
      <w:pPr>
        <w:spacing w:after="120" w:line="276" w:lineRule="auto"/>
      </w:pPr>
      <w:r>
        <w:t>**MACD** : La valeur du MACD (284,625) est inférieure à son signal (362,675), générant une divergence baissière et une décision "Vente". Le momentum s'affaiblit clairement, et le croisement à la baisse du MACD sous son signal constitue un avertissement de correction à court terme.</w:t>
      </w:r>
    </w:p>
    <w:p>
      <w:pPr>
        <w:spacing w:after="120" w:line="276" w:lineRule="auto"/>
      </w:pPr>
      <w:r>
        <w:t>**RSI** : À 44,504, le RSI se situe en zone neutre (30-70), sans signal de surachat (&gt;70) ni de survente (&lt;30). La décision "Neutre" reflète un équilibre entre acheteurs et vendeurs, mais la tendance récente à la baisse suggère une pression vendeuse modérée.</w:t>
      </w:r>
    </w:p>
    <w:p>
      <w:pPr>
        <w:spacing w:after="120" w:line="276" w:lineRule="auto"/>
      </w:pPr>
      <w:r>
        <w:t>**Stochastique** : Le %K (0,0) est nettement inférieur au %D (40,969), avec un %K au plus bas absolu — signal de survente extrême à très court terme. Paradoxalement, la décision affichée est "Achat", car un %K à 0 est souvent annonciateur d'un rebond technique imminent, mais la faiblesse du %D tempère ce signal.</w:t>
      </w:r>
    </w:p>
    <w:p>
      <w:pPr>
        <w:spacing w:after="120" w:line="276" w:lineRule="auto"/>
      </w:pPr>
      <w:r>
        <w:t>**Conclusion technique** : Les indicateurs sont divergents — les moyennes mobiles restent haussières (MM20 &gt; MM50) et le stochastique suggère un rebond, mais le MACD est baissier et le cours a cassé sous la MM20. Cette configuration mixte plaide pour une consolidation à court terme, avec un risque de poursuite de la correction vers la borne inférieure de Bollinger (12 020 FCFA) avant une reprise éventuelle.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SDCC a réalisé un chiffre d'affaires de 189,430 Mds FCFA, en croissance de +9,98% par rapport à 2024, portée par la hausse des volumes d'eau facturés et l'élargissement du portefeuille clients (2 272 032 clients, +6,14%). Le résultat net s'établit à 4,663 Mds FCFA, en progression de +31%, avec une marge nette de 2,46% — faible en valeur absolue mais en amélioration. Le ROE atteint 23,65%, un niveau excellent (&gt;15%), témoignant d'une rentabilité des fonds propres très solide, tandis que le ROA reste faible à 0,99%, reflétant l'intensité capitalistique du secteur. La structure financière est toutefois préoccupante : l'autonomie financière n'est que de 4,17% (capitaux propres/total bilan), très en dessous du seuil sain de 30%, et le ratio d'endettement de 95,83% (dettes totales/capitaux propres) traduit une dépendance massive à l'endettement. Le BFR de 104,748 Mds FCFA est positif (défavorable pour une entreprise), et le délai client de 749,25 jours — plus de deux ans — constitue un risque majeur de trésorerie, même si le taux de recouvrement de 95,85% atténue partiellement ce risque. La trésorerie nette est négative à -61,710 Mds FCFA, et le Free Cash Flow de -38,504 Mds FCFA confirme des tensions de liquidité persistantes.</w:t>
      </w:r>
    </w:p>
    <w:p>
      <w:pPr>
        <w:spacing w:after="120" w:line="276" w:lineRule="auto"/>
      </w:pPr>
      <w:r>
        <w:t>**Estimations basées sur les rapports trimestriels** : Le rapport T1 2026 (publié en 2026) fait état d'un chiffre d'affaires de 40 916 millions FCFA, en léger repli de -2%, mais d'un résultat d'exploitation multiplié par 2,5 à 2 730 millions FCFA et d'un résultat net bondissant de +118% à 1 318 millions FCFA — une amélioration spectaculaire de la rentabilité opérationnelle. Sur cette base, on peut estimer que l'exercice 2026 devrait confirmer la dynamique de redressement des marges, avec un résultat net annuel potentiellement supérieur à 5 Mds FCFA si la tendance se maintient. Le rapport S1 2025 (daté du 30/06/2025) indiquait un résultat net de 1,355 Md FCFA (-24%), mais le T1 2026 marque une nette inversion de tendance. Le dividende proposé au titre de 2025 est de 525 FCFA/action, offrant un rendement de 4,2% au cours actuel — attractif mais à surveiller compte tenu des tensions de trésorerie.</w:t>
      </w:r>
    </w:p>
    <w:p>
      <w:pPr>
        <w:spacing w:after="120" w:line="276" w:lineRule="auto"/>
      </w:pPr>
      <w:r>
        <w:t>**Recommandation fondamentale** : SDCC présente un profil contrasté — excellente rentabilité des fonds propres (ROE 23,65%), croissance du CA (+10%) et amélioration récente de la rentabilité opérationnelle (T1 2026), mais une structure financière fragile (autonomie 4,17%, endettement 95,83%) et des tensions de trésorerie persistantes (FCF -38,5 Mds, trésorerie nette -61,7 Mds). La recommandation fondamentale est **CONSERVER**, avec une surveillance accrue de la trésorerie et du délai client.</w:t>
      </w:r>
    </w:p>
    <w:p>
      <w:pPr>
        <w:spacing w:after="120" w:line="276" w:lineRule="auto"/>
      </w:pPr>
      <w:r>
        <w:t>---</w:t>
      </w:r>
    </w:p>
    <w:p>
      <w:pPr>
        <w:spacing w:after="120" w:line="276" w:lineRule="auto"/>
      </w:pPr>
      <w:r>
        <w:t>## PARTIE 4 : CONCLUSION D'INVESTISSEMENT</w:t>
      </w:r>
    </w:p>
    <w:p>
      <w:pPr>
        <w:spacing w:after="120" w:line="276" w:lineRule="auto"/>
      </w:pPr>
      <w:r>
        <w:t>La valorisation de SDCC apparaît exigeante (PER 24,1x, P/B 5,70x, EV/EBITDA 14,7x), nettement supérieure aux moyennes du marché BRVM, ce qui intègre déjà une prime de croissance et de qualité sectorielle — limitant le potentiel d'appréciation à court terme. Le comportement du cours sur 100 jours est haussier (+73,40%) mais la correction récente (-7,48% en J-1) et le kurtosis élevé (1,662) signalent un risque de pics baissiers violents, tandis que le skewness négatif (-1,194) indique que les journées haussières dominent mais sont contrebalancées par des chutes brutales. Les signaux techniques sont divergents : les moyennes mobiles restent haussières (MM20 &gt; MM50) et le stochastique suggère un rebond (%K à 0), mais le MACD est baissier et le cours a cassé sous la MM20 — configuration de consolidation, voire de correction à court terme. Les fondamentaux sont solides sur la rentabilité (ROE 23,65%, RN +31% en 2025, T1 2026 en forte amélioration) mais fragiles sur la structure financière (autonomie 4,17%, endettement 95,83%, FCF négatif), ce qui tempère l'enthousiasme. Les prédictions IA (J+1 à J+10) tablent sur une reprise progressive de 13 230 FCFA à 13 597 FCFA, soit +8,9% en 10 jours, ce qui contredit la correction récente et suggère un rebond technique — mais cette trajectoire haussière est en divergence avec le MACD baissier et la cassure sous la MM20.</w:t>
      </w:r>
    </w:p>
    <w:p>
      <w:pPr>
        <w:spacing w:after="120" w:line="276" w:lineRule="auto"/>
      </w:pPr>
      <w:r>
        <w:t>**Recommandation finale : CONSERVER** — La convergence entre une valorisation exigeante, des signaux techniques mitigés (MACD baissier vs MM haussières) et des fondamentaux solides mais financièrement fragiles ne justifie ni un achat agressif ni une vente précipitée. Les prédictions IA haussières offrent un potentiel de rebond, mais le risque de correction vers 12 020 FCFA (borne inférieure de Bollinger) reste présent. **Niveau de confiance : Moyen** — les signaux sont divergents et la volatilité élevée (40,3%) accroît l'incertitude. **Niveau de risque global : Élevé** — en raison de la volatilité, de l'endettement massif et des tensions de trésorerie. **Horizon d'investissement optimal : Moyen terme (3-12 mois)** — pour laisser le temps à la consolidation technique de s'achever et aux améliorations opérationnelles du T1 2026 de se confirmer sur l'ensemble de l'exercice.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18,353 titres</w:t>
            </w:r>
          </w:p>
        </w:tc>
        <w:tc>
          <w:tcPr>
            <w:tcW w:type="dxa" w:w="2268"/>
            <w:shd w:fill="FFF2CC" w:val="clear"/>
          </w:tcPr>
          <w:p>
            <w:r>
              <w:rPr>
                <w:b/>
                <w:color w:val="503200"/>
                <w:sz w:val="16"/>
              </w:rPr>
              <w:t xml:space="preserve">Cours actuel : </w:t>
            </w:r>
            <w:r>
              <w:rPr>
                <w:color w:val="000000"/>
                <w:sz w:val="17"/>
              </w:rPr>
              <w:t>2,910 FCFA</w:t>
            </w:r>
          </w:p>
          <w:p>
            <w:r>
              <w:rPr>
                <w:b/>
                <w:color w:val="503200"/>
                <w:sz w:val="16"/>
              </w:rPr>
              <w:t xml:space="preserve">Var. 100 jours : </w:t>
            </w:r>
            <w:r>
              <w:rPr>
                <w:b/>
                <w:color w:val="007800"/>
                <w:sz w:val="17"/>
              </w:rPr>
              <w:t>+58.15%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18.94% (Élevée) — μ=2,388 FCFA, σ=452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β=0.6252 (Défensif) — Cov=0.000023, Var(idx)=0.000036, ρ=0.115,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18,353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2,775</w:t>
            </w:r>
          </w:p>
        </w:tc>
        <w:tc>
          <w:tcPr>
            <w:tcW w:type="dxa" w:w="1440"/>
            <w:shd w:fill="FAFAFA" w:val="clear"/>
          </w:tcPr>
          <w:p>
            <w:r>
              <w:rPr>
                <w:b/>
                <w:sz w:val="17"/>
              </w:rPr>
              <w:t>2,924</w:t>
            </w:r>
          </w:p>
        </w:tc>
        <w:tc>
          <w:tcPr>
            <w:tcW w:type="dxa" w:w="1440"/>
            <w:shd w:fill="FAFAFA" w:val="clear"/>
          </w:tcPr>
          <w:p>
            <w:r>
              <w:rPr>
                <w:sz w:val="17"/>
              </w:rPr>
              <w:t>3,072</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2,731</w:t>
            </w:r>
          </w:p>
        </w:tc>
        <w:tc>
          <w:tcPr>
            <w:tcW w:type="dxa" w:w="1440"/>
            <w:shd w:fill="FAFAFA" w:val="clear"/>
          </w:tcPr>
          <w:p>
            <w:r>
              <w:rPr>
                <w:b/>
                <w:sz w:val="17"/>
              </w:rPr>
              <w:t>2,942</w:t>
            </w:r>
          </w:p>
        </w:tc>
        <w:tc>
          <w:tcPr>
            <w:tcW w:type="dxa" w:w="1440"/>
            <w:shd w:fill="FAFAFA" w:val="clear"/>
          </w:tcPr>
          <w:p>
            <w:r>
              <w:rPr>
                <w:sz w:val="17"/>
              </w:rPr>
              <w:t>3,154</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2,695</w:t>
            </w:r>
          </w:p>
        </w:tc>
        <w:tc>
          <w:tcPr>
            <w:tcW w:type="dxa" w:w="1440"/>
            <w:shd w:fill="FAFAFA" w:val="clear"/>
          </w:tcPr>
          <w:p>
            <w:r>
              <w:rPr>
                <w:b/>
                <w:sz w:val="17"/>
              </w:rPr>
              <w:t>2,955</w:t>
            </w:r>
          </w:p>
        </w:tc>
        <w:tc>
          <w:tcPr>
            <w:tcW w:type="dxa" w:w="1440"/>
            <w:shd w:fill="FAFAFA" w:val="clear"/>
          </w:tcPr>
          <w:p>
            <w:r>
              <w:rPr>
                <w:sz w:val="17"/>
              </w:rPr>
              <w:t>3,215</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2,660</w:t>
            </w:r>
          </w:p>
        </w:tc>
        <w:tc>
          <w:tcPr>
            <w:tcW w:type="dxa" w:w="1440"/>
            <w:shd w:fill="FAFAFA" w:val="clear"/>
          </w:tcPr>
          <w:p>
            <w:r>
              <w:rPr>
                <w:b/>
                <w:sz w:val="17"/>
              </w:rPr>
              <w:t>2,962</w:t>
            </w:r>
          </w:p>
        </w:tc>
        <w:tc>
          <w:tcPr>
            <w:tcW w:type="dxa" w:w="1440"/>
            <w:shd w:fill="FAFAFA" w:val="clear"/>
          </w:tcPr>
          <w:p>
            <w:r>
              <w:rPr>
                <w:sz w:val="17"/>
              </w:rPr>
              <w:t>3,263</w:t>
            </w:r>
          </w:p>
        </w:tc>
        <w:tc>
          <w:tcPr>
            <w:tcW w:type="dxa" w:w="1440"/>
            <w:shd w:fill="FAFAFA" w:val="clear"/>
          </w:tcPr>
          <w:p>
            <w:r>
              <w:rPr>
                <w:b/>
                <w:color w:val="008000"/>
                <w:sz w:val="17"/>
              </w:rPr>
              <w:t>+1.8%</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2,628</w:t>
            </w:r>
          </w:p>
        </w:tc>
        <w:tc>
          <w:tcPr>
            <w:tcW w:type="dxa" w:w="1440"/>
            <w:shd w:fill="FAFAFA" w:val="clear"/>
          </w:tcPr>
          <w:p>
            <w:r>
              <w:rPr>
                <w:b/>
                <w:sz w:val="17"/>
              </w:rPr>
              <w:t>2,965</w:t>
            </w:r>
          </w:p>
        </w:tc>
        <w:tc>
          <w:tcPr>
            <w:tcW w:type="dxa" w:w="1440"/>
            <w:shd w:fill="FAFAFA" w:val="clear"/>
          </w:tcPr>
          <w:p>
            <w:r>
              <w:rPr>
                <w:sz w:val="17"/>
              </w:rPr>
              <w:t>3,303</w:t>
            </w:r>
          </w:p>
        </w:tc>
        <w:tc>
          <w:tcPr>
            <w:tcW w:type="dxa" w:w="1440"/>
            <w:shd w:fill="FAFAFA" w:val="clear"/>
          </w:tcPr>
          <w:p>
            <w:r>
              <w:rPr>
                <w:b/>
                <w:color w:val="008000"/>
                <w:sz w:val="17"/>
              </w:rPr>
              <w:t>+1.9%</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2,598</w:t>
            </w:r>
          </w:p>
        </w:tc>
        <w:tc>
          <w:tcPr>
            <w:tcW w:type="dxa" w:w="1440"/>
            <w:shd w:fill="FAFAFA" w:val="clear"/>
          </w:tcPr>
          <w:p>
            <w:r>
              <w:rPr>
                <w:b/>
                <w:sz w:val="17"/>
              </w:rPr>
              <w:t>2,968</w:t>
            </w:r>
          </w:p>
        </w:tc>
        <w:tc>
          <w:tcPr>
            <w:tcW w:type="dxa" w:w="1440"/>
            <w:shd w:fill="FAFAFA" w:val="clear"/>
          </w:tcPr>
          <w:p>
            <w:r>
              <w:rPr>
                <w:sz w:val="17"/>
              </w:rPr>
              <w:t>3,338</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2,571</w:t>
            </w:r>
          </w:p>
        </w:tc>
        <w:tc>
          <w:tcPr>
            <w:tcW w:type="dxa" w:w="1440"/>
            <w:shd w:fill="C6EFCE" w:val="clear"/>
          </w:tcPr>
          <w:p>
            <w:r>
              <w:rPr>
                <w:b/>
                <w:sz w:val="17"/>
              </w:rPr>
              <w:t>2,970</w:t>
            </w:r>
          </w:p>
        </w:tc>
        <w:tc>
          <w:tcPr>
            <w:tcW w:type="dxa" w:w="1440"/>
            <w:shd w:fill="C6EFCE" w:val="clear"/>
          </w:tcPr>
          <w:p>
            <w:r>
              <w:rPr>
                <w:sz w:val="17"/>
              </w:rPr>
              <w:t>3,370</w:t>
            </w:r>
          </w:p>
        </w:tc>
        <w:tc>
          <w:tcPr>
            <w:tcW w:type="dxa" w:w="1440"/>
            <w:shd w:fill="C6EFCE" w:val="clear"/>
          </w:tcPr>
          <w:p>
            <w:r>
              <w:rPr>
                <w:b/>
                <w:color w:val="008000"/>
                <w:sz w:val="17"/>
              </w:rPr>
              <w:t>+2.1%</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2,544</w:t>
            </w:r>
          </w:p>
        </w:tc>
        <w:tc>
          <w:tcPr>
            <w:tcW w:type="dxa" w:w="1440"/>
            <w:shd w:fill="C6EFCE" w:val="clear"/>
          </w:tcPr>
          <w:p>
            <w:r>
              <w:rPr>
                <w:b/>
                <w:sz w:val="17"/>
              </w:rPr>
              <w:t>2,972</w:t>
            </w:r>
          </w:p>
        </w:tc>
        <w:tc>
          <w:tcPr>
            <w:tcW w:type="dxa" w:w="1440"/>
            <w:shd w:fill="C6EFCE" w:val="clear"/>
          </w:tcPr>
          <w:p>
            <w:r>
              <w:rPr>
                <w:sz w:val="17"/>
              </w:rPr>
              <w:t>3,399</w:t>
            </w:r>
          </w:p>
        </w:tc>
        <w:tc>
          <w:tcPr>
            <w:tcW w:type="dxa" w:w="1440"/>
            <w:shd w:fill="C6EFCE" w:val="clear"/>
          </w:tcPr>
          <w:p>
            <w:r>
              <w:rPr>
                <w:b/>
                <w:color w:val="008000"/>
                <w:sz w:val="17"/>
              </w:rPr>
              <w:t>+2.1%</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2,520</w:t>
            </w:r>
          </w:p>
        </w:tc>
        <w:tc>
          <w:tcPr>
            <w:tcW w:type="dxa" w:w="1440"/>
            <w:shd w:fill="C6EFCE" w:val="clear"/>
          </w:tcPr>
          <w:p>
            <w:r>
              <w:rPr>
                <w:b/>
                <w:sz w:val="17"/>
              </w:rPr>
              <w:t>2,973</w:t>
            </w:r>
          </w:p>
        </w:tc>
        <w:tc>
          <w:tcPr>
            <w:tcW w:type="dxa" w:w="1440"/>
            <w:shd w:fill="C6EFCE" w:val="clear"/>
          </w:tcPr>
          <w:p>
            <w:r>
              <w:rPr>
                <w:sz w:val="17"/>
              </w:rPr>
              <w:t>3,427</w:t>
            </w:r>
          </w:p>
        </w:tc>
        <w:tc>
          <w:tcPr>
            <w:tcW w:type="dxa" w:w="1440"/>
            <w:shd w:fill="C6EFCE" w:val="clear"/>
          </w:tcPr>
          <w:p>
            <w:r>
              <w:rPr>
                <w:b/>
                <w:color w:val="008000"/>
                <w:sz w:val="17"/>
              </w:rPr>
              <w:t>+2.2%</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2,496</w:t>
            </w:r>
          </w:p>
        </w:tc>
        <w:tc>
          <w:tcPr>
            <w:tcW w:type="dxa" w:w="1440"/>
            <w:shd w:fill="C6EFCE" w:val="clear"/>
          </w:tcPr>
          <w:p>
            <w:r>
              <w:rPr>
                <w:b/>
                <w:sz w:val="17"/>
              </w:rPr>
              <w:t>2,975</w:t>
            </w:r>
          </w:p>
        </w:tc>
        <w:tc>
          <w:tcPr>
            <w:tcW w:type="dxa" w:w="1440"/>
            <w:shd w:fill="C6EFCE" w:val="clear"/>
          </w:tcPr>
          <w:p>
            <w:r>
              <w:rPr>
                <w:sz w:val="17"/>
              </w:rPr>
              <w:t>3,453</w:t>
            </w:r>
          </w:p>
        </w:tc>
        <w:tc>
          <w:tcPr>
            <w:tcW w:type="dxa" w:w="1440"/>
            <w:shd w:fill="C6EFCE" w:val="clear"/>
          </w:tcPr>
          <w:p>
            <w:r>
              <w:rPr>
                <w:b/>
                <w:color w:val="008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158,41 milliards FCFA, SDSC s'impose comme une valeur de premier plan de la cote BRVM, représentant un poids significatif dans l'indice composite. Le BPA de 387 FCFA/action (exercice 2024) signifie que chaque titre génère près de 387 FCFA de bénéfice net, ce qui, rapporté au cours actuel de 2 910 FCFA, donne un PER de 7,5x — nettement inférieur à la moyenne BRVM (8-12x), suggérant une sous-évaluation apparente sur la base des bénéfices historiques. Le P/B de 2,04x indique que le marché valorise la société à environ deux fois sa valeur comptable, une prime de croissance modérée mais justifiée par un ROE de 27,08% (exercice 2024). En revanche, l'EV/EBITDA de 34,2x apparaît très exigeant (&gt;15x), traduisant une valorisation d'entreprise déconnectée de la capacité opérationnelle actuelle — un signal de prudence majeur, d'autant que le résultat d'exploitation 2025 est devenu négatif (-2,27 milliards FCFA selon le rapport du 31/12/2025).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+58,15%, passant d'un plus bas de 1 650 FCFA à un plus haut de 3 205 FCFA, avant de clôturer à 2 910 FCFA, soit une correction de -2,68% lors de la dernière séance. Le range de trading de 1 555 FCFA (soit près de 94% du plus bas) témoigne d'une tendance haussière puissante, bien que la récente consolidation suggère une prise de profit après le rallye. Les statistiques descriptives révèlent une moyenne de 2 388 FCFA légèrement inférieure à la médiane de 2 460 FCFA, indiquant une asymétrie négative (skewness = -0,172) : les périodes de baisse ont été plus marquées que les hausses, mais la distribution reste globalement symétrique. L'écart-type de 455 FCFA (CV = 19,0%) traduit une dispersion modérée du cours autour de sa moyenne, tandis que le kurtosis de -1,200 (distribution platykurtique) signale une faible concentration des rendements et un risque de pics de volatilité moins prononcé qu'une distribution normale. La volatilité annualisée de 51,8% classe le titre dans la catégorie des valeurs très volatiles (&gt;30%), ce qui implique un risque de marché élevé et nécessite une tolérance importante aux fluctuations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(2 942,25 FCFA) et la MM50 (2 751,30 FCFA) encadrent le cours actuel (2 910 FCFA), qui se situe légèrement sous la MM20 mais nettement au-dessus de la MM50. Cette configuration — cours &gt; MM50 mais &lt; MM20 — indique une tendance haussière de fond toujours intacte, mais un essoufflement à court terme. La décision "Achat" est justifiée par le maintien du cours au-dessus de la MM50, considérée comme support dynamique.</w:t>
      </w:r>
    </w:p>
    <w:p>
      <w:pPr>
        <w:spacing w:after="120" w:line="276" w:lineRule="auto"/>
      </w:pPr>
      <w:r>
        <w:t>**Bandes de Bollinger** : Le cours (2 910 FCFA) évolue dans la partie médiane des bandes (borne supérieure = 3 303,31 FCFA ; borne inférieure = 2 581,19 FCFA), à environ 47% de la largeur totale. Cette position neutre reflète une absence de pression directionnelle forte, avec une volatilité qui se comprime après le rallye. La décision "Neutre" est cohérente avec cette configuration équilibrée.</w:t>
      </w:r>
    </w:p>
    <w:p>
      <w:pPr>
        <w:spacing w:after="120" w:line="276" w:lineRule="auto"/>
      </w:pPr>
      <w:r>
        <w:t>**MACD** : La valeur du MACD (87,481) est inférieure à son signal (106,683), générant un croisement baissier et une divergence négative. Ce momentum affaibli indique que la dynamique haussière perd de sa vigueur, bien que le MACD reste en territoire positif. La décision "Vente" à court terme est justifiée par cette perte de momentum.</w:t>
      </w:r>
    </w:p>
    <w:p>
      <w:pPr>
        <w:spacing w:after="120" w:line="276" w:lineRule="auto"/>
      </w:pPr>
      <w:r>
        <w:t>**RSI** : À 55,238, le RSI se situe en zone neutre (30-70), sans signal de surachat (&gt;70) ni de survente (&lt;30). Cette valeur médiane suggère un équilibre entre acheteurs et vendeurs, sans excès spéculatif. La décision "Neutre" est appropriée.</w:t>
      </w:r>
    </w:p>
    <w:p>
      <w:pPr>
        <w:spacing w:after="120" w:line="276" w:lineRule="auto"/>
      </w:pPr>
      <w:r>
        <w:t>**Stochastique** : Le %K (0,0) est en forte baisse et croise nettement sous le %D (40,18), générant un signal baissier de court terme. Cependant, la décision affichée "Achat" paraît contre-intuitive ; elle pourrait refléter une anticipation de rebond technique depuis la zone de survente du stochastique, mais ce signal est fragile et contradictoire avec le croisement baissier.</w:t>
      </w:r>
    </w:p>
    <w:p>
      <w:pPr>
        <w:spacing w:after="120" w:line="276" w:lineRule="auto"/>
      </w:pPr>
      <w:r>
        <w:t>**Conclusion technique** : Les indicateurs présentent une divergence notable. Les moyennes mobiles et le stochastique suggèrent un potentiel d'achat, tandis que le MACD et les bandes de Bollinger plaident pour la prudence. Le RSI neutre confirme l'absence de signal fort. Dans l'ensemble, le titre est en phase de consolidation après un rallye majeur, avec un risque de correction à court terme plus élevé qu'un potentiel de hausse 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le portrait d'une entreprise solide mais dont la rentabilité s'est depuis fortement dégradée. En 2024, SDSC affichait un chiffre d'affaires de 85,643 milliards FCFA, un résultat net de 21,069 milliards FCFA (marge nette de 24,60%), un ROE de 27,08% et un ROA de 11,20% — des niveaux excellents. Cependant, les rapports narratifs de 2025 (notamment l'analyse du 05/08/2026 sur les états financiers provisoires au 31/12/2025) révèlent un retournement brutal : le CA progresse de +7,43% à 92,004 milliards FCFA, mais le résultat net s'effondre de 96% à 0,785 milliard FCFA (marge nette de 0,85%), et le résultat d'exploitation devient négatif (-2,271 milliards FCFA) sous l'effet d'une hausse de 41% des dotations aux amortissements et de charges de personnel élevées. La rentabilité 2025 n'est sauvée que par le résultat financier (7,080 milliards FCFA, en baisse de 66%), provenant essentiellement des dividendes des filiales — un revenu non récurrent et volatil, comme l'illustre le rapport T3 2025 (résultat net en chute de 77% à 4,341 milliards FCFA faute de dividendes exceptionnels). Sur le plan bilanciel, la structure reste saine : autonomie financière de 41,36%, ratio d'endettement de 17,88%, trésorerie nette de 74,78 milliards FCFA (fin 2025), et liquidité générale de 132,84%. Toutefois, le BFR a explosé (+75,7 milliards FCFA) et le délai client de 466,94 jours (exercice 2024) constitue un risque de trésorerie majeur, tandis que le délai fournisseur de 4 534,17 jours traduit un pouvoir de négociation exceptionnel. Le rapport du 31/12/2025 (analysé par DeepSeek le 19/09/2026) recommande "CONSERVER" en raison de la croissance du CA et de la trésorerie abondante, mais alerte sur la dégradation de la rentabilité et la réduction drastique du dividende (-89%, à 544,353 millions FCFA, soit un taux de distribution de 69,3%). Le rapport des commissaires aux comptes (Deloitte/ECR, 26/08/2026) certifie les comptes sans réserve mais signale des manquements réglementaires (retards de clôture et de communication), un signal de faiblesse de gouvernance. **En synthèse**, la solidité financière (capitaux propres de 73,55 milliards FCFA, trésorerie nette de 74,78 milliards FCFA) contraste avec l'effondrement de la rentabilité opérationnelle et la dépendance aux revenus financiers exceptionnels. La recommandation fondamentale est de **CONSERVER avec vigilance**, en attendant une restauration des marges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le PER de 7,5x suggère une sous-évaluation sur la base des bénéfices 2024, mais l'EV/EBITDA de 34,2x et la chute du résultat net 2025 remettent en cause cette lecture — le marché intègre probablement la dégradation à venir. **Le comportement du cours (Partie 1)** est haussier sur 100 jours (+58,15%) mais montre des signes d'essoufflement (correction de -2,68% en J-1, skewness négatif, volatilité de 51,8%), avec une distribution platykurtique qui n'écarte pas les risques de pics baissiers. **Les signaux techniques (Partie 2)** sont divergents : les moyennes mobiles et le stochastique plaident pour un achat, mais le MACD baissier et les bandes de Bollinger neutres suggèrent une consolidation, voire une correction. **Les fondamentaux (Partie 3)** sont préoccupants : malgré un CA en croissance (+7,43% en 2025) et une trésorerie solide, l'effondrement du résultat net (-96%) et le résultat d'exploitation négatif constituent des alertes majeures, tout comme la dépendance aux dividendes des filiales et les manquements de gouvernance signalés par les auditeurs. **Les prédictions IA (J+1 à J+10)** anticipent une légère reprise (2 924 FCFA à 2 965 FCFA, soit +1,9% sur 5 jours), ce qui contredit partiellement les signaux baissiers du MACD mais reste cohérent avec un rebond technique après la correction. **En définitive**, la convergence des signaux est insuffisante pour justifier un achat : la sous-évaluation apparente (PER) est contrebalancée par une valorisation d'entreprise exigeante (EV/EBITDA), une dégradation fondamentale sévère et des signaux techniques mitigés. La recommandation finale est **CONSERVER**, avec un niveau de confiance **Moyen** et un risque global **Élevé** (volatilité de 51,8%, dépendance aux revenus financiers, gouvernance perfectible). L'horizon d'investissement optimal est le **moyen terme (3-12 mois)**, en surveillant la capacité de la direction à restaurer les marges opérationnelles au premier semestre 2026 et à clarifier sa politique de dividende — des catalyseurs nécessaires pour valider un passage à l'achat.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β=1.1339 (Neutre (suit le marché)) — Cov=0.000040, Var(idx)=0.000035, ρ=0.232,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1,352</w:t>
            </w:r>
          </w:p>
        </w:tc>
        <w:tc>
          <w:tcPr>
            <w:tcW w:type="dxa" w:w="1440"/>
            <w:shd w:fill="FAFAFA" w:val="clear"/>
          </w:tcPr>
          <w:p>
            <w:r>
              <w:rPr>
                <w:b/>
                <w:sz w:val="17"/>
              </w:rPr>
              <w:t>1,483</w:t>
            </w:r>
          </w:p>
        </w:tc>
        <w:tc>
          <w:tcPr>
            <w:tcW w:type="dxa" w:w="1440"/>
            <w:shd w:fill="FAFAFA" w:val="clear"/>
          </w:tcPr>
          <w:p>
            <w:r>
              <w:rPr>
                <w:sz w:val="17"/>
              </w:rPr>
              <w:t>1,614</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1,329</w:t>
            </w:r>
          </w:p>
        </w:tc>
        <w:tc>
          <w:tcPr>
            <w:tcW w:type="dxa" w:w="1440"/>
            <w:shd w:fill="FAFAFA" w:val="clear"/>
          </w:tcPr>
          <w:p>
            <w:r>
              <w:rPr>
                <w:b/>
                <w:sz w:val="17"/>
              </w:rPr>
              <w:t>1,475</w:t>
            </w:r>
          </w:p>
        </w:tc>
        <w:tc>
          <w:tcPr>
            <w:tcW w:type="dxa" w:w="1440"/>
            <w:shd w:fill="FAFAFA" w:val="clear"/>
          </w:tcPr>
          <w:p>
            <w:r>
              <w:rPr>
                <w:sz w:val="17"/>
              </w:rPr>
              <w:t>1,622</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1,309</w:t>
            </w:r>
          </w:p>
        </w:tc>
        <w:tc>
          <w:tcPr>
            <w:tcW w:type="dxa" w:w="1440"/>
            <w:shd w:fill="FAFAFA" w:val="clear"/>
          </w:tcPr>
          <w:p>
            <w:r>
              <w:rPr>
                <w:b/>
                <w:sz w:val="17"/>
              </w:rPr>
              <w:t>1,468</w:t>
            </w:r>
          </w:p>
        </w:tc>
        <w:tc>
          <w:tcPr>
            <w:tcW w:type="dxa" w:w="1440"/>
            <w:shd w:fill="FAFAFA" w:val="clear"/>
          </w:tcPr>
          <w:p>
            <w:r>
              <w:rPr>
                <w:sz w:val="17"/>
              </w:rPr>
              <w:t>1,627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1,290</w:t>
            </w:r>
          </w:p>
        </w:tc>
        <w:tc>
          <w:tcPr>
            <w:tcW w:type="dxa" w:w="1440"/>
            <w:shd w:fill="FFDCE0" w:val="clear"/>
          </w:tcPr>
          <w:p>
            <w:r>
              <w:rPr>
                <w:b/>
                <w:sz w:val="17"/>
              </w:rPr>
              <w:t>1,461</w:t>
            </w:r>
          </w:p>
        </w:tc>
        <w:tc>
          <w:tcPr>
            <w:tcW w:type="dxa" w:w="1440"/>
            <w:shd w:fill="FFDCE0" w:val="clear"/>
          </w:tcPr>
          <w:p>
            <w:r>
              <w:rPr>
                <w:sz w:val="17"/>
              </w:rPr>
              <w:t>1,632</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de la cote. Les ratios de valorisation boursière (BPA, PER, P/B, EV/EBITDA) ne sont pas calculables en l'état, les données financières structurées nécessaires à leur computation n'étant pas disponibles dans la base de données. Cette absence empêche toute appréciation directe du caractère bon marché ou onéreux du titre par rapport aux bénéfices ou à la valeur comptable. Toutefois, les rapports financiers officiels fournis permettent d'extraire des éléments de référence : sur la base d'un résultat net 2023 de 1,01 milliard FCFA et d'un capital composé d'environ 25,2 millions d'actions (déduit d'une capitalisation de 37,66 Mds à 1 495 FCFA), le BPA ressortirait autour de 40 FCFA, soit un PER implicite très élevé (supérieur à 35x), bien au-delà de la moyenne BRVM (8-12x). Cette cherté apparente s'explique par l'effondrement du résultat net 2023 (-74%), et non par une surévaluation intrinsèque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affiche une variation totale de -16,94%, avec une dernière séance en repli de -1,64%, confirmant une tendance baissière persistante. Le cours actuel de 1 495 FCFA se situe dans la partie basse du range de trading établi entre 1 350 FCFA (plus bas) et 1 800 FCFA (plus haut), soit un écart de 450 FCFA (33% du plus bas) qui témoigne d'une forte amplitude. La moyenne (1 527 FCFA) est légèrement supérieure à la médiane (1 520 FCFA), avec un mode à 1 500 FCFA, indiquant une distribution quasi-symétrique mais légèrement tirée vers le haut par quelques séances de rebond. L'écart-type de 69 FCFA (CV de 4,5%) révèle une dispersion modérée en valeur absolue, mais le kurtosis de 1,652 (leptokurtique) signale des queues épaisses, donc un risque de pics de volatilité brutaux. Le skewness positif de 0,558 indique une asymétrie vers la droite, avec davantage de journées sous la moyenne que de journées exceptionnellement hautes — un profil défavorable pour les acheteurs. La volatilité annualisée de 47,2% classe le titre dans la catégorie des valeurs à volatilité élevée (&gt;30%), ce qui implique un risque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moyennes. Cette configuration en "death cross" potentiel (cours sous MM20 et MM50) est baissière à court terme, bien que la décision fournie soit "Achat" — probablement basée sur le croisement MM20 &gt; MM50 qui reste un signal haussier de fond. La divergence entre le signal et la position du cours invite à la prudence.</w:t>
      </w:r>
    </w:p>
    <w:p>
      <w:pPr>
        <w:spacing w:after="120" w:line="276" w:lineRule="auto"/>
      </w:pPr>
      <w:r>
        <w:t>**Bandes de Bollinger** : Le cours (1 495 FCFA) se situe entre la borne inférieure (1 459,69 FCFA) et la borne supérieure (1 621,81 FCFA), plus proche de la borne basse. Cette position suggère une pression vendeuse sans condition de survente extrême. La largeur des bandes (162 FCFA) reflète une volatilité modérée, et la décision "Neutre" est cohérente avec l'absence de signal directionnel fort.</w:t>
      </w:r>
    </w:p>
    <w:p>
      <w:pPr>
        <w:spacing w:after="120" w:line="276" w:lineRule="auto"/>
      </w:pPr>
      <w:r>
        <w:t>**MACD** : La valeur du MACD (6,207) est inférieure à son signal (10,071), générant un croisement baissier et une divergence négative. Le momentum est clairement à la baisse, ce qui justifie la décision "Vente". Ce signal contredit les moyennes mobiles et renforce le biais baissier à court terme.</w:t>
      </w:r>
    </w:p>
    <w:p>
      <w:pPr>
        <w:spacing w:after="120" w:line="276" w:lineRule="auto"/>
      </w:pPr>
      <w:r>
        <w:t>**RSI** : À 49,533, le RSI se situe en zone neutre (30-70), sans surachat ni survente. Cette valeur médiane indique un équilibre entre acheteurs et vendeurs, mais dans un contexte de tendance baissière, elle suggère une absence de force acheteuse suffisante pour inverser la tendance. La décision "Neutre" est appropriée.</w:t>
      </w:r>
    </w:p>
    <w:p>
      <w:pPr>
        <w:spacing w:after="120" w:line="276" w:lineRule="auto"/>
      </w:pPr>
      <w:r>
        <w:t>**Stochastique** : Le %K (34,615) est inférieur au %D (57,692), avec un croisement baissier en zone basse. Cette configuration indique une pression vendeuse persistante et un potentiel de poursuite de la baisse à court terme. La décision "Neutre" masque une réalité baissière, le %K sous 50 confirmant la faiblesse du momentum.</w:t>
      </w:r>
    </w:p>
    <w:p>
      <w:pPr>
        <w:spacing w:after="120" w:line="276" w:lineRule="auto"/>
      </w:pPr>
      <w:r>
        <w:t>**Conclusion technique** : Les indicateurs sont majoritairement baissiers (MACD en vente, Stochastique baissier, cours sous les moyennes mobiles) ou neutres (RSI, Bollinger). Seul le signal "Achat" des moyennes mobiles apporte une note positive, mais il est contredit par la position du cours. La convergence des signaux baissiers à court terme est préoccupante et suggère une poursuite de la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fournis. Le rapport annuel 2023 (daté du 31/12/2024, analysé par MISTRAL) révèle un chiffre d'affaires de 27,88 milliards FCFA, en baisse de 6% par rapport à 2022 (29,60 Mds FCFA), et un résultat net de 1,01 milliard FCFA, en chute de 74% (vs 3,86 Mds en 2022). La marge nette s'effondre à 3,6% (vs 13,0% en 2022), et le ROE se dégrade fortement. Un second rapport 2023 (même date) évoque un CA consolidé de 125,4 Mds FCFA et un résultat net de 12,8 Mds FCFA — il s'agit vraisemblablement d'une analyse erronée ou d'un périmètre différent (Eviosys groupe vs SEMC seule), à écarter au profit des chiffres spécifiques à SEMC. Le rapport 2022 (daté du 31/12/2022, analysé par MISTRAL) confirme un CA de 125,4 Mds FCFA et un résultat net de 12,8 Mds FCFA, mais ces données semblent également concerner le groupe Eviosys et non SEMC. Le rapport T1 2023 (daté du 31/03/2023) indique un CA de 7,65 Mds FCFA (+16,5%) et un résultat net de 855,65 M FCFA (+37,9%), avec une marge nette de 11,2% — mais ces performances trimestrielles n'ont pas empêché l'effondrement annuel. La politique de dividende est nulle en 2023 (0 FCFA), contre 0 FCFA en 2022, la trésorerie (3,35 Mds FCFA) étant conservée pour financer la relance. Le rachat par Sonoco Products Company (finalisé en décembre 2024) constitue un événement majeur, susceptible d'apporter des synergies mais aussi un risque de dilution. La suspension de la cote BRVM (flottant insuffisant : 10,42% vs 15% requis) depuis janvier 2024 est un facteur de risque majeur pour la liquidité. En synthèse, les fondamentaux 2023 sont dégradés (CA en baisse, résultat net en chute, marge comprimée), mais les perspectives 2024 (objectif CA de 32 Mds FCFA, +18%) et l'arrivée de Sonoco offrent des leviers de rebond. La solidité financière reste fragile, avec une rentabilité en berne et une gouvernance en transition.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élevée sur la base des résultats 2023 (PER implicite &gt;35x), mais cette cherté est artificielle car elle reflète l'effondrement des bénéfices et non une prime de qualité. Le comportement du cours (Partie 1) est clairement baissier (-16,94% sur 100 jours), avec une volatilité élevée (47,2%) et une asymétrie positive défavorable (skewness 0,558) qui expose à des pics de baisse. Les signaux techniques (Partie 2) sont majoritairement baissiers (MACD en vente, Stochastique baissier, cours sous les moyennes mobiles), avec un RSI neutre qui ne offre aucun support. Les fondamentaux (Partie 3) sont dégradés pour 2023 (CA -6%, résultat net -74%, marge nette à 3,6%), mais les perspectives 2024 (objectif CA +18%) et le rachat par Sonoco constituent des catalyseurs potentiels, bien que la suspension de la cote BRVM et l'absence de dividende pèsent lourdement. Les prédictions IA (J+1 à J+10) anticipent une poursuite de la baisse (1 483 → 1 454 FCFA, soit -2,7% supplémentaires), ce qui confirme la tendance baissière à court terme et contredit toute velléité d'achat immédiat. **Recommandation finale : CONSERVER** (avec vigilance). La convergence des signaux baissiers (technique, prédiction, tendance) et la faiblesse des fondamentaux 2023 justifient une position attentiste, mais le potentiel de rebond lié à Sonoco et à la relance 2024 interdit une vente précipitée. Le niveau de confiance est **Moyen** (incertitude sur l'exécution du plan 2024 et sur les modalités du rachat), et le risque global est **Élevé** (volatilité, suspension de cote, dépendance clients). L'horizon d'investissement optimal est le **moyen terme (3-12 mois)**, le temps que la situation se clarifie post-rachat et que les premiers effets de la relance se matérialisent. Un passage à "ACHAT" serait justifié si le cours se stabilise au-dessus de 1 500 FCFA et si les résultats semestriels 2024 confirment la reprise.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5,290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+11.21%</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4.33% (Faible) — μ=37,720 FCFA, σ=1,632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β=0.5198 (Défensif) — Cov=0.000019, Var(idx)=0.000036, ρ=0.216,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σ_j=1.47%/j (Stable) — Vol. annualisée≈23.3%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37,064</w:t>
            </w:r>
          </w:p>
        </w:tc>
        <w:tc>
          <w:tcPr>
            <w:tcW w:type="dxa" w:w="1440"/>
            <w:shd w:fill="FAFAFA" w:val="clear"/>
          </w:tcPr>
          <w:p>
            <w:r>
              <w:rPr>
                <w:b/>
                <w:sz w:val="17"/>
              </w:rPr>
              <w:t>38,143</w:t>
            </w:r>
          </w:p>
        </w:tc>
        <w:tc>
          <w:tcPr>
            <w:tcW w:type="dxa" w:w="1440"/>
            <w:shd w:fill="FAFAFA" w:val="clear"/>
          </w:tcPr>
          <w:p>
            <w:r>
              <w:rPr>
                <w:sz w:val="17"/>
              </w:rPr>
              <w:t>39,222</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36,519</w:t>
            </w:r>
          </w:p>
        </w:tc>
        <w:tc>
          <w:tcPr>
            <w:tcW w:type="dxa" w:w="1440"/>
            <w:shd w:fill="FFDCE0" w:val="clear"/>
          </w:tcPr>
          <w:p>
            <w:r>
              <w:rPr>
                <w:b/>
                <w:sz w:val="17"/>
              </w:rPr>
              <w:t>38,041</w:t>
            </w:r>
          </w:p>
        </w:tc>
        <w:tc>
          <w:tcPr>
            <w:tcW w:type="dxa" w:w="1440"/>
            <w:shd w:fill="FFDCE0" w:val="clear"/>
          </w:tcPr>
          <w:p>
            <w:r>
              <w:rPr>
                <w:sz w:val="17"/>
              </w:rPr>
              <w:t>39,563</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36,062</w:t>
            </w:r>
          </w:p>
        </w:tc>
        <w:tc>
          <w:tcPr>
            <w:tcW w:type="dxa" w:w="1440"/>
            <w:shd w:fill="FFDCE0" w:val="clear"/>
          </w:tcPr>
          <w:p>
            <w:r>
              <w:rPr>
                <w:b/>
                <w:sz w:val="17"/>
              </w:rPr>
              <w:t>37,921</w:t>
            </w:r>
          </w:p>
        </w:tc>
        <w:tc>
          <w:tcPr>
            <w:tcW w:type="dxa" w:w="1440"/>
            <w:shd w:fill="FFDCE0" w:val="clear"/>
          </w:tcPr>
          <w:p>
            <w:r>
              <w:rPr>
                <w:sz w:val="17"/>
              </w:rPr>
              <w:t>39,779</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35,665</w:t>
            </w:r>
          </w:p>
        </w:tc>
        <w:tc>
          <w:tcPr>
            <w:tcW w:type="dxa" w:w="1440"/>
            <w:shd w:fill="FFDCE0" w:val="clear"/>
          </w:tcPr>
          <w:p>
            <w:r>
              <w:rPr>
                <w:b/>
                <w:sz w:val="17"/>
              </w:rPr>
              <w:t>37,804</w:t>
            </w:r>
          </w:p>
        </w:tc>
        <w:tc>
          <w:tcPr>
            <w:tcW w:type="dxa" w:w="1440"/>
            <w:shd w:fill="FFDCE0" w:val="clear"/>
          </w:tcPr>
          <w:p>
            <w:r>
              <w:rPr>
                <w:sz w:val="17"/>
              </w:rPr>
              <w:t>39,944</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35,308</w:t>
            </w:r>
          </w:p>
        </w:tc>
        <w:tc>
          <w:tcPr>
            <w:tcW w:type="dxa" w:w="1440"/>
            <w:shd w:fill="FFDCE0" w:val="clear"/>
          </w:tcPr>
          <w:p>
            <w:r>
              <w:rPr>
                <w:b/>
                <w:sz w:val="17"/>
              </w:rPr>
              <w:t>37,693</w:t>
            </w:r>
          </w:p>
        </w:tc>
        <w:tc>
          <w:tcPr>
            <w:tcW w:type="dxa" w:w="1440"/>
            <w:shd w:fill="FFDCE0" w:val="clear"/>
          </w:tcPr>
          <w:p>
            <w:r>
              <w:rPr>
                <w:sz w:val="17"/>
              </w:rPr>
              <w:t>40,078</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34,981</w:t>
            </w:r>
          </w:p>
        </w:tc>
        <w:tc>
          <w:tcPr>
            <w:tcW w:type="dxa" w:w="1440"/>
            <w:shd w:fill="FFDCE0" w:val="clear"/>
          </w:tcPr>
          <w:p>
            <w:r>
              <w:rPr>
                <w:b/>
                <w:sz w:val="17"/>
              </w:rPr>
              <w:t>37,586</w:t>
            </w:r>
          </w:p>
        </w:tc>
        <w:tc>
          <w:tcPr>
            <w:tcW w:type="dxa" w:w="1440"/>
            <w:shd w:fill="FFDCE0" w:val="clear"/>
          </w:tcPr>
          <w:p>
            <w:r>
              <w:rPr>
                <w:sz w:val="17"/>
              </w:rPr>
              <w:t>40,191</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34,676</w:t>
            </w:r>
          </w:p>
        </w:tc>
        <w:tc>
          <w:tcPr>
            <w:tcW w:type="dxa" w:w="1440"/>
            <w:shd w:fill="FFDCE0" w:val="clear"/>
          </w:tcPr>
          <w:p>
            <w:r>
              <w:rPr>
                <w:b/>
                <w:sz w:val="17"/>
              </w:rPr>
              <w:t>37,482</w:t>
            </w:r>
          </w:p>
        </w:tc>
        <w:tc>
          <w:tcPr>
            <w:tcW w:type="dxa" w:w="1440"/>
            <w:shd w:fill="FFDCE0" w:val="clear"/>
          </w:tcPr>
          <w:p>
            <w:r>
              <w:rPr>
                <w:sz w:val="17"/>
              </w:rPr>
              <w:t>40,288</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34,389</w:t>
            </w:r>
          </w:p>
        </w:tc>
        <w:tc>
          <w:tcPr>
            <w:tcW w:type="dxa" w:w="1440"/>
            <w:shd w:fill="FFDCE0" w:val="clear"/>
          </w:tcPr>
          <w:p>
            <w:r>
              <w:rPr>
                <w:b/>
                <w:sz w:val="17"/>
              </w:rPr>
              <w:t>37,380</w:t>
            </w:r>
          </w:p>
        </w:tc>
        <w:tc>
          <w:tcPr>
            <w:tcW w:type="dxa" w:w="1440"/>
            <w:shd w:fill="FFDCE0" w:val="clear"/>
          </w:tcPr>
          <w:p>
            <w:r>
              <w:rPr>
                <w:sz w:val="17"/>
              </w:rPr>
              <w:t>40,371</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34,115</w:t>
            </w:r>
          </w:p>
        </w:tc>
        <w:tc>
          <w:tcPr>
            <w:tcW w:type="dxa" w:w="1440"/>
            <w:shd w:fill="FFDCE0" w:val="clear"/>
          </w:tcPr>
          <w:p>
            <w:r>
              <w:rPr>
                <w:b/>
                <w:sz w:val="17"/>
              </w:rPr>
              <w:t>37,280</w:t>
            </w:r>
          </w:p>
        </w:tc>
        <w:tc>
          <w:tcPr>
            <w:tcW w:type="dxa" w:w="1440"/>
            <w:shd w:fill="FFDCE0" w:val="clear"/>
          </w:tcPr>
          <w:p>
            <w:r>
              <w:rPr>
                <w:sz w:val="17"/>
              </w:rPr>
              <w:t>40,444</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33,854</w:t>
            </w:r>
          </w:p>
        </w:tc>
        <w:tc>
          <w:tcPr>
            <w:tcW w:type="dxa" w:w="1440"/>
            <w:shd w:fill="FFDCE0" w:val="clear"/>
          </w:tcPr>
          <w:p>
            <w:r>
              <w:rPr>
                <w:b/>
                <w:sz w:val="17"/>
              </w:rPr>
              <w:t>37,181</w:t>
            </w:r>
          </w:p>
        </w:tc>
        <w:tc>
          <w:tcPr>
            <w:tcW w:type="dxa" w:w="1440"/>
            <w:shd w:fill="FFDCE0" w:val="clear"/>
          </w:tcPr>
          <w:p>
            <w:r>
              <w:rPr>
                <w:sz w:val="17"/>
              </w:rPr>
              <w:t>40,508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1 210,22 milliards FCFA, SGBC figure parmi les poids lourds de la BRVM, ce qui en fait un pilier de l'indice composite et un titre de référence pour les investisseurs institutionnels de la zone UEMOA. Le BPA de 3 258 FCFA par action signifie que chaque titre génère un bénéfice net de plus de 3 200 FCFA, un niveau remarquable qui traduit la forte rentabilité de la banque. Le PER de 11,9x se situe dans la fourchette haute de la moyenne BRVM (~8-12x), indiquant que le marché paie un léger premium pour la qualité et la régularité des bénéfices, sans pour autant basculer dans la surévaluation. Le P/B de 2,44x montre que le marché valorise SGBC à plus du double de sa valeur comptable, une prime de croissance justifiée par un ROE supérieur à 20%. En revanche, l'EV/EBITDA de 24,7x apparaît très exigeant (&gt;15x), signalant que la valeur d'entreprise intègre déjà une bonne part des anticipations de croissance — un point de vigilance pour les investisseurs cherchant une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SGBC affiche une progression totale de +11,21%, avec une dernière séance en hausse de +2,37%, confirmant une dynamique haussière soutenue. Le cours actuel de 38 900 FCFA évolue dans un range de trading de 33 000 FCFA (plus bas) à 39 300 FCFA (plus haut), soit une amplitude de 19,1% — le titre se situe donc à proximité immédiate de son plus haut, ce qui traduit une forte pression acheteuse. La tendance générale est clairement haussière, portée par des volumes moyens de 5 290 titres/jour, signe d'une liquidité correcte pour le marché BRVM. Les statistiques descriptives révèlent une moyenne de 37 720 FCFA légèrement inférieure à la médiane de 38 025 FCFA, avec un mode à 39 000 FCFA : cet écart suggère une distribution asymétrique où les cours ont tendance à se concentrer sur les niveaux élevés. L'écart-type de 1 640 FCFA (CV = 4,3%) indique une dispersion modérée du cours, tandis que le kurtosis de 1,148 (leptokurtique) signale des queues épaisses et un risque de pics de volatilité. Le skewness de -1,440 (asymétrie négative) confirme que le titre a passé plus de journées au-dessus de sa moyenne, avec des corrections ponctuelles plus marquées que les hausses. La volatilité annualisée de 23,3% place SGBC dans la catégorie des titres à volatilité modérée (15-30%), ce qui est rassurant pour un investisseur de moyen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(38 512,25 FCFA) et la MM50 (38 429,60 FCFA) se situent toutes deux sous le cours actuel (38 900 FCFA), avec la MM20 légèrement au-dessus de la MM50 — configuration haussière classique (croisement doré). Le cours évoluant au-dessus de ses deux moyennes, la décision technique est à l'**Achat**, confirmant la tendance positive de court et moyen terme.</w:t>
      </w:r>
    </w:p>
    <w:p>
      <w:pPr>
        <w:spacing w:after="120" w:line="276" w:lineRule="auto"/>
      </w:pPr>
      <w:r>
        <w:t>**Bandes de Bollinger** : Le cours (38 900 FCFA) se situe entre la borne inférieure (37 640,12 FCFA) et la borne supérieure (39 384,38 FCFA), plus proche de la borne haute. L'écart entre les bornes (~1 744 FCFA) reflète une volatilité modérée. La décision est **Neutre**, car le cours n'est ni en rupture haussière ni en zone de survente, évoluant dans un canal équilibré.</w:t>
      </w:r>
    </w:p>
    <w:p>
      <w:pPr>
        <w:spacing w:after="120" w:line="276" w:lineRule="auto"/>
      </w:pPr>
      <w:r>
        <w:t>**MACD** : La valeur du MACD (19,49) est légèrement inférieure à son signal (19,819), générant une décision de **Vente**. Cette divergence négative indique un essoufflement du momentum haussier à court terme, bien que l'écart reste faible et puisse se résorber rapidement.</w:t>
      </w:r>
    </w:p>
    <w:p>
      <w:pPr>
        <w:spacing w:after="120" w:line="276" w:lineRule="auto"/>
      </w:pPr>
      <w:r>
        <w:t>**RSI** : À 57,705, le RSI se situe en zone neutre (30-70), sans signal de surachat (&gt;70) ni de survente (&lt;30). La décision est **Neutre**, suggérant que le titre dispose encore d'un potentiel de hausse sans être dans une zone d'euphorie.</w:t>
      </w:r>
    </w:p>
    <w:p>
      <w:pPr>
        <w:spacing w:after="120" w:line="276" w:lineRule="auto"/>
      </w:pPr>
      <w:r>
        <w:t>**Stochastique** : Le %K (91,667) est nettement supérieur au %D (66,667), avec un %K en zone de surachat (&gt;80). La décision est **Vente**, car ce croisement en zone haute signale un risque de correction à court terme.</w:t>
      </w:r>
    </w:p>
    <w:p>
      <w:pPr>
        <w:spacing w:after="120" w:line="276" w:lineRule="auto"/>
      </w:pPr>
      <w:r>
        <w:t>**Conclusion technique** : Les indicateurs sont partagés — les moyennes mobiles confirment la tendance haussière de fond, tandis que le MACD et le stochastique signalent un essoufflement à court terme. Le RSI et les bandes de Bollinger restent neutres. Cette configuration suggère une consolidation possible avant une nouvelle impulsion haussière, avec un support clé à 38 500 FCFA (MM20/MM50) et une résistance à 39 300 FCFA (plus haut récent).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SGBC affiche un Produit Net Bancaire (PNB) de 276,048 milliards FCFA, en croissance de +4,88% sur un an, et un résultat net de 101,352 milliards FCFA — franchissant pour la première fois le seuil symbolique des 100 milliards. Le ROE s'établit à 20,47% (&gt;15% = excellent), le ROA à 2,69%, et la marge nette à 36,72%, confirmant la forte rentabilité de la banque. Le coefficient d'exploitation de 38,75% (&lt;60% = banque efficace, &lt;50% = excellente) témoigne d'une maîtrise remarquable des coûts. Le coût du risque, mesuré par le ratio provisions/charges financières (17,995/47,775 = 37,7%), reste contenu, bien que les créances en souffrance (NPL) aient augmenté à 7,8% au S1 2025 (contre 6,7% un an plus tôt). La structure bilancielle est solide : les dépôts clientèle (2 907,675 milliards FCFA) couvrent largement les créances clientèle (2 546,290 milliards FCFA), avec un ratio prêts/dépôts de 87,6% — en amélioration continue (96% fin 2024, 84,6% fin septembre 2025). Les capitaux propres de 495,113 milliards FCFA et le ratio de solvabilité de 17,7% (S1 2025) offrent une marge de sécurité confortable au-dessus du minimum réglementaire de 12,5%.</w:t>
      </w:r>
    </w:p>
    <w:p>
      <w:pPr>
        <w:spacing w:after="120" w:line="276" w:lineRule="auto"/>
      </w:pPr>
      <w:r>
        <w:t>**Estimations basées sur les rapports trimestriels** : Sur la base du rapport T3 2025 (daté du 30 septembre 2025), le PNB cumulé sur 9 mois atteint 201,0 milliards FCFA (+2,5% en glissement annuel) et le résultat net 83,3 milliards FCFA (+11,7%), avec un coefficient d'exploitation amélioré à 37,3%. Le rapport S1 2025 (30 juin 2025) indiquait un PNB de 132,0 milliards FCFA (+1,0%) et un résultat net de 53,1 milliards FCFA (+10,0%), avec un ROE de 23,8%. On estime donc que l'exercice 2025 devrait clôturer avec un PNB autour de 276 milliards FCFA et un résultat net proche de 101 milliards FCFA, en ligne avec les données structurées. Le rapport annuel 2024 (31 décembre 2024) confirmait déjà cette trajectoire avec un PNB de 263,2 milliards FCFA (+3,9%) et un résultat net de 101,2 milliards FCFA (+4,1%), ainsi qu'un dividende brut de 1 863 FCFA/action (+8,4%), soit un taux de distribution de 57,25%.</w:t>
      </w:r>
    </w:p>
    <w:p>
      <w:pPr>
        <w:spacing w:after="120" w:line="276" w:lineRule="auto"/>
      </w:pPr>
      <w:r>
        <w:t>**Recommandation fondamentale** : SGBC présente des fondamentaux exceptionnellement solides — rentabilité élevée (ROE &gt;20%), efficacité opérationnelle (coefficient d'exploitation &lt;39%), structure bilancielle robuste (solvabilité 17,7%) et politique de dividende généreuse. Les principaux risques résident dans la hausse des créances en souffrance (NPL à 7,8%) et la dépendance aux commissions (72,6 milliards FCFA de produits, soit 26,3% du PNB). La notation AAA (Bloomfield), unique dans le secteur bancaire ivoirien, renforce la crédibilité de l'émetteur. **Recommandation fondamentale : ACHAT**, avec un biais positif à moyen/long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convergence majoritairement positive, malgré quelques signaux techniques de court terme. **Valorisation (Partie 0)** : le PER de 11,9x et le P/B de 2,44x indiquent une valorisation raisonnable, bien que l'EV/EBITDA de 24,7x soit exigeant — le titre n'est ni sous-évalué ni surévalué, mais intègre une prime de qualité. **Comportement du cours (Partie 1)** : la tendance haussière (+11,21% sur 100 jours), la volatilité modérée (23,3%) et les statistiques (skewness négatif, kurtosis leptokurtique) suggèrent un titre dynamique mais exposé à des pics de volatilité. **Signaux techniques (Partie 2)** : les moyennes mobiles confirment la tendance haussière, mais le MACD et le stochastique signalent un essoufflement à court terme — divergence qui plaide pour une consolidation avant une nouvelle impulsion. **Fondamentaux (Partie 3)** : la solidité financière (ROE 20,47%, coefficient d'exploitation 38,75%, solvabilité 17,7%) et la croissance du résultat net (+11,7% au T3 2025) justifient une exposition positive. **Prédictions IA (J+1 à J+10)** : la trajectoire prédite (38 143 FCFA le 21/09/2026 → 37 693 FCFA le 25/09/2026) suggère une légère correction de -3,1% à court terme, ce qui contredit partiellement les signaux haussiers des moyennes mobiles mais confirme l'essoufflement technique identifié.</w:t>
      </w:r>
    </w:p>
    <w:p>
      <w:pPr>
        <w:spacing w:after="120" w:line="276" w:lineRule="auto"/>
      </w:pPr>
      <w:r>
        <w:t>**Recommandation finale : CONSERVER** (avec biais acheteur à moyen terme). La convergence entre valorisation raisonnable, fondamentaux solides et tendance de fond haussière est tempérée par les signaux techniques de court terme (MACD, stochastique) et la prédiction IA baissière à 10 jours. **Niveau de confiance : Moyen** — les fondamentaux sont excellents, mais le timing d'entrée n'est pas optimal à court terme. **Niveau de risque global : Moyen** — la volatilité modérée et la solidité financière limitent le risque, mais la hausse des NPL et la dépendance aux commissions constituent des points de vigilance. **Horizon d'investissement optimal : Moyen terme (3-12 mois)** — idéal pour profiter de la tendance haussière de fond et de la politique de dividende attractive (rendement estimé ~4,8% sur la base du dividende 2024 de 1 863 FCFA), tout en laissant passer la consolidation attendue à court terme.</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173.88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4,738 titres</w:t>
            </w:r>
          </w:p>
        </w:tc>
        <w:tc>
          <w:tcPr>
            <w:tcW w:type="dxa" w:w="2268"/>
            <w:shd w:fill="FFF2CC" w:val="clear"/>
          </w:tcPr>
          <w:p>
            <w:r>
              <w:rPr>
                <w:b/>
                <w:color w:val="503200"/>
                <w:sz w:val="16"/>
              </w:rPr>
              <w:t xml:space="preserve">Cours actuel : </w:t>
            </w:r>
            <w:r>
              <w:rPr>
                <w:color w:val="000000"/>
                <w:sz w:val="17"/>
              </w:rPr>
              <w:t>2,760 FCFA</w:t>
            </w:r>
          </w:p>
          <w:p>
            <w:r>
              <w:rPr>
                <w:b/>
                <w:color w:val="503200"/>
                <w:sz w:val="16"/>
              </w:rPr>
              <w:t xml:space="preserve">Var. 100 jours : </w:t>
            </w:r>
            <w:r>
              <w:rPr>
                <w:b/>
                <w:color w:val="007800"/>
                <w:sz w:val="17"/>
              </w:rPr>
              <w:t>+42.27%</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10.53% (Moyenne) — μ=2,204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β=0.6764 (Défensif) — Cov=0.000024, Var(idx)=0.000036, ρ=0.182,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2026-09-21</w:t>
            </w:r>
          </w:p>
        </w:tc>
        <w:tc>
          <w:tcPr>
            <w:tcW w:type="dxa" w:w="1440"/>
            <w:shd w:fill="FFDCE0" w:val="clear"/>
          </w:tcPr>
          <w:p>
            <w:r>
              <w:rPr>
                <w:sz w:val="17"/>
              </w:rPr>
              <w:t>2,549</w:t>
            </w:r>
          </w:p>
        </w:tc>
        <w:tc>
          <w:tcPr>
            <w:tcW w:type="dxa" w:w="1440"/>
            <w:shd w:fill="FFDCE0" w:val="clear"/>
          </w:tcPr>
          <w:p>
            <w:r>
              <w:rPr>
                <w:b/>
                <w:sz w:val="17"/>
              </w:rPr>
              <w:t>2,668</w:t>
            </w:r>
          </w:p>
        </w:tc>
        <w:tc>
          <w:tcPr>
            <w:tcW w:type="dxa" w:w="1440"/>
            <w:shd w:fill="FFDCE0" w:val="clear"/>
          </w:tcPr>
          <w:p>
            <w:r>
              <w:rPr>
                <w:sz w:val="17"/>
              </w:rPr>
              <w:t>2,788</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2,418</w:t>
            </w:r>
          </w:p>
        </w:tc>
        <w:tc>
          <w:tcPr>
            <w:tcW w:type="dxa" w:w="1440"/>
            <w:shd w:fill="FFDCE0" w:val="clear"/>
          </w:tcPr>
          <w:p>
            <w:r>
              <w:rPr>
                <w:b/>
                <w:sz w:val="17"/>
              </w:rPr>
              <w:t>2,582</w:t>
            </w:r>
          </w:p>
        </w:tc>
        <w:tc>
          <w:tcPr>
            <w:tcW w:type="dxa" w:w="1440"/>
            <w:shd w:fill="FFDCE0" w:val="clear"/>
          </w:tcPr>
          <w:p>
            <w:r>
              <w:rPr>
                <w:sz w:val="17"/>
              </w:rPr>
              <w:t>2,746</w:t>
            </w:r>
          </w:p>
        </w:tc>
        <w:tc>
          <w:tcPr>
            <w:tcW w:type="dxa" w:w="1440"/>
            <w:shd w:fill="FFDCE0" w:val="clear"/>
          </w:tcPr>
          <w:p>
            <w:r>
              <w:rPr>
                <w:b/>
                <w:color w:val="C00000"/>
                <w:sz w:val="17"/>
              </w:rPr>
              <w:t>-6.4%</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2,321</w:t>
            </w:r>
          </w:p>
        </w:tc>
        <w:tc>
          <w:tcPr>
            <w:tcW w:type="dxa" w:w="1440"/>
            <w:shd w:fill="FFDCE0" w:val="clear"/>
          </w:tcPr>
          <w:p>
            <w:r>
              <w:rPr>
                <w:b/>
                <w:sz w:val="17"/>
              </w:rPr>
              <w:t>2,517</w:t>
            </w:r>
          </w:p>
        </w:tc>
        <w:tc>
          <w:tcPr>
            <w:tcW w:type="dxa" w:w="1440"/>
            <w:shd w:fill="FFDCE0" w:val="clear"/>
          </w:tcPr>
          <w:p>
            <w:r>
              <w:rPr>
                <w:sz w:val="17"/>
              </w:rPr>
              <w:t>2,713</w:t>
            </w:r>
          </w:p>
        </w:tc>
        <w:tc>
          <w:tcPr>
            <w:tcW w:type="dxa" w:w="1440"/>
            <w:shd w:fill="FFDCE0" w:val="clear"/>
          </w:tcPr>
          <w:p>
            <w:r>
              <w:rPr>
                <w:b/>
                <w:color w:val="C00000"/>
                <w:sz w:val="17"/>
              </w:rPr>
              <w:t>-8.8%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2,245</w:t>
            </w:r>
          </w:p>
        </w:tc>
        <w:tc>
          <w:tcPr>
            <w:tcW w:type="dxa" w:w="1440"/>
            <w:shd w:fill="FFDCE0" w:val="clear"/>
          </w:tcPr>
          <w:p>
            <w:r>
              <w:rPr>
                <w:b/>
                <w:sz w:val="17"/>
              </w:rPr>
              <w:t>2,466</w:t>
            </w:r>
          </w:p>
        </w:tc>
        <w:tc>
          <w:tcPr>
            <w:tcW w:type="dxa" w:w="1440"/>
            <w:shd w:fill="FFDCE0" w:val="clear"/>
          </w:tcPr>
          <w:p>
            <w:r>
              <w:rPr>
                <w:sz w:val="17"/>
              </w:rPr>
              <w:t>2,688</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2,181</w:t>
            </w:r>
          </w:p>
        </w:tc>
        <w:tc>
          <w:tcPr>
            <w:tcW w:type="dxa" w:w="1440"/>
            <w:shd w:fill="FFDCE0" w:val="clear"/>
          </w:tcPr>
          <w:p>
            <w:r>
              <w:rPr>
                <w:b/>
                <w:sz w:val="17"/>
              </w:rPr>
              <w:t>2,425</w:t>
            </w:r>
          </w:p>
        </w:tc>
        <w:tc>
          <w:tcPr>
            <w:tcW w:type="dxa" w:w="1440"/>
            <w:shd w:fill="FFDCE0" w:val="clear"/>
          </w:tcPr>
          <w:p>
            <w:r>
              <w:rPr>
                <w:sz w:val="17"/>
              </w:rPr>
              <w:t>2,669</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2,127</w:t>
            </w:r>
          </w:p>
        </w:tc>
        <w:tc>
          <w:tcPr>
            <w:tcW w:type="dxa" w:w="1440"/>
            <w:shd w:fill="FFDCE0" w:val="clear"/>
          </w:tcPr>
          <w:p>
            <w:r>
              <w:rPr>
                <w:b/>
                <w:sz w:val="17"/>
              </w:rPr>
              <w:t>2,390</w:t>
            </w:r>
          </w:p>
        </w:tc>
        <w:tc>
          <w:tcPr>
            <w:tcW w:type="dxa" w:w="1440"/>
            <w:shd w:fill="FFDCE0" w:val="clear"/>
          </w:tcPr>
          <w:p>
            <w:r>
              <w:rPr>
                <w:sz w:val="17"/>
              </w:rPr>
              <w:t>2,653</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2,079</w:t>
            </w:r>
          </w:p>
        </w:tc>
        <w:tc>
          <w:tcPr>
            <w:tcW w:type="dxa" w:w="1440"/>
            <w:shd w:fill="FFDCE0" w:val="clear"/>
          </w:tcPr>
          <w:p>
            <w:r>
              <w:rPr>
                <w:b/>
                <w:sz w:val="17"/>
              </w:rPr>
              <w:t>2,359</w:t>
            </w:r>
          </w:p>
        </w:tc>
        <w:tc>
          <w:tcPr>
            <w:tcW w:type="dxa" w:w="1440"/>
            <w:shd w:fill="FFDCE0" w:val="clear"/>
          </w:tcPr>
          <w:p>
            <w:r>
              <w:rPr>
                <w:sz w:val="17"/>
              </w:rPr>
              <w:t>2,640</w:t>
            </w:r>
          </w:p>
        </w:tc>
        <w:tc>
          <w:tcPr>
            <w:tcW w:type="dxa" w:w="1440"/>
            <w:shd w:fill="FFDCE0" w:val="clear"/>
          </w:tcPr>
          <w:p>
            <w:r>
              <w:rPr>
                <w:b/>
                <w:color w:val="C00000"/>
                <w:sz w:val="17"/>
              </w:rPr>
              <w:t>-14.5%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2,036</w:t>
            </w:r>
          </w:p>
        </w:tc>
        <w:tc>
          <w:tcPr>
            <w:tcW w:type="dxa" w:w="1440"/>
            <w:shd w:fill="FFDCE0" w:val="clear"/>
          </w:tcPr>
          <w:p>
            <w:r>
              <w:rPr>
                <w:b/>
                <w:sz w:val="17"/>
              </w:rPr>
              <w:t>2,332</w:t>
            </w:r>
          </w:p>
        </w:tc>
        <w:tc>
          <w:tcPr>
            <w:tcW w:type="dxa" w:w="1440"/>
            <w:shd w:fill="FFDCE0" w:val="clear"/>
          </w:tcPr>
          <w:p>
            <w:r>
              <w:rPr>
                <w:sz w:val="17"/>
              </w:rPr>
              <w:t>2,628</w:t>
            </w:r>
          </w:p>
        </w:tc>
        <w:tc>
          <w:tcPr>
            <w:tcW w:type="dxa" w:w="1440"/>
            <w:shd w:fill="FFDCE0" w:val="clear"/>
          </w:tcPr>
          <w:p>
            <w:r>
              <w:rPr>
                <w:b/>
                <w:color w:val="C00000"/>
                <w:sz w:val="17"/>
              </w:rPr>
              <w:t>-15.5%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1,996</w:t>
            </w:r>
          </w:p>
        </w:tc>
        <w:tc>
          <w:tcPr>
            <w:tcW w:type="dxa" w:w="1440"/>
            <w:shd w:fill="FFDCE0" w:val="clear"/>
          </w:tcPr>
          <w:p>
            <w:r>
              <w:rPr>
                <w:b/>
                <w:sz w:val="17"/>
              </w:rPr>
              <w:t>2,307</w:t>
            </w:r>
          </w:p>
        </w:tc>
        <w:tc>
          <w:tcPr>
            <w:tcW w:type="dxa" w:w="1440"/>
            <w:shd w:fill="FFDCE0" w:val="clear"/>
          </w:tcPr>
          <w:p>
            <w:r>
              <w:rPr>
                <w:sz w:val="17"/>
              </w:rPr>
              <w:t>2,618</w:t>
            </w:r>
          </w:p>
        </w:tc>
        <w:tc>
          <w:tcPr>
            <w:tcW w:type="dxa" w:w="1440"/>
            <w:shd w:fill="FFDCE0" w:val="clear"/>
          </w:tcPr>
          <w:p>
            <w:r>
              <w:rPr>
                <w:b/>
                <w:color w:val="C00000"/>
                <w:sz w:val="17"/>
              </w:rPr>
              <w:t>-16.4%</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1,959</w:t>
            </w:r>
          </w:p>
        </w:tc>
        <w:tc>
          <w:tcPr>
            <w:tcW w:type="dxa" w:w="1440"/>
            <w:shd w:fill="FFDCE0" w:val="clear"/>
          </w:tcPr>
          <w:p>
            <w:r>
              <w:rPr>
                <w:b/>
                <w:sz w:val="17"/>
              </w:rPr>
              <w:t>2,283</w:t>
            </w:r>
          </w:p>
        </w:tc>
        <w:tc>
          <w:tcPr>
            <w:tcW w:type="dxa" w:w="1440"/>
            <w:shd w:fill="FFDCE0" w:val="clear"/>
          </w:tcPr>
          <w:p>
            <w:r>
              <w:rPr>
                <w:sz w:val="17"/>
              </w:rPr>
              <w:t>2,608</w:t>
            </w:r>
          </w:p>
        </w:tc>
        <w:tc>
          <w:tcPr>
            <w:tcW w:type="dxa" w:w="1440"/>
            <w:shd w:fill="FFDCE0" w:val="clear"/>
          </w:tcPr>
          <w:p>
            <w:r>
              <w:rPr>
                <w:b/>
                <w:color w:val="C00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173,88 milliards FCFA, SHEC s'impose comme une valeur de premier plan du compartiment industriel/énergie de la BRVM, reflétant la solidité de son activité de distribution pétrolière aval. Le BPA de 96 FCFA/action signifie que chaque titre génère près de 96 FCFA de bénéfice net, un niveau modeste en valeur absolue mais cohérent avec la structure à faible marge du secteur. Le PER de 28,8x traduit une valorisation nettement supérieure à la moyenne du marché BRVM (8-12x), signalant que les investisseurs anticipent une croissance future ou paient une prime de qualité/leader — ce qui constitue un risque de correction si les résultats déçoivent. Le P/B de 6,40x, très au-dessus du seuil de 4x, indique que le marché valorise l'entreprise à plus de six fois sa valeur comptable (capitaux propres de 27,16 Mds FCFA), une prime exigeante qui n'est justifiable que par la perspective de rendements futurs élevés. Enfin, l'EV/EBITDA de 14,6x, dans la fourchette haute (10-15x), montre que la valeur totale de l'entreprise (dette incluse) représente près de 15 fois sa capacité opérationnelle, confirmant une valorisation tendue qui intègre déjà une bonne partie des bonnes nouvelles.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 enregistré une progression spectaculaire de +42,27%, passant d'un plus bas de 1 840 FCFA à un plus haut de 2 980 FCFA, avant de clôturer à 2 760 FCFA, avec une correction marquée de -7,38% lors de la dernière séance (J-1). Cette dynamique haussière s'inscrit dans un contexte de forte appétence pour les valeurs pétrolières de la BRVM, mais la récente contraction suggère une prise de profit après le rallye. Les statistiques descriptives révèlent une moyenne de 2 204 FCFA légèrement supérieure à la médiane de 2 192 FCFA, avec un mode à 2 200 FCFA, indiquant une distribution relativement symétrique mais avec une asymétrie positive (skewness = 1,068) signifiant que les journées sous la moyenne sont plus fréquentes que celles au-dessus — le cours actuel de 2 760 FCFA se situe donc dans la queue supérieure de la distribution. L'écart-type de 233 FCFA (CV = 10,6%) traduit une dispersion modérée du cours autour de sa moyenne, tandis que le kurtosis de 1,437 (leptokurtique) signale des queues épaisses et un risque de pics de volatilité, c'est-à-dire des mouvements brusques et amples. La volatilité annualisée de 37,3% classe le titre dans la catégorie des valeurs à volatilité élevée (&gt;30%), ce qui implique un risque significatif pour les investisseurs à court terme, mais aussi des opportunités de trading pour les plus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(2 558,5 FCFA) et la MM50 (2 367,4 FCFA) se situent toutes deux en dessous du cours actuel (2 760 FCFA), confirmant une configuration haussière avec un cours qui surplombe ses moyennes. L'écart positif entre le cours et ces moyennes, ainsi que le croisement haussier (MM20 &gt; MM50), justifient la décision d'ACHAT émise par cet indicateur, bien que le cours s'éloigne sensiblement de la MM20, ce qui pourrait annoncer un retour à la moyenne.</w:t>
      </w:r>
    </w:p>
    <w:p>
      <w:pPr>
        <w:spacing w:after="120" w:line="276" w:lineRule="auto"/>
      </w:pPr>
      <w:r>
        <w:t>**Bandes de Bollinger :** Le cours actuel (2 760 FCFA) se situe entre la borne supérieure (2 940,59 FCFA) et la borne inférieure (2 176,41 FCFA), plus proche de la borne haute, ce qui indique une pression acheteuse mais sans surachat extrême. La largeur des bandes reflète la volatilité élevée du titre, et la décision NEUTRE suggère que le cours n'est ni en zone de surachat ni de survente, laissant place à une consolidation possible.</w:t>
      </w:r>
    </w:p>
    <w:p>
      <w:pPr>
        <w:spacing w:after="120" w:line="276" w:lineRule="auto"/>
      </w:pPr>
      <w:r>
        <w:t>**MACD :** La valeur du MACD (140,444) est nettement supérieure à son signal (102,65), avec un histogramme positif, ce qui confirme un momentum haussier en cours. La décision d'ACHAT est justifiée par cette divergence positive, bien que l'ampleur de l'écart invite à la prudence quant à un éventuel retournement si le MACD venait à croiser son signal à la baisse.</w:t>
      </w:r>
    </w:p>
    <w:p>
      <w:pPr>
        <w:spacing w:after="120" w:line="276" w:lineRule="auto"/>
      </w:pPr>
      <w:r>
        <w:t>**RSI :** À 69,822, le RSI se situe juste en dessous du seuil de surachat (70), ce qui place le titre en zone neutre haute. La décision NEUTRE reflète cette position ambiguë : le titre n'est pas encore suracheté, mais la proximité du seuil des 70 suggère une pression acheteuse qui pourrait s'essouffler, appelant à la vigilance.</w:t>
      </w:r>
    </w:p>
    <w:p>
      <w:pPr>
        <w:spacing w:after="120" w:line="276" w:lineRule="auto"/>
      </w:pPr>
      <w:r>
        <w:t>**Stochastique :** Le %K (62,069) est inférieur au %D (87,356), ce qui indique un croisement baissier potentiel — le %D, plus lissé, est déjà en zone de surachat (&gt;80) tandis que le %K commence à refluer. La décision NEUTRE est cohérente avec cette configuration qui suggère un essoufflement de la dynamique haussière à court terme.</w:t>
      </w:r>
    </w:p>
    <w:p>
      <w:pPr>
        <w:spacing w:after="120" w:line="276" w:lineRule="auto"/>
      </w:pPr>
      <w:r>
        <w:t>**Conclusion technique :** Les indicateurs techniques présentent un tableau mitigé : les moyennes mobiles et le MACD confirment une tendance haussière de fond, mais le RSI proche de 70, le stochastique en zone de surachat avec un croisement baissier, et les bandes de Bollinger proches de la borne supérieure signalent un essoufflement à court terme. La convergence des signaux d'achat (MM, MACD) et des signaux neutres (Bollinger, RSI, Stochastique) plaide pour une consolidation avant une éventuelle reprise, avec un risque de correction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604,978 milliards FCFA, en très légère hausse de +0,71% par rapport à 2024, et un résultat net de 6,028 milliards FCFA, en progression de +12,6%. Le ROE s'établit à 22,20%, un niveau excellent (&gt;15%) qui témoigne d'une création de valeur efficace pour les actionnaires, tandis que le ROA de 3,11% reflète la faible intensité capitalistique du modèle de distribution. En tant qu'entreprise non bancaire, l'analyse des délais d'exploitation est cruciale : le délai clients de 23,27 jours est modéré, le délai fournisseurs de 35,47 jours est favorable à la trésorerie, et la durée de stockage de 7,47 jours est très courte, indiquant une rotation rapide des stocks. Cependant, le BFR de 15,315 milliards FCFA et surtout la trésorerie nette de -65,264 milliards FCFA constituent des points d'alerte majeurs, tout comme l'autonomie financière de seulement 14,03% (bien en dessous du seuil de 30% considéré comme sain) et un ratio d'endettement de 43,95%. Les rapports narratifs confirment ces tendances : le rapport du T3 2025 (daté du 30/09/2025) fait état d'un résultat net en hausse de +45% sur neuf mois à 4,119 milliards FCFA, porté par une amélioration de la marge nette (0,91% contre 0,64%) et une réduction des charges financières, tandis que le rapport du S1 2026 (daté du 30/06/2026) montre un CA de 305,038 milliards FCFA en baisse de -1%, mais un résultat d'exploitation en hausse de +17% à 6,133 milliards FCFA grâce au dynamisme du butane. Sur la base de ces rapports trimestriels, on peut estimer que l'exercice 2026 devrait enregistrer une stabilisation du CA autour de 600-610 milliards FCFA, avec un résultat net potentiellement en légère hausse si la maîtrise des charges se poursuit, mais la baisse des volumes au T1 2026 (-9% de CA) et la hausse de 60% de l'impôt sur le résultat au S1 2026 constituent des risques baissiers. La politique de dividende est généreuse (6,09 milliards FCFA proposés pour 2025, soit un taux de distribution de 101%), mais cette distribution excessive fragilise davantage la structure financière déjà tendue. En conclusion, la solidité opérationnelle de SHEC (ROE élevé, rotation rapide des stocks, leader sectoriel) est contrebalancée par une structure financière préoccupante (trésorerie nette négative, faible autonomie financière, endettement élevé) et une valorisation boursière exigeante, ce qui justifie une recommandation fondamentale de CONSERVER, avec une préférence pour une entrée à des niveaux plus attractifs.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SHEC. La valorisation (Partie 0) est clairement tendue : PER de 28,8x, P/B de 6,40x et EV/EBITDA de 14,6x indiquent une surévaluation relative par rapport aux moyennes du marché BRVM, ce qui limite le potentiel de hausse à court terme. Le comportement du cours (Partie 1) est haussier sur 100 jours (+42,27%) mais la correction de -7,38% en J-1, la skewness positive (1,068) et le kurtosis leptokurtique (1,437) signalent un risque de pics baissiers et une distribution défavorable aux acheteurs actuels. Les signaux techniques (Partie 2) sont mitigés : les MM et le MACD sont haussiers, mais le RSI proche de 70, le stochastique en surachat avec croisement baissier et les bandes de Bollinger proches de la borne supérieure plaident pour une consolidation, voire une correction. Les fondamentaux (Partie 3) révèlent une entreprise solide opérationnellement (ROE de 22,20%, résultat net en hausse de +12,6% en 2025) mais financièrement fragile (trésorerie nette de -65,264 milliards FCFA, autonomie financière de 14,03%), avec des perspectives 2026 incertaines (baisse des volumes au T1, hausse de l'impôt au S1). Les prédictions IA (J+1 à J+10) confirment cette tendance baissière à court terme, avec une trajectoire de 2 668 FCFA à 2 425 FCFA, soit une baisse attendue de -12,1% sur 10 jours, ce qui contredit les signaux haussiers des MM et du MACD et valide les signaux de surachat du RSI et du stochastique. Sur la base de cette convergence entre valorisation tendue, signaux techniques de surachat, fondamentaux fragiles et prédictions baissières, la recommandation finale est **CONSERVER** avec un biais baissier à court terme, ou **VENTE** pour les investisseurs cherchant à sécuriser leurs gains après le rallye de +42%. Le niveau de confiance est **MOYEN** (les signaux sont divergents entre le fond et la forme), le niveau de risque global est **ÉLEVÉ** (volatilité de 37,3%, trésorerie négative, valorisation exigeante), et l'horizon d'investissement optimal est **court terme (&lt;3 mois)** pour une stratégie de prise de profit, ou **long terme (&gt;1 an)** pour les investisseurs de rendement prêts à tolérer la volatilité en attendant une amélioration de la structure financière. Un renforcement ne serait justifié qu'à des niveaux de prix plus attractifs (autour de 2 200-2 400 FCFA, soit la moyenne mobile 50 jours) et après confirmation d'une reprise des volumes au T2 2026.</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918.50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10,446 titres</w:t>
            </w:r>
          </w:p>
        </w:tc>
        <w:tc>
          <w:tcPr>
            <w:tcW w:type="dxa" w:w="2268"/>
            <w:shd w:fill="FFF2CC" w:val="clear"/>
          </w:tcPr>
          <w:p>
            <w:r>
              <w:rPr>
                <w:b/>
                <w:color w:val="503200"/>
                <w:sz w:val="16"/>
              </w:rPr>
              <w:t xml:space="preserve">Cours actuel : </w:t>
            </w:r>
            <w:r>
              <w:rPr>
                <w:color w:val="000000"/>
                <w:sz w:val="17"/>
              </w:rPr>
              <w:t>9,185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6,900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8.28% (Moyenne) — μ=8,640 FCFA, σ=715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β=0.3103 (Défensif) — Cov=0.000011, Var(idx)=0.000036, ρ=0.104,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8,911</w:t>
            </w:r>
          </w:p>
        </w:tc>
        <w:tc>
          <w:tcPr>
            <w:tcW w:type="dxa" w:w="1440"/>
            <w:shd w:fill="FAFAFA" w:val="clear"/>
          </w:tcPr>
          <w:p>
            <w:r>
              <w:rPr>
                <w:b/>
                <w:sz w:val="17"/>
              </w:rPr>
              <w:t>9,096</w:t>
            </w:r>
          </w:p>
        </w:tc>
        <w:tc>
          <w:tcPr>
            <w:tcW w:type="dxa" w:w="1440"/>
            <w:shd w:fill="FAFAFA" w:val="clear"/>
          </w:tcPr>
          <w:p>
            <w:r>
              <w:rPr>
                <w:sz w:val="17"/>
              </w:rPr>
              <w:t>9,281</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8,757</w:t>
            </w:r>
          </w:p>
        </w:tc>
        <w:tc>
          <w:tcPr>
            <w:tcW w:type="dxa" w:w="1440"/>
            <w:shd w:fill="FAFAFA" w:val="clear"/>
          </w:tcPr>
          <w:p>
            <w:r>
              <w:rPr>
                <w:b/>
                <w:sz w:val="17"/>
              </w:rPr>
              <w:t>9,017</w:t>
            </w:r>
          </w:p>
        </w:tc>
        <w:tc>
          <w:tcPr>
            <w:tcW w:type="dxa" w:w="1440"/>
            <w:shd w:fill="FAFAFA" w:val="clear"/>
          </w:tcPr>
          <w:p>
            <w:r>
              <w:rPr>
                <w:sz w:val="17"/>
              </w:rPr>
              <w:t>9,276</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8,624</w:t>
            </w:r>
          </w:p>
        </w:tc>
        <w:tc>
          <w:tcPr>
            <w:tcW w:type="dxa" w:w="1440"/>
            <w:shd w:fill="FFDCE0" w:val="clear"/>
          </w:tcPr>
          <w:p>
            <w:r>
              <w:rPr>
                <w:b/>
                <w:sz w:val="17"/>
              </w:rPr>
              <w:t>8,939</w:t>
            </w:r>
          </w:p>
        </w:tc>
        <w:tc>
          <w:tcPr>
            <w:tcW w:type="dxa" w:w="1440"/>
            <w:shd w:fill="FFDCE0" w:val="clear"/>
          </w:tcPr>
          <w:p>
            <w:r>
              <w:rPr>
                <w:sz w:val="17"/>
              </w:rPr>
              <w:t>9,255</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2026-09-24</w:t>
            </w:r>
          </w:p>
        </w:tc>
        <w:tc>
          <w:tcPr>
            <w:tcW w:type="dxa" w:w="1440"/>
            <w:shd w:fill="FFDCE0" w:val="clear"/>
          </w:tcPr>
          <w:p>
            <w:r>
              <w:rPr>
                <w:sz w:val="17"/>
              </w:rPr>
              <w:t>8,508</w:t>
            </w:r>
          </w:p>
        </w:tc>
        <w:tc>
          <w:tcPr>
            <w:tcW w:type="dxa" w:w="1440"/>
            <w:shd w:fill="FFDCE0" w:val="clear"/>
          </w:tcPr>
          <w:p>
            <w:r>
              <w:rPr>
                <w:b/>
                <w:sz w:val="17"/>
              </w:rPr>
              <w:t>8,869</w:t>
            </w:r>
          </w:p>
        </w:tc>
        <w:tc>
          <w:tcPr>
            <w:tcW w:type="dxa" w:w="1440"/>
            <w:shd w:fill="FFDCE0" w:val="clear"/>
          </w:tcPr>
          <w:p>
            <w:r>
              <w:rPr>
                <w:sz w:val="17"/>
              </w:rPr>
              <w:t>9,230</w:t>
            </w:r>
          </w:p>
        </w:tc>
        <w:tc>
          <w:tcPr>
            <w:tcW w:type="dxa" w:w="1440"/>
            <w:shd w:fill="FFDCE0" w:val="clear"/>
          </w:tcPr>
          <w:p>
            <w:r>
              <w:rPr>
                <w:b/>
                <w:color w:val="C00000"/>
                <w:sz w:val="17"/>
              </w:rPr>
              <w:t>-3.4%</w:t>
            </w:r>
          </w:p>
        </w:tc>
      </w:tr>
      <w:tr>
        <w:tc>
          <w:tcPr>
            <w:tcW w:type="dxa" w:w="1440"/>
            <w:shd w:fill="FFDCE0" w:val="clear"/>
          </w:tcPr>
          <w:p>
            <w:r>
              <w:rPr>
                <w:sz w:val="17"/>
              </w:rPr>
              <w:t>J+5  Moyenne</w:t>
            </w:r>
          </w:p>
        </w:tc>
        <w:tc>
          <w:tcPr>
            <w:tcW w:type="dxa" w:w="1440"/>
            <w:shd w:fill="FFDCE0" w:val="clear"/>
          </w:tcPr>
          <w:p>
            <w:r>
              <w:rPr>
                <w:sz w:val="17"/>
              </w:rPr>
              <w:t>2026-09-25</w:t>
            </w:r>
          </w:p>
        </w:tc>
        <w:tc>
          <w:tcPr>
            <w:tcW w:type="dxa" w:w="1440"/>
            <w:shd w:fill="FFDCE0" w:val="clear"/>
          </w:tcPr>
          <w:p>
            <w:r>
              <w:rPr>
                <w:sz w:val="17"/>
              </w:rPr>
              <w:t>8,405</w:t>
            </w:r>
          </w:p>
        </w:tc>
        <w:tc>
          <w:tcPr>
            <w:tcW w:type="dxa" w:w="1440"/>
            <w:shd w:fill="FFDCE0" w:val="clear"/>
          </w:tcPr>
          <w:p>
            <w:r>
              <w:rPr>
                <w:b/>
                <w:sz w:val="17"/>
              </w:rPr>
              <w:t>8,806</w:t>
            </w:r>
          </w:p>
        </w:tc>
        <w:tc>
          <w:tcPr>
            <w:tcW w:type="dxa" w:w="1440"/>
            <w:shd w:fill="FFDCE0" w:val="clear"/>
          </w:tcPr>
          <w:p>
            <w:r>
              <w:rPr>
                <w:sz w:val="17"/>
              </w:rPr>
              <w:t>9,207</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2026-09-28</w:t>
            </w:r>
          </w:p>
        </w:tc>
        <w:tc>
          <w:tcPr>
            <w:tcW w:type="dxa" w:w="1440"/>
            <w:shd w:fill="FFDCE0" w:val="clear"/>
          </w:tcPr>
          <w:p>
            <w:r>
              <w:rPr>
                <w:sz w:val="17"/>
              </w:rPr>
              <w:t>8,312</w:t>
            </w:r>
          </w:p>
        </w:tc>
        <w:tc>
          <w:tcPr>
            <w:tcW w:type="dxa" w:w="1440"/>
            <w:shd w:fill="FFDCE0" w:val="clear"/>
          </w:tcPr>
          <w:p>
            <w:r>
              <w:rPr>
                <w:b/>
                <w:sz w:val="17"/>
              </w:rPr>
              <w:t>8,749</w:t>
            </w:r>
          </w:p>
        </w:tc>
        <w:tc>
          <w:tcPr>
            <w:tcW w:type="dxa" w:w="1440"/>
            <w:shd w:fill="FFDCE0" w:val="clear"/>
          </w:tcPr>
          <w:p>
            <w:r>
              <w:rPr>
                <w:sz w:val="17"/>
              </w:rPr>
              <w:t>9,185</w:t>
            </w:r>
          </w:p>
        </w:tc>
        <w:tc>
          <w:tcPr>
            <w:tcW w:type="dxa" w:w="1440"/>
            <w:shd w:fill="FFDCE0" w:val="clear"/>
          </w:tcPr>
          <w:p>
            <w:r>
              <w:rPr>
                <w:b/>
                <w:color w:val="C00000"/>
                <w:sz w:val="17"/>
              </w:rPr>
              <w:t>-4.7%</w:t>
            </w:r>
          </w:p>
        </w:tc>
      </w:tr>
      <w:tr>
        <w:tc>
          <w:tcPr>
            <w:tcW w:type="dxa" w:w="1440"/>
            <w:shd w:fill="FFDCE0" w:val="clear"/>
          </w:tcPr>
          <w:p>
            <w:r>
              <w:rPr>
                <w:sz w:val="17"/>
              </w:rPr>
              <w:t>J+7  Moyenne</w:t>
            </w:r>
          </w:p>
        </w:tc>
        <w:tc>
          <w:tcPr>
            <w:tcW w:type="dxa" w:w="1440"/>
            <w:shd w:fill="FFDCE0" w:val="clear"/>
          </w:tcPr>
          <w:p>
            <w:r>
              <w:rPr>
                <w:sz w:val="17"/>
              </w:rPr>
              <w:t>2026-09-29</w:t>
            </w:r>
          </w:p>
        </w:tc>
        <w:tc>
          <w:tcPr>
            <w:tcW w:type="dxa" w:w="1440"/>
            <w:shd w:fill="FFDCE0" w:val="clear"/>
          </w:tcPr>
          <w:p>
            <w:r>
              <w:rPr>
                <w:sz w:val="17"/>
              </w:rPr>
              <w:t>8,228</w:t>
            </w:r>
          </w:p>
        </w:tc>
        <w:tc>
          <w:tcPr>
            <w:tcW w:type="dxa" w:w="1440"/>
            <w:shd w:fill="FFDCE0" w:val="clear"/>
          </w:tcPr>
          <w:p>
            <w:r>
              <w:rPr>
                <w:b/>
                <w:sz w:val="17"/>
              </w:rPr>
              <w:t>8,696</w:t>
            </w:r>
          </w:p>
        </w:tc>
        <w:tc>
          <w:tcPr>
            <w:tcW w:type="dxa" w:w="1440"/>
            <w:shd w:fill="FFDCE0" w:val="clear"/>
          </w:tcPr>
          <w:p>
            <w:r>
              <w:rPr>
                <w:sz w:val="17"/>
              </w:rPr>
              <w:t>9,165</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2026-09-30</w:t>
            </w:r>
          </w:p>
        </w:tc>
        <w:tc>
          <w:tcPr>
            <w:tcW w:type="dxa" w:w="1440"/>
            <w:shd w:fill="FFDCE0" w:val="clear"/>
          </w:tcPr>
          <w:p>
            <w:r>
              <w:rPr>
                <w:sz w:val="17"/>
              </w:rPr>
              <w:t>8,150</w:t>
            </w:r>
          </w:p>
        </w:tc>
        <w:tc>
          <w:tcPr>
            <w:tcW w:type="dxa" w:w="1440"/>
            <w:shd w:fill="FFDCE0" w:val="clear"/>
          </w:tcPr>
          <w:p>
            <w:r>
              <w:rPr>
                <w:b/>
                <w:sz w:val="17"/>
              </w:rPr>
              <w:t>8,648</w:t>
            </w:r>
          </w:p>
        </w:tc>
        <w:tc>
          <w:tcPr>
            <w:tcW w:type="dxa" w:w="1440"/>
            <w:shd w:fill="FFDCE0" w:val="clear"/>
          </w:tcPr>
          <w:p>
            <w:r>
              <w:rPr>
                <w:sz w:val="17"/>
              </w:rPr>
              <w:t>9,146</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2026-10-01</w:t>
            </w:r>
          </w:p>
        </w:tc>
        <w:tc>
          <w:tcPr>
            <w:tcW w:type="dxa" w:w="1440"/>
            <w:shd w:fill="FFDCE0" w:val="clear"/>
          </w:tcPr>
          <w:p>
            <w:r>
              <w:rPr>
                <w:sz w:val="17"/>
              </w:rPr>
              <w:t>8,078</w:t>
            </w:r>
          </w:p>
        </w:tc>
        <w:tc>
          <w:tcPr>
            <w:tcW w:type="dxa" w:w="1440"/>
            <w:shd w:fill="FFDCE0" w:val="clear"/>
          </w:tcPr>
          <w:p>
            <w:r>
              <w:rPr>
                <w:b/>
                <w:sz w:val="17"/>
              </w:rPr>
              <w:t>8,603</w:t>
            </w:r>
          </w:p>
        </w:tc>
        <w:tc>
          <w:tcPr>
            <w:tcW w:type="dxa" w:w="1440"/>
            <w:shd w:fill="FFDCE0" w:val="clear"/>
          </w:tcPr>
          <w:p>
            <w:r>
              <w:rPr>
                <w:sz w:val="17"/>
              </w:rPr>
              <w:t>9,129</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2026-10-02</w:t>
            </w:r>
          </w:p>
        </w:tc>
        <w:tc>
          <w:tcPr>
            <w:tcW w:type="dxa" w:w="1440"/>
            <w:shd w:fill="FFDCE0" w:val="clear"/>
          </w:tcPr>
          <w:p>
            <w:r>
              <w:rPr>
                <w:sz w:val="17"/>
              </w:rPr>
              <w:t>8,010</w:t>
            </w:r>
          </w:p>
        </w:tc>
        <w:tc>
          <w:tcPr>
            <w:tcW w:type="dxa" w:w="1440"/>
            <w:shd w:fill="FFDCE0" w:val="clear"/>
          </w:tcPr>
          <w:p>
            <w:r>
              <w:rPr>
                <w:b/>
                <w:sz w:val="17"/>
              </w:rPr>
              <w:t>8,561</w:t>
            </w:r>
          </w:p>
        </w:tc>
        <w:tc>
          <w:tcPr>
            <w:tcW w:type="dxa" w:w="1440"/>
            <w:shd w:fill="FFDCE0" w:val="clear"/>
          </w:tcPr>
          <w:p>
            <w:r>
              <w:rPr>
                <w:sz w:val="17"/>
              </w:rPr>
              <w:t>9,112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918,50 milliards FCFA, la SIBC figure parmi les valeurs les plus capitalisées de la BRVM, ce qui en fait un pilier de l'indice BRVM Composite et un titre de référence pour les investisseurs institutionnels de la zone UEMOA. Le BPA de 556 FCFA par action signifie que chaque titre génère un bénéfice net de 556 FCFA, ce qui, rapporté au cours actuel de 9 185 FCFA, donne un PER de 16,5x — un niveau modéré en absolu, mais nettement supérieur à la moyenne du marché BRVM (8-12x), traduisant une prime de qualité consentie par le marché. Le P/B de 4,49x indique que le marché valorise la banque à plus de quatre fois sa valeur comptable, une prime exigeante qui reflète la forte rentabilité des fonds propres (ROE de 27,16%) mais qui laisse peu de marge d'erreur en cas de dégradation. Enfin, l'EV/EBITDA de 15,3x, très exigeant, confirme que la valorisation intègre déjà une bonne partie des performances opérationnelles, ce qui limite le potentiel de réévaluation à court terme sans nouvelle surprise positive.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+31,21%, avec une dernière séance en hausse de +0,93%, portant le cours à 9 185 FCFA. Le range de trading s'étend de 6 900 FCFA (plus bas) à 9 500 FCFA (plus haut), soit une amplitude de 37,7% qui témoigne d'une tendance haussière soutenue et d'une dynamique acheteuse persistante. La moyenne du cours s'établit à 8 640 FCFA, tandis que la médiane est légèrement supérieure à 8 890 FCFA, ce qui indique une distribution légèrement asymétrique avec davantage de séances passées au-dessus de la moyenne — cohérent avec le skewness négatif de -1,278 signalant une asymétrie vers la droite (les baisses sont moins fréquentes mais plus marquées que les hausses). L'écart-type de 719 FCFA et le coefficient de variation de 8,3% révèlent une dispersion modérée du cours autour de sa moyenne, tandis que le kurtosis de 0,228 (mésokurtique) suggère une distribution proche de la normale, sans risque excessif de pics extrêmes. La volatilité annualisée de 28,4% positionne le titre dans la catégorie des valeurs à volatilité modérée (15-30%), ce qui est relativement contenu pour une action bancaire ayant progressé de plus de 30% en trois mois.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(9 187 FCFA) et la MM50 (9 085,6 FCFA) se situent toutes deux sous le cours actuel (9 185 FCFA), avec la MM20 légèrement au-dessus de la MM50, configurant un croisement haussier classique. Cette configuration en « golden cross » confirme la tendance positive et justifie la décision d'achat, bien que le cours soit pratiquement collé à sa MM20, ce qui suggère une possible consolidation à court terme.</w:t>
      </w:r>
    </w:p>
    <w:p>
      <w:pPr>
        <w:spacing w:after="120" w:line="276" w:lineRule="auto"/>
      </w:pPr>
      <w:r>
        <w:t>**Bandes de Bollinger** : Le cours (9 185 FCFA) évolue dans la partie médiane de la bande, entre la borne inférieure (9 003,255 FCFA) et la borne supérieure (9 370,745 FCFA), sans toucher les extrêmes. Cette position centrale, combinée à un resserrement des bandes, indique une phase de consolidation avec une volatilité contenue, justifiant la décision neutre — ni signal d'achat agressif, ni signal de vente.</w:t>
      </w:r>
    </w:p>
    <w:p>
      <w:pPr>
        <w:spacing w:after="120" w:line="276" w:lineRule="auto"/>
      </w:pPr>
      <w:r>
        <w:t>**MACD** : La valeur du MACD (24,277) est inférieure à son signal (39,484), générant un croisement baissier qui traduit un essoufflement du momentum haussier. Cette divergence négative, bien que le MACD reste en territoire positif, justifie la décision de vente à court terme et suggère que la dynamique haussière perd de sa vigueur.</w:t>
      </w:r>
    </w:p>
    <w:p>
      <w:pPr>
        <w:spacing w:after="120" w:line="276" w:lineRule="auto"/>
      </w:pPr>
      <w:r>
        <w:t>**RSI** : À 59,391, le RSI se situe en zone neutre (entre 30 et 70), sans signal de surachat ni de survente. Cette position médiane indique que le titre dispose encore d'un potentiel de hausse sans être techniquement tendu, justifiant la décision neutre — le marché n'est ni euphorique, ni déprimé.</w:t>
      </w:r>
    </w:p>
    <w:p>
      <w:pPr>
        <w:spacing w:after="120" w:line="276" w:lineRule="auto"/>
      </w:pPr>
      <w:r>
        <w:t>**Stochastique** : Le %K (42,5) est légèrement inférieur au %D (45,278), sans croisement significatif, et les deux oscillateurs évoluent en zone neutre. Cette configuration indique une absence de signal directionnel clair, justifiant la décision neutre — le titre est en phase d'indécision technique.</w:t>
      </w:r>
    </w:p>
    <w:p>
      <w:pPr>
        <w:spacing w:after="120" w:line="276" w:lineRule="auto"/>
      </w:pPr>
      <w:r>
        <w:t>**Conclusion technique** : Les indicateurs techniques présentent un tableau mitigé : les moyennes mobiles confirment la tendance haussière de fond, mais le MACD baissier et les oscillateurs neutres (RSI, Stochastique, Bollinger) signalent un essoufflement du momentum à court terme. Le titre semble entrer dans une phase de consolidation après sa forte progression, avec un support immédiat autour de 9 000 FCFA (borne inférieure de Bollinger) et une résistance à 9 370 FCFA. La convergence des signaux neutres suggère d'attendre une clarification avant de renforcer la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officiels) révèlent une banque solide et rentable : le Produit Net Bancaire (PNB, équivalent du chiffre d'affaires pour une banque) s'établit à 108,663 milliards FCFA, pour un résultat net de 55,623 milliards FCFA, soit une marge nette exceptionnelle de 51,19%. Le ROE de 27,16% (largement supérieur au seuil de 15% considéré comme excellent) et le ROA de 2,96% confirment la qualité de la rentabilité, tandis que le coefficient d'exploitation de 38,59% (très inférieur au seuil de 60% et même au seuil d'excellence de 50%) témoigne d'une efficacité opérationnelle remarquable. La structure financière montre une dépendance aux dépôts clientèle (1 503,441 milliards FCFA) qui financent largement les créances clientèle (1 226,720 milliards FCFA), avec un ratio de transformation de 81,6% — sain pour une banque commerciale. Le portefeuille de titres d'État (375,561 milliards FCFA) constitue une réserve de liquidité et une source de revenus stables, tandis que les créances interbancaires (61,521 milliards FCFA) reflètent une gestion active de la trésorerie. Le coût du risque, bien que le ratio fourni (363 900 000 000%) soit manifestement erroné ou mal calculé, peut être apprécié via les provisions de 14,124 milliards FCFA, qui représentent environ 1,15% des créances clientèle — un niveau contenu et maîtrisé. Les rapports trimestriels récents confirment cette dynamique : le rapport T1 2026 (publié le 31/12/2026) fait état d'un résultat net de 15,2 milliards FCFA (+11% en glissement annuel) pour un PNB de 27,7 milliards FCFA (+4%), avec des dépôts en hausse de 9% à 1 495 milliards FCFA et des crédits en progression de 7% à 1 112 milliards FCFA. Sur la base de ce T1 2026, on peut estimer que l'exercice 2026 devrait générer un résultat net annuel de l'ordre de 60-62 milliards FCFA (en supposant une saisonnalité comparable à 2025), soit une croissance de 8-11% par rapport à 2025. Le rapport T3 2025 (30/09/2025) confirmait déjà cette tendance avec un PNB cumulé de 81,4 milliards FCFA (+8%) et un résultat net de 43,0 milliards FCFA (+11%). En synthèse, la SIBC affiche des fondamentaux de premier ordre : croissance régulière, rentabilité exceptionnelle, efficacité opérationnelle et gestion prudente des risques, ce qui justifie une recommandation fondamentale positive, tempérée par une valorisation déjà exigeante.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Sur le plan de la **valorisation (Partie 0)**, les ratios PER (16,5x), P/B (4,49x) et EV/EBITDA (15,3x) indiquent une action chèrement valorisée par rapport à la moyenne du marché BRVM, intégrant déjà une prime de qualité qui limite le potentiel de hausse à court terme. Le **comportement du cours (Partie 1)** est haussier (+31,21% sur 100 jours) avec une volatilité modérée (28,4%) et des statistiques rassurantes (kurtosis proche de la normale, skewness négatif), mais la proximité du plus haut (9 500 FCFA) et l'essoufflement récent suggèrent une consolidation imminente. Les **signaux techniques (Partie 2)** sont mitigés : les moyennes mobiles confirment la tendance haussière, mais le MACD baissier et les oscillateurs neutres (RSI, Stochastique, Bollinger) signalent un manque de momentum à court terme. Les **fondamentaux (Partie 3)** restent excellents, avec un ROE de 27,16%, un coefficient d'exploitation de 38,59% et une croissance du résultat net estimée à 8-11% pour 2026, ce qui soutient la thèse d'un investissement de qualité sur le long terme. Les **prédictions IA (J+1 à J+10)** anticipent une correction progressive de 9 096 FCFA à 8 806 FCFA, soit une baisse de -4,1% sur dix séances, ce qui contredit la tendance haussière récente et confirme l'essoufflement technique. Face à cette divergence entre fondamentaux solides et signaux techniques/court terme baissiers, la recommandation finale est **CONSERVER** : les investisseurs déjà positionnés bénéficieront de la croissance régulière et de la solidité du modèle, tandis que les nouveaux entrants sont invités à attendre une correction vers 8 800-9 000 FCFA (niveau cohérent avec les prédictions IA et la borne inférieure de Bollinger) avant d'initier une position. Le niveau de confiance est **Moyen** (les fondamentaux sont solides mais la valorisation est tendue), le risque global est **Moyen** (volatilité modérée mais sensibilité aux taux et à la concurrence), et l'horizon d'investissement optimal est le **moyen terme (3-12 mois)**, le temps que la consolidation technique s'achève et que les résultats semestriels 2026 confirment la trajectoire de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β=-1.0307 (Contre-cyclique) — Cov=-0.000036, Var(idx)=0.000035, ρ=-0.165,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6,806</w:t>
            </w:r>
          </w:p>
        </w:tc>
        <w:tc>
          <w:tcPr>
            <w:tcW w:type="dxa" w:w="1440"/>
            <w:shd w:fill="FFDCE0" w:val="clear"/>
          </w:tcPr>
          <w:p>
            <w:r>
              <w:rPr>
                <w:b/>
                <w:sz w:val="17"/>
              </w:rPr>
              <w:t>7,942</w:t>
            </w:r>
          </w:p>
        </w:tc>
        <w:tc>
          <w:tcPr>
            <w:tcW w:type="dxa" w:w="1440"/>
            <w:shd w:fill="FFDCE0" w:val="clear"/>
          </w:tcPr>
          <w:p>
            <w:r>
              <w:rPr>
                <w:sz w:val="17"/>
              </w:rPr>
              <w:t>9,077</w:t>
            </w:r>
          </w:p>
        </w:tc>
        <w:tc>
          <w:tcPr>
            <w:tcW w:type="dxa" w:w="1440"/>
            <w:shd w:fill="FFDCE0" w:val="clear"/>
          </w:tcPr>
          <w:p>
            <w:r>
              <w:rPr>
                <w:b/>
                <w:color w:val="C00000"/>
                <w:sz w:val="17"/>
              </w:rPr>
              <w:t>-5.5%</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6,567</w:t>
            </w:r>
          </w:p>
        </w:tc>
        <w:tc>
          <w:tcPr>
            <w:tcW w:type="dxa" w:w="1440"/>
            <w:shd w:fill="FFDCE0" w:val="clear"/>
          </w:tcPr>
          <w:p>
            <w:r>
              <w:rPr>
                <w:b/>
                <w:sz w:val="17"/>
              </w:rPr>
              <w:t>7,817</w:t>
            </w:r>
          </w:p>
        </w:tc>
        <w:tc>
          <w:tcPr>
            <w:tcW w:type="dxa" w:w="1440"/>
            <w:shd w:fill="FFDCE0" w:val="clear"/>
          </w:tcPr>
          <w:p>
            <w:r>
              <w:rPr>
                <w:sz w:val="17"/>
              </w:rPr>
              <w:t>9,066</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6,346</w:t>
            </w:r>
          </w:p>
        </w:tc>
        <w:tc>
          <w:tcPr>
            <w:tcW w:type="dxa" w:w="1440"/>
            <w:shd w:fill="FFDCE0" w:val="clear"/>
          </w:tcPr>
          <w:p>
            <w:r>
              <w:rPr>
                <w:b/>
                <w:sz w:val="17"/>
              </w:rPr>
              <w:t>7,694</w:t>
            </w:r>
          </w:p>
        </w:tc>
        <w:tc>
          <w:tcPr>
            <w:tcW w:type="dxa" w:w="1440"/>
            <w:shd w:fill="FFDCE0" w:val="clear"/>
          </w:tcPr>
          <w:p>
            <w:r>
              <w:rPr>
                <w:sz w:val="17"/>
              </w:rPr>
              <w:t>9,041</w:t>
            </w:r>
          </w:p>
        </w:tc>
        <w:tc>
          <w:tcPr>
            <w:tcW w:type="dxa" w:w="1440"/>
            <w:shd w:fill="FFDCE0" w:val="clear"/>
          </w:tcPr>
          <w:p>
            <w:r>
              <w:rPr>
                <w:b/>
                <w:color w:val="C00000"/>
                <w:sz w:val="17"/>
              </w:rPr>
              <w:t>-8.4%</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6,141</w:t>
            </w:r>
          </w:p>
        </w:tc>
        <w:tc>
          <w:tcPr>
            <w:tcW w:type="dxa" w:w="1440"/>
            <w:shd w:fill="FFDCE0" w:val="clear"/>
          </w:tcPr>
          <w:p>
            <w:r>
              <w:rPr>
                <w:b/>
                <w:sz w:val="17"/>
              </w:rPr>
              <w:t>7,574</w:t>
            </w:r>
          </w:p>
        </w:tc>
        <w:tc>
          <w:tcPr>
            <w:tcW w:type="dxa" w:w="1440"/>
            <w:shd w:fill="FFDCE0" w:val="clear"/>
          </w:tcPr>
          <w:p>
            <w:r>
              <w:rPr>
                <w:sz w:val="17"/>
              </w:rPr>
              <w:t>9,007</w:t>
            </w:r>
          </w:p>
        </w:tc>
        <w:tc>
          <w:tcPr>
            <w:tcW w:type="dxa" w:w="1440"/>
            <w:shd w:fill="FFDCE0" w:val="clear"/>
          </w:tcPr>
          <w:p>
            <w:r>
              <w:rPr>
                <w:b/>
                <w:color w:val="C00000"/>
                <w:sz w:val="17"/>
              </w:rPr>
              <w:t>-9.8%</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SICOR (SICC)**</w:t>
        <w:br/>
        <w:t>**Bourse Régionale des Valeurs Mobilières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qui positionne le titre parmi les petites capitalisations de la BRVM, ce qui implique une liquidité limitée (volume moyen de 120 titres/jour) et une sensibilité accrue aux mouvements de faible ampleur. Les ratios de valorisation classiques (BPA, PER, P/B, EV/EBITDA) ne sont pas calculables en l'absence de données financières structurées récentes et fiables dans la base de données, ce qui constitue en soi un signal de vigilance pour l'investisseur : l'opacité relative de la communication financière récente (dernier rapport annuel exploitable datant de 2024 pour l'exercice 2022-2023) empêche toute évaluation rigoureuse de la cherté ou de la décote du titre. À titre indicatif, avec un résultat net 2023 de 19,25 millions FCFA (rapport Mistral du 15/03/2026) et une capitalisation de 5,04 milliards FCFA, le PER implicite ressortirait à environ 262x, soit un niveau extrêmement élevé comparé à la moyenne BRVM (8-12x), traduisant une décorrélation totale entre le prix de marché et la rentabilité effective de l'entreprise. Cette situation suggère que le marché valorise davantage un potentiel de redressement ou une rareté du flottant qu'une performance fondamentale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performance exceptionnelle de +95,35%, passant d'un plus bas de 3 985 FCFA à un plus haut de 10 200 FCFA, pour un cours actuel de 8 400 FCFA, en léger repli de -1,12% sur la dernière séance. Cette tendance nettement haussière s'inscrit dans un contexte de forte volatilité (volatilité annualisée de 58,2%, largement supérieure au seuil de 30% caractérisant un titre à risque élevé), ce qui expose l'investisseur à des variations de cours amples et rapides. Les statistiques descriptives révèlent une distribution asymétrique : la moyenne (5 815 FCFA) est supérieure à la médiane (5 022 FCFA), et le mode se situe à 4 380 FCFA, confirmant un skewness positif de 0,913 — interprété comme une prédominance de journées de cotation sous la moyenne, avec quelques pics haussiers tirant la moyenne vers le haut. L'écart-type de 1 813 FCFA (CV = 31,2%) traduit une dispersion importante du cours autour de sa moyenne, tandis que le kurtosis de -0,630 (mésokurtique) indique une distribution proche de la normale, sans risque excessif de pics extrêmes au-delà de ce que la volatilité déjà élevée suggère. En synthèse, le titre présente un profil de rendement attractif mais un risque de drawdown significatif, typique d'une phase de spéculation sur une petite capitalisation.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sont toutes deux inférieures au cours actuel (8 400 FCFA), avec une MM20 légèrement au-dessus du prix, ce qui traduit une configuration haussière de fond mais un essoufflement à court terme. La décision « Achat » est justifiée par le croisement haussier des moyennes (MM20 &gt; MM50) et la position du cours au-dessus de la MM50, signalant une tendance de moyen terme positive.</w:t>
      </w:r>
    </w:p>
    <w:p>
      <w:pPr>
        <w:spacing w:after="120" w:line="276" w:lineRule="auto"/>
      </w:pPr>
      <w:r>
        <w:t>**Bandes de Bollinger** : Le cours (8 400 FCFA) évolue entre la borne inférieure (7 354,78 FCFA) et la borne supérieure (9 589,72 FCFA), à mi-chemin, ce qui explique la décision « Neutre ». L'absence de contact avec les bornes suggère une volatilité en cours de normalisation après le pic haussier, sans signal de surachat ou de survente imminent.</w:t>
      </w:r>
    </w:p>
    <w:p>
      <w:pPr>
        <w:spacing w:after="120" w:line="276" w:lineRule="auto"/>
      </w:pPr>
      <w:r>
        <w:t>**MACD** : La valeur du MACD (271,78) est inférieure à son signal (362,98), générant une décision « Vente ». Cette divergence baissière indique un ralentissement du momentum haussier, bien que le MACD reste en territoire positif, ce qui nuance le signal : il s'agit davantage d'une prise de bénéfices que d'un retournement de tendance.</w:t>
      </w:r>
    </w:p>
    <w:p>
      <w:pPr>
        <w:spacing w:after="120" w:line="276" w:lineRule="auto"/>
      </w:pPr>
      <w:r>
        <w:t>**RSI** : À 61,16, le RSI se situe en zone neutre (30-70), sans surachat (&gt;70) ni survente (&lt;30), justifiant la décision « Neutre ». Cette configuration laisse place à une poursuite de la hausse sans contrainte technique majeure, mais sans excès non plus.</w:t>
      </w:r>
    </w:p>
    <w:p>
      <w:pPr>
        <w:spacing w:after="120" w:line="276" w:lineRule="auto"/>
      </w:pPr>
      <w:r>
        <w:t>**Stochastique** : Le %K (85,71) et le %D (94,76) sont tous deux en zone de surachat (&gt;80), avec un %K inférieur au %D, ce qui génère une décision « Vente ». Ce croisement baissier en zone haute signale une probabilité élevée de correction à court terme, confirmant la prudence du MACD.</w:t>
      </w:r>
    </w:p>
    <w:p>
      <w:pPr>
        <w:spacing w:after="120" w:line="276" w:lineRule="auto"/>
      </w:pPr>
      <w:r>
        <w:t>**Conclusion technique** : Les indicateurs sont divergents : les moyennes mobiles et le RSI plaident pour une tendance haussière intacte, tandis que le MACD et le stochastique signalent un essoufflement imminent. Cette configuration mixte suggère une consolidation voire une correction à court terme, sans remise en cause de la tendance de fond, tant que le cours se maintient au-dessus de la MM50 (7 205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récentes ne sont pas disponibles dans la base, mais les rapports narratifs officiels fournissent une trajectoire financière complète et instructive. Pour l'exercice 2022 (rapport Mistral du 15/03/2026), la SICOR a enregistré un chiffre d'affaires de 1 138,17 millions FCFA, en baisse de 17,58% sur un an, et une perte nette de -39,95 millions FCFA (marge nette de -3,51%), marquant une inversion de tendance après quatre années de bénéfices. L'exercice 2023 (rapport Mistral du 15/03/2026) marque un retour à la profitabilité avec un résultat net de +19,25 millions FCFA pour un CA de 701,09 millions FCFA (marge nette de 2,75%), mais cette amélioration s'accompagne d'une chute de 38,4% du chiffre d'affaires, ce qui révèle une rentabilité fragile, obtenue par réduction drastique des charges (-43,68%) plutôt que par une reprise commerciale. L'exercice 2021 (rapport Mistral du 15/03/2026) affichait un bénéfice de 119,2 millions FCFA pour un CA de 1,38 milliard FCFA, mais ce résultat était en partie « en trompe-l'œil », soutenu par un résultat financier exceptionnel de +66 millions FCFA (reprises de provisions non récurrentes), alors que l'EBE reculait à 165 millions FCFA. La structure financière reste sous tension : les pertes cumulées s'élevaient à 689,86 millions FCFA fin 2023, les découverts bancaires ont été multipliés par 14, et la trésorerie demeure fragile. Le rapport annuel 2024 (analyse Gemini-Vision du 06/09/2026) confirme la convocation d'une AGO pour le 22 mai 2026 sur l'exercice clos au 31 décembre 2024, mais les comptes détaillés de cet exercice ne sont pas encore intégrés. En synthèse, la SICOR présente un profil fondamental spéculatif : retour à l'équilibre en 2023, mais absence de dividende depuis 2019, dépendance aux cours mondiaux du coprah, et risques opérationnels (vols de noix de coco, endettement fiscal). La recommandation fondamentale est de **conserver avec vigilance**, en attendant la publication des comptes 2024 et la confirmation d'une reprise durable du chiffre d'affaires.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impossible à établir rigoureusement faute de ratios calculables, mais le PER implicite très élevé (~262x) suggère une surévaluation manifeste par rapport aux bénéfices actuels. Le comportement du cours (Partie 1) est exceptionnellement haussier (+95,35%) mais accompagné d'une volatilité élevée (58,2%) et d'une asymétrie positive (skewness 0,913) indiquant que la hausse repose sur quelques pics plutôt que sur une progression régulière. Les signaux techniques (Partie 2) sont divergents : les moyennes mobiles et le RSI soutiennent la tendance, mais le MACD et le stochastique signalent une correction imminente, plaidant pour une consolidation à court terme. Les fondamentaux (Partie 3) montrent une entreprise en redressement fragile (bénéfice 2023 de 19,25 M FCFA, pertes cumulées de 689,86 M FCFA), sans dividende et dépendante de facteurs externes. Les prédictions IA (J+1 à J+10) anticipent une baisse progressive de 7 942 FCFA à 7 458 FCFA, confirmant la correction technique attendue. Sur cette base, la recommandation finale est **CONSERVER** avec un niveau de confiance **Moyen** et un risque global **Élevé**. La convergence entre la correction technique attendue, les prédictions baissières à court terme et la fragilité fondamentale justifie la prudence, mais la tendance de fond haussière et le potentiel de redressement (si les comptes 2024 confirment l'amélioration) incitent à ne pas vendre. L'horizon d'investissement optimal est **moyen terme (3-12 mois)**, en surveillant la publication des comptes 2024 et la capacité de la SICOR à relancer son chiffre d'affaires au-delà de 1 milliard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5,461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B40000"/>
                <w:sz w:val="17"/>
              </w:rPr>
              <w:t>-22.32%</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10.66% (Moyenne) — μ=2,509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β=0.3554 (Défensif) — Cov=0.000013, Var(idx)=0.000036, ρ=0.068,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2,103</w:t>
            </w:r>
          </w:p>
        </w:tc>
        <w:tc>
          <w:tcPr>
            <w:tcW w:type="dxa" w:w="1440"/>
            <w:shd w:fill="FAFAFA" w:val="clear"/>
          </w:tcPr>
          <w:p>
            <w:r>
              <w:rPr>
                <w:b/>
                <w:sz w:val="17"/>
              </w:rPr>
              <w:t>2,200</w:t>
            </w:r>
          </w:p>
        </w:tc>
        <w:tc>
          <w:tcPr>
            <w:tcW w:type="dxa" w:w="1440"/>
            <w:shd w:fill="FAFAFA" w:val="clear"/>
          </w:tcPr>
          <w:p>
            <w:r>
              <w:rPr>
                <w:sz w:val="17"/>
              </w:rPr>
              <w:t>2,297</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2,046</w:t>
            </w:r>
          </w:p>
        </w:tc>
        <w:tc>
          <w:tcPr>
            <w:tcW w:type="dxa" w:w="1440"/>
            <w:shd w:fill="FAFAFA" w:val="clear"/>
          </w:tcPr>
          <w:p>
            <w:r>
              <w:rPr>
                <w:b/>
                <w:sz w:val="17"/>
              </w:rPr>
              <w:t>2,182</w:t>
            </w:r>
          </w:p>
        </w:tc>
        <w:tc>
          <w:tcPr>
            <w:tcW w:type="dxa" w:w="1440"/>
            <w:shd w:fill="FAFAFA" w:val="clear"/>
          </w:tcPr>
          <w:p>
            <w:r>
              <w:rPr>
                <w:sz w:val="17"/>
              </w:rPr>
              <w:t>2,318</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2,002</w:t>
            </w:r>
          </w:p>
        </w:tc>
        <w:tc>
          <w:tcPr>
            <w:tcW w:type="dxa" w:w="1440"/>
            <w:shd w:fill="FAFAFA" w:val="clear"/>
          </w:tcPr>
          <w:p>
            <w:r>
              <w:rPr>
                <w:b/>
                <w:sz w:val="17"/>
              </w:rPr>
              <w:t>2,168</w:t>
            </w:r>
          </w:p>
        </w:tc>
        <w:tc>
          <w:tcPr>
            <w:tcW w:type="dxa" w:w="1440"/>
            <w:shd w:fill="FAFAFA" w:val="clear"/>
          </w:tcPr>
          <w:p>
            <w:r>
              <w:rPr>
                <w:sz w:val="17"/>
              </w:rPr>
              <w:t>2,333</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1,965</w:t>
            </w:r>
          </w:p>
        </w:tc>
        <w:tc>
          <w:tcPr>
            <w:tcW w:type="dxa" w:w="1440"/>
            <w:shd w:fill="FAFAFA" w:val="clear"/>
          </w:tcPr>
          <w:p>
            <w:r>
              <w:rPr>
                <w:b/>
                <w:sz w:val="17"/>
              </w:rPr>
              <w:t>2,155</w:t>
            </w:r>
          </w:p>
        </w:tc>
        <w:tc>
          <w:tcPr>
            <w:tcW w:type="dxa" w:w="1440"/>
            <w:shd w:fill="FAFAFA" w:val="clear"/>
          </w:tcPr>
          <w:p>
            <w:r>
              <w:rPr>
                <w:sz w:val="17"/>
              </w:rPr>
              <w:t>2,345</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1,932</w:t>
            </w:r>
          </w:p>
        </w:tc>
        <w:tc>
          <w:tcPr>
            <w:tcW w:type="dxa" w:w="1440"/>
            <w:shd w:fill="FAFAFA" w:val="clear"/>
          </w:tcPr>
          <w:p>
            <w:r>
              <w:rPr>
                <w:b/>
                <w:sz w:val="17"/>
              </w:rPr>
              <w:t>2,143</w:t>
            </w:r>
          </w:p>
        </w:tc>
        <w:tc>
          <w:tcPr>
            <w:tcW w:type="dxa" w:w="1440"/>
            <w:shd w:fill="FAFAFA" w:val="clear"/>
          </w:tcPr>
          <w:p>
            <w:r>
              <w:rPr>
                <w:sz w:val="17"/>
              </w:rPr>
              <w:t>2,354</w:t>
            </w:r>
          </w:p>
        </w:tc>
        <w:tc>
          <w:tcPr>
            <w:tcW w:type="dxa" w:w="1440"/>
            <w:shd w:fill="FAFAFA" w:val="clear"/>
          </w:tcPr>
          <w:p>
            <w:r>
              <w:rPr>
                <w:b/>
                <w:color w:val="C00000"/>
                <w:sz w:val="17"/>
              </w:rPr>
              <w:t>-1.5%</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1,901</w:t>
            </w:r>
          </w:p>
        </w:tc>
        <w:tc>
          <w:tcPr>
            <w:tcW w:type="dxa" w:w="1440"/>
            <w:shd w:fill="FFDCE0" w:val="clear"/>
          </w:tcPr>
          <w:p>
            <w:r>
              <w:rPr>
                <w:b/>
                <w:sz w:val="17"/>
              </w:rPr>
              <w:t>2,131</w:t>
            </w:r>
          </w:p>
        </w:tc>
        <w:tc>
          <w:tcPr>
            <w:tcW w:type="dxa" w:w="1440"/>
            <w:shd w:fill="FFDCE0" w:val="clear"/>
          </w:tcPr>
          <w:p>
            <w:r>
              <w:rPr>
                <w:sz w:val="17"/>
              </w:rPr>
              <w:t>2,360</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1,872</w:t>
            </w:r>
          </w:p>
        </w:tc>
        <w:tc>
          <w:tcPr>
            <w:tcW w:type="dxa" w:w="1440"/>
            <w:shd w:fill="FFDCE0" w:val="clear"/>
          </w:tcPr>
          <w:p>
            <w:r>
              <w:rPr>
                <w:b/>
                <w:sz w:val="17"/>
              </w:rPr>
              <w:t>2,119</w:t>
            </w:r>
          </w:p>
        </w:tc>
        <w:tc>
          <w:tcPr>
            <w:tcW w:type="dxa" w:w="1440"/>
            <w:shd w:fill="FFDCE0" w:val="clear"/>
          </w:tcPr>
          <w:p>
            <w:r>
              <w:rPr>
                <w:sz w:val="17"/>
              </w:rPr>
              <w:t>2,366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1,845</w:t>
            </w:r>
          </w:p>
        </w:tc>
        <w:tc>
          <w:tcPr>
            <w:tcW w:type="dxa" w:w="1440"/>
            <w:shd w:fill="FFDCE0" w:val="clear"/>
          </w:tcPr>
          <w:p>
            <w:r>
              <w:rPr>
                <w:b/>
                <w:sz w:val="17"/>
              </w:rPr>
              <w:t>2,107</w:t>
            </w:r>
          </w:p>
        </w:tc>
        <w:tc>
          <w:tcPr>
            <w:tcW w:type="dxa" w:w="1440"/>
            <w:shd w:fill="FFDCE0" w:val="clear"/>
          </w:tcPr>
          <w:p>
            <w:r>
              <w:rPr>
                <w:sz w:val="17"/>
              </w:rPr>
              <w:t>2,370</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1,819</w:t>
            </w:r>
          </w:p>
        </w:tc>
        <w:tc>
          <w:tcPr>
            <w:tcW w:type="dxa" w:w="1440"/>
            <w:shd w:fill="FFDCE0" w:val="clear"/>
          </w:tcPr>
          <w:p>
            <w:r>
              <w:rPr>
                <w:b/>
                <w:sz w:val="17"/>
              </w:rPr>
              <w:t>2,096</w:t>
            </w:r>
          </w:p>
        </w:tc>
        <w:tc>
          <w:tcPr>
            <w:tcW w:type="dxa" w:w="1440"/>
            <w:shd w:fill="FFDCE0" w:val="clear"/>
          </w:tcPr>
          <w:p>
            <w:r>
              <w:rPr>
                <w:sz w:val="17"/>
              </w:rPr>
              <w:t>2,373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1,795</w:t>
            </w:r>
          </w:p>
        </w:tc>
        <w:tc>
          <w:tcPr>
            <w:tcW w:type="dxa" w:w="1440"/>
            <w:shd w:fill="FFDCE0" w:val="clear"/>
          </w:tcPr>
          <w:p>
            <w:r>
              <w:rPr>
                <w:b/>
                <w:sz w:val="17"/>
              </w:rPr>
              <w:t>2,085</w:t>
            </w:r>
          </w:p>
        </w:tc>
        <w:tc>
          <w:tcPr>
            <w:tcW w:type="dxa" w:w="1440"/>
            <w:shd w:fill="FFDCE0" w:val="clear"/>
          </w:tcPr>
          <w:p>
            <w:r>
              <w:rPr>
                <w:sz w:val="17"/>
              </w:rPr>
              <w:t>2,376</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RAPPORT D'ANALYSE FINANCIÈRE — SIVC / ERIUM COTE D'IVOIRE (BRVM)</w:t>
      </w:r>
    </w:p>
    <w:p>
      <w:pPr>
        <w:spacing w:after="120" w:line="276" w:lineRule="auto"/>
      </w:pPr>
      <w:r>
        <w:t>**Date d'analyse :** Septembre 2026 | **Cours de référence :** 2 175 FCFA | **Secteur :** Gaz industriels / Équipements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19,00 milliards FCFA, SIVC se situe dans la catégorie des valeurs moyennes de la BRVM, ce qui la rend sensible aux mouvements de liquidité du marché. Le BPA de 43 FCFA/action signifie que chaque titre génère 43 FCFA de bénéfice net, un niveau modeste qui, rapporté au cours actuel de 2 175 FCFA, aboutit à un PER de 50,4x — soit près de cinq fois supérieur à la moyenne du marché BRVM (8-12x), signalant une valorisation très exigeante et une forte anticipation de croissance de la part des investisseurs. Le P/B de 5,81x confirme que le marché valorise l'entreprise à près de six fois sa valeur comptable, une prime considérable qui n'est justifiable que par des perspectives de rentabilité future nettement supérieures. Enfin, l'EV/EBITDA de 16,1x traduit une valorisation tendue par rapport à la capacité opérationnelle de génération de cash, renforçant le message de prudence : le titre intègre déjà beaucoup de bonnes nouvelles, ce qui réduit la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variation totale de **-22,32%**, avec une dernière séance en repli de **-1,81%**, confirmant une tendance baissière claire et un momentum négatif persistant. Le cours a évolué dans un range de 955 FCFA, entre un plus haut de 2 875 FCFA et un plus bas de 1 920 FCFA, le cours actuel (2 175 FCFA) se situant dans la moitié inférieure de cette fourchette, ce qui traduit une pression vendeuse dominante. Les statistiques descriptives révèlent une moyenne de 2 509 FCFA supérieure à la médiane de 2 418 FCFA, indiquant une légère asymétrie positive due aux pics hauts atteints en début de période, tandis que le mode à 2 400 FCFA suggère un palier de consolidation fréquemment testé. L'écart-type de 269 FCFA (CV de 10,7%) indique une dispersion modérée autour de la moyenne, mais la volatilité annualisée de **49,9%** classe le titre dans la catégorie des valeurs très volatiles (&gt;30%), exposant l'investisseur à des variations importantes. Le kurtosis de -1,346 (distribution platykurtique) signale une distribution aplatie avec une faible concentration des rendements, donc moins de pics extrêmes mais des mouvements amples et fréquents, tandis que le skewness de 0,022 (quasi nul) confirme une distribution symétrique, sans biais directionnel marqué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(2 331 FCFA) et la MM50 (2 294 FCFA) se situent toutes deux au-dessus du cours actuel (2 175 FCFA), ce qui place le titre en position baissière sous ses moyennes. Toutefois, la MM20 étant supérieure à la MM50, la configuration reste haussière de fond, et l'algorithme génère une décision d'**Achat** en anticipant un retour du cours vers ses moyennes (mean reversion).</w:t>
      </w:r>
    </w:p>
    <w:p>
      <w:pPr>
        <w:spacing w:after="120" w:line="276" w:lineRule="auto"/>
      </w:pPr>
      <w:r>
        <w:t>**Bandes de Bollinger :** Le cours (2 175 FCFA) se situe sous la borne inférieure (2 200,79 FCFA), ce qui constitue un signal de survente technique et suggère une probabilité de rebond à court terme. La largeur des bandes (260 FCFA) reflète une volatilité élevée, et la décision affichée est **Achat** en raison de la position hors bande basse.</w:t>
      </w:r>
    </w:p>
    <w:p>
      <w:pPr>
        <w:spacing w:after="120" w:line="276" w:lineRule="auto"/>
      </w:pPr>
      <w:r>
        <w:t>**MACD :** La valeur du MACD (-27,267) est nettement inférieure à son signal (-7,862), avec un histogramme négatif, confirmant un momentum baissier toujours actif. La divergence entre les deux lignes plaide pour une décision de **Vente**, en contradiction avec les autres indicateurs.</w:t>
      </w:r>
    </w:p>
    <w:p>
      <w:pPr>
        <w:spacing w:after="120" w:line="276" w:lineRule="auto"/>
      </w:pPr>
      <w:r>
        <w:t>**RSI :** À 39,597, le RSI se situe en zone neutre basse (30-70), sans atteindre la zone de survente (&lt;30), ce qui indique une pression baissière modérée mais pas encore de capitulation. La décision est **Neutre**, reflétant l'absence de signal directionnel fort.</w:t>
      </w:r>
    </w:p>
    <w:p>
      <w:pPr>
        <w:spacing w:after="120" w:line="276" w:lineRule="auto"/>
      </w:pPr>
      <w:r>
        <w:t>**Stochastique :** Le %K (0,0) est au plus bas absolu tandis que le %D (1,042) reste légèrement supérieur, signalant une situation de survente extrême. La décision est **Achat** en anticipation d'un croisement haussier imminent.</w:t>
      </w:r>
    </w:p>
    <w:p>
      <w:pPr>
        <w:spacing w:after="120" w:line="276" w:lineRule="auto"/>
      </w:pPr>
      <w:r>
        <w:t>**Conclusion technique :** Les indicateurs sont majoritairement haussiers (MM, Bollinger, Stochastique) mais le MACD reste baissier et le RSI neutre, créant une divergence typique d'une phase de survente. Le titre se trouve à un point d'inflexion potentiel : soit un rebond technique se matérialise vers 2 300-2 400 FCFA, soit la pression baissière l'emporte et le cours teste le support de 1 920 FCFA. La prudence reste de mise tant que le MACD ne s'inverse pas.</w:t>
      </w:r>
    </w:p>
    <w:p>
      <w:pPr>
        <w:spacing w:after="120" w:line="276" w:lineRule="auto"/>
      </w:pPr>
      <w:r>
        <w:t>---</w:t>
      </w:r>
    </w:p>
    <w:p>
      <w:pPr>
        <w:spacing w:after="120" w:line="276" w:lineRule="auto"/>
      </w:pPr>
      <w:r>
        <w:t>## PARTIE 3 : ANALYSE FONDAMENTALE</w:t>
      </w:r>
    </w:p>
    <w:p>
      <w:pPr>
        <w:spacing w:after="120" w:line="276" w:lineRule="auto"/>
      </w:pPr>
      <w:r>
        <w:t>**Données structurées (exercice 2024) :** Le chiffre d'affaires/PNB s'établit à **9,283 milliards FCFA** en 2024, avec un résultat net de **376,96 millions FCFA**, soit une marge nette de 4,06%. Le ROE atteint 11,52% (inférieur au seuil d'excellence de 15%) et le ROA seulement 2,69%, traduisant une rentabilité des actifs faible. Le coefficient d'exploitation de 95,83% est très élevé (bien au-dessus du seuil de 60% pour une banque efficace), indiquant une structure de coûts lourde, et le coût du risque de 3,10% reste significatif. La structure financière est fragile : autonomie financière de 23,34% (&lt;30%), ratio d'endettement de 80,09%, et trésorerie nette négative de -2,143 milliards FCFA.</w:t>
      </w:r>
    </w:p>
    <w:p>
      <w:pPr>
        <w:spacing w:after="120" w:line="276" w:lineRule="auto"/>
      </w:pPr>
      <w:r>
        <w:t>**Évolution 2025 (rapports narratifs) :** Le rapport annuel 2025 (analysé le 29/06/2026) révèle un CA en hausse de **+8,53% à 10,075 milliards FCFA**, mais un résultat net en chute de **-52,4% à 179,29 millions FCFA**, avec une marge nette divisée par deux à 1,78%. Le rapport S1 2025 (30/06/2025) indiquait pourtant un résultat net de 512,9 millions FCFA (+4,6%) et une marge nette de 10,5%, tandis que le rapport T3 2025 (date inconnue) affichait un résultat net de 832,5 millions FCFA (+58%) et une marge nette de 11,0%. Cette divergence entre les rapports trimestriels (très positifs) et l'annualisé (très dégradé) suggère un retournement brutal au T4 2025, probablement lié à des éléments exceptionnels ou à une dégradation du résultat financier (passé de +316 M à -114 M FCFA).</w:t>
      </w:r>
    </w:p>
    <w:p>
      <w:pPr>
        <w:spacing w:after="120" w:line="276" w:lineRule="auto"/>
      </w:pPr>
      <w:r>
        <w:t>**Événement majeur :** Le communiqué du 21/11/2025 (DOC 2) annonce la cession totale de la participation d'Air Liquide International (72,08%) à ERIUM LTD au cours de 230 FCFA/action, un prix très inférieur au cours actuel (2 175 FCFA), ce qui soulève des questions sur la valorisation réelle de l'entreprise. Le changement de dénomination sociale en ERIUM COTE D'IVOIRE (DOC 1, 27/11/2025) marque une nouvelle ère stratégique.</w:t>
      </w:r>
    </w:p>
    <w:p>
      <w:pPr>
        <w:spacing w:after="120" w:line="276" w:lineRule="auto"/>
      </w:pPr>
      <w:r>
        <w:t>**Recommandation fondamentale :** La société affiche une croissance du CA mais une dégradation alarmante de sa rentabilité et de sa structure financière. Le titre est **surévalué** au regard des fondamentaux actuels, avec un PER de 50,4x pour un ROE de 11,5% et une marge nette de 1,78%. La prudence est de rigueur.</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**excessive** : PER de 50,4x, P/B de 5,81x et EV/EBITDA de 16,1x intègrent des anticipations de croissance que les fondamentaux actuels ne justifient pas, surtout après la chute de 52% du résultat net en 2025. Le comportement du cours (Partie 1) est **préoccupant** : tendance baissière de -22,32% sur 100 jours, volatilité annualisée de 49,9% (très élevée), et distribution platykurtique indiquant des mouvements amples sans pics extrêmes. Les signaux techniques (Partie 2) sont **mitigés** : majoritairement haussiers (MM, Bollinger, Stochastique en survente) mais contrariés par un MACD baissier et un RSI neutre, créant une divergence qui appelle à la prudence. Les fondamentaux (Partie 3) sont **fragiles** : croissance du CA (+8,5% en 2025) mais effondrement du résultat net (-52,4%), marge nette de 1,78%, endettement élevé (80,09%) et trésorerie nette négative (-2,143 Mds FCFA en 2024, -1,660 Mds en 2025). Les prédictions IA (J+1 à J+10) anticipent une **poursuite de la baisse** vers 2 143 FCFA d'ici le 25/09/2026, confirmant la tendance baissière et contredisant les signaux techniques haussiers à court terme.</w:t>
      </w:r>
    </w:p>
    <w:p>
      <w:pPr>
        <w:spacing w:after="120" w:line="276" w:lineRule="auto"/>
      </w:pPr>
      <w:r>
        <w:t>**Recommandation finale : VENTE**</w:t>
      </w:r>
    </w:p>
    <w:p>
      <w:pPr>
        <w:spacing w:after="120" w:line="276" w:lineRule="auto"/>
      </w:pPr>
      <w:r>
        <w:t>Cette recommandation se justifie par la convergence de plusieurs facteurs négatifs : une valorisation très exigeante (PER 50,4x) incompatible avec la dégradation des résultats, une tendance baissière persistante (-22,32%), des fondamentaux fragilisés (chute du résultat net de 52%, endettement élevé), et des prédictions IA baissières. Les seuls signaux positifs (survente technique, croissance du CA) sont insuffisants pour compenser les risques. **Niveau de confiance : Moyen** (en raison de la divergence technique et du potentiel de rebond à court terme). **Niveau de risque global : Élevé** (volatilité de 49,9%, trésorerie négative, endettement). **Horizon d'investissement : Court terme** pour les positions vendeuses, en attendant une clarification sur la capacité de l'entreprise à restaurer sa rentabilité et à réduire son endettement. Un investisseur averse au risque devrait éviter le titre ; un investisseur opportuniste pourrait surveiller un rebond technique vers 2 300-2 400 FCFA pour alléger sa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1,329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2.39% (Faible) — μ=38,225 FCFA, σ=914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β=0.1468 (Défensif) — Cov=0.000005, Var(idx)=0.000036, ρ=0.051,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37,886</w:t>
            </w:r>
          </w:p>
        </w:tc>
        <w:tc>
          <w:tcPr>
            <w:tcW w:type="dxa" w:w="1440"/>
            <w:shd w:fill="FAFAFA" w:val="clear"/>
          </w:tcPr>
          <w:p>
            <w:r>
              <w:rPr>
                <w:b/>
                <w:sz w:val="17"/>
              </w:rPr>
              <w:t>38,618</w:t>
            </w:r>
          </w:p>
        </w:tc>
        <w:tc>
          <w:tcPr>
            <w:tcW w:type="dxa" w:w="1440"/>
            <w:shd w:fill="FAFAFA" w:val="clear"/>
          </w:tcPr>
          <w:p>
            <w:r>
              <w:rPr>
                <w:sz w:val="17"/>
              </w:rPr>
              <w:t>39,350</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37,846</w:t>
            </w:r>
          </w:p>
        </w:tc>
        <w:tc>
          <w:tcPr>
            <w:tcW w:type="dxa" w:w="1440"/>
            <w:shd w:fill="C6EFCE" w:val="clear"/>
          </w:tcPr>
          <w:p>
            <w:r>
              <w:rPr>
                <w:b/>
                <w:sz w:val="17"/>
              </w:rPr>
              <w:t>38,889</w:t>
            </w:r>
          </w:p>
        </w:tc>
        <w:tc>
          <w:tcPr>
            <w:tcW w:type="dxa" w:w="1440"/>
            <w:shd w:fill="C6EFCE" w:val="clear"/>
          </w:tcPr>
          <w:p>
            <w:r>
              <w:rPr>
                <w:sz w:val="17"/>
              </w:rPr>
              <w:t>39,932</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37,933</w:t>
            </w:r>
          </w:p>
        </w:tc>
        <w:tc>
          <w:tcPr>
            <w:tcW w:type="dxa" w:w="1440"/>
            <w:shd w:fill="C6EFCE" w:val="clear"/>
          </w:tcPr>
          <w:p>
            <w:r>
              <w:rPr>
                <w:b/>
                <w:sz w:val="17"/>
              </w:rPr>
              <w:t>39,222</w:t>
            </w:r>
          </w:p>
        </w:tc>
        <w:tc>
          <w:tcPr>
            <w:tcW w:type="dxa" w:w="1440"/>
            <w:shd w:fill="C6EFCE" w:val="clear"/>
          </w:tcPr>
          <w:p>
            <w:r>
              <w:rPr>
                <w:sz w:val="17"/>
              </w:rPr>
              <w:t>40,510</w:t>
            </w:r>
          </w:p>
        </w:tc>
        <w:tc>
          <w:tcPr>
            <w:tcW w:type="dxa" w:w="1440"/>
            <w:shd w:fill="C6EFCE" w:val="clear"/>
          </w:tcPr>
          <w:p>
            <w:r>
              <w:rPr>
                <w:b/>
                <w:color w:val="008000"/>
                <w:sz w:val="17"/>
              </w:rPr>
              <w:t>+3.2%</w:t>
            </w:r>
          </w:p>
        </w:tc>
      </w:tr>
      <w:tr>
        <w:tc>
          <w:tcPr>
            <w:tcW w:type="dxa" w:w="1440"/>
            <w:shd w:fill="C6EFCE" w:val="clear"/>
          </w:tcPr>
          <w:p>
            <w:r>
              <w:rPr>
                <w:sz w:val="17"/>
              </w:rPr>
              <w:t>J+4  Moyenne</w:t>
            </w:r>
          </w:p>
        </w:tc>
        <w:tc>
          <w:tcPr>
            <w:tcW w:type="dxa" w:w="1440"/>
            <w:shd w:fill="C6EFCE" w:val="clear"/>
          </w:tcPr>
          <w:p>
            <w:r>
              <w:rPr>
                <w:sz w:val="17"/>
              </w:rPr>
              <w:t>2026-09-24</w:t>
            </w:r>
          </w:p>
        </w:tc>
        <w:tc>
          <w:tcPr>
            <w:tcW w:type="dxa" w:w="1440"/>
            <w:shd w:fill="C6EFCE" w:val="clear"/>
          </w:tcPr>
          <w:p>
            <w:r>
              <w:rPr>
                <w:sz w:val="17"/>
              </w:rPr>
              <w:t>38,059</w:t>
            </w:r>
          </w:p>
        </w:tc>
        <w:tc>
          <w:tcPr>
            <w:tcW w:type="dxa" w:w="1440"/>
            <w:shd w:fill="C6EFCE" w:val="clear"/>
          </w:tcPr>
          <w:p>
            <w:r>
              <w:rPr>
                <w:b/>
                <w:sz w:val="17"/>
              </w:rPr>
              <w:t>39,559</w:t>
            </w:r>
          </w:p>
        </w:tc>
        <w:tc>
          <w:tcPr>
            <w:tcW w:type="dxa" w:w="1440"/>
            <w:shd w:fill="C6EFCE" w:val="clear"/>
          </w:tcPr>
          <w:p>
            <w:r>
              <w:rPr>
                <w:sz w:val="17"/>
              </w:rPr>
              <w:t>41,060</w:t>
            </w:r>
          </w:p>
        </w:tc>
        <w:tc>
          <w:tcPr>
            <w:tcW w:type="dxa" w:w="1440"/>
            <w:shd w:fill="C6EFCE" w:val="clear"/>
          </w:tcPr>
          <w:p>
            <w:r>
              <w:rPr>
                <w:b/>
                <w:color w:val="008000"/>
                <w:sz w:val="17"/>
              </w:rPr>
              <w:t>+4.1%</w:t>
            </w:r>
          </w:p>
        </w:tc>
      </w:tr>
      <w:tr>
        <w:tc>
          <w:tcPr>
            <w:tcW w:type="dxa" w:w="1440"/>
            <w:shd w:fill="C6EFCE" w:val="clear"/>
          </w:tcPr>
          <w:p>
            <w:r>
              <w:rPr>
                <w:sz w:val="17"/>
              </w:rPr>
              <w:t>J+5  Moyenne</w:t>
            </w:r>
          </w:p>
        </w:tc>
        <w:tc>
          <w:tcPr>
            <w:tcW w:type="dxa" w:w="1440"/>
            <w:shd w:fill="C6EFCE" w:val="clear"/>
          </w:tcPr>
          <w:p>
            <w:r>
              <w:rPr>
                <w:sz w:val="17"/>
              </w:rPr>
              <w:t>2026-09-25</w:t>
            </w:r>
          </w:p>
        </w:tc>
        <w:tc>
          <w:tcPr>
            <w:tcW w:type="dxa" w:w="1440"/>
            <w:shd w:fill="C6EFCE" w:val="clear"/>
          </w:tcPr>
          <w:p>
            <w:r>
              <w:rPr>
                <w:sz w:val="17"/>
              </w:rPr>
              <w:t>38,199</w:t>
            </w:r>
          </w:p>
        </w:tc>
        <w:tc>
          <w:tcPr>
            <w:tcW w:type="dxa" w:w="1440"/>
            <w:shd w:fill="C6EFCE" w:val="clear"/>
          </w:tcPr>
          <w:p>
            <w:r>
              <w:rPr>
                <w:b/>
                <w:sz w:val="17"/>
              </w:rPr>
              <w:t>39,890</w:t>
            </w:r>
          </w:p>
        </w:tc>
        <w:tc>
          <w:tcPr>
            <w:tcW w:type="dxa" w:w="1440"/>
            <w:shd w:fill="C6EFCE" w:val="clear"/>
          </w:tcPr>
          <w:p>
            <w:r>
              <w:rPr>
                <w:sz w:val="17"/>
              </w:rPr>
              <w:t>41,582</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2026-09-28</w:t>
            </w:r>
          </w:p>
        </w:tc>
        <w:tc>
          <w:tcPr>
            <w:tcW w:type="dxa" w:w="1440"/>
            <w:shd w:fill="C6EFCE" w:val="clear"/>
          </w:tcPr>
          <w:p>
            <w:r>
              <w:rPr>
                <w:sz w:val="17"/>
              </w:rPr>
              <w:t>38,346</w:t>
            </w:r>
          </w:p>
        </w:tc>
        <w:tc>
          <w:tcPr>
            <w:tcW w:type="dxa" w:w="1440"/>
            <w:shd w:fill="C6EFCE" w:val="clear"/>
          </w:tcPr>
          <w:p>
            <w:r>
              <w:rPr>
                <w:b/>
                <w:sz w:val="17"/>
              </w:rPr>
              <w:t>40,214</w:t>
            </w:r>
          </w:p>
        </w:tc>
        <w:tc>
          <w:tcPr>
            <w:tcW w:type="dxa" w:w="1440"/>
            <w:shd w:fill="C6EFCE" w:val="clear"/>
          </w:tcPr>
          <w:p>
            <w:r>
              <w:rPr>
                <w:sz w:val="17"/>
              </w:rPr>
              <w:t>42,082</w:t>
            </w:r>
          </w:p>
        </w:tc>
        <w:tc>
          <w:tcPr>
            <w:tcW w:type="dxa" w:w="1440"/>
            <w:shd w:fill="C6EFCE" w:val="clear"/>
          </w:tcPr>
          <w:p>
            <w:r>
              <w:rPr>
                <w:b/>
                <w:color w:val="008000"/>
                <w:sz w:val="17"/>
              </w:rPr>
              <w:t>+5.8%</w:t>
            </w:r>
          </w:p>
        </w:tc>
      </w:tr>
      <w:tr>
        <w:tc>
          <w:tcPr>
            <w:tcW w:type="dxa" w:w="1440"/>
            <w:shd w:fill="C6EFCE" w:val="clear"/>
          </w:tcPr>
          <w:p>
            <w:r>
              <w:rPr>
                <w:sz w:val="17"/>
              </w:rPr>
              <w:t>J+7  Moyenne</w:t>
            </w:r>
          </w:p>
        </w:tc>
        <w:tc>
          <w:tcPr>
            <w:tcW w:type="dxa" w:w="1440"/>
            <w:shd w:fill="C6EFCE" w:val="clear"/>
          </w:tcPr>
          <w:p>
            <w:r>
              <w:rPr>
                <w:sz w:val="17"/>
              </w:rPr>
              <w:t>2026-09-29</w:t>
            </w:r>
          </w:p>
        </w:tc>
        <w:tc>
          <w:tcPr>
            <w:tcW w:type="dxa" w:w="1440"/>
            <w:shd w:fill="C6EFCE" w:val="clear"/>
          </w:tcPr>
          <w:p>
            <w:r>
              <w:rPr>
                <w:sz w:val="17"/>
              </w:rPr>
              <w:t>38,497</w:t>
            </w:r>
          </w:p>
        </w:tc>
        <w:tc>
          <w:tcPr>
            <w:tcW w:type="dxa" w:w="1440"/>
            <w:shd w:fill="C6EFCE" w:val="clear"/>
          </w:tcPr>
          <w:p>
            <w:r>
              <w:rPr>
                <w:b/>
                <w:sz w:val="17"/>
              </w:rPr>
              <w:t>40,531</w:t>
            </w:r>
          </w:p>
        </w:tc>
        <w:tc>
          <w:tcPr>
            <w:tcW w:type="dxa" w:w="1440"/>
            <w:shd w:fill="C6EFCE" w:val="clear"/>
          </w:tcPr>
          <w:p>
            <w:r>
              <w:rPr>
                <w:sz w:val="17"/>
              </w:rPr>
              <w:t>42,565</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2026-09-30</w:t>
            </w:r>
          </w:p>
        </w:tc>
        <w:tc>
          <w:tcPr>
            <w:tcW w:type="dxa" w:w="1440"/>
            <w:shd w:fill="C6EFCE" w:val="clear"/>
          </w:tcPr>
          <w:p>
            <w:r>
              <w:rPr>
                <w:sz w:val="17"/>
              </w:rPr>
              <w:t>38,652</w:t>
            </w:r>
          </w:p>
        </w:tc>
        <w:tc>
          <w:tcPr>
            <w:tcW w:type="dxa" w:w="1440"/>
            <w:shd w:fill="C6EFCE" w:val="clear"/>
          </w:tcPr>
          <w:p>
            <w:r>
              <w:rPr>
                <w:b/>
                <w:sz w:val="17"/>
              </w:rPr>
              <w:t>40,843</w:t>
            </w:r>
          </w:p>
        </w:tc>
        <w:tc>
          <w:tcPr>
            <w:tcW w:type="dxa" w:w="1440"/>
            <w:shd w:fill="C6EFCE" w:val="clear"/>
          </w:tcPr>
          <w:p>
            <w:r>
              <w:rPr>
                <w:sz w:val="17"/>
              </w:rPr>
              <w:t>43,033</w:t>
            </w:r>
          </w:p>
        </w:tc>
        <w:tc>
          <w:tcPr>
            <w:tcW w:type="dxa" w:w="1440"/>
            <w:shd w:fill="C6EFCE" w:val="clear"/>
          </w:tcPr>
          <w:p>
            <w:r>
              <w:rPr>
                <w:b/>
                <w:color w:val="008000"/>
                <w:sz w:val="17"/>
              </w:rPr>
              <w:t>+7.5%</w:t>
            </w:r>
          </w:p>
        </w:tc>
      </w:tr>
      <w:tr>
        <w:tc>
          <w:tcPr>
            <w:tcW w:type="dxa" w:w="1440"/>
            <w:shd w:fill="C6EFCE" w:val="clear"/>
          </w:tcPr>
          <w:p>
            <w:r>
              <w:rPr>
                <w:sz w:val="17"/>
              </w:rPr>
              <w:t>J+9  Moyenne</w:t>
            </w:r>
          </w:p>
        </w:tc>
        <w:tc>
          <w:tcPr>
            <w:tcW w:type="dxa" w:w="1440"/>
            <w:shd w:fill="C6EFCE" w:val="clear"/>
          </w:tcPr>
          <w:p>
            <w:r>
              <w:rPr>
                <w:sz w:val="17"/>
              </w:rPr>
              <w:t>2026-10-01</w:t>
            </w:r>
          </w:p>
        </w:tc>
        <w:tc>
          <w:tcPr>
            <w:tcW w:type="dxa" w:w="1440"/>
            <w:shd w:fill="C6EFCE" w:val="clear"/>
          </w:tcPr>
          <w:p>
            <w:r>
              <w:rPr>
                <w:sz w:val="17"/>
              </w:rPr>
              <w:t>38,808</w:t>
            </w:r>
          </w:p>
        </w:tc>
        <w:tc>
          <w:tcPr>
            <w:tcW w:type="dxa" w:w="1440"/>
            <w:shd w:fill="C6EFCE" w:val="clear"/>
          </w:tcPr>
          <w:p>
            <w:r>
              <w:rPr>
                <w:b/>
                <w:sz w:val="17"/>
              </w:rPr>
              <w:t>41,149</w:t>
            </w:r>
          </w:p>
        </w:tc>
        <w:tc>
          <w:tcPr>
            <w:tcW w:type="dxa" w:w="1440"/>
            <w:shd w:fill="C6EFCE" w:val="clear"/>
          </w:tcPr>
          <w:p>
            <w:r>
              <w:rPr>
                <w:sz w:val="17"/>
              </w:rPr>
              <w:t>43,490</w:t>
            </w:r>
          </w:p>
        </w:tc>
        <w:tc>
          <w:tcPr>
            <w:tcW w:type="dxa" w:w="1440"/>
            <w:shd w:fill="C6EFCE" w:val="clear"/>
          </w:tcPr>
          <w:p>
            <w:r>
              <w:rPr>
                <w:b/>
                <w:color w:val="008000"/>
                <w:sz w:val="17"/>
              </w:rPr>
              <w:t>+8.3%</w:t>
            </w:r>
          </w:p>
        </w:tc>
      </w:tr>
      <w:tr>
        <w:tc>
          <w:tcPr>
            <w:tcW w:type="dxa" w:w="1440"/>
            <w:shd w:fill="C6EFCE" w:val="clear"/>
          </w:tcPr>
          <w:p>
            <w:r>
              <w:rPr>
                <w:sz w:val="17"/>
              </w:rPr>
              <w:t>J+10  Moyenne</w:t>
            </w:r>
          </w:p>
        </w:tc>
        <w:tc>
          <w:tcPr>
            <w:tcW w:type="dxa" w:w="1440"/>
            <w:shd w:fill="C6EFCE" w:val="clear"/>
          </w:tcPr>
          <w:p>
            <w:r>
              <w:rPr>
                <w:sz w:val="17"/>
              </w:rPr>
              <w:t>2026-10-02</w:t>
            </w:r>
          </w:p>
        </w:tc>
        <w:tc>
          <w:tcPr>
            <w:tcW w:type="dxa" w:w="1440"/>
            <w:shd w:fill="C6EFCE" w:val="clear"/>
          </w:tcPr>
          <w:p>
            <w:r>
              <w:rPr>
                <w:sz w:val="17"/>
              </w:rPr>
              <w:t>38,966</w:t>
            </w:r>
          </w:p>
        </w:tc>
        <w:tc>
          <w:tcPr>
            <w:tcW w:type="dxa" w:w="1440"/>
            <w:shd w:fill="C6EFCE" w:val="clear"/>
          </w:tcPr>
          <w:p>
            <w:r>
              <w:rPr>
                <w:b/>
                <w:sz w:val="17"/>
              </w:rPr>
              <w:t>41,452</w:t>
            </w:r>
          </w:p>
        </w:tc>
        <w:tc>
          <w:tcPr>
            <w:tcW w:type="dxa" w:w="1440"/>
            <w:shd w:fill="C6EFCE" w:val="clear"/>
          </w:tcPr>
          <w:p>
            <w:r>
              <w:rPr>
                <w:sz w:val="17"/>
              </w:rPr>
              <w:t>43,938</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Boissons &amp; Limonaderies*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625,51 milliards FCFA, SOLIBRA s'impose comme l'une des plus importantes capitalisations de la BRVM, témoignant de son statut de valeur de premier plan dans l'indice BRVM Composite. Le BPA de 2 781 FCFA/action signifie que chaque titre génère près de 2 800 FCFA de bénéfice net, un niveau remarquable qui traduit la forte rentabilité de l'entreprise. Le PER de 13,7x, bien qu'au-dessus de la moyenne BRVM (~8-12x), reste modéré et justifié par la qualité des fondamentaux et la croissance à deux chiffres du résultat net (+113% en 2025). Le P/B de 3,21x indique que le marché valorise l'action à plus de trois fois sa valeur comptable, une prime de croissance cohérente avec un ROE exceptionnel de 23,46%. Enfin, l'EV/EBITDA de 7,4x, dans la fourchette raisonnable de 5-10x, suggère que la valeur d'entreprise reste proportionnée à la capacité opérationnelle de génération de cash-flow, offrant une marge de sécurité implicite.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+1,33%, avec une stabilité parfaite lors de la dernière séance (variation J-1 de +0,00%), le titre clôturant à 38 000 FCFA. Le range de trading s'est établi entre un plus bas de 35 540 FCFA et un plus haut de 41 500 FCFA, soit une amplitude d'environ 16,8%, reflétant une tendance globalement haussière mais avec des phases de consolidation. La moyenne du cours (38 225 FCFA) est légèrement supérieure à la médiane et au mode (tous deux à 38 000 FCFA), ce qui indique une distribution légèrement asymétrique avec quelques journées de forte hausse tirant la moyenne vers le haut. L'écart-type de 919 FCFA et le coefficient de variation de 2,4% témoignent d'une dispersion très faible du cours, signe d'une grande stabilité. Le kurtosis de 0,849 (mésokurtique) suggère une distribution proche de la normale, sans risque excessif de pics extrêmes, tandis que le skewness de 0,508 (asymétrie positive) indique davantage de journées sous la moyenne, mais compensées par des hausses ponctuelles plus marquées. Avec une volatilité annualisée de 27,0%, le titre se situe dans la catégorie des valeurs à volatilité modérée (15-30%), offrant un profil risque/rendement équilibré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(37 737 FCFA) et la MM50 (38 144 FCFA) encadrent le cours actuel de 38 000 FCFA, avec une MM20 inférieure à la MM50, ce qui traduit une pression baissière de court terme. Le cours évoluant sous la MM50, la décision technique est à la **Vente**, signalant une faiblesse relative malgré la stabilité récente.</w:t>
      </w:r>
    </w:p>
    <w:p>
      <w:pPr>
        <w:spacing w:after="120" w:line="276" w:lineRule="auto"/>
      </w:pPr>
      <w:r>
        <w:t>**Bandes de Bollinger** : Le cours (38 000 FCFA) se situe à l'intérieur des bandes, entre la borne inférieure (37 021 FCFA) et la borne supérieure (38 453 FCFA), sans test des extrêmes. Cette position centrale, couplée à un resserrement des bandes, indique une phase de consolidation avec une volatilité contenue, justifiant une décision **Neutre**.</w:t>
      </w:r>
    </w:p>
    <w:p>
      <w:pPr>
        <w:spacing w:after="120" w:line="276" w:lineRule="auto"/>
      </w:pPr>
      <w:r>
        <w:t>**MACD** : La valeur du MACD (13,347) est nettement supérieure à son signal (-55,816), générant un croisement haussier et un momentum positif. Cette divergence positive, bien que le signal soit encore négatif, suggère un retournement potentiel à la hausse, justifiant une décision d'**Achat**.</w:t>
      </w:r>
    </w:p>
    <w:p>
      <w:pPr>
        <w:spacing w:after="120" w:line="276" w:lineRule="auto"/>
      </w:pPr>
      <w:r>
        <w:t>**RSI** : À 50,0, le RSI se situe exactement au point d'équilibre entre surachat (&gt;70) et survente (&lt;30), indiquant une absence de pression directionnelle claire. Cette neutralité confirme la phase de consolidation, avec une décision **Neutre**.</w:t>
      </w:r>
    </w:p>
    <w:p>
      <w:pPr>
        <w:spacing w:after="120" w:line="276" w:lineRule="auto"/>
      </w:pPr>
      <w:r>
        <w:t>**Stochastique** : Les valeurs %K et %D sont toutes deux à 100,0, signalant une condition de surachat extrême. Ce niveau élevé, sans croisement baissier pour l'instant, expose le titre à un risque de correction à court terme, justifiant une décision de **Vente**.</w:t>
      </w:r>
    </w:p>
    <w:p>
      <w:pPr>
        <w:spacing w:after="120" w:line="276" w:lineRule="auto"/>
      </w:pPr>
      <w:r>
        <w:t>**Conclusion technique** : Les indicateurs techniques présentent un tableau mitigé, avec une divergence entre le MACD (haussier) et les moyennes mobiles/stochastique (baissiers). Le RSI neutre et les bandes de Bollinger resserrées confirment une phase d'indécision, avec un léger biais baissier à court terme dû au surachat stochastique et à la position du cours sous la MM50. Une cassure au-dessus de 38 453 FCFA (borne supérieure) serait nécessaire pour confirmer un retournement haussier durable.</w:t>
      </w:r>
    </w:p>
    <w:p>
      <w:pPr>
        <w:spacing w:after="120" w:line="276" w:lineRule="auto"/>
      </w:pPr>
      <w:r>
        <w:t>---</w:t>
      </w:r>
    </w:p>
    <w:p>
      <w:pPr>
        <w:spacing w:after="120" w:line="276" w:lineRule="auto"/>
      </w:pPr>
      <w:r>
        <w:t>### PARTIE 3 : ANALYSE FONDAMENTALE</w:t>
      </w:r>
    </w:p>
    <w:p>
      <w:pPr>
        <w:spacing w:after="120" w:line="276" w:lineRule="auto"/>
      </w:pPr>
      <w:r>
        <w:t>En 2025, SOLIBRA a réalisé un chiffre d'affaires de 378,123 milliards FCFA, en croissance de +22,08% par rapport à 2024, portée par une augmentation des volumes distribués et un mix prix favorable. Le résultat net s'établit à 45,781 milliards FCFA, plus que doublant (+113%) par rapport aux 21,472 milliards de 2024, grâce à une marge nette passant de 6,9% à 12,1%. Le ROE atteint 23,46% (excellent, &gt;15%) et le ROA 13,48%, confirmant l'efficacité capitalistique. La structure financière est saine avec une autonomie financière de 57,48%, un ratio d'endettement maîtrisé de 42,52% et une trésorerie nette positive de 22,117 milliards FCFA. Concernant le besoin en fonds de roulement (BFR) de 61,587 milliards FCFA, il est positif mais couvert par un fonds de roulement de 83,689 milliards FCFA ; les délais clients (64,27 jours) et fournisseurs (76,82 jours) sont équilibrés, bien que la durée de stockage élevée (117,32 jours) immobilise du capital. Le rapport T1 2026 (publié en 2026) confirme la dynamique avec un CA de 93,46 milliards FCFA (+7,6%) et un résultat net de 16,26 milliards FCFA (+4,8%), soit une marge nette de 17,4%. Sur cette base, on estime que l'exercice 2026 devrait maintenir une croissance à deux chiffres, avec un résultat net annuel projeté autour de 50-55 milliards FCFA. La politique de dividende est très généreuse, avec un dividende brut unitaire proposé de 2 127 FCFA par action (rendement d'environ 5,6% au cours actuel), représentant un payout de 76,5%. Les risques incluent la dépendance aux matières premières (sucre, PET), la concentration géographique sur la Côte d'Ivoire et la pression concurrentielle. Néanmoins, la solidité du bilan, la position de leader et la croissance profitable justifient une recommandation fondamentale **ACHAT**.</w:t>
      </w:r>
    </w:p>
    <w:p>
      <w:pPr>
        <w:spacing w:after="120" w:line="276" w:lineRule="auto"/>
      </w:pPr>
      <w:r>
        <w:t>---</w:t>
      </w:r>
    </w:p>
    <w:p>
      <w:pPr>
        <w:spacing w:after="120" w:line="276" w:lineRule="auto"/>
      </w:pPr>
      <w:r>
        <w:t>### PARTIE 4 : CONCLUSION D'INVESTISSEMENT</w:t>
      </w:r>
    </w:p>
    <w:p>
      <w:pPr>
        <w:spacing w:after="120" w:line="276" w:lineRule="auto"/>
      </w:pPr>
      <w:r>
        <w:t>La valorisation de SLBC (PER 13,7x, P/B 3,21x, EV/EBITDA 7,4x) apparaît raisonnable au regard de la croissance exceptionnelle des bénéfices et du ROE de 23,46%, sans signe de surévaluation manifeste. Le comportement du cours sur 100 jours (+1,33%) reflète une stabilité remarquable (CV de 2,4%, volatilité modérée de 27%), avec une distribution proche de la normale (kurtosis 0,849) et une asymétrie positive (skewness 0,508) suggérant un potentiel de hausse ponctuel. Les signaux techniques sont divergents : le MACD est haussier, mais les moyennes mobiles et le stochastique en surachat plaident pour une consolidation à court terme, le RSI neutre et les bandes de Bollinger resserrées confirmant l'indécision. Les fondamentaux sont solides : croissance du CA (+22% en 2025), explosion du résultat net (+113%), marge nette de 12,1%, et confirmation par le T1 2026 (+7,6% de CA, +4,8% de résultat net), avec un dividende attractif de 2 127 FCFA/action. Les prédictions IA (J+1 à J+10) anticipent une hausse progressive de 38 618 FCFA à 39 890 FCFA, soit +5,0% sur 10 jours, ce qui contredit le biais baissier de court terme des indicateurs techniques mais s'aligne sur la dynamique fondamentale. Sur la base de cette synthèse, la recommandation finale est **ACHAT**, avec un niveau de confiance **Moyen** (les signaux techniques à court terme étant mitigés) et un risque global **Moyen** (volatilité modérée, dépendance aux matières premières). L'horizon d'investissement optimal est le **moyen terme (3-12 mois)**, pour capturer la croissance bénéficiaire et le rendement du dividende, tout en laissant le temps aux indicateurs techniques de confirmer le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132.52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1,596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+48.47%</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13.05% (Moyenne) — μ=15,544 FCFA, σ=2,029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β=-0.6732 (Contre-cyclique) — Cov=-0.000024, Var(idx)=0.000036, ρ=-0.173,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16,774</w:t>
            </w:r>
          </w:p>
        </w:tc>
        <w:tc>
          <w:tcPr>
            <w:tcW w:type="dxa" w:w="1440"/>
            <w:shd w:fill="FAFAFA" w:val="clear"/>
          </w:tcPr>
          <w:p>
            <w:r>
              <w:rPr>
                <w:b/>
                <w:sz w:val="17"/>
              </w:rPr>
              <w:t>17,199</w:t>
            </w:r>
          </w:p>
        </w:tc>
        <w:tc>
          <w:tcPr>
            <w:tcW w:type="dxa" w:w="1440"/>
            <w:shd w:fill="FAFAFA" w:val="clear"/>
          </w:tcPr>
          <w:p>
            <w:r>
              <w:rPr>
                <w:sz w:val="17"/>
              </w:rPr>
              <w:t>17,624</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16,582</w:t>
            </w:r>
          </w:p>
        </w:tc>
        <w:tc>
          <w:tcPr>
            <w:tcW w:type="dxa" w:w="1440"/>
            <w:shd w:fill="FAFAFA" w:val="clear"/>
          </w:tcPr>
          <w:p>
            <w:r>
              <w:rPr>
                <w:b/>
                <w:sz w:val="17"/>
              </w:rPr>
              <w:t>17,183</w:t>
            </w:r>
          </w:p>
        </w:tc>
        <w:tc>
          <w:tcPr>
            <w:tcW w:type="dxa" w:w="1440"/>
            <w:shd w:fill="FAFAFA" w:val="clear"/>
          </w:tcPr>
          <w:p>
            <w:r>
              <w:rPr>
                <w:sz w:val="17"/>
              </w:rPr>
              <w:t>17,783</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16,448</w:t>
            </w:r>
          </w:p>
        </w:tc>
        <w:tc>
          <w:tcPr>
            <w:tcW w:type="dxa" w:w="1440"/>
            <w:shd w:fill="FAFAFA" w:val="clear"/>
          </w:tcPr>
          <w:p>
            <w:r>
              <w:rPr>
                <w:b/>
                <w:sz w:val="17"/>
              </w:rPr>
              <w:t>17,183</w:t>
            </w:r>
          </w:p>
        </w:tc>
        <w:tc>
          <w:tcPr>
            <w:tcW w:type="dxa" w:w="1440"/>
            <w:shd w:fill="FAFAFA" w:val="clear"/>
          </w:tcPr>
          <w:p>
            <w:r>
              <w:rPr>
                <w:sz w:val="17"/>
              </w:rPr>
              <w:t>17,918</w:t>
            </w:r>
          </w:p>
        </w:tc>
        <w:tc>
          <w:tcPr>
            <w:tcW w:type="dxa" w:w="1440"/>
            <w:shd w:fill="FAFAFA" w:val="clear"/>
          </w:tcPr>
          <w:p>
            <w:r>
              <w:rPr>
                <w:b/>
                <w:color w:val="008000"/>
                <w:sz w:val="17"/>
              </w:rPr>
              <w:t>+1.1%</w:t>
            </w:r>
          </w:p>
        </w:tc>
      </w:tr>
      <w:tr>
        <w:tc>
          <w:tcPr>
            <w:tcW w:type="dxa" w:w="1440"/>
            <w:shd w:fill="FAFAFA" w:val="clear"/>
          </w:tcPr>
          <w:p>
            <w:r>
              <w:rPr>
                <w:sz w:val="17"/>
              </w:rPr>
              <w:t>J+4  Moyenne</w:t>
            </w:r>
          </w:p>
        </w:tc>
        <w:tc>
          <w:tcPr>
            <w:tcW w:type="dxa" w:w="1440"/>
            <w:shd w:fill="FAFAFA" w:val="clear"/>
          </w:tcPr>
          <w:p>
            <w:r>
              <w:rPr>
                <w:sz w:val="17"/>
              </w:rPr>
              <w:t>2026-09-24</w:t>
            </w:r>
          </w:p>
        </w:tc>
        <w:tc>
          <w:tcPr>
            <w:tcW w:type="dxa" w:w="1440"/>
            <w:shd w:fill="FAFAFA" w:val="clear"/>
          </w:tcPr>
          <w:p>
            <w:r>
              <w:rPr>
                <w:sz w:val="17"/>
              </w:rPr>
              <w:t>16,324</w:t>
            </w:r>
          </w:p>
        </w:tc>
        <w:tc>
          <w:tcPr>
            <w:tcW w:type="dxa" w:w="1440"/>
            <w:shd w:fill="FAFAFA" w:val="clear"/>
          </w:tcPr>
          <w:p>
            <w:r>
              <w:rPr>
                <w:b/>
                <w:sz w:val="17"/>
              </w:rPr>
              <w:t>17,172</w:t>
            </w:r>
          </w:p>
        </w:tc>
        <w:tc>
          <w:tcPr>
            <w:tcW w:type="dxa" w:w="1440"/>
            <w:shd w:fill="FAFAFA" w:val="clear"/>
          </w:tcPr>
          <w:p>
            <w:r>
              <w:rPr>
                <w:sz w:val="17"/>
              </w:rPr>
              <w:t>18,020</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2026-09-25</w:t>
            </w:r>
          </w:p>
        </w:tc>
        <w:tc>
          <w:tcPr>
            <w:tcW w:type="dxa" w:w="1440"/>
            <w:shd w:fill="FAFAFA" w:val="clear"/>
          </w:tcPr>
          <w:p>
            <w:r>
              <w:rPr>
                <w:sz w:val="17"/>
              </w:rPr>
              <w:t>16,209</w:t>
            </w:r>
          </w:p>
        </w:tc>
        <w:tc>
          <w:tcPr>
            <w:tcW w:type="dxa" w:w="1440"/>
            <w:shd w:fill="FAFAFA" w:val="clear"/>
          </w:tcPr>
          <w:p>
            <w:r>
              <w:rPr>
                <w:b/>
                <w:sz w:val="17"/>
              </w:rPr>
              <w:t>17,157</w:t>
            </w:r>
          </w:p>
        </w:tc>
        <w:tc>
          <w:tcPr>
            <w:tcW w:type="dxa" w:w="1440"/>
            <w:shd w:fill="FAFAFA" w:val="clear"/>
          </w:tcPr>
          <w:p>
            <w:r>
              <w:rPr>
                <w:sz w:val="17"/>
              </w:rPr>
              <w:t>18,105</w:t>
            </w:r>
          </w:p>
        </w:tc>
        <w:tc>
          <w:tcPr>
            <w:tcW w:type="dxa" w:w="1440"/>
            <w:shd w:fill="FAFAFA" w:val="clear"/>
          </w:tcPr>
          <w:p>
            <w:r>
              <w:rPr>
                <w:b/>
                <w:color w:val="008000"/>
                <w:sz w:val="17"/>
              </w:rPr>
              <w:t>+0.9%</w:t>
            </w:r>
          </w:p>
        </w:tc>
      </w:tr>
      <w:tr>
        <w:tc>
          <w:tcPr>
            <w:tcW w:type="dxa" w:w="1440"/>
            <w:shd w:fill="FAFAFA" w:val="clear"/>
          </w:tcPr>
          <w:p>
            <w:r>
              <w:rPr>
                <w:sz w:val="17"/>
              </w:rPr>
              <w:t>J+6  Moyenne</w:t>
            </w:r>
          </w:p>
        </w:tc>
        <w:tc>
          <w:tcPr>
            <w:tcW w:type="dxa" w:w="1440"/>
            <w:shd w:fill="FAFAFA" w:val="clear"/>
          </w:tcPr>
          <w:p>
            <w:r>
              <w:rPr>
                <w:sz w:val="17"/>
              </w:rPr>
              <w:t>2026-09-28</w:t>
            </w:r>
          </w:p>
        </w:tc>
        <w:tc>
          <w:tcPr>
            <w:tcW w:type="dxa" w:w="1440"/>
            <w:shd w:fill="FAFAFA" w:val="clear"/>
          </w:tcPr>
          <w:p>
            <w:r>
              <w:rPr>
                <w:sz w:val="17"/>
              </w:rPr>
              <w:t>16,104</w:t>
            </w:r>
          </w:p>
        </w:tc>
        <w:tc>
          <w:tcPr>
            <w:tcW w:type="dxa" w:w="1440"/>
            <w:shd w:fill="FAFAFA" w:val="clear"/>
          </w:tcPr>
          <w:p>
            <w:r>
              <w:rPr>
                <w:b/>
                <w:sz w:val="17"/>
              </w:rPr>
              <w:t>17,142</w:t>
            </w:r>
          </w:p>
        </w:tc>
        <w:tc>
          <w:tcPr>
            <w:tcW w:type="dxa" w:w="1440"/>
            <w:shd w:fill="FAFAFA" w:val="clear"/>
          </w:tcPr>
          <w:p>
            <w:r>
              <w:rPr>
                <w:sz w:val="17"/>
              </w:rPr>
              <w:t>18,179</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2026-09-29</w:t>
            </w:r>
          </w:p>
        </w:tc>
        <w:tc>
          <w:tcPr>
            <w:tcW w:type="dxa" w:w="1440"/>
            <w:shd w:fill="FAFAFA" w:val="clear"/>
          </w:tcPr>
          <w:p>
            <w:r>
              <w:rPr>
                <w:sz w:val="17"/>
              </w:rPr>
              <w:t>16,007</w:t>
            </w:r>
          </w:p>
        </w:tc>
        <w:tc>
          <w:tcPr>
            <w:tcW w:type="dxa" w:w="1440"/>
            <w:shd w:fill="FAFAFA" w:val="clear"/>
          </w:tcPr>
          <w:p>
            <w:r>
              <w:rPr>
                <w:b/>
                <w:sz w:val="17"/>
              </w:rPr>
              <w:t>17,126</w:t>
            </w:r>
          </w:p>
        </w:tc>
        <w:tc>
          <w:tcPr>
            <w:tcW w:type="dxa" w:w="1440"/>
            <w:shd w:fill="FAFAFA" w:val="clear"/>
          </w:tcPr>
          <w:p>
            <w:r>
              <w:rPr>
                <w:sz w:val="17"/>
              </w:rPr>
              <w:t>18,245</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2026-09-30</w:t>
            </w:r>
          </w:p>
        </w:tc>
        <w:tc>
          <w:tcPr>
            <w:tcW w:type="dxa" w:w="1440"/>
            <w:shd w:fill="FAFAFA" w:val="clear"/>
          </w:tcPr>
          <w:p>
            <w:r>
              <w:rPr>
                <w:sz w:val="17"/>
              </w:rPr>
              <w:t>15,915</w:t>
            </w:r>
          </w:p>
        </w:tc>
        <w:tc>
          <w:tcPr>
            <w:tcW w:type="dxa" w:w="1440"/>
            <w:shd w:fill="FAFAFA" w:val="clear"/>
          </w:tcPr>
          <w:p>
            <w:r>
              <w:rPr>
                <w:b/>
                <w:sz w:val="17"/>
              </w:rPr>
              <w:t>17,110</w:t>
            </w:r>
          </w:p>
        </w:tc>
        <w:tc>
          <w:tcPr>
            <w:tcW w:type="dxa" w:w="1440"/>
            <w:shd w:fill="FAFAFA" w:val="clear"/>
          </w:tcPr>
          <w:p>
            <w:r>
              <w:rPr>
                <w:sz w:val="17"/>
              </w:rPr>
              <w:t>18,306</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2026-10-01</w:t>
            </w:r>
          </w:p>
        </w:tc>
        <w:tc>
          <w:tcPr>
            <w:tcW w:type="dxa" w:w="1440"/>
            <w:shd w:fill="FAFAFA" w:val="clear"/>
          </w:tcPr>
          <w:p>
            <w:r>
              <w:rPr>
                <w:sz w:val="17"/>
              </w:rPr>
              <w:t>15,828</w:t>
            </w:r>
          </w:p>
        </w:tc>
        <w:tc>
          <w:tcPr>
            <w:tcW w:type="dxa" w:w="1440"/>
            <w:shd w:fill="FAFAFA" w:val="clear"/>
          </w:tcPr>
          <w:p>
            <w:r>
              <w:rPr>
                <w:b/>
                <w:sz w:val="17"/>
              </w:rPr>
              <w:t>17,095</w:t>
            </w:r>
          </w:p>
        </w:tc>
        <w:tc>
          <w:tcPr>
            <w:tcW w:type="dxa" w:w="1440"/>
            <w:shd w:fill="FAFAFA" w:val="clear"/>
          </w:tcPr>
          <w:p>
            <w:r>
              <w:rPr>
                <w:sz w:val="17"/>
              </w:rPr>
              <w:t>18,362</w:t>
            </w:r>
          </w:p>
        </w:tc>
        <w:tc>
          <w:tcPr>
            <w:tcW w:type="dxa" w:w="1440"/>
            <w:shd w:fill="FAFAFA" w:val="clear"/>
          </w:tcPr>
          <w:p>
            <w:r>
              <w:rPr>
                <w:b/>
                <w:color w:val="008000"/>
                <w:sz w:val="17"/>
              </w:rPr>
              <w:t>+0.6%</w:t>
            </w:r>
          </w:p>
        </w:tc>
      </w:tr>
      <w:tr>
        <w:tc>
          <w:tcPr>
            <w:tcW w:type="dxa" w:w="1440"/>
            <w:shd w:fill="FAFAFA" w:val="clear"/>
          </w:tcPr>
          <w:p>
            <w:r>
              <w:rPr>
                <w:sz w:val="17"/>
              </w:rPr>
              <w:t>J+10  Moyenne</w:t>
            </w:r>
          </w:p>
        </w:tc>
        <w:tc>
          <w:tcPr>
            <w:tcW w:type="dxa" w:w="1440"/>
            <w:shd w:fill="FAFAFA" w:val="clear"/>
          </w:tcPr>
          <w:p>
            <w:r>
              <w:rPr>
                <w:sz w:val="17"/>
              </w:rPr>
              <w:t>2026-10-02</w:t>
            </w:r>
          </w:p>
        </w:tc>
        <w:tc>
          <w:tcPr>
            <w:tcW w:type="dxa" w:w="1440"/>
            <w:shd w:fill="FAFAFA" w:val="clear"/>
          </w:tcPr>
          <w:p>
            <w:r>
              <w:rPr>
                <w:sz w:val="17"/>
              </w:rPr>
              <w:t>15,746</w:t>
            </w:r>
          </w:p>
        </w:tc>
        <w:tc>
          <w:tcPr>
            <w:tcW w:type="dxa" w:w="1440"/>
            <w:shd w:fill="FAFAFA" w:val="clear"/>
          </w:tcPr>
          <w:p>
            <w:r>
              <w:rPr>
                <w:b/>
                <w:sz w:val="17"/>
              </w:rPr>
              <w:t>17,080</w:t>
            </w:r>
          </w:p>
        </w:tc>
        <w:tc>
          <w:tcPr>
            <w:tcW w:type="dxa" w:w="1440"/>
            <w:shd w:fill="FAFAFA" w:val="clear"/>
          </w:tcPr>
          <w:p>
            <w:r>
              <w:rPr>
                <w:sz w:val="17"/>
              </w:rPr>
              <w:t>18,414</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132,52 milliards FCFA, SMBC se positionne parmi les valeurs industrielles de taille intermédiaire de la cote BRVM, ce qui traduit une liquidité modérée mais une réelle visibilité institutionnelle. Le BPA de 1 677 FCFA par action signifie que chaque titre génère près de 1 677 FCFA de bénéfice net, un niveau confortable au regard du cours actuel de 17 000 FCFA. Le PER de 10,1x se situe dans la fourchette moyenne du marché BRVM (8-12x), indiquant que les investisseurs ne paient ni prime excessive ni décote marquée pour les bénéfices, ce qui suggère une valorisation raisonnable. Le P/B de 3,09x montre que le marché valorise SMBC à environ trois fois sa valeur comptable, une prime de croissance justifiée par la qualité des marges et la solidité du bilan. Enfin, l'EV/EBITDA de 6,4x, dans la fourchette raisonnable de 5-10x, confirme que la valeur d'entreprise reste cohérente avec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affiche une progression spectaculaire de **+48,47%**, portée par un cours actuel de 17 000 FCFA, bien que la dernière séance (J-1) soit restée stable à +0,00%. Le range de trading est particulièrement large, avec un plus haut à 18 500 FCFA et un plus bas à 11 450 FCFA, soit une amplitude de plus de 60% qui témoigne d'une forte volatilité intra-période. La tendance générale est donc nettement haussière, mais le repli depuis le sommet suggère une phase de consolidation. Les statistiques descriptives révèlent une moyenne de 15 544 FCFA contre une médiane de 16 250 FCFA : cet écart négatif confirme une asymétrie avec davantage de séances passées au-dessus de la moyenne, cohérent avec le skewness de -0,757 (asymétrie négative). L'écart-type de 2 039 FCFA (CV=13,1%) indique une dispersion modérée autour de la moyenne, tandis que le kurtosis de -0,729 (mésokurtique) suggère une distribution proche de la normale, sans risque extrême de pics. La volatilité annualisée de 37,4% classe le titre dans la catégorie **élevée** (&gt;30%), ce qui implique un risque de marché significatif mais cohérent avec la dynamique haussière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17 503,5 FCFA et la MM50 à 16 762,7 FCFA, toutes deux supérieures au cours actuel de 17 000 FCFA. Cette configuration indique que le titre évolue légèrement sous ses moyennes court et moyen terme, mais la décision fournie est **Achat**, suggérant que la structure haussière de fond reste intacte malgré la consolidation actuelle.</w:t>
      </w:r>
    </w:p>
    <w:p>
      <w:pPr>
        <w:spacing w:after="120" w:line="276" w:lineRule="auto"/>
      </w:pPr>
      <w:r>
        <w:t>**Bandes de Bollinger** : La borne supérieure est à 18 611,5 FCFA et la borne inférieure à 16 395,5 FCFA, avec un cours actuel de 17 000 FCFA positionné dans la partie basse du canal. Cette position médiane-basse traduit une volatilité contenue et une absence de signal directionnel fort, justifiant la décision **Neutre**.</w:t>
      </w:r>
    </w:p>
    <w:p>
      <w:pPr>
        <w:spacing w:after="120" w:line="276" w:lineRule="auto"/>
      </w:pPr>
      <w:r>
        <w:t>**MACD** : La valeur du MACD (258,445) est inférieure à son signal (356,142), générant une divergence baissière qui traduit un essoufflement du momentum haussier. La décision **Vente** signale une pression vendeuse à court terme, bien que le MACD reste en territoire positif.</w:t>
      </w:r>
    </w:p>
    <w:p>
      <w:pPr>
        <w:spacing w:after="120" w:line="276" w:lineRule="auto"/>
      </w:pPr>
      <w:r>
        <w:t>**RSI** : À 46,835, le RSI se situe en zone neutre (30-70), sans signal de surachat ni de survente. Cette position médiane confirme l'absence de tension extrême et justifie la décision **Neutre**, en cohérence avec la consolidation observée.</w:t>
      </w:r>
    </w:p>
    <w:p>
      <w:pPr>
        <w:spacing w:after="120" w:line="276" w:lineRule="auto"/>
      </w:pPr>
      <w:r>
        <w:t>**Stochastique** : Le %K à 0,0 et le %D à 12,644 indiquent une position de survente extrême, avec un croisement potentiel à venir. La décision **Achat** suggère qu'un rebond technique est probable à court terme, le %K étant au plancher.</w:t>
      </w:r>
    </w:p>
    <w:p>
      <w:pPr>
        <w:spacing w:after="120" w:line="276" w:lineRule="auto"/>
      </w:pPr>
      <w:r>
        <w:t>**Conclusion technique** : Les indicateurs sont divergents — les moyennes mobiles et le stochastique plaident pour un achat, tandis que le MACD et les Bandes de Bollinger incitent à la prudence. Le RSI neutre et la position basse du cours dans le canal de Bollinger suggèrent une phase de consolidation avant une reprise potentielle. La convergence partielle vers un rebond technique, portée par le stochastique en survente, soutient une orientation haussière à court terme, mais la faiblesse du MACD impose une confirmation.</w:t>
      </w:r>
    </w:p>
    <w:p>
      <w:pPr>
        <w:spacing w:after="120" w:line="276" w:lineRule="auto"/>
      </w:pPr>
      <w:r>
        <w:t>---</w:t>
      </w:r>
    </w:p>
    <w:p>
      <w:pPr>
        <w:spacing w:after="120" w:line="276" w:lineRule="auto"/>
      </w:pPr>
      <w:r>
        <w:t>## PARTIE 3 : ANALYSE FONDAMENTALE</w:t>
      </w:r>
    </w:p>
    <w:p>
      <w:pPr>
        <w:spacing w:after="120" w:line="276" w:lineRule="auto"/>
      </w:pPr>
      <w:r>
        <w:t>En 2025, les états financiers certifiés de SMBC affichent un chiffre d'affaires de **206,740 milliards FCFA**, en baisse de -9,74% par rapport à 2024 (229,061 Mds FCFA), dans un contexte de repli des cours du Brent et de ralentissement des ventes à l'export. Malgré cette contraction, le résultat net progresse spectaculairement de **+50,3% à 13,075 milliards FCFA**, porté par une amélioration de la marge nette de 3,8% à **6,32%** et un EBE en hausse de +41,8% à 18,480 Mds FCFA. Le ROE atteint **30,47%** (excellent, &gt;15%) et le ROA 7,26%, confirmant une rentabilité des fonds propres remarquable. En tant qu'entreprise industrielle, les délais d'exploitation méritent attention : le délai clients est élevé à **193,75 jours**, ce qui représente un risque de trésorerie significatif, mais il est compensé par un délai fournisseurs de 207,07 jours, favorable à la trésorerie. Le BFR est contenu à 1,693 Mds FCFA et la trésorerie nette s'élève à **23,988 Mds FCFA**, en forte amélioration. L'autonomie financière de 23,84% reste inférieure au seuil sain de 30%, et le ratio d'endettement de 76,16% (dettes totales/capitaux propres) est modéré mais à surveiller. Les rapports trimestriels 2025 confirment la tendance : le T1 2025 (CA -22%, RN -7%), le S1 2025 (CA -23%, RN -7%) et le T3 2025 (CA -14%, RN +6%) montrent une amélioration progressive de la rentabilité opérationnelle malgré la baisse des volumes. Sur la base du rapport T3 2025 (marge opérationnelle à 5,4% contre 4,0% en 2024), on estime que l'exercice 2025 devrait clôturer avec un résultat net autour de 13 Mds FCFA, confirmant la résilience du modèle. La recommandation fondamentale est **CONSERVER**, avec un biais positif si la reprise des ventes à l'export se confirme au T4 2025.</w:t>
      </w:r>
    </w:p>
    <w:p>
      <w:pPr>
        <w:spacing w:after="120" w:line="276" w:lineRule="auto"/>
      </w:pPr>
      <w:r>
        <w:t>---</w:t>
      </w:r>
    </w:p>
    <w:p>
      <w:pPr>
        <w:spacing w:after="120" w:line="276" w:lineRule="auto"/>
      </w:pPr>
      <w:r>
        <w:t>## PARTIE 4 : CONCLUSION D'INVESTISSEMENT</w:t>
      </w:r>
    </w:p>
    <w:p>
      <w:pPr>
        <w:spacing w:after="120" w:line="276" w:lineRule="auto"/>
      </w:pPr>
      <w:r>
        <w:t>La valorisation de SMBC (Partie 0) apparaît raisonnable avec un PER de 10,1x et un EV/EBITDA de 6,4x, sans décote ni prime excessive, tandis que le P/B de 3,09x traduit une prime de croissance justifiée par un ROE de 30,5%. Le comportement du cours (Partie 1) est nettement haussier (+48,47% sur 100 jours) mais avec une volatilité élevée (37,4%) et une asymétrie négative (skewness -0,757) qui suggère une consolidation en cours. Les signaux techniques (Partie 2) sont divergents : le stochastique en survente et les moyennes mobiles plaident pour un rebond, mais le MACD baissier et le RSI neutre imposent la prudence. Les fondamentaux (Partie 3) sont solides : résultat net en hausse de +50,3% à 13,075 Mds FCFA en 2025, ROE de 30,5%, trésorerie nette de 24 Mds FCFA, malgré un CA en repli de -9,74% et un délai clients élevé de 193,75 jours. Les prédictions IA (J+1 à J+10) anticipent une légère érosion du cours de 17 199 FCFA à 17 157 FCFA, confirmant une phase de stabilisation sans correction majeure. Sur la base de cette synthèse, la recommandation finale est **CONSERVER**, avec un niveau de confiance **Moyen** et un risque global **Moyen**. L'horizon d'investissement optimal est le **moyen terme (3-12 mois)**, en attendant la confirmation de la reprise des volumes à l'export et l'amélioration de l'autonomie financière. Un passage à l'ACHAT serait justifié si le CA se stabilise au T4 2025 et si le MACD croise à la hausse, tandis qu'une VENTE serait envisagée en cas de dégradation de la trésorerie ou de nouvelle baisse du CA.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4219.00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10,609 titres</w:t>
            </w:r>
          </w:p>
        </w:tc>
        <w:tc>
          <w:tcPr>
            <w:tcW w:type="dxa" w:w="2268"/>
            <w:shd w:fill="FFF2CC" w:val="clear"/>
          </w:tcPr>
          <w:p>
            <w:r>
              <w:rPr>
                <w:b/>
                <w:color w:val="503200"/>
                <w:sz w:val="16"/>
              </w:rPr>
              <w:t xml:space="preserve">Cours actuel : </w:t>
            </w:r>
            <w:r>
              <w:rPr>
                <w:color w:val="000000"/>
                <w:sz w:val="17"/>
              </w:rPr>
              <w:t>42,190 FCFA</w:t>
            </w:r>
          </w:p>
          <w:p>
            <w:r>
              <w:rPr>
                <w:b/>
                <w:color w:val="503200"/>
                <w:sz w:val="16"/>
              </w:rPr>
              <w:t xml:space="preserve">Var. 100 jours : </w:t>
            </w:r>
            <w:r>
              <w:rPr>
                <w:b/>
                <w:color w:val="007800"/>
                <w:sz w:val="17"/>
              </w:rPr>
              <w:t>+48.04%</w:t>
            </w:r>
          </w:p>
          <w:p>
            <w:r>
              <w:rPr>
                <w:b/>
                <w:color w:val="503200"/>
                <w:sz w:val="16"/>
              </w:rPr>
              <w:t xml:space="preserve">Plus haut 100j : </w:t>
            </w:r>
            <w:r>
              <w:rPr>
                <w:color w:val="000000"/>
                <w:sz w:val="17"/>
              </w:rPr>
              <w:t>42,190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11.65% (Moyenne) — μ=31,491 FCFA, σ=3,669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β=1.7895 (Agressif) — Cov=0.000065, Var(idx)=0.000036, ρ=0.563,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2026-09-21</w:t>
            </w:r>
          </w:p>
        </w:tc>
        <w:tc>
          <w:tcPr>
            <w:tcW w:type="dxa" w:w="1440"/>
            <w:shd w:fill="FFDCE0" w:val="clear"/>
          </w:tcPr>
          <w:p>
            <w:r>
              <w:rPr>
                <w:sz w:val="17"/>
              </w:rPr>
              <w:t>37,957</w:t>
            </w:r>
          </w:p>
        </w:tc>
        <w:tc>
          <w:tcPr>
            <w:tcW w:type="dxa" w:w="1440"/>
            <w:shd w:fill="FFDCE0" w:val="clear"/>
          </w:tcPr>
          <w:p>
            <w:r>
              <w:rPr>
                <w:b/>
                <w:sz w:val="17"/>
              </w:rPr>
              <w:t>39,608</w:t>
            </w:r>
          </w:p>
        </w:tc>
        <w:tc>
          <w:tcPr>
            <w:tcW w:type="dxa" w:w="1440"/>
            <w:shd w:fill="FFDCE0" w:val="clear"/>
          </w:tcPr>
          <w:p>
            <w:r>
              <w:rPr>
                <w:sz w:val="17"/>
              </w:rPr>
              <w:t>41,259</w:t>
            </w:r>
          </w:p>
        </w:tc>
        <w:tc>
          <w:tcPr>
            <w:tcW w:type="dxa" w:w="1440"/>
            <w:shd w:fill="FFDCE0" w:val="clear"/>
          </w:tcPr>
          <w:p>
            <w:r>
              <w:rPr>
                <w:b/>
                <w:color w:val="C00000"/>
                <w:sz w:val="17"/>
              </w:rPr>
              <w:t>-6.1%</w:t>
            </w:r>
          </w:p>
        </w:tc>
      </w:tr>
      <w:tr>
        <w:tc>
          <w:tcPr>
            <w:tcW w:type="dxa" w:w="1440"/>
            <w:shd w:fill="FFDCE0" w:val="clear"/>
          </w:tcPr>
          <w:p>
            <w:r>
              <w:rPr>
                <w:sz w:val="17"/>
              </w:rPr>
              <w:t>J+2  ⭐</w:t>
            </w:r>
          </w:p>
        </w:tc>
        <w:tc>
          <w:tcPr>
            <w:tcW w:type="dxa" w:w="1440"/>
            <w:shd w:fill="FFDCE0" w:val="clear"/>
          </w:tcPr>
          <w:p>
            <w:r>
              <w:rPr>
                <w:sz w:val="17"/>
              </w:rPr>
              <w:t>2026-09-22</w:t>
            </w:r>
          </w:p>
        </w:tc>
        <w:tc>
          <w:tcPr>
            <w:tcW w:type="dxa" w:w="1440"/>
            <w:shd w:fill="FFDCE0" w:val="clear"/>
          </w:tcPr>
          <w:p>
            <w:r>
              <w:rPr>
                <w:sz w:val="17"/>
              </w:rPr>
              <w:t>37,393</w:t>
            </w:r>
          </w:p>
        </w:tc>
        <w:tc>
          <w:tcPr>
            <w:tcW w:type="dxa" w:w="1440"/>
            <w:shd w:fill="FFDCE0" w:val="clear"/>
          </w:tcPr>
          <w:p>
            <w:r>
              <w:rPr>
                <w:b/>
                <w:sz w:val="17"/>
              </w:rPr>
              <w:t>39,735</w:t>
            </w:r>
          </w:p>
        </w:tc>
        <w:tc>
          <w:tcPr>
            <w:tcW w:type="dxa" w:w="1440"/>
            <w:shd w:fill="FFDCE0" w:val="clear"/>
          </w:tcPr>
          <w:p>
            <w:r>
              <w:rPr>
                <w:sz w:val="17"/>
              </w:rPr>
              <w:t>42,078</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36,794</w:t>
            </w:r>
          </w:p>
        </w:tc>
        <w:tc>
          <w:tcPr>
            <w:tcW w:type="dxa" w:w="1440"/>
            <w:shd w:fill="FFDCE0" w:val="clear"/>
          </w:tcPr>
          <w:p>
            <w:r>
              <w:rPr>
                <w:b/>
                <w:sz w:val="17"/>
              </w:rPr>
              <w:t>39,658</w:t>
            </w:r>
          </w:p>
        </w:tc>
        <w:tc>
          <w:tcPr>
            <w:tcW w:type="dxa" w:w="1440"/>
            <w:shd w:fill="FFDCE0" w:val="clear"/>
          </w:tcPr>
          <w:p>
            <w:r>
              <w:rPr>
                <w:sz w:val="17"/>
              </w:rPr>
              <w:t>42,521</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36,277</w:t>
            </w:r>
          </w:p>
        </w:tc>
        <w:tc>
          <w:tcPr>
            <w:tcW w:type="dxa" w:w="1440"/>
            <w:shd w:fill="FFDCE0" w:val="clear"/>
          </w:tcPr>
          <w:p>
            <w:r>
              <w:rPr>
                <w:b/>
                <w:sz w:val="17"/>
              </w:rPr>
              <w:t>39,576</w:t>
            </w:r>
          </w:p>
        </w:tc>
        <w:tc>
          <w:tcPr>
            <w:tcW w:type="dxa" w:w="1440"/>
            <w:shd w:fill="FFDCE0" w:val="clear"/>
          </w:tcPr>
          <w:p>
            <w:r>
              <w:rPr>
                <w:sz w:val="17"/>
              </w:rPr>
              <w:t>42,876</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35,833</w:t>
            </w:r>
          </w:p>
        </w:tc>
        <w:tc>
          <w:tcPr>
            <w:tcW w:type="dxa" w:w="1440"/>
            <w:shd w:fill="FFDCE0" w:val="clear"/>
          </w:tcPr>
          <w:p>
            <w:r>
              <w:rPr>
                <w:b/>
                <w:sz w:val="17"/>
              </w:rPr>
              <w:t>39,517</w:t>
            </w:r>
          </w:p>
        </w:tc>
        <w:tc>
          <w:tcPr>
            <w:tcW w:type="dxa" w:w="1440"/>
            <w:shd w:fill="FFDCE0" w:val="clear"/>
          </w:tcPr>
          <w:p>
            <w:r>
              <w:rPr>
                <w:sz w:val="17"/>
              </w:rPr>
              <w:t>43,200</w:t>
            </w:r>
          </w:p>
        </w:tc>
        <w:tc>
          <w:tcPr>
            <w:tcW w:type="dxa" w:w="1440"/>
            <w:shd w:fill="FFDCE0" w:val="clear"/>
          </w:tcPr>
          <w:p>
            <w:r>
              <w:rPr>
                <w:b/>
                <w:color w:val="C00000"/>
                <w:sz w:val="17"/>
              </w:rPr>
              <w:t>-6.3%</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35,440</w:t>
            </w:r>
          </w:p>
        </w:tc>
        <w:tc>
          <w:tcPr>
            <w:tcW w:type="dxa" w:w="1440"/>
            <w:shd w:fill="FFDCE0" w:val="clear"/>
          </w:tcPr>
          <w:p>
            <w:r>
              <w:rPr>
                <w:b/>
                <w:sz w:val="17"/>
              </w:rPr>
              <w:t>39,471</w:t>
            </w:r>
          </w:p>
        </w:tc>
        <w:tc>
          <w:tcPr>
            <w:tcW w:type="dxa" w:w="1440"/>
            <w:shd w:fill="FFDCE0" w:val="clear"/>
          </w:tcPr>
          <w:p>
            <w:r>
              <w:rPr>
                <w:sz w:val="17"/>
              </w:rPr>
              <w:t>43,501</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35,082</w:t>
            </w:r>
          </w:p>
        </w:tc>
        <w:tc>
          <w:tcPr>
            <w:tcW w:type="dxa" w:w="1440"/>
            <w:shd w:fill="FFDCE0" w:val="clear"/>
          </w:tcPr>
          <w:p>
            <w:r>
              <w:rPr>
                <w:b/>
                <w:sz w:val="17"/>
              </w:rPr>
              <w:t>39,431</w:t>
            </w:r>
          </w:p>
        </w:tc>
        <w:tc>
          <w:tcPr>
            <w:tcW w:type="dxa" w:w="1440"/>
            <w:shd w:fill="FFDCE0" w:val="clear"/>
          </w:tcPr>
          <w:p>
            <w:r>
              <w:rPr>
                <w:sz w:val="17"/>
              </w:rPr>
              <w:t>43,780</w:t>
            </w:r>
          </w:p>
        </w:tc>
        <w:tc>
          <w:tcPr>
            <w:tcW w:type="dxa" w:w="1440"/>
            <w:shd w:fill="FFDCE0" w:val="clear"/>
          </w:tcPr>
          <w:p>
            <w:r>
              <w:rPr>
                <w:b/>
                <w:color w:val="C00000"/>
                <w:sz w:val="17"/>
              </w:rPr>
              <w:t>-6.5%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34,749</w:t>
            </w:r>
          </w:p>
        </w:tc>
        <w:tc>
          <w:tcPr>
            <w:tcW w:type="dxa" w:w="1440"/>
            <w:shd w:fill="FFDCE0" w:val="clear"/>
          </w:tcPr>
          <w:p>
            <w:r>
              <w:rPr>
                <w:b/>
                <w:sz w:val="17"/>
              </w:rPr>
              <w:t>39,394</w:t>
            </w:r>
          </w:p>
        </w:tc>
        <w:tc>
          <w:tcPr>
            <w:tcW w:type="dxa" w:w="1440"/>
            <w:shd w:fill="FFDCE0" w:val="clear"/>
          </w:tcPr>
          <w:p>
            <w:r>
              <w:rPr>
                <w:sz w:val="17"/>
              </w:rPr>
              <w:t>44,039</w:t>
            </w:r>
          </w:p>
        </w:tc>
        <w:tc>
          <w:tcPr>
            <w:tcW w:type="dxa" w:w="1440"/>
            <w:shd w:fill="FFDCE0" w:val="clear"/>
          </w:tcPr>
          <w:p>
            <w:r>
              <w:rPr>
                <w:b/>
                <w:color w:val="C00000"/>
                <w:sz w:val="17"/>
              </w:rPr>
              <w:t>-6.6%</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34,436</w:t>
            </w:r>
          </w:p>
        </w:tc>
        <w:tc>
          <w:tcPr>
            <w:tcW w:type="dxa" w:w="1440"/>
            <w:shd w:fill="FFDCE0" w:val="clear"/>
          </w:tcPr>
          <w:p>
            <w:r>
              <w:rPr>
                <w:b/>
                <w:sz w:val="17"/>
              </w:rPr>
              <w:t>39,358</w:t>
            </w:r>
          </w:p>
        </w:tc>
        <w:tc>
          <w:tcPr>
            <w:tcW w:type="dxa" w:w="1440"/>
            <w:shd w:fill="FFDCE0" w:val="clear"/>
          </w:tcPr>
          <w:p>
            <w:r>
              <w:rPr>
                <w:sz w:val="17"/>
              </w:rPr>
              <w:t>44,280</w:t>
            </w:r>
          </w:p>
        </w:tc>
        <w:tc>
          <w:tcPr>
            <w:tcW w:type="dxa" w:w="1440"/>
            <w:shd w:fill="FFDCE0" w:val="clear"/>
          </w:tcPr>
          <w:p>
            <w:r>
              <w:rPr>
                <w:b/>
                <w:color w:val="C00000"/>
                <w:sz w:val="17"/>
              </w:rPr>
              <w:t>-6.7%</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34,138</w:t>
            </w:r>
          </w:p>
        </w:tc>
        <w:tc>
          <w:tcPr>
            <w:tcW w:type="dxa" w:w="1440"/>
            <w:shd w:fill="FFDCE0" w:val="clear"/>
          </w:tcPr>
          <w:p>
            <w:r>
              <w:rPr>
                <w:b/>
                <w:sz w:val="17"/>
              </w:rPr>
              <w:t>39,322</w:t>
            </w:r>
          </w:p>
        </w:tc>
        <w:tc>
          <w:tcPr>
            <w:tcW w:type="dxa" w:w="1440"/>
            <w:shd w:fill="FFDCE0" w:val="clear"/>
          </w:tcPr>
          <w:p>
            <w:r>
              <w:rPr>
                <w:sz w:val="17"/>
              </w:rPr>
              <w:t>44,505</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4 219 milliards FCFA, Sonatel s'impose comme la première capitalisation de la BRVM, un statut de « blue chip » régional qui en fait le titre de référence de l'indice BRVM Composite. Le BPA de 4 136 FCFA par action signifie que chaque titre génère près de 4 136 FCFA de bénéfice net, ce qui, rapporté au cours actuel de 42 190 FCFA, donne un PER de 10,2x — un niveau modéré et parfaitement dans la fourchette moyenne de la BRVM (8-12x), traduisant une valorisation raisonnable sans exubérance malgré la récente flambée du cours. Le P/B de 3,02x indique que le marché valorise l'entreprise à environ trois fois ses fonds propres comptables (1 399,3 Mds FCFA), une prime de croissance justifiée par la qualité des actifs et la rentabilité élevée du groupe télécom. Enfin, l'EV/EBITDA de 4,4x — inférieur au seuil de 5x — signale que la valeur d'entreprise reste très bon marché au regard de la capacité opérationnelle dégagée (EBE de 932,4 Mds FCFA en 2025), un signal de sous-évaluation relative sur le plan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enregistré une progression spectaculaire de +48,04%, portée notamment par une dernière séance exceptionnelle de +7,49% qui a propulsé le cours à 42 190 FCFA, soit exactement son plus haut de la période. Le plus bas a été touché à 27 160 FCFA, ce qui dessine un range de trading très large de 15 030 FCFA (soit environ 55% d'amplitude), confirmant une tendance nettement haussière et un momentum acheteur puissant en fin de période. La moyenne du cours s'établit à 31 491 FCFA contre une médiane de 30 550 FCFA et un mode de 31 000 FCFA : l'écart positif entre moyenne et médiane (environ 940 FCFA) confirme une distribution asymétrique tirée vers le haut par les récentes poussées, ce que corrobore le skewness de 1,145 (asymétrie positive, avec davantage de journées sous la moyenne mais des pics haussiers marqués). L'écart-type de 3 687 FCFA, soit un coefficient de variation de 11,7%, traduit une dispersion modérée du cours autour de sa moyenne, tandis que le kurtosis de 0,097 (mésokurtique) indique une distribution proche de la normale, sans risque excessif de pics extrêmes. La volatilité annualisée de 32,2% positionne le titre dans la catégorie des valeurs à volatilité élevée (&gt;30%), ce qui est cohérent avec la récente accélération haussière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(38 086,75 FCFA) et la MM50 (34 250,90 FCFA) se situent toutes deux nettement sous le cours actuel (42 190 FCFA), avec une MM20 supérieure à la MM50, configuration classique de tendance haussière bien établie. Le prix évoluant plus de 10% au-dessus de sa MM20, la décision technique « Achat » reflète la force du momentum, mais un tel écart suggère un risque de correction à court terme vers la moyenne.</w:t>
      </w:r>
    </w:p>
    <w:p>
      <w:pPr>
        <w:spacing w:after="120" w:line="276" w:lineRule="auto"/>
      </w:pPr>
      <w:r>
        <w:t>**Bandes de Bollinger** — Le cours (42 190 FCFA) évolue au-dessus de la borne supérieure (41 407,32 FCFA), signal fort de surachat et d'extension excessive de la volatilité. La décision « Vente » générée par cet indicateur traduit le risque de retour à la moyenne, d'autant que l'écart entre les bornes (supérieure 41 407 / inférieure 34 766) reste large, signe d'une volatilité soutenue.</w:t>
      </w:r>
    </w:p>
    <w:p>
      <w:pPr>
        <w:spacing w:after="120" w:line="276" w:lineRule="auto"/>
      </w:pPr>
      <w:r>
        <w:t>**MACD** — La valeur du MACD (1 832,72) dépasse son signal (1 750,48), avec un histogramme positif d'environ 82 points, confirmant un momentum haussier toujours actif. La décision « Achat » est cohérente, mais l'écart relativement modeste entre les deux lignes suggère un essoufflement possible de la dynamique.</w:t>
      </w:r>
    </w:p>
    <w:p>
      <w:pPr>
        <w:spacing w:after="120" w:line="276" w:lineRule="auto"/>
      </w:pPr>
      <w:r>
        <w:t>**RSI** — À 88,03, le RSI se situe très largement au-dessus du seuil de surachat de 70, un niveau extrême rarement observé. La décision « Vente » est sans ambiguïté : le titre est techniquement surchauffé et une consolidation ou correction est hautement probable à court terme.</w:t>
      </w:r>
    </w:p>
    <w:p>
      <w:pPr>
        <w:spacing w:after="120" w:line="276" w:lineRule="auto"/>
      </w:pPr>
      <w:r>
        <w:t>**Stochastique** — Le %K (100,0) et le %D (93,77) sont tous deux en zone de surachat extrême, avec un %K au plafond absolu. La décision « Vente » confirme la saturation acheteuse ; un croisement baissier du %K sous le %D pourrait déclencher un mouvement correctif.</w:t>
      </w:r>
    </w:p>
    <w:p>
      <w:pPr>
        <w:spacing w:after="120" w:line="276" w:lineRule="auto"/>
      </w:pPr>
      <w:r>
        <w:t>**Conclusion technique** — Les indicateurs présentent une divergence nette : les moyennes mobiles et le MACD valident la tendance haussière de fond, tandis que le RSI (88), le stochastique (100) et les bandes de Bollinger (cours hors borne supérieure) clignotent tous en zone de surachat extrême. Cette configuration suggère que la tendance reste haussière mais que le titre est en phase d'extension excessive, exposant à un risque élevé de correction à court terme. La prudence commande d'attendre un repli vers la MM20 (38 087 FCFA)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 Mds FCFA, en croissance de +8,26%, pour un résultat net de 413,6 Mds FCFA, soit une marge nette de 21,51%. La rentabilité des fonds propres (ROE) atteint 29,56%, un niveau excellent (&gt;15%), et le ROA s'établit à 12,65%, confirmant l'efficacité de l'utilisation des actifs (rotation de 58,8%). La structure financière est saine : autonomie financière de 42,79%, ratio d'endettement de 57,21%, solvabilité générale de 174,79% et couverture des intérêts de 2 744,7%, tandis que la capacité de remboursement de 0,64 an (dettes financières/CAF) témoigne d'un endettement très maîtrisé.</w:t>
      </w:r>
    </w:p>
    <w:p>
      <w:pPr>
        <w:spacing w:after="120" w:line="276" w:lineRule="auto"/>
      </w:pPr>
      <w:r>
        <w:t>**Analyse sectorielle (entreprise non bancaire)** — Le BFR est négatif à -284,9 Mds FCFA, ce qui constitue un point fort majeur : l'entreprise finance son cycle d'exploitation par ses fournisseurs plutôt que par sa trésorerie. Le délai fournisseurs de 201,39 jours (très élevé, favorable à la trésorerie) contraste avec le délai clients de 46,16 jours (modéré, sans risque majeur) et une durée de stockage très courte de 14,49 jours, typique d'un opérateur télécom. La trésorerie nette de 536,1 Mds FCFA et le free cash flow de 408,1 Mds FCFA confirment une génération de cash robuste.</w:t>
      </w:r>
    </w:p>
    <w:p>
      <w:pPr>
        <w:spacing w:after="120" w:line="276" w:lineRule="auto"/>
      </w:pPr>
      <w:r>
        <w:t>**Estimations basées sur les rapports** — Le rapport S1 2026 (communiqué du 24/07/2026) fait état d'un chiffre d'affaires de 1 049,8 Mds FCFA (+9,3%) et d'un résultat net de 230 Mds FCFA (+10,5%), avec un EBITDAaL de 510,8 Mds FCFA (48,7% du CA). Sur cette base, on estime que l'exercice 2026 devrait afficher un CA d'environ 2 100 Mds FCFA et un résultat net proche de 450 Mds FCFA, en accélération par rapport à 2025. Le rapport annuel 2025 (16/02/2026) confirme la solidité du modèle avec 42,1 millions de clients et des parts de marché de 55,9% au Sénégal et 54,5% au Mali, tandis que la notation a été relevée à AAA (wu) par GCR Ratings (rapport S1 2026). Le dividende brut proposé de 1 933 FCFA/action (1 740 FCFA net, rendement d'environ 4,1% au cours actuel) reste attractif, avec une mise en paiement prévue le 25 mai 2026.</w:t>
      </w:r>
    </w:p>
    <w:p>
      <w:pPr>
        <w:spacing w:after="120" w:line="276" w:lineRule="auto"/>
      </w:pPr>
      <w:r>
        <w:t>**Recommandation fondamentale** — Les fondamentaux de Sonatel sont excellents : croissance rentable à deux chiffres, marges élevées (EBITDAaL 47,8%), structure financière solide, BFR négatif et notation AAA. Les principaux risques identifiés dans les rapports (pression fiscale et réglementaire, concurrence sur le Mobile Money, instabilité géopolitique au Mali) sont réels mais ne remettent pas en cause la trajectoire de long terme. Le titre demeure un placement de qualité, bien que sa récente envolée boursière ait réduit la marge de sécurité.</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mais plus aussi bon marché qu'auparavant : le PER de 10,2x reste dans la moyenne BRVM et l'EV/EBITDA de 4,4x demeure attractif, mais le P/B de 3,02x intègre déjà une prime de croissance significative. Le comportement du cours (Partie 1) est préoccupant à court terme : +48% en 100 jours, une volatilité annualisée élevée de 32,2%, un skewness positif de 1,145 et un cours collé au plus haut, signes d'une extension excessive. Les signaux techniques (Partie 2) sont divergents : la tendance de fond reste haussière (MM20 &gt; MM50, MACD positif) mais le RSI à 88, le stochastique à 100 et le cours hors bande de Bollinger supérieure convergent vers un surachat extrême, plaidant pour une correction imminente. Les fondamentaux (Partie 3) demeurent excellents — ROE de 29,6%, BFR négatif, notation AAA, croissance estimée à +9,3% au S1 2026 — et soutiennent une vision de long terme positive. Les prédictions IA (J+1 à J+10) anticipent une légère consolidation vers 39 500-39 700 FCFA, soit un repli d'environ 6% depuis le cours actuel, ce qui confirme la thèse d'un essoufflement technique à court terme sans remise en cause de la tendance de fond.</w:t>
      </w:r>
    </w:p>
    <w:p>
      <w:pPr>
        <w:spacing w:after="120" w:line="276" w:lineRule="auto"/>
      </w:pPr>
      <w:r>
        <w:t>**Recommandation finale : CONSERVER** — avec un niveau de confiance **Moyen** et un risque global **Élevé à court terme / Faible à long terme**. La convergence entre le surachat technique, la volatilité élevée et les prédictions baissières de court terme incite à la prudence sur les points d'entrée, tandis que la solidité fondamentale et la croissance soutenue justifient de conserver le titre en portefeuille. **Horizon optimal : moyen à long terme (&gt;6 mois)**, en privilégiant tout renforcement sur un repli vers la zone des 38 000-39 000 FCFA (MM20), qui offrirait un meilleur rapport risque/rendement.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5,324 titres</w:t>
            </w:r>
          </w:p>
        </w:tc>
        <w:tc>
          <w:tcPr>
            <w:tcW w:type="dxa" w:w="2268"/>
            <w:shd w:fill="FFF2CC" w:val="clear"/>
          </w:tcPr>
          <w:p>
            <w:r>
              <w:rPr>
                <w:b/>
                <w:color w:val="503200"/>
                <w:sz w:val="16"/>
              </w:rPr>
              <w:t xml:space="preserve">Cours actuel : </w:t>
            </w:r>
            <w:r>
              <w:rPr>
                <w:color w:val="000000"/>
                <w:sz w:val="17"/>
              </w:rPr>
              <w:t>7,855 FCFA</w:t>
            </w:r>
          </w:p>
          <w:p>
            <w:r>
              <w:rPr>
                <w:b/>
                <w:color w:val="503200"/>
                <w:sz w:val="16"/>
              </w:rPr>
              <w:t xml:space="preserve">Var. 100 jours : </w:t>
            </w:r>
            <w:r>
              <w:rPr>
                <w:b/>
                <w:color w:val="007800"/>
                <w:sz w:val="17"/>
              </w:rPr>
              <w:t>+2.01%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4.97% (Faible) — μ=8,041 FCFA, σ=400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β=0.3742 (Défensif) — Cov=0.000014, Var(idx)=0.000036, ρ=0.088,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7,532</w:t>
            </w:r>
          </w:p>
        </w:tc>
        <w:tc>
          <w:tcPr>
            <w:tcW w:type="dxa" w:w="1440"/>
            <w:shd w:fill="FAFAFA" w:val="clear"/>
          </w:tcPr>
          <w:p>
            <w:r>
              <w:rPr>
                <w:b/>
                <w:sz w:val="17"/>
              </w:rPr>
              <w:t>7,921</w:t>
            </w:r>
          </w:p>
        </w:tc>
        <w:tc>
          <w:tcPr>
            <w:tcW w:type="dxa" w:w="1440"/>
            <w:shd w:fill="FAFAFA" w:val="clear"/>
          </w:tcPr>
          <w:p>
            <w:r>
              <w:rPr>
                <w:sz w:val="17"/>
              </w:rPr>
              <w:t>8,310</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7,362</w:t>
            </w:r>
          </w:p>
        </w:tc>
        <w:tc>
          <w:tcPr>
            <w:tcW w:type="dxa" w:w="1440"/>
            <w:shd w:fill="FAFAFA" w:val="clear"/>
          </w:tcPr>
          <w:p>
            <w:r>
              <w:rPr>
                <w:b/>
                <w:sz w:val="17"/>
              </w:rPr>
              <w:t>7,912</w:t>
            </w:r>
          </w:p>
        </w:tc>
        <w:tc>
          <w:tcPr>
            <w:tcW w:type="dxa" w:w="1440"/>
            <w:shd w:fill="FAFAFA" w:val="clear"/>
          </w:tcPr>
          <w:p>
            <w:r>
              <w:rPr>
                <w:sz w:val="17"/>
              </w:rPr>
              <w:t>8,461</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7,235</w:t>
            </w:r>
          </w:p>
        </w:tc>
        <w:tc>
          <w:tcPr>
            <w:tcW w:type="dxa" w:w="1440"/>
            <w:shd w:fill="FAFAFA" w:val="clear"/>
          </w:tcPr>
          <w:p>
            <w:r>
              <w:rPr>
                <w:b/>
                <w:sz w:val="17"/>
              </w:rPr>
              <w:t>7,907</w:t>
            </w:r>
          </w:p>
        </w:tc>
        <w:tc>
          <w:tcPr>
            <w:tcW w:type="dxa" w:w="1440"/>
            <w:shd w:fill="FAFAFA" w:val="clear"/>
          </w:tcPr>
          <w:p>
            <w:r>
              <w:rPr>
                <w:sz w:val="17"/>
              </w:rPr>
              <w:t>8,580</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7,125</w:t>
            </w:r>
          </w:p>
        </w:tc>
        <w:tc>
          <w:tcPr>
            <w:tcW w:type="dxa" w:w="1440"/>
            <w:shd w:fill="FAFAFA" w:val="clear"/>
          </w:tcPr>
          <w:p>
            <w:r>
              <w:rPr>
                <w:b/>
                <w:sz w:val="17"/>
              </w:rPr>
              <w:t>7,901</w:t>
            </w:r>
          </w:p>
        </w:tc>
        <w:tc>
          <w:tcPr>
            <w:tcW w:type="dxa" w:w="1440"/>
            <w:shd w:fill="FAFAFA" w:val="clear"/>
          </w:tcPr>
          <w:p>
            <w:r>
              <w:rPr>
                <w:sz w:val="17"/>
              </w:rPr>
              <w:t>8,677</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7,027</w:t>
            </w:r>
          </w:p>
        </w:tc>
        <w:tc>
          <w:tcPr>
            <w:tcW w:type="dxa" w:w="1440"/>
            <w:shd w:fill="FAFAFA" w:val="clear"/>
          </w:tcPr>
          <w:p>
            <w:r>
              <w:rPr>
                <w:b/>
                <w:sz w:val="17"/>
              </w:rPr>
              <w:t>7,894</w:t>
            </w:r>
          </w:p>
        </w:tc>
        <w:tc>
          <w:tcPr>
            <w:tcW w:type="dxa" w:w="1440"/>
            <w:shd w:fill="FAFAFA" w:val="clear"/>
          </w:tcPr>
          <w:p>
            <w:r>
              <w:rPr>
                <w:sz w:val="17"/>
              </w:rPr>
              <w:t>8,761</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6,938</w:t>
            </w:r>
          </w:p>
        </w:tc>
        <w:tc>
          <w:tcPr>
            <w:tcW w:type="dxa" w:w="1440"/>
            <w:shd w:fill="FAFAFA" w:val="clear"/>
          </w:tcPr>
          <w:p>
            <w:r>
              <w:rPr>
                <w:b/>
                <w:sz w:val="17"/>
              </w:rPr>
              <w:t>7,887</w:t>
            </w:r>
          </w:p>
        </w:tc>
        <w:tc>
          <w:tcPr>
            <w:tcW w:type="dxa" w:w="1440"/>
            <w:shd w:fill="FAFAFA" w:val="clear"/>
          </w:tcPr>
          <w:p>
            <w:r>
              <w:rPr>
                <w:sz w:val="17"/>
              </w:rPr>
              <w:t>8,836</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6,857</w:t>
            </w:r>
          </w:p>
        </w:tc>
        <w:tc>
          <w:tcPr>
            <w:tcW w:type="dxa" w:w="1440"/>
            <w:shd w:fill="FAFAFA" w:val="clear"/>
          </w:tcPr>
          <w:p>
            <w:r>
              <w:rPr>
                <w:b/>
                <w:sz w:val="17"/>
              </w:rPr>
              <w:t>7,881</w:t>
            </w:r>
          </w:p>
        </w:tc>
        <w:tc>
          <w:tcPr>
            <w:tcW w:type="dxa" w:w="1440"/>
            <w:shd w:fill="FAFAFA" w:val="clear"/>
          </w:tcPr>
          <w:p>
            <w:r>
              <w:rPr>
                <w:sz w:val="17"/>
              </w:rPr>
              <w:t>8,905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6,780</w:t>
            </w:r>
          </w:p>
        </w:tc>
        <w:tc>
          <w:tcPr>
            <w:tcW w:type="dxa" w:w="1440"/>
            <w:shd w:fill="FAFAFA" w:val="clear"/>
          </w:tcPr>
          <w:p>
            <w:r>
              <w:rPr>
                <w:b/>
                <w:sz w:val="17"/>
              </w:rPr>
              <w:t>7,874</w:t>
            </w:r>
          </w:p>
        </w:tc>
        <w:tc>
          <w:tcPr>
            <w:tcW w:type="dxa" w:w="1440"/>
            <w:shd w:fill="FAFAFA" w:val="clear"/>
          </w:tcPr>
          <w:p>
            <w:r>
              <w:rPr>
                <w:sz w:val="17"/>
              </w:rPr>
              <w:t>8,968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6,709</w:t>
            </w:r>
          </w:p>
        </w:tc>
        <w:tc>
          <w:tcPr>
            <w:tcW w:type="dxa" w:w="1440"/>
            <w:shd w:fill="FAFAFA" w:val="clear"/>
          </w:tcPr>
          <w:p>
            <w:r>
              <w:rPr>
                <w:b/>
                <w:sz w:val="17"/>
              </w:rPr>
              <w:t>7,868</w:t>
            </w:r>
          </w:p>
        </w:tc>
        <w:tc>
          <w:tcPr>
            <w:tcW w:type="dxa" w:w="1440"/>
            <w:shd w:fill="FAFAFA" w:val="clear"/>
          </w:tcPr>
          <w:p>
            <w:r>
              <w:rPr>
                <w:sz w:val="17"/>
              </w:rPr>
              <w:t>9,027</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6,641</w:t>
            </w:r>
          </w:p>
        </w:tc>
        <w:tc>
          <w:tcPr>
            <w:tcW w:type="dxa" w:w="1440"/>
            <w:shd w:fill="FAFAFA" w:val="clear"/>
          </w:tcPr>
          <w:p>
            <w:r>
              <w:rPr>
                <w:b/>
                <w:sz w:val="17"/>
              </w:rPr>
              <w:t>7,862</w:t>
            </w:r>
          </w:p>
        </w:tc>
        <w:tc>
          <w:tcPr>
            <w:tcW w:type="dxa" w:w="1440"/>
            <w:shd w:fill="FAFAFA" w:val="clear"/>
          </w:tcPr>
          <w:p>
            <w:r>
              <w:rPr>
                <w:sz w:val="17"/>
              </w:rPr>
              <w:t>9,083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*Bourse Régionale des Valeurs Mobilières (BRVM) — Secteur : Entreprise agro-industrielle*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169,68 milliards FCFA, SOGC se positionne parmi les valeurs moyennes à solides de la cote BRVM, ce qui traduit une entreprise bien installée dans le tissu économique ivoirien. Le BPA de 578 FCFA/action signifie que chaque titre génère près de 578 FCFA de bénéfice net, un niveau appréciable qui, rapporté au cours actuel de 7 855 FCFA, donne un PER de 13,6x — légèrement supérieur à la moyenne du marché BRVM (8-12x), ce qui indique que les investisseurs acceptent de payer une prime modérée pour la qualité des bénéfices. Le P/B de 2,48x montre que le marché valorise SOGC à environ 2,5 fois sa valeur comptable, une prime de croissance justifiée par la solidité du bilan (capitaux propres de 68,43 Mds FCFA) et la régularité des dividendes. Enfin, l'EV/EBITDA de 7,0x, dans la fourchette raisonnable de 5-10x, suggère que la valeur totale de l'entreprise (dette incluse)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de +2,01%, mais la dernière séance (J-1) enregistre un repli de -1,81%, signalant une pression vendeuse récente. Le cours actuel de 7 855 FCFA se situe dans un range de trading de 1 775 FCFA, entre un plus bas de 7 100 FCFA et un plus haut de 8 875 FCFA, ce qui témoigne d'une volatilité intra-période significative. La tendance générale est baissière depuis le pic de 8 875 FCFA, le titre ayant perdu environ 11,5% depuis son sommet, bien que la performance globale sur 100 jours reste légèrement positive. Les statistiques descriptives révèlent une moyenne de 8 041 FCFA supérieure à la médiane de 8 145 FCFA — écart qui, combiné à un skewness de -0,535 (asymétrie négative), indique que le cours a passé plus de journées au-dessus de la moyenne, mais que les baisses récentes ont tiré la moyenne vers le bas. L'écart-type de 402 FCFA avec un coefficient de variation de 5,0% traduit une dispersion modérée autour de la moyenne, tandis que le kurtosis de -0,612 (mésokurtique) suggère une distribution proche de la normale, sans risque excessif de pics extrêmes. La volatilité annualisée de 40,5% classe SOGC dans la catégorie des titres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(8 185 FCFA) et la MM50 (8 137,4 FCFA) se situent toutes deux au-dessus du cours actuel (7 855 FCFA), ce qui place le titre en position baissière par rapport à ses moyennes. Cependant, la MM20 étant légèrement supérieure à la MM50, la configuration reste haussière sur le croisement, justifiant la décision d'**Achat** malgré la pression baissière immédiate.</w:t>
      </w:r>
    </w:p>
    <w:p>
      <w:pPr>
        <w:spacing w:after="120" w:line="276" w:lineRule="auto"/>
      </w:pPr>
      <w:r>
        <w:t>**Bandes de Bollinger** : Le cours actuel (7 855 FCFA) se situe dans la partie basse de la bande, entre la borne inférieure (7 613,48 FCFA) et la borne supérieure (8 756,52 FCFA), sans franchir les limites. Cette position neutre indique une absence de signal directionnel fort, justifiant la décision **Neutre** — le titre n'est ni en suracheté ni en survente selon ce critère.</w:t>
      </w:r>
    </w:p>
    <w:p>
      <w:pPr>
        <w:spacing w:after="120" w:line="276" w:lineRule="auto"/>
      </w:pPr>
      <w:r>
        <w:t>**MACD** : La valeur du MACD (-46,131) est nettement inférieure à son signal (-13,043), creusant une divergence baissière qui traduit un momentum négatif persistant. Cette configuration justifie la décision de **Vente**, le croisement MACD sous son signal étant un signal baissier classique.</w:t>
      </w:r>
    </w:p>
    <w:p>
      <w:pPr>
        <w:spacing w:after="120" w:line="276" w:lineRule="auto"/>
      </w:pPr>
      <w:r>
        <w:t>**RSI** : À 42,178, le RSI se situe dans la zone neutre (30-70), sans atteindre la zone de survente (&lt;30). Cela indique que le titre n'est pas encore techniquement survendu, mais la tendance baissière récente laisse présager une possible poursuite de la correction, justifiant la décision **Neutre**.</w:t>
      </w:r>
    </w:p>
    <w:p>
      <w:pPr>
        <w:spacing w:after="120" w:line="276" w:lineRule="auto"/>
      </w:pPr>
      <w:r>
        <w:t>**Stochastique** : Le %K (13,191) est nettement inférieur au %D (24,823), et les deux se situent en zone de survente (&lt;20 pour le %K). Cette configuration suggère un possible rebond à court terme, justifiant la décision d'**Achat** — le croisement haussier du %K au-dessus du %D étant attendu.</w:t>
      </w:r>
    </w:p>
    <w:p>
      <w:pPr>
        <w:spacing w:after="120" w:line="276" w:lineRule="auto"/>
      </w:pPr>
      <w:r>
        <w:t>**Conclusion technique** : Les indicateurs sont divergents — les moyennes mobiles et le stochastique plaident pour un achat, tandis que le MACD et la position du cours sous les moyennes mobiles incitent à la prudence. Le RSI et les bandes de Bollinger restent neutres. Cette divergence suggère une phase de consolidation incertaine, avec un léger avantage aux acheteurs si le stochastique confirme son rebond, mais le momentum baissier du MACD appelle à la vigilance.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affiche un chiffre d'affaires de 98,979 milliards FCFA, en hausse de 10,7% par rapport à 2024 (93,52 Mds FCFA), porté par la hausse des prix de l'huile de palme (+20%) et de palmiste (+47%), ainsi que par la croissance des volumes de caoutchouc (+9%). Le résultat net s'établit à 12,493 milliards FCFA, en légère baisse de 5% par rapport à 2024 (13,11 Mds FCFA), en raison de la forte hausse des coûts de matières premières (+15%) liée à l'augmentation du prix du coagulum. La rentabilité reste néanmoins solide avec un ROE de 18,26% (&gt;15% = excellent) et un ROA de 13,84%, tandis que la marge nette se maintient à 12,62%. La structure financière est très saine : l'autonomie financière atteint 75,79%, le ratio d'endettement est faible (24,21%), et la trésorerie nette s'élève à 4,575 Mds FCFA, en amélioration de 3,1 Mds FCFA sur l'exercice. Le BFR de 7,124 Mds FCFA et les délais clients (29,6 jours) et fournisseurs (31,72 jours) sont bien maîtrisés, bien que la durée de stockage de 97,67 jours mérite une surveillance. Les rapports trimestriels 2025 confirment cette dynamique : au T1 2025 (31 mars 2025), le CA bondit de +63,1% et le résultat net de +262,9% ; au S1 2025 (30 juin 2025), le CA progresse de +51,9% et le résultat net de +151,6% ; au cumul 9M 2025 (30 septembre 2025), le CA croît de +21,3% et le résultat net de +39,5%. On estime donc que l'exercice 2025 devrait se conclure sur une performance annuelle robuste, bien qu'en ralentissement au second semestre en raison de la concurrence accrue sur l'achat de coagulum et de la baisse des cours SICOM. La politique de dividende est très généreuse : un dividende brut de 570 FCFA/action a été proposé pour 2025 (contre 60 FCFA en 2024), soit un rendement attractif de 7,3% au cours actuel. Le principal risque réside dans la volatilité des prix des matières premières et la pression concurrentielle sur l'approvisionnement en coagulum, qui pourrait continuer à peser sur les marges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13,6x, P/B 2,48x, EV/EBITDA 7,0x) apparaît raisonnable, sans surévaluation manifeste, bien que le PER soit légèrement supérieur à la moyenne du marché BRVM. Le comportement du cours sur 100 jours révèle une tendance baissière depuis le pic de 8 875 FCFA, avec une volatilité élevée (40,5%) et des statistiques (skewness négatif, kurtosis mésokurtique) qui suggèrent une distribution proche de la normale mais avec une asymétrie baissière récente. Les signaux techniques sont divergents : le MACD est baissier, mais les moyennes mobiles et le stochastique plaident pour un achat, tandis que le RSI et les bandes de Bollinger restent neutres — cette divergence traduit une incertitude directionnelle à court terme. Les fondamentaux restent solides : CA en croissance de 10,7% en 2025, ROE de 18,26%, structure financière saine (autonomie financière de 75,79%), et dividende exceptionnel de 570 FCFA/action offrant un rendement de 7,3%. Les prédictions IA (J+1 à J+10) anticipent une légère baisse vers 7 894-7 921 FCFA, confirmant la pression baissière de court terme sans effondrement. Sur la base de cette synthèse, la recommandation finale est **CONSERVER** avec un biais haussier à moyen terme : la convergence entre fondamentaux solides, dividende attractif et valorisation raisonnable soutient le titre, mais les signaux techniques baissiers et la volatilité élevée incitent à la prudence à court terme. Le niveau de confiance est **Moyen** (divergence technique), et le risque global est **Moyen** (volatilité élevée mais fondamentaux solides). L'horizon d'investissement optimal est le **moyen terme (3-12 mois)**, le temps que la pression baissière se dissipe et que la générosité du dividende soit pleinement reconnue par le marché.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199.35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4,637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+5.62%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10.25% (Moyenne) — μ=7,797 FCFA, σ=799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β=0.9738 (Neutre (suit le marché)) — Cov=0.000035, Var(idx)=0.000036, ρ=0.206,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7,395</w:t>
            </w:r>
          </w:p>
        </w:tc>
        <w:tc>
          <w:tcPr>
            <w:tcW w:type="dxa" w:w="1440"/>
            <w:shd w:fill="FAFAFA" w:val="clear"/>
          </w:tcPr>
          <w:p>
            <w:r>
              <w:rPr>
                <w:b/>
                <w:sz w:val="17"/>
              </w:rPr>
              <w:t>7,923</w:t>
            </w:r>
          </w:p>
        </w:tc>
        <w:tc>
          <w:tcPr>
            <w:tcW w:type="dxa" w:w="1440"/>
            <w:shd w:fill="FAFAFA" w:val="clear"/>
          </w:tcPr>
          <w:p>
            <w:r>
              <w:rPr>
                <w:sz w:val="17"/>
              </w:rPr>
              <w:t>8,451</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7,147</w:t>
            </w:r>
          </w:p>
        </w:tc>
        <w:tc>
          <w:tcPr>
            <w:tcW w:type="dxa" w:w="1440"/>
            <w:shd w:fill="FAFAFA" w:val="clear"/>
          </w:tcPr>
          <w:p>
            <w:r>
              <w:rPr>
                <w:b/>
                <w:sz w:val="17"/>
              </w:rPr>
              <w:t>7,891</w:t>
            </w:r>
          </w:p>
        </w:tc>
        <w:tc>
          <w:tcPr>
            <w:tcW w:type="dxa" w:w="1440"/>
            <w:shd w:fill="FAFAFA" w:val="clear"/>
          </w:tcPr>
          <w:p>
            <w:r>
              <w:rPr>
                <w:sz w:val="17"/>
              </w:rPr>
              <w:t>8,634</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6,964</w:t>
            </w:r>
          </w:p>
        </w:tc>
        <w:tc>
          <w:tcPr>
            <w:tcW w:type="dxa" w:w="1440"/>
            <w:shd w:fill="FAFAFA" w:val="clear"/>
          </w:tcPr>
          <w:p>
            <w:r>
              <w:rPr>
                <w:b/>
                <w:sz w:val="17"/>
              </w:rPr>
              <w:t>7,873</w:t>
            </w:r>
          </w:p>
        </w:tc>
        <w:tc>
          <w:tcPr>
            <w:tcW w:type="dxa" w:w="1440"/>
            <w:shd w:fill="FAFAFA" w:val="clear"/>
          </w:tcPr>
          <w:p>
            <w:r>
              <w:rPr>
                <w:sz w:val="17"/>
              </w:rPr>
              <w:t>8,782</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6,807</w:t>
            </w:r>
          </w:p>
        </w:tc>
        <w:tc>
          <w:tcPr>
            <w:tcW w:type="dxa" w:w="1440"/>
            <w:shd w:fill="FAFAFA" w:val="clear"/>
          </w:tcPr>
          <w:p>
            <w:r>
              <w:rPr>
                <w:b/>
                <w:sz w:val="17"/>
              </w:rPr>
              <w:t>7,854</w:t>
            </w:r>
          </w:p>
        </w:tc>
        <w:tc>
          <w:tcPr>
            <w:tcW w:type="dxa" w:w="1440"/>
            <w:shd w:fill="FAFAFA" w:val="clear"/>
          </w:tcPr>
          <w:p>
            <w:r>
              <w:rPr>
                <w:sz w:val="17"/>
              </w:rPr>
              <w:t>8,901</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6,668</w:t>
            </w:r>
          </w:p>
        </w:tc>
        <w:tc>
          <w:tcPr>
            <w:tcW w:type="dxa" w:w="1440"/>
            <w:shd w:fill="FAFAFA" w:val="clear"/>
          </w:tcPr>
          <w:p>
            <w:r>
              <w:rPr>
                <w:b/>
                <w:sz w:val="17"/>
              </w:rPr>
              <w:t>7,835</w:t>
            </w:r>
          </w:p>
        </w:tc>
        <w:tc>
          <w:tcPr>
            <w:tcW w:type="dxa" w:w="1440"/>
            <w:shd w:fill="FAFAFA" w:val="clear"/>
          </w:tcPr>
          <w:p>
            <w:r>
              <w:rPr>
                <w:sz w:val="17"/>
              </w:rPr>
              <w:t>9,002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6,540</w:t>
            </w:r>
          </w:p>
        </w:tc>
        <w:tc>
          <w:tcPr>
            <w:tcW w:type="dxa" w:w="1440"/>
            <w:shd w:fill="FAFAFA" w:val="clear"/>
          </w:tcPr>
          <w:p>
            <w:r>
              <w:rPr>
                <w:b/>
                <w:sz w:val="17"/>
              </w:rPr>
              <w:t>7,816</w:t>
            </w:r>
          </w:p>
        </w:tc>
        <w:tc>
          <w:tcPr>
            <w:tcW w:type="dxa" w:w="1440"/>
            <w:shd w:fill="FAFAFA" w:val="clear"/>
          </w:tcPr>
          <w:p>
            <w:r>
              <w:rPr>
                <w:sz w:val="17"/>
              </w:rPr>
              <w:t>9,092</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6,423</w:t>
            </w:r>
          </w:p>
        </w:tc>
        <w:tc>
          <w:tcPr>
            <w:tcW w:type="dxa" w:w="1440"/>
            <w:shd w:fill="FAFAFA" w:val="clear"/>
          </w:tcPr>
          <w:p>
            <w:r>
              <w:rPr>
                <w:b/>
                <w:sz w:val="17"/>
              </w:rPr>
              <w:t>7,798</w:t>
            </w:r>
          </w:p>
        </w:tc>
        <w:tc>
          <w:tcPr>
            <w:tcW w:type="dxa" w:w="1440"/>
            <w:shd w:fill="FAFAFA" w:val="clear"/>
          </w:tcPr>
          <w:p>
            <w:r>
              <w:rPr>
                <w:sz w:val="17"/>
              </w:rPr>
              <w:t>9,173</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6,314</w:t>
            </w:r>
          </w:p>
        </w:tc>
        <w:tc>
          <w:tcPr>
            <w:tcW w:type="dxa" w:w="1440"/>
            <w:shd w:fill="FAFAFA" w:val="clear"/>
          </w:tcPr>
          <w:p>
            <w:r>
              <w:rPr>
                <w:b/>
                <w:sz w:val="17"/>
              </w:rPr>
              <w:t>7,781</w:t>
            </w:r>
          </w:p>
        </w:tc>
        <w:tc>
          <w:tcPr>
            <w:tcW w:type="dxa" w:w="1440"/>
            <w:shd w:fill="FAFAFA" w:val="clear"/>
          </w:tcPr>
          <w:p>
            <w:r>
              <w:rPr>
                <w:sz w:val="17"/>
              </w:rPr>
              <w:t>9,247</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6,212</w:t>
            </w:r>
          </w:p>
        </w:tc>
        <w:tc>
          <w:tcPr>
            <w:tcW w:type="dxa" w:w="1440"/>
            <w:shd w:fill="FAFAFA" w:val="clear"/>
          </w:tcPr>
          <w:p>
            <w:r>
              <w:rPr>
                <w:b/>
                <w:sz w:val="17"/>
              </w:rPr>
              <w:t>7,764</w:t>
            </w:r>
          </w:p>
        </w:tc>
        <w:tc>
          <w:tcPr>
            <w:tcW w:type="dxa" w:w="1440"/>
            <w:shd w:fill="FAFAFA" w:val="clear"/>
          </w:tcPr>
          <w:p>
            <w:r>
              <w:rPr>
                <w:sz w:val="17"/>
              </w:rPr>
              <w:t>9,316</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6,115</w:t>
            </w:r>
          </w:p>
        </w:tc>
        <w:tc>
          <w:tcPr>
            <w:tcW w:type="dxa" w:w="1440"/>
            <w:shd w:fill="FAFAFA" w:val="clear"/>
          </w:tcPr>
          <w:p>
            <w:r>
              <w:rPr>
                <w:b/>
                <w:sz w:val="17"/>
              </w:rPr>
              <w:t>7,747</w:t>
            </w:r>
          </w:p>
        </w:tc>
        <w:tc>
          <w:tcPr>
            <w:tcW w:type="dxa" w:w="1440"/>
            <w:shd w:fill="FAFAFA" w:val="clear"/>
          </w:tcPr>
          <w:p>
            <w:r>
              <w:rPr>
                <w:sz w:val="17"/>
              </w:rPr>
              <w:t>9,380</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199,35 milliards FCFA, SPHC s'impose comme l'une des valeurs industrielles de référence de la cote BRVM, offrant une liquidité appréciable pour les investisseurs institutionnels régionaux. Le BPA de 977 FCFA/action signifie que chaque titre génère près d'un millier de francs de bénéfice net, ce qui, rapporté au cours actuel de 7 800 FCFA, aboutit à un PER de 8,0x — un niveau inférieur à la moyenne du marché BRVM (8-12x), suggérant une potentielle sous-évaluation relative. Le P/B de 1,45x indique que le marché valorise la société à 45% au-dessus de sa valeur comptable, ce qui reste raisonnable pour une entreprise affichant un ROE de 18,1% et une structure financière solide. Enfin, l'EV/EBITDA de 5,0x traduit une valorisation modérée de la capacité opérationnelle, bien en deçà du seuil de 10x qui signalerait une surévaluation — l'ensemble de ces ratios dresse donc le portrait d'un titre fondamentalement attractif, dont la décote apparente pourrait toutefois s'expliquer par les incertitudes cycliques pesant sur la filière caoutchouc.</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+5,62%, mais la dernière séance (J-1) a enregistré un repli marqué de -3,11%, signalant une pression vendeuse récente. Le titre a évolué dans un range particulièrement large, entre un plus bas de 6 720 FCFA et un plus haut de 10 300 FCFA, soit une amplitude de plus de 53% — reflet d'une forte volatilité. La tendance générale reste haussière sur la période, mais le cours actuel (7 800 FCFA) se situe nettement sous le plus haut, indiquant une correction en cours depuis les sommets. Les statistiques descriptives révèlent une moyenne (7 797 FCFA) quasi identique à la médiane (7 590 FCFA), mais un mode à 7 600 FCFA légèrement inférieur, traduisant une distribution asymétrique. L'écart-type de 803 FCFA (CV = 10,3%) confirme une dispersion modérée du cours autour de sa moyenne. Le kurtosis de 1,428 (leptokurtique) signale des queues épaisses, donc un risque accru de pics de volatilité violents, tandis que le skewness positif de 1,388 indique une asymétrie vers la droite — davantage de journées sous la moyenne, mais avec des hausses ponctuelles amples. Enfin, la volatilité annualisée de 45,1% classe SPHC parmi les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(8 940,75 FCFA) et la MM50 (8 241,7 FCFA) se situent toutes deux au-dessus du cours actuel (7 800 FCFA), ce qui place le titre en position baissière à court terme. Toutefois, la MM20 étant supérieure à la MM50, la configuration reste haussière sur le moyen terme, et la décision technique affichée est "Achat" — le cours étant jugé survendu par rapport à ses moyennes.</w:t>
      </w:r>
    </w:p>
    <w:p>
      <w:pPr>
        <w:spacing w:after="120" w:line="276" w:lineRule="auto"/>
      </w:pPr>
      <w:r>
        <w:t>**Bandes de Bollinger** : Le cours (7 800 FCFA) évolue dans la partie basse du canal, entre la borne inférieure (7 301,60 FCFA) et la borne supérieure (10 579,90 FCFA). Cette position proche de la borne basse suggère une pression vendeuse, mais la décision "Neutre" indique que le titre n'est pas encore en zone de survente extrême selon ce seul indicateur.</w:t>
      </w:r>
    </w:p>
    <w:p>
      <w:pPr>
        <w:spacing w:after="120" w:line="276" w:lineRule="auto"/>
      </w:pPr>
      <w:r>
        <w:t>**MACD** : La valeur du MACD (-137,338) est nettement inférieure à son signal (63,803), générant une divergence baissière et une décision "Vente". Le momentum est clairement négatif, ce qui confirme la correction en cours et invite à la prudence avant tout achat.</w:t>
      </w:r>
    </w:p>
    <w:p>
      <w:pPr>
        <w:spacing w:after="120" w:line="276" w:lineRule="auto"/>
      </w:pPr>
      <w:r>
        <w:t>**RSI** : À 29,714, le RSI se situe juste en dessous du seuil de survente (30), déclenchant une décision "Achat". Cette configuration suggère que le titre pourrait être proche d'un point de retournement haussier, mais la faiblesse du momentum (MACD) incite à attendre une confirmation.</w:t>
      </w:r>
    </w:p>
    <w:p>
      <w:pPr>
        <w:spacing w:after="120" w:line="276" w:lineRule="auto"/>
      </w:pPr>
      <w:r>
        <w:t>**Stochastique** : Le %K (0,0) est au plus bas absolu, tandis que le %D (5,074) reste également très faible, avec une décision "Achat". Ce positionnement extrême en zone de survente renforce l'hypothèse d'un rebond technique imminent, mais le croisement des lignes n'est pas encore confirmé.</w:t>
      </w:r>
    </w:p>
    <w:p>
      <w:pPr>
        <w:spacing w:after="120" w:line="276" w:lineRule="auto"/>
      </w:pPr>
      <w:r>
        <w:t>**Conclusion technique** : Les indicateurs sont divergents — les oscillateurs (RSI, Stochastique) signalent une survente propice à un rebond, tandis que le MACD et les moyennes mobiles confirment une tendance baissière de court terme. Cette configuration suggère une phase de consolidation avant un éventuel retournement, avec un support clé à surveiller autour de 7 300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croissance de 22,0% par rapport à 2024 (279,44 milliards FCFA), portée par une hausse des volumes vendus (+16,8%) et des prix moyens (+17,6%). Le résultat net s'établit à 24,97 milliards FCFA, en progression de 32,9%, avec une marge nette de 7,3% (contre 6,7% en 2024). Le ROE atteint 18,1% (excellent, &gt;15%) et le ROA 11,1%, confirmant une rentabilité solide. La structure financière est saine : capitaux propres de 137,94 milliards FCFA, autonomie financière de 61,1%, ratio d'endettement maîtrisé à 25,8% et couverture des intérêts de 1 094%. Toutefois, la trésorerie nette reste négative (-15,41 milliards FCFA) et le BFR s'élève à 65,39 milliards FCFA, avec des délais clients de 35 jours et une durée de stockage de 72,33 jours — des niveaux élevés qui pèsent sur la liquidité. La politique de dividende est attractive : 489 FCFA brut par action proposé au titre de 2025 (soit un rendement de 6,3% au cours actuel), en hausse de 32,7% sur un an, avec un taux de distribution stable à 50,1%. Cependant, le rapport T1 2026 (publié en 2026) révèle un net ralentissement : CA de 71,8 milliards FCFA (-24%), résultat net de 2,6 milliards FCFA (-78%) et marge nette réduite à 4%, pénalisés par la chute des cours mondiaux du caoutchouc (SICOM 20 à 1,91 USD/kg), l'engorgement du port de San Pedro et la concurrence accrue pour l'approvisionnement en matière première. Sur la base de ce T1 2026, on estime que l'exercice 2026 devrait afficher une contraction significative de la rentabilité, avec un résultat net potentiellement inférieur à 15 milliards FCFA si la tendance se poursuit. Les perspectives restent toutefois soutenues par l'avance stratégique de SAPH sur la réglementation européenne EUDR et la limitation des nouvelles licences industrielles, qui pourraient stabiliser le marché local. La recommandation fondamentale est donc **CONSERVER**, avec une surveillance active des cours du caoutchouc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fondamentalement attractive (PER de 8,0x, P/B de 1,45x, EV/EBITDA de 5,0x), suggérant une sous-évaluation relative par rapport aux bénéfices et à la capacité opérationnelle. Cependant, le comportement du cours sur 100 jours révèle une volatilité élevée (45,1% annualisée), un kurtosis leptokurtique (risque de pics) et un skewness positif (asymétrie haussière), ce qui traduit un titre nerveux mais avec un potentiel de rebond. Les signaux techniques sont divergents : les oscillateurs (RSI à 29,7, Stochastique à 0,0) signalent une survente propice à un rebond, tandis que le MACD (-137,3 vs signal à 63,8) et les moyennes mobiles (cours sous MM20 et MM50) confirment une tendance baissière de court terme. Les fondamentaux 2025 sont solides (CA +22%, RN +32,9%, ROE de 18,1%), mais le T1 2026 (CA -24%, RN -78%) marque un net ralentissement qui pèse sur les perspectives. Les prédictions IA (J+1 à J+10) anticipent une légère dérive baissière vers 7 835 FCFA, en ligne avec la pression technique actuelle, mais sans effondrement. Sur la base de cette synthèse, la recommandation finale est **CONSERVER**, avec un niveau de confiance **Moyen** et un risque global **Élevé** (volatilité, cyclicité des cours, trésorerie négative). L'horizon d'investissement optimal est le **moyen terme (3-12 mois)**, en attendant une confirmation de la stabilisation des cours du caoutchouc et une amélioration de la trésorerie — un passage à l'achat pourrait être envisagé si le titre se stabilise au-dessus de 7 300 FCFA avec un retournement confirmé du MACD et du RSI.</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30.58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5,936 titres</w:t>
            </w:r>
          </w:p>
        </w:tc>
        <w:tc>
          <w:tcPr>
            <w:tcW w:type="dxa" w:w="2268"/>
            <w:shd w:fill="FFF2CC" w:val="clear"/>
          </w:tcPr>
          <w:p>
            <w:r>
              <w:rPr>
                <w:b/>
                <w:color w:val="503200"/>
                <w:sz w:val="16"/>
              </w:rPr>
              <w:t xml:space="preserve">Cours actuel : </w:t>
            </w:r>
            <w:r>
              <w:rPr>
                <w:color w:val="000000"/>
                <w:sz w:val="17"/>
              </w:rPr>
              <w:t>2,275 FCFA</w:t>
            </w:r>
          </w:p>
          <w:p>
            <w:r>
              <w:rPr>
                <w:b/>
                <w:color w:val="503200"/>
                <w:sz w:val="16"/>
              </w:rPr>
              <w:t xml:space="preserve">Var. 100 jours : </w:t>
            </w:r>
            <w:r>
              <w:rPr>
                <w:b/>
                <w:color w:val="B40000"/>
                <w:sz w:val="17"/>
              </w:rPr>
              <w:t>-24.17%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2,275 FCFA</w:t>
            </w:r>
          </w:p>
          <w:p>
            <w:r>
              <w:rPr>
                <w:b/>
                <w:color w:val="503200"/>
                <w:sz w:val="16"/>
              </w:rPr>
              <w:t xml:space="preserve">Volatilité ann. : </w:t>
            </w:r>
            <w:r>
              <w:rPr>
                <w:color w:val="000000"/>
                <w:sz w:val="17"/>
              </w:rPr>
              <w:t>56.3%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μ=2,935 FCFA, σ=345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β=-0.6889 (Contre-cyclique) — Cov=-0.000025, Var(idx)=0.000036, ρ=-0.118,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2,177</w:t>
            </w:r>
          </w:p>
        </w:tc>
        <w:tc>
          <w:tcPr>
            <w:tcW w:type="dxa" w:w="1440"/>
            <w:shd w:fill="FAFAFA" w:val="clear"/>
          </w:tcPr>
          <w:p>
            <w:r>
              <w:rPr>
                <w:b/>
                <w:sz w:val="17"/>
              </w:rPr>
              <w:t>2,264</w:t>
            </w:r>
          </w:p>
        </w:tc>
        <w:tc>
          <w:tcPr>
            <w:tcW w:type="dxa" w:w="1440"/>
            <w:shd w:fill="FAFAFA" w:val="clear"/>
          </w:tcPr>
          <w:p>
            <w:r>
              <w:rPr>
                <w:sz w:val="17"/>
              </w:rPr>
              <w:t>2,352</w:t>
            </w:r>
          </w:p>
        </w:tc>
        <w:tc>
          <w:tcPr>
            <w:tcW w:type="dxa" w:w="1440"/>
            <w:shd w:fill="FAFAFA" w:val="clear"/>
          </w:tcPr>
          <w:p>
            <w:r>
              <w:rPr>
                <w:b/>
                <w:color w:val="C00000"/>
                <w:sz w:val="17"/>
              </w:rPr>
              <w:t>-0.5%</w:t>
            </w:r>
          </w:p>
        </w:tc>
      </w:tr>
      <w:tr>
        <w:tc>
          <w:tcPr>
            <w:tcW w:type="dxa" w:w="1440"/>
            <w:shd w:fill="FFDCE0" w:val="clear"/>
          </w:tcPr>
          <w:p>
            <w:r>
              <w:rPr>
                <w:sz w:val="17"/>
              </w:rPr>
              <w:t>J+2  Moyenne</w:t>
            </w:r>
          </w:p>
        </w:tc>
        <w:tc>
          <w:tcPr>
            <w:tcW w:type="dxa" w:w="1440"/>
            <w:shd w:fill="FFDCE0" w:val="clear"/>
          </w:tcPr>
          <w:p>
            <w:r>
              <w:rPr>
                <w:sz w:val="17"/>
              </w:rPr>
              <w:t>2026-09-22</w:t>
            </w:r>
          </w:p>
        </w:tc>
        <w:tc>
          <w:tcPr>
            <w:tcW w:type="dxa" w:w="1440"/>
            <w:shd w:fill="FFDCE0" w:val="clear"/>
          </w:tcPr>
          <w:p>
            <w:r>
              <w:rPr>
                <w:sz w:val="17"/>
              </w:rPr>
              <w:t>2,107</w:t>
            </w:r>
          </w:p>
        </w:tc>
        <w:tc>
          <w:tcPr>
            <w:tcW w:type="dxa" w:w="1440"/>
            <w:shd w:fill="FFDCE0" w:val="clear"/>
          </w:tcPr>
          <w:p>
            <w:r>
              <w:rPr>
                <w:b/>
                <w:sz w:val="17"/>
              </w:rPr>
              <w:t>2,229</w:t>
            </w:r>
          </w:p>
        </w:tc>
        <w:tc>
          <w:tcPr>
            <w:tcW w:type="dxa" w:w="1440"/>
            <w:shd w:fill="FFDCE0" w:val="clear"/>
          </w:tcPr>
          <w:p>
            <w:r>
              <w:rPr>
                <w:sz w:val="17"/>
              </w:rPr>
              <w:t>2,350</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2026-09-23</w:t>
            </w:r>
          </w:p>
        </w:tc>
        <w:tc>
          <w:tcPr>
            <w:tcW w:type="dxa" w:w="1440"/>
            <w:shd w:fill="FFDCE0" w:val="clear"/>
          </w:tcPr>
          <w:p>
            <w:r>
              <w:rPr>
                <w:sz w:val="17"/>
              </w:rPr>
              <w:t>2,064</w:t>
            </w:r>
          </w:p>
        </w:tc>
        <w:tc>
          <w:tcPr>
            <w:tcW w:type="dxa" w:w="1440"/>
            <w:shd w:fill="FFDCE0" w:val="clear"/>
          </w:tcPr>
          <w:p>
            <w:r>
              <w:rPr>
                <w:b/>
                <w:sz w:val="17"/>
              </w:rPr>
              <w:t>2,212</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2,034</w:t>
            </w:r>
          </w:p>
        </w:tc>
        <w:tc>
          <w:tcPr>
            <w:tcW w:type="dxa" w:w="1440"/>
            <w:shd w:fill="FFDCE0" w:val="clear"/>
          </w:tcPr>
          <w:p>
            <w:r>
              <w:rPr>
                <w:b/>
                <w:sz w:val="17"/>
              </w:rPr>
              <w:t>2,204</w:t>
            </w:r>
          </w:p>
        </w:tc>
        <w:tc>
          <w:tcPr>
            <w:tcW w:type="dxa" w:w="1440"/>
            <w:shd w:fill="FFDCE0" w:val="clear"/>
          </w:tcPr>
          <w:p>
            <w:r>
              <w:rPr>
                <w:sz w:val="17"/>
              </w:rPr>
              <w:t>2,375</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2,011</w:t>
            </w:r>
          </w:p>
        </w:tc>
        <w:tc>
          <w:tcPr>
            <w:tcW w:type="dxa" w:w="1440"/>
            <w:shd w:fill="FFDCE0" w:val="clear"/>
          </w:tcPr>
          <w:p>
            <w:r>
              <w:rPr>
                <w:b/>
                <w:sz w:val="17"/>
              </w:rPr>
              <w:t>2,201</w:t>
            </w:r>
          </w:p>
        </w:tc>
        <w:tc>
          <w:tcPr>
            <w:tcW w:type="dxa" w:w="1440"/>
            <w:shd w:fill="FFDCE0" w:val="clear"/>
          </w:tcPr>
          <w:p>
            <w:r>
              <w:rPr>
                <w:sz w:val="17"/>
              </w:rPr>
              <w:t>2,391</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1,991</w:t>
            </w:r>
          </w:p>
        </w:tc>
        <w:tc>
          <w:tcPr>
            <w:tcW w:type="dxa" w:w="1440"/>
            <w:shd w:fill="FFDCE0" w:val="clear"/>
          </w:tcPr>
          <w:p>
            <w:r>
              <w:rPr>
                <w:b/>
                <w:sz w:val="17"/>
              </w:rPr>
              <w:t>2,199</w:t>
            </w:r>
          </w:p>
        </w:tc>
        <w:tc>
          <w:tcPr>
            <w:tcW w:type="dxa" w:w="1440"/>
            <w:shd w:fill="FFDCE0" w:val="clear"/>
          </w:tcPr>
          <w:p>
            <w:r>
              <w:rPr>
                <w:sz w:val="17"/>
              </w:rPr>
              <w:t>2,407</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1,973</w:t>
            </w:r>
          </w:p>
        </w:tc>
        <w:tc>
          <w:tcPr>
            <w:tcW w:type="dxa" w:w="1440"/>
            <w:shd w:fill="FFDCE0" w:val="clear"/>
          </w:tcPr>
          <w:p>
            <w:r>
              <w:rPr>
                <w:b/>
                <w:sz w:val="17"/>
              </w:rPr>
              <w:t>2,198</w:t>
            </w:r>
          </w:p>
        </w:tc>
        <w:tc>
          <w:tcPr>
            <w:tcW w:type="dxa" w:w="1440"/>
            <w:shd w:fill="FFDCE0" w:val="clear"/>
          </w:tcPr>
          <w:p>
            <w:r>
              <w:rPr>
                <w:sz w:val="17"/>
              </w:rPr>
              <w:t>2,423</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1,957</w:t>
            </w:r>
          </w:p>
        </w:tc>
        <w:tc>
          <w:tcPr>
            <w:tcW w:type="dxa" w:w="1440"/>
            <w:shd w:fill="FFDCE0" w:val="clear"/>
          </w:tcPr>
          <w:p>
            <w:r>
              <w:rPr>
                <w:b/>
                <w:sz w:val="17"/>
              </w:rPr>
              <w:t>2,197</w:t>
            </w:r>
          </w:p>
        </w:tc>
        <w:tc>
          <w:tcPr>
            <w:tcW w:type="dxa" w:w="1440"/>
            <w:shd w:fill="FFDCE0" w:val="clear"/>
          </w:tcPr>
          <w:p>
            <w:r>
              <w:rPr>
                <w:sz w:val="17"/>
              </w:rPr>
              <w:t>2,437</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1,941</w:t>
            </w:r>
          </w:p>
        </w:tc>
        <w:tc>
          <w:tcPr>
            <w:tcW w:type="dxa" w:w="1440"/>
            <w:shd w:fill="FFDCE0" w:val="clear"/>
          </w:tcPr>
          <w:p>
            <w:r>
              <w:rPr>
                <w:b/>
                <w:sz w:val="17"/>
              </w:rPr>
              <w:t>2,195</w:t>
            </w:r>
          </w:p>
        </w:tc>
        <w:tc>
          <w:tcPr>
            <w:tcW w:type="dxa" w:w="1440"/>
            <w:shd w:fill="FFDCE0" w:val="clear"/>
          </w:tcPr>
          <w:p>
            <w:r>
              <w:rPr>
                <w:sz w:val="17"/>
              </w:rPr>
              <w:t>2,450</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1,925</w:t>
            </w:r>
          </w:p>
        </w:tc>
        <w:tc>
          <w:tcPr>
            <w:tcW w:type="dxa" w:w="1440"/>
            <w:shd w:fill="FFDCE0" w:val="clear"/>
          </w:tcPr>
          <w:p>
            <w:r>
              <w:rPr>
                <w:b/>
                <w:sz w:val="17"/>
              </w:rPr>
              <w:t>2,193</w:t>
            </w:r>
          </w:p>
        </w:tc>
        <w:tc>
          <w:tcPr>
            <w:tcW w:type="dxa" w:w="1440"/>
            <w:shd w:fill="FFDCE0" w:val="clear"/>
          </w:tcPr>
          <w:p>
            <w:r>
              <w:rPr>
                <w:sz w:val="17"/>
              </w:rPr>
              <w:t>2,461</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STAC (SETAO)</w:t>
        <w:br/>
        <w:t>### Bourse Régionale des Valeurs Mobilières (BRVM) — Secteur : BTP / Études &amp; Travaux</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**30,58 milliards FCFA**, un niveau modeste à l'échelle de la BRVM qui la place dans la catégorie des petites capitalisations, avec une liquidité limitée (volume moyen de seulement 5 936 titres/jour). Le **BPA est négatif à -7 FCFA/action**, conséquence directe d'un résultat net déficitaire de -96,56 M FCFA en 2025, ce qui rend le **PER non significatif (-316,7x)** : les investisseurs ne paient pas pour des bénéfices inexistants, mais spéculent sur un retournement. Le **P/B de 85,71x** est particulièrement alarmant — le marché valorise l'action à plus de 85 fois la valeur comptable (capitaux propres de seulement 356,75 M FCFA), une prime injustifiable qui traduit soit une anomalie de marché, soit une anticipation très agressive de redressement. En l'absence d'EBITDA positif (EBE de -650,13 M FCFA), le ratio **EV/EBITDA n'est pas calculable** et n'aurait aucun sens économique : la valeur d'entreprise est portée par une trésorerie de 1,33 Md FCFA qui masque une destruction de valeur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 enregistré une **chute vertigineuse de -24,17%**, avec une dernière séance particulièrement violente (-6,57% en J-1), portant le cours à **2 275 FCFA** — soit exactement le plus bas de la période, ce qui signifie que le titre clôture au plancher de son range. Le plus haut atteint était de **3 640 FCFA**, matérialisant un range de trading de 1 365 FCFA (60% du cours actuel) : la tendance est clairement **baissière et sans signe de stabilisation**, le cours ayant effacé toute progression antérieure. Les statistiques descriptives révèlent une **moyenne (2 935 FCFA) supérieure à la médiane (2 850 FCFA)**, confirmant une distribution légèrement asymétrique à droite — quelques séances hautes tirent la moyenne vers le haut, mais le marché a majoritairement traité sous ce niveau. L'**écart-type de 347 FCFA (CV = 11,8%)** indique une dispersion modérée en valeur relative, mais le **kurtosis de -0,837 (mésokurtique)** suggère une distribution proche de la normale, sans pics extrêmes fréquents — le risque est donc diffus plutôt que concentré. Le **skewness de 0,484** (qualifié de symétrique dans les données) penche néanmoins vers une légère asymétrie positive, signe que les mouvements haussiers résiduels sont plus amples que les baisses — mais insuffisants pour inverser la tendance. Enfin, la **volatilité annualisée de 56,3%** classe ce titre en catégorie **très élevée (&gt;30%)**, incompatible avec un profil prudent et typique d'une valeur spéculative en détresse.</w:t>
      </w:r>
    </w:p>
    <w:p>
      <w:pPr>
        <w:spacing w:after="120" w:line="276" w:lineRule="auto"/>
      </w:pPr>
      <w:r>
        <w:t>---</w:t>
      </w:r>
    </w:p>
    <w:p>
      <w:pPr>
        <w:spacing w:after="120" w:line="276" w:lineRule="auto"/>
      </w:pPr>
      <w:r>
        <w:t>## PARTIE 2 : ANALYSE TECHNIQUE DÉTAILLÉE</w:t>
      </w:r>
    </w:p>
    <w:p>
      <w:pPr>
        <w:spacing w:after="120" w:line="276" w:lineRule="auto"/>
      </w:pPr>
      <w:r>
        <w:t>**Moyennes Mobiles** : La MM20 (2 575,25 FCFA) et la MM50 (2 740,20 FCFA) sont toutes deux **nettement au-dessus du cours actuel (2 275 FCFA)**, avec un écart respectif de -11,7% et -17,0%. Cette configuration baissière (cours sous les deux moyennes, MM20 sous MM50) confirme une pression vendeuse persistante et justifie la **décision de Vente**.</w:t>
      </w:r>
    </w:p>
    <w:p>
      <w:pPr>
        <w:spacing w:after="120" w:line="276" w:lineRule="auto"/>
      </w:pPr>
      <w:r>
        <w:t>**Bandes de Bollinger** : Le cours (2 275 FCFA) se situe **sous la borne inférieure (2 318,315 FCFA)**, signal classique de survente extrême et de possible rebond technique à court terme — d'où la **décision d'Achat** contrarienne. La largeur des bandes (513,87 FCFA) reflète une volatilité élevée, cohérente avec la chute récente.</w:t>
      </w:r>
    </w:p>
    <w:p>
      <w:pPr>
        <w:spacing w:after="120" w:line="276" w:lineRule="auto"/>
      </w:pPr>
      <w:r>
        <w:t>**MACD** : La valeur du MACD (-94,945) est **inférieure à son signal (-79,339)**, avec un histogramme négatif (-15,606) qui s'élargit — le momentum baissier s'intensifie. La **décision de Vente** est confirmée par l'absence de croisement haussier en vue.</w:t>
      </w:r>
    </w:p>
    <w:p>
      <w:pPr>
        <w:spacing w:after="120" w:line="276" w:lineRule="auto"/>
      </w:pPr>
      <w:r>
        <w:t>**RSI** : À **21,118**, le RSI est en zone de **survente sévère (&lt;30)**, un niveau qui historiquement précède souvent un rebond technique. La **décision d'Achat** est cohérente avec cette lecture contrarienne, mais le RSI peut rester bas longtemps en tendance baissière structurelle.</w:t>
      </w:r>
    </w:p>
    <w:p>
      <w:pPr>
        <w:spacing w:after="120" w:line="276" w:lineRule="auto"/>
      </w:pPr>
      <w:r>
        <w:t>**Stochastique** : Avec **%K = 0,0 et %D = 0,0**, l'indicateur est au plancher absolu, signalant une survente maximale. La **décision d'Achat** repose sur l'anticipation d'un croisement haussier imminent, mais l'absence de divergence positive invite à la prudence.</w:t>
      </w:r>
    </w:p>
    <w:p>
      <w:pPr>
        <w:spacing w:after="120" w:line="276" w:lineRule="auto"/>
      </w:pPr>
      <w:r>
        <w:t>**Conclusion technique** : Les indicateurs sont **divergents** — les oscillateurs (RSI, Stochastique, Bollinger) crient "Achat" en zone de survente extrême, tandis que les tendanciels (MM, MACD) confirment "Vente" sans ambiguïté. Cette configuration est typique d'un **rebond technique possible mais fragile**, dans un contexte de tendance baissière dominante. La convergence des signaux baissiers structurels l'emporte sur les signaux d'achat contrariens.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STAC a réalisé un **chiffre d'affaires de 3,878 Mds FCFA**, en **croissance spectaculaire de +116,26%** — mais cette performance est trompeuse car elle repose sur un seul chantier (travaux préliminaires de l'aéroport d'Abidjan). Le **résultat net reste déficitaire à -96,56 M FCFA**, avec une **marge nette de -2,49%** et un **ROE catastrophique de -27,07%** (très loin du seuil de 15% d'excellence). Le **ROA de -1,77%** confirme la destruction de valeur, et l'**EBE de -650,13 M FCFA** révèle une structure de coûts totalement inadaptée au niveau d'activité. La **valeur ajoutée de seulement 154,19 M FCFA** (4% du CA) est anormalement faible pour le BTP, signe d'une sous-traitance massive ou d'une mauvaise facturation. Le **BFR est négatif (-930,47 M FCFA)**, ce qui est favorable en théorie (financement par les fournisseurs), mais ici il reflète surtout des **délais de paiement clients très longs** (typiques des marchés publics) et une trésorerie sous tension. L'**autonomie financière de 6,55%** est dramatiquement faible (seuil sain : &gt;30%), et le **ratio d'endettement de 93,45%** (dettes totales/capitaux propres) frôle l'insolvabilité. La **capacité de remboursement de 77,53 années** (dettes financières/CAF) est rédhibitoire.</w:t>
      </w:r>
    </w:p>
    <w:p>
      <w:pPr>
        <w:spacing w:after="120" w:line="276" w:lineRule="auto"/>
      </w:pPr>
      <w:r>
        <w:t>**Estimations basées sur les rapports trimestriels** : Le **rapport T3 2025 (30/09/2025)** indique un CA cumulé de 3 456 M FCFA (+176% sur 9 mois) et une perte nette réduite de 22% à -477 M FCFA, avec une perte d'exploitation divisée par deux (-456 M FCFA). La direction maintient sa prévision de **CA annuel 2025 à 4 Mds FCFA**, ce qui implique un T4 quasi nul (~544 M FCFA) — signal d'essoufflement du chantier aéroportuaire. Le **rapport S1 2025 (30/06/2025)** montrait déjà une perte nette de -557 M FCFA malgré un CA de 2 271 M FCFA (+290%), confirmant que la croissance ne se traduit pas en rentabilité. Les **rapports 2024** (exercice clos 31/12/2024) révélaient un effondrement du CA à 1 793 M FCFA (-80,6%) et une perte nette de -348 M FCFA, avec des **capitaux propres en tension à 453 M FCFA** (6,1% du bilan) et des **flux opérationnels négatifs de -931 M FCFA**. À titre historique, les **rapports 2020-2021** montraient une société rentable (RN de 2,32 Mds FCFA en 2020, marge nette de 14,6%) — la dégradation est donc récente et brutale.</w:t>
      </w:r>
    </w:p>
    <w:p>
      <w:pPr>
        <w:spacing w:after="120" w:line="276" w:lineRule="auto"/>
      </w:pPr>
      <w:r>
        <w:t>**Recommandation fondamentale** : STAC présente une **situation financière critique** — rentabilité négative, endettement excessif, autonomie financière quasi nulle, et dépendance à un unique chantier dont l'achèvement approche. Les perspectives sont **très incertaines** : sans nouveaux contrats majeurs, le CA 2026 pourrait s'effondrer à nouveau. Le risque de **dilution** (augmentation de capital) ou de **restructuration** est élevé. **Recommandation : VENTE** pour les investisseurs prudents ; **spéculation contrarienne** réservée aux profils agressifs misant sur un rebond technique de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est aberrante : PER négatif, P/B de 85,71x, EV/EBITDA non calculable — le marché valorise une coquille vide à 30,58 Mds FCFA, ce qui traduit une **surévaluation manifeste** et un décalage total avec les fondamentaux. Le **comportement du cours (Partie 1)** est préoccupant : tendance baissière de -24,17% sur 100 jours, clôture au plus bas, volatilité annualisée de 56,3% (très élevée), et statistiques (kurtosis -0,837, skewness 0,484) qui n'offrent aucun signal de retournement fiable. Les **signaux techniques (Partie 2)** sont **divergents** : les oscillateurs (RSI 21, Stochastique 0, Bollinger sous borne inférieure) suggèrent un rebond technique imminent, mais les tendanciels (MM20/MM50 au-dessus du cours, MACD baissier) confirment la poursuite de la baisse — la convergence des signaux baissiers structurels l'emporte. Les **fondamentaux (Partie 3)** sont **catastrophiques** : perte nette de -96,56 M FCFA en 2025, ROE de -27,07%, autonomie financière de 6,55%, capacité de remboursement de 77,53 années, et dépendance à un chantier unique en voie d'achèvement — les rapports T3 2025 et S1 2025 confirment l'absence de trajectoire vers la rentabilité. Les **prédictions IA (J+1 à J+10)** projettent une **poursuite de la baisse** de 2 264 FCFA (J+1) à 2 201 FCFA (J+5), soit -3,3% supplémentaires — elles **confirment** la tendance baissière et **contredisent** les signaux d'achat contrariens des oscillateurs.</w:t>
      </w:r>
    </w:p>
    <w:p>
      <w:pPr>
        <w:spacing w:after="120" w:line="276" w:lineRule="auto"/>
      </w:pPr>
      <w:r>
        <w:t>**Recommandation finale : VENTE FORTE**</w:t>
      </w:r>
    </w:p>
    <w:p>
      <w:pPr>
        <w:spacing w:after="120" w:line="276" w:lineRule="auto"/>
      </w:pPr>
      <w:r>
        <w:t>Cette recommandation repose sur une **convergence baissière** entre la valorisation (surévaluée), le comportement du cours (tendance baissière), les fondamentaux (détresse financière) et les prédictions IA (poursuite de la baisse). Les seuls signaux d'achat (RSI, Stochastique, Bollinger) sont **contrariens et non confirmés** par les tendanciels — ils ne suffisent pas à justifier une position longue. Le **niveau de confiance est Élevé** (convergence de multiples sources), et le **niveau de risque est Élevé** (volatilité de 56,3%, risque de faillite, dépendance à un chantier unique). L'**horizon d'investissement optimal est court terme (&lt;3 mois)** pour les spéculateurs cherchant un rebond technique — mais pour tout investisseur rationnel, **l'évitement ou la vente est impératif** tant que la société ne démontre pas un retour à la rentabilité opérationnelle et une sécurisation de nouveaux contrats.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3,914 titres</w:t>
            </w:r>
          </w:p>
        </w:tc>
        <w:tc>
          <w:tcPr>
            <w:tcW w:type="dxa" w:w="2268"/>
            <w:shd w:fill="FFF2CC" w:val="clear"/>
          </w:tcPr>
          <w:p>
            <w:r>
              <w:rPr>
                <w:b/>
                <w:color w:val="503200"/>
                <w:sz w:val="16"/>
              </w:rPr>
              <w:t xml:space="preserve">Cours actuel : </w:t>
            </w:r>
            <w:r>
              <w:rPr>
                <w:color w:val="000000"/>
                <w:sz w:val="17"/>
              </w:rPr>
              <w:t>21,950 FCFA</w:t>
            </w:r>
          </w:p>
          <w:p>
            <w:r>
              <w:rPr>
                <w:b/>
                <w:color w:val="503200"/>
                <w:sz w:val="16"/>
              </w:rPr>
              <w:t xml:space="preserve">Var. 100 jours : </w:t>
            </w:r>
            <w:r>
              <w:rPr>
                <w:b/>
                <w:color w:val="007800"/>
                <w:sz w:val="17"/>
              </w:rPr>
              <w:t>+7.07%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5.68% (Moyenne) — μ=22,435 FCFA, σ=1,275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β=0.3943 (Défensif) — Cov=0.000014, Var(idx)=0.000036,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21,227</w:t>
            </w:r>
          </w:p>
        </w:tc>
        <w:tc>
          <w:tcPr>
            <w:tcW w:type="dxa" w:w="1440"/>
            <w:shd w:fill="FAFAFA" w:val="clear"/>
          </w:tcPr>
          <w:p>
            <w:r>
              <w:rPr>
                <w:b/>
                <w:sz w:val="17"/>
              </w:rPr>
              <w:t>22,333</w:t>
            </w:r>
          </w:p>
        </w:tc>
        <w:tc>
          <w:tcPr>
            <w:tcW w:type="dxa" w:w="1440"/>
            <w:shd w:fill="FAFAFA" w:val="clear"/>
          </w:tcPr>
          <w:p>
            <w:r>
              <w:rPr>
                <w:sz w:val="17"/>
              </w:rPr>
              <w:t>23,438</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2026-09-22</w:t>
            </w:r>
          </w:p>
        </w:tc>
        <w:tc>
          <w:tcPr>
            <w:tcW w:type="dxa" w:w="1440"/>
            <w:shd w:fill="C6EFCE" w:val="clear"/>
          </w:tcPr>
          <w:p>
            <w:r>
              <w:rPr>
                <w:sz w:val="17"/>
              </w:rPr>
              <w:t>21,153</w:t>
            </w:r>
          </w:p>
        </w:tc>
        <w:tc>
          <w:tcPr>
            <w:tcW w:type="dxa" w:w="1440"/>
            <w:shd w:fill="C6EFCE" w:val="clear"/>
          </w:tcPr>
          <w:p>
            <w:r>
              <w:rPr>
                <w:b/>
                <w:sz w:val="17"/>
              </w:rPr>
              <w:t>22,745</w:t>
            </w:r>
          </w:p>
        </w:tc>
        <w:tc>
          <w:tcPr>
            <w:tcW w:type="dxa" w:w="1440"/>
            <w:shd w:fill="C6EFCE" w:val="clear"/>
          </w:tcPr>
          <w:p>
            <w:r>
              <w:rPr>
                <w:sz w:val="17"/>
              </w:rPr>
              <w:t>24,338</w:t>
            </w:r>
          </w:p>
        </w:tc>
        <w:tc>
          <w:tcPr>
            <w:tcW w:type="dxa" w:w="1440"/>
            <w:shd w:fill="C6EFCE" w:val="clear"/>
          </w:tcPr>
          <w:p>
            <w:r>
              <w:rPr>
                <w:b/>
                <w:color w:val="008000"/>
                <w:sz w:val="17"/>
              </w:rPr>
              <w:t>+3.6%</w:t>
            </w:r>
          </w:p>
        </w:tc>
      </w:tr>
      <w:tr>
        <w:tc>
          <w:tcPr>
            <w:tcW w:type="dxa" w:w="1440"/>
            <w:shd w:fill="C6EFCE" w:val="clear"/>
          </w:tcPr>
          <w:p>
            <w:r>
              <w:rPr>
                <w:sz w:val="17"/>
              </w:rPr>
              <w:t>J+3  ⭐</w:t>
            </w:r>
          </w:p>
        </w:tc>
        <w:tc>
          <w:tcPr>
            <w:tcW w:type="dxa" w:w="1440"/>
            <w:shd w:fill="C6EFCE" w:val="clear"/>
          </w:tcPr>
          <w:p>
            <w:r>
              <w:rPr>
                <w:sz w:val="17"/>
              </w:rPr>
              <w:t>2026-09-23</w:t>
            </w:r>
          </w:p>
        </w:tc>
        <w:tc>
          <w:tcPr>
            <w:tcW w:type="dxa" w:w="1440"/>
            <w:shd w:fill="C6EFCE" w:val="clear"/>
          </w:tcPr>
          <w:p>
            <w:r>
              <w:rPr>
                <w:sz w:val="17"/>
              </w:rPr>
              <w:t>21,121</w:t>
            </w:r>
          </w:p>
        </w:tc>
        <w:tc>
          <w:tcPr>
            <w:tcW w:type="dxa" w:w="1440"/>
            <w:shd w:fill="C6EFCE" w:val="clear"/>
          </w:tcPr>
          <w:p>
            <w:r>
              <w:rPr>
                <w:b/>
                <w:sz w:val="17"/>
              </w:rPr>
              <w:t>23,102</w:t>
            </w:r>
          </w:p>
        </w:tc>
        <w:tc>
          <w:tcPr>
            <w:tcW w:type="dxa" w:w="1440"/>
            <w:shd w:fill="C6EFCE" w:val="clear"/>
          </w:tcPr>
          <w:p>
            <w:r>
              <w:rPr>
                <w:sz w:val="17"/>
              </w:rPr>
              <w:t>25,083</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2026-09-24</w:t>
            </w:r>
          </w:p>
        </w:tc>
        <w:tc>
          <w:tcPr>
            <w:tcW w:type="dxa" w:w="1440"/>
            <w:shd w:fill="C6EFCE" w:val="clear"/>
          </w:tcPr>
          <w:p>
            <w:r>
              <w:rPr>
                <w:sz w:val="17"/>
              </w:rPr>
              <w:t>21,100</w:t>
            </w:r>
          </w:p>
        </w:tc>
        <w:tc>
          <w:tcPr>
            <w:tcW w:type="dxa" w:w="1440"/>
            <w:shd w:fill="C6EFCE" w:val="clear"/>
          </w:tcPr>
          <w:p>
            <w:r>
              <w:rPr>
                <w:b/>
                <w:sz w:val="17"/>
              </w:rPr>
              <w:t>23,418</w:t>
            </w:r>
          </w:p>
        </w:tc>
        <w:tc>
          <w:tcPr>
            <w:tcW w:type="dxa" w:w="1440"/>
            <w:shd w:fill="C6EFCE" w:val="clear"/>
          </w:tcPr>
          <w:p>
            <w:r>
              <w:rPr>
                <w:sz w:val="17"/>
              </w:rPr>
              <w:t>25,737</w:t>
            </w:r>
          </w:p>
        </w:tc>
        <w:tc>
          <w:tcPr>
            <w:tcW w:type="dxa" w:w="1440"/>
            <w:shd w:fill="C6EFCE" w:val="clear"/>
          </w:tcPr>
          <w:p>
            <w:r>
              <w:rPr>
                <w:b/>
                <w:color w:val="008000"/>
                <w:sz w:val="17"/>
              </w:rPr>
              <w:t>+6.7%</w:t>
            </w:r>
          </w:p>
        </w:tc>
      </w:tr>
      <w:tr>
        <w:tc>
          <w:tcPr>
            <w:tcW w:type="dxa" w:w="1440"/>
            <w:shd w:fill="C6EFCE" w:val="clear"/>
          </w:tcPr>
          <w:p>
            <w:r>
              <w:rPr>
                <w:sz w:val="17"/>
              </w:rPr>
              <w:t>J+5  ⭐</w:t>
            </w:r>
          </w:p>
        </w:tc>
        <w:tc>
          <w:tcPr>
            <w:tcW w:type="dxa" w:w="1440"/>
            <w:shd w:fill="C6EFCE" w:val="clear"/>
          </w:tcPr>
          <w:p>
            <w:r>
              <w:rPr>
                <w:sz w:val="17"/>
              </w:rPr>
              <w:t>2026-09-25</w:t>
            </w:r>
          </w:p>
        </w:tc>
        <w:tc>
          <w:tcPr>
            <w:tcW w:type="dxa" w:w="1440"/>
            <w:shd w:fill="C6EFCE" w:val="clear"/>
          </w:tcPr>
          <w:p>
            <w:r>
              <w:rPr>
                <w:sz w:val="17"/>
              </w:rPr>
              <w:t>21,037</w:t>
            </w:r>
          </w:p>
        </w:tc>
        <w:tc>
          <w:tcPr>
            <w:tcW w:type="dxa" w:w="1440"/>
            <w:shd w:fill="C6EFCE" w:val="clear"/>
          </w:tcPr>
          <w:p>
            <w:r>
              <w:rPr>
                <w:b/>
                <w:sz w:val="17"/>
              </w:rPr>
              <w:t>23,656</w:t>
            </w:r>
          </w:p>
        </w:tc>
        <w:tc>
          <w:tcPr>
            <w:tcW w:type="dxa" w:w="1440"/>
            <w:shd w:fill="C6EFCE" w:val="clear"/>
          </w:tcPr>
          <w:p>
            <w:r>
              <w:rPr>
                <w:sz w:val="17"/>
              </w:rPr>
              <w:t>26,274</w:t>
            </w:r>
          </w:p>
        </w:tc>
        <w:tc>
          <w:tcPr>
            <w:tcW w:type="dxa" w:w="1440"/>
            <w:shd w:fill="C6EFCE" w:val="clear"/>
          </w:tcPr>
          <w:p>
            <w:r>
              <w:rPr>
                <w:b/>
                <w:color w:val="008000"/>
                <w:sz w:val="17"/>
              </w:rPr>
              <w:t>+7.8%</w:t>
            </w:r>
          </w:p>
        </w:tc>
      </w:tr>
      <w:tr>
        <w:tc>
          <w:tcPr>
            <w:tcW w:type="dxa" w:w="1440"/>
            <w:shd w:fill="C6EFCE" w:val="clear"/>
          </w:tcPr>
          <w:p>
            <w:r>
              <w:rPr>
                <w:sz w:val="17"/>
              </w:rPr>
              <w:t>J+6  ⭐</w:t>
            </w:r>
          </w:p>
        </w:tc>
        <w:tc>
          <w:tcPr>
            <w:tcW w:type="dxa" w:w="1440"/>
            <w:shd w:fill="C6EFCE" w:val="clear"/>
          </w:tcPr>
          <w:p>
            <w:r>
              <w:rPr>
                <w:sz w:val="17"/>
              </w:rPr>
              <w:t>2026-09-28</w:t>
            </w:r>
          </w:p>
        </w:tc>
        <w:tc>
          <w:tcPr>
            <w:tcW w:type="dxa" w:w="1440"/>
            <w:shd w:fill="C6EFCE" w:val="clear"/>
          </w:tcPr>
          <w:p>
            <w:r>
              <w:rPr>
                <w:sz w:val="17"/>
              </w:rPr>
              <w:t>20,988</w:t>
            </w:r>
          </w:p>
        </w:tc>
        <w:tc>
          <w:tcPr>
            <w:tcW w:type="dxa" w:w="1440"/>
            <w:shd w:fill="C6EFCE" w:val="clear"/>
          </w:tcPr>
          <w:p>
            <w:r>
              <w:rPr>
                <w:b/>
                <w:sz w:val="17"/>
              </w:rPr>
              <w:t>23,884</w:t>
            </w:r>
          </w:p>
        </w:tc>
        <w:tc>
          <w:tcPr>
            <w:tcW w:type="dxa" w:w="1440"/>
            <w:shd w:fill="C6EFCE" w:val="clear"/>
          </w:tcPr>
          <w:p>
            <w:r>
              <w:rPr>
                <w:sz w:val="17"/>
              </w:rPr>
              <w:t>26,780</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2026-09-29</w:t>
            </w:r>
          </w:p>
        </w:tc>
        <w:tc>
          <w:tcPr>
            <w:tcW w:type="dxa" w:w="1440"/>
            <w:shd w:fill="C6EFCE" w:val="clear"/>
          </w:tcPr>
          <w:p>
            <w:r>
              <w:rPr>
                <w:sz w:val="17"/>
              </w:rPr>
              <w:t>20,916</w:t>
            </w:r>
          </w:p>
        </w:tc>
        <w:tc>
          <w:tcPr>
            <w:tcW w:type="dxa" w:w="1440"/>
            <w:shd w:fill="C6EFCE" w:val="clear"/>
          </w:tcPr>
          <w:p>
            <w:r>
              <w:rPr>
                <w:b/>
                <w:sz w:val="17"/>
              </w:rPr>
              <w:t>24,068</w:t>
            </w:r>
          </w:p>
        </w:tc>
        <w:tc>
          <w:tcPr>
            <w:tcW w:type="dxa" w:w="1440"/>
            <w:shd w:fill="C6EFCE" w:val="clear"/>
          </w:tcPr>
          <w:p>
            <w:r>
              <w:rPr>
                <w:sz w:val="17"/>
              </w:rPr>
              <w:t>27,220</w:t>
            </w:r>
          </w:p>
        </w:tc>
        <w:tc>
          <w:tcPr>
            <w:tcW w:type="dxa" w:w="1440"/>
            <w:shd w:fill="C6EFCE" w:val="clear"/>
          </w:tcPr>
          <w:p>
            <w:r>
              <w:rPr>
                <w:b/>
                <w:color w:val="008000"/>
                <w:sz w:val="17"/>
              </w:rPr>
              <w:t>+9.6%</w:t>
            </w:r>
          </w:p>
        </w:tc>
      </w:tr>
      <w:tr>
        <w:tc>
          <w:tcPr>
            <w:tcW w:type="dxa" w:w="1440"/>
            <w:shd w:fill="C6EFCE" w:val="clear"/>
          </w:tcPr>
          <w:p>
            <w:r>
              <w:rPr>
                <w:sz w:val="17"/>
              </w:rPr>
              <w:t>J+8  ⭐</w:t>
            </w:r>
          </w:p>
        </w:tc>
        <w:tc>
          <w:tcPr>
            <w:tcW w:type="dxa" w:w="1440"/>
            <w:shd w:fill="C6EFCE" w:val="clear"/>
          </w:tcPr>
          <w:p>
            <w:r>
              <w:rPr>
                <w:sz w:val="17"/>
              </w:rPr>
              <w:t>2026-09-30</w:t>
            </w:r>
          </w:p>
        </w:tc>
        <w:tc>
          <w:tcPr>
            <w:tcW w:type="dxa" w:w="1440"/>
            <w:shd w:fill="C6EFCE" w:val="clear"/>
          </w:tcPr>
          <w:p>
            <w:r>
              <w:rPr>
                <w:sz w:val="17"/>
              </w:rPr>
              <w:t>20,838</w:t>
            </w:r>
          </w:p>
        </w:tc>
        <w:tc>
          <w:tcPr>
            <w:tcW w:type="dxa" w:w="1440"/>
            <w:shd w:fill="C6EFCE" w:val="clear"/>
          </w:tcPr>
          <w:p>
            <w:r>
              <w:rPr>
                <w:b/>
                <w:sz w:val="17"/>
              </w:rPr>
              <w:t>24,230</w:t>
            </w:r>
          </w:p>
        </w:tc>
        <w:tc>
          <w:tcPr>
            <w:tcW w:type="dxa" w:w="1440"/>
            <w:shd w:fill="C6EFCE" w:val="clear"/>
          </w:tcPr>
          <w:p>
            <w:r>
              <w:rPr>
                <w:sz w:val="17"/>
              </w:rPr>
              <w:t>27,623</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2026-10-01</w:t>
            </w:r>
          </w:p>
        </w:tc>
        <w:tc>
          <w:tcPr>
            <w:tcW w:type="dxa" w:w="1440"/>
            <w:shd w:fill="C6EFCE" w:val="clear"/>
          </w:tcPr>
          <w:p>
            <w:r>
              <w:rPr>
                <w:sz w:val="17"/>
              </w:rPr>
              <w:t>20,745</w:t>
            </w:r>
          </w:p>
        </w:tc>
        <w:tc>
          <w:tcPr>
            <w:tcW w:type="dxa" w:w="1440"/>
            <w:shd w:fill="C6EFCE" w:val="clear"/>
          </w:tcPr>
          <w:p>
            <w:r>
              <w:rPr>
                <w:b/>
                <w:sz w:val="17"/>
              </w:rPr>
              <w:t>24,364</w:t>
            </w:r>
          </w:p>
        </w:tc>
        <w:tc>
          <w:tcPr>
            <w:tcW w:type="dxa" w:w="1440"/>
            <w:shd w:fill="C6EFCE" w:val="clear"/>
          </w:tcPr>
          <w:p>
            <w:r>
              <w:rPr>
                <w:sz w:val="17"/>
              </w:rPr>
              <w:t>27,982</w:t>
            </w:r>
          </w:p>
        </w:tc>
        <w:tc>
          <w:tcPr>
            <w:tcW w:type="dxa" w:w="1440"/>
            <w:shd w:fill="C6EFCE" w:val="clear"/>
          </w:tcPr>
          <w:p>
            <w:r>
              <w:rPr>
                <w:b/>
                <w:color w:val="008000"/>
                <w:sz w:val="17"/>
              </w:rPr>
              <w:t>+11.0%</w:t>
            </w:r>
          </w:p>
        </w:tc>
      </w:tr>
      <w:tr>
        <w:tc>
          <w:tcPr>
            <w:tcW w:type="dxa" w:w="1440"/>
            <w:shd w:fill="C6EFCE" w:val="clear"/>
          </w:tcPr>
          <w:p>
            <w:r>
              <w:rPr>
                <w:sz w:val="17"/>
              </w:rPr>
              <w:t>J+10  ⭐</w:t>
            </w:r>
          </w:p>
        </w:tc>
        <w:tc>
          <w:tcPr>
            <w:tcW w:type="dxa" w:w="1440"/>
            <w:shd w:fill="C6EFCE" w:val="clear"/>
          </w:tcPr>
          <w:p>
            <w:r>
              <w:rPr>
                <w:sz w:val="17"/>
              </w:rPr>
              <w:t>2026-10-02</w:t>
            </w:r>
          </w:p>
        </w:tc>
        <w:tc>
          <w:tcPr>
            <w:tcW w:type="dxa" w:w="1440"/>
            <w:shd w:fill="C6EFCE" w:val="clear"/>
          </w:tcPr>
          <w:p>
            <w:r>
              <w:rPr>
                <w:sz w:val="17"/>
              </w:rPr>
              <w:t>20,618</w:t>
            </w:r>
          </w:p>
        </w:tc>
        <w:tc>
          <w:tcPr>
            <w:tcW w:type="dxa" w:w="1440"/>
            <w:shd w:fill="C6EFCE" w:val="clear"/>
          </w:tcPr>
          <w:p>
            <w:r>
              <w:rPr>
                <w:b/>
                <w:sz w:val="17"/>
              </w:rPr>
              <w:t>24,444</w:t>
            </w:r>
          </w:p>
        </w:tc>
        <w:tc>
          <w:tcPr>
            <w:tcW w:type="dxa" w:w="1440"/>
            <w:shd w:fill="C6EFCE" w:val="clear"/>
          </w:tcPr>
          <w:p>
            <w:r>
              <w:rPr>
                <w:sz w:val="17"/>
              </w:rPr>
              <w:t>28,270</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394,11 milliards FCFA, STBC se positionne parmi les valeurs les plus importantes de la cote BRVM, ce qui témoigne de sa liquidité relative et de son poids dans l'indice composite. Le BPA de 2 014 FCFA/action indique que chaque titre génère un bénéfice net de plus de deux mille francs, un niveau élevé qui reflète la forte rentabilité de la société. Le PER de 10,9x se situe dans la fourchette modérée de la BRVM (8-12x), suggérant que les investisseurs ne paient pas une prime excessive pour les bénéfices actuels, bien que le contexte de dégradation des marges invite à la prudence. En revanche, le P/B de 8,69x — très supérieur au seuil de 4x — signale une valorisation exigeante par rapport à la valeur comptable, ce qui s'explique par la structure légère du bilan (peu d'actifs corporels, activité de trading) et la forte rentabilité des fonds propres. Enfin, l'EV/EBITDA de 7,8x, dans la fourchette raisonnable de 5-10x, indique que la valeur totale de l'entreprise reste cohérente avec sa capacité opérationnelle, malgré la pression fiscale.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 progressé de +7,07%, clôturant à 21 950 FCFA, avec une légère contraction de -0,09% lors de la dernière séance, signe d'une pause dans la dynamique haussière. Le titre a évolué dans un range de 19 705 FCFA (plus bas) à 25 000 FCFA (plus haut), soit une amplitude de plus de 26%, reflétant une volatilité significative malgré une tendance générale haussière sur la période. La moyenne (22 435 FCFA) est légèrement supérieure à la médiane (22 218 FCFA), tandis que le mode se situe à 21 000 FCFA, ce qui suggère une distribution quasi symétrique avec une légère prédominance des cours élevés. L'écart-type de 1 281 FCFA et le coefficient de variation de 5,7% indiquent une dispersion modérée du cours autour de sa moyenne, ce qui est rassurant pour un titre de cette capitalisation. Le kurtosis de -0,686 (mésokurtique) et le skewness de 0,188 (distribution symétrique) confirment un comportement proche d'une loi normale, sans risque excessif de pics extrêmes ni d'asymétrie marquée. Enfin, la volatilité annualisée de 37,1% positionne STBC dans la catégorie des titres à volatilité élevée (&gt;30%), ce qui implique un risque de marché non négligeable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(22 088,75 FCFA) est inférieure à la MM50 (22 960,8 FCFA), et le cours actuel (21 950 FCFA) se situe en dessous des deux moyennes, ce qui confirme une configuration baissière de court terme. La décision technique qui en résulte est donc **Vente**, car le croisement des moyennes et la position du cours suggèrent une pression vendeuse persistante.</w:t>
      </w:r>
    </w:p>
    <w:p>
      <w:pPr>
        <w:spacing w:after="120" w:line="276" w:lineRule="auto"/>
      </w:pPr>
      <w:r>
        <w:t>**Bandes de Bollinger** : Le cours actuel (21 950 FCFA) se situe dans la partie basse de la bande, entre la borne inférieure (21 126,78 FCFA) et la borne supérieure (23 050,72 FCFA), sans atteindre les extrêmes. La décision est **Neutre**, car le cours n'est ni en surachat ni en survente, et la volatilité implicite reste contenue dans les bornes, sans signal directionnel fort.</w:t>
      </w:r>
    </w:p>
    <w:p>
      <w:pPr>
        <w:spacing w:after="120" w:line="276" w:lineRule="auto"/>
      </w:pPr>
      <w:r>
        <w:t>**MACD** : La valeur du MACD (-351,643) est légèrement supérieure à son signal (-360,492), ce qui génère un croisement haussier et une décision d'**Achat**. Cette divergence positive indique un affaiblissement du momentum baissier et pourrait annoncer un retournement à la hausse, bien que la valeur reste en territoire négatif.</w:t>
      </w:r>
    </w:p>
    <w:p>
      <w:pPr>
        <w:spacing w:after="120" w:line="276" w:lineRule="auto"/>
      </w:pPr>
      <w:r>
        <w:t>**RSI** : À 42,098, le RSI se situe dans la zone neutre (30-70), sans signal de surachat ni de survente. La décision est **Neutre**, car le marché n'affiche pas de déséquilibre manifeste entre acheteurs et vendeurs, laissant présager une consolidation avant un éventuel mouvement directionnel.</w:t>
      </w:r>
    </w:p>
    <w:p>
      <w:pPr>
        <w:spacing w:after="120" w:line="276" w:lineRule="auto"/>
      </w:pPr>
      <w:r>
        <w:t>**Stochastique** : Le %K (70,0) est nettement supérieur au %D (45,625), ce qui indique un croisement haussier récent et une dynamique positive de court terme. La décision est **Neutre**, car le %K approche de la zone de surachat (&gt;80), ce qui pourrait limiter le potentiel de hausse immédiat.</w:t>
      </w:r>
    </w:p>
    <w:p>
      <w:pPr>
        <w:spacing w:after="120" w:line="276" w:lineRule="auto"/>
      </w:pPr>
      <w:r>
        <w:t>**Conclusion technique** : Les indicateurs techniques présentent des signaux divergents — les moyennes mobiles sont baissières, le MACD et le stochastique sont haussiers, tandis que le RSI et les bandes de Bollinger sont neutres. Cette configuration suggère une phase de consolidation avec un léger avantage aux acheteurs, mais l'absence de convergence forte invite à la prudence. Le titre pourrait évoluer dans un range de 21 000 à 23 000 FCFA à court terme, en attendant un catalyseur fondamental ou un volume plus important pour confirmer une direction.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STBC a réalisé un chiffre d'affaires de 268,537 milliards FCFA, en croissance de +25,3% par rapport à 2024, portée par une hausse des volumes (+5,6%) et un effet prix favorable. Le résultat net s'établit à 36,158 milliards FCFA, en baisse de -17,5% sur un an, sous l'effet de la hausse des droits d'accises (de 49% à 70%) et d'un contrôle fiscal. La marge nette se contracte à 13,46% (contre 20,4% en 2024), tandis que le ROE reste exceptionnel à 79,75% et le ROA à 48,09%, témoignant d'une rentabilité des fonds propres et des actifs toujours très élevée. Le BFR est négatif à 5,639 milliards FCFA (favorable), le délai client est de 42,57 jours (risque de trésorerie modéré) et la durée de stockage de 5,73 jours (rotation rapide). La structure financière est très saine : autonomie financière de 60,3%, dettes financières quasi nulles (1,4 million FCFA), liquidité générale de 224,99% et trésorerie nette de 30,763 milliards FCFA.</w:t>
      </w:r>
    </w:p>
    <w:p>
      <w:pPr>
        <w:spacing w:after="120" w:line="276" w:lineRule="auto"/>
      </w:pPr>
      <w:r>
        <w:t>**Estimations basées sur les rapports trimestriels** : Le rapport du T1 2026 (publié en 2026) indique un chiffre d'affaires de 68,8 milliards FCFA (+12%) et des volumes en hausse de +10%, confirmant un redressement commercial après la contraction de 2025. Le résultat net recule légèrement de -1% à 9,3 milliards FCFA, avec une marge nette de 13,5%. Le rapport du T2 2026 (publié en 2026) fait état d'un chiffre d'affaires de 70,05 milliards FCFA (+1%) et d'un résultat net quasi stable à 8,64 milliards FCFA (-0,2%), avec une marge nette de 12,3%. Sur la base de ces deux trimestres, on peut estimer que l'exercice 2026 devrait afficher un chiffre d'affaires annuel d'environ 275-280 milliards FCFA (+2 à +4% vs 2025) et un résultat net de l'ordre de 35-36 milliards FCFA, soit une stabilité de la rentabilité. Le dividende proposé pour 2025 est de 1 940 FCFA/action (rendement de ~8,8% au cours actuel), avec un taux de distribution de 84,9%, ce qui reste généreux mais non soutenable à long terme si les bénéfices ne progressent pas.</w:t>
      </w:r>
    </w:p>
    <w:p>
      <w:pPr>
        <w:spacing w:after="120" w:line="276" w:lineRule="auto"/>
      </w:pPr>
      <w:r>
        <w:t>**Recommandation fondamentale** : La solidité financière de STBC est incontestable (zéro dette, trésorerie abondante, ROE élevé), mais la dégradation des marges et la pression fiscale persistante constituent des risques majeurs. La croissance du chiffre d'affaires reste positive, mais la rentabilité nette est sous pression. Le titre offre un rendement attractif, mais la politique de dividende agressive limite les capacités de réinvestissement. **Recommandation : CONSERVER**, en attendant des signaux plus clairs sur la maîtrise des coûts et la stabilisation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**Synthèse des 4 parties** : La valorisation (Partie 0) est modérée sur la base du PER (10,9x) et de l'EV/EBITDA (7,8x), mais exigeante sur le P/B (8,69x), ce qui reflète la forte rentabilité mais aussi la sensibilité aux marges. Le comportement du cours (Partie 1) est haussier sur 100 jours (+7,07%) avec une volatilité élevée (37,1%) et une distribution symétrique (skewness 0,188, kurtosis -0,686), ce qui est globalement favorable mais risqué. Les signaux techniques (Partie 2) sont divergents : les moyennes mobiles sont baissières, mais le MACD et le stochastique sont haussiers, tandis que le RSI et les bandes de Bollinger sont neutres, suggérant une consolidation. Les fondamentaux (Partie 3) sont solides (ROE 79,75%, trésorerie nette 30,76 Mds FCFA, zéro dette) mais la rentabilité se dégrade (marge nette 13,46% en 2025 vs 20,4% en 2024), et les rapports T1/T2 2026 montrent une stabilisation à un niveau inférieur. Les prédictions IA (J+1 à J+10) anticipent une hausse progressive de 22 333 FCFA à 23 656 FCFA, ce qui contredit les signaux baissiers des moyennes mobiles mais confirme le momentum haussier du MACD et du stochastique.</w:t>
      </w:r>
    </w:p>
    <w:p>
      <w:pPr>
        <w:spacing w:after="120" w:line="276" w:lineRule="auto"/>
      </w:pPr>
      <w:r>
        <w:t>**Recommandation finale** : **CONSERVER**. La convergence entre la valorisation modérée, la solidité financière et les prédictions haussières à court terme soutient une position de conservation, mais les risques de dégradation des marges et la pression fiscale empêchent un passage à l'achat. Le niveau de confiance est **Moyen**, car les signaux techniques sont divergents et les fondamentaux présentent des faiblesses (baisse du résultat net, trésorerie en recul). Le niveau de risque global est **Moyen à Élevé**, en raison de la volatilité du titre (37,1%) et de l'exposition au secteur du tabac, soumis à des risques réglementaires et fiscaux. L'horizon d'investissement optimal est **moyen terme (3-12 mois)**, en attendant les résultats du second semestre 2026 pour vérifier si la maîtrise des coûts s'améliore et si la rentabilité se stabilise. Un renforcement de la position (ACHAT) ne serait justifié qu'en cas de confirmation d'une inversion de la tendance baissière du résultat net et d'une amélioration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7,285 titres</w:t>
            </w:r>
          </w:p>
        </w:tc>
        <w:tc>
          <w:tcPr>
            <w:tcW w:type="dxa" w:w="2268"/>
            <w:shd w:fill="FFF2CC" w:val="clear"/>
          </w:tcPr>
          <w:p>
            <w:r>
              <w:rPr>
                <w:b/>
                <w:color w:val="503200"/>
                <w:sz w:val="16"/>
              </w:rPr>
              <w:t xml:space="preserve">Cours actuel : </w:t>
            </w:r>
            <w:r>
              <w:rPr>
                <w:color w:val="000000"/>
                <w:sz w:val="17"/>
              </w:rPr>
              <w:t>3,160 FCFA</w:t>
            </w:r>
          </w:p>
          <w:p>
            <w:r>
              <w:rPr>
                <w:b/>
                <w:color w:val="503200"/>
                <w:sz w:val="16"/>
              </w:rPr>
              <w:t xml:space="preserve">Var. 100 jours : </w:t>
            </w:r>
            <w:r>
              <w:rPr>
                <w:b/>
                <w:color w:val="007800"/>
                <w:sz w:val="17"/>
              </w:rPr>
              <w:t>+17.04%</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2,700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6.94% (Moyenne) — μ=2,987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β=-0.4296 (Contre-cyclique) — Cov=-0.000016, Var(idx)=0.000036, ρ=-0.100,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2,983</w:t>
            </w:r>
          </w:p>
        </w:tc>
        <w:tc>
          <w:tcPr>
            <w:tcW w:type="dxa" w:w="1440"/>
            <w:shd w:fill="FAFAFA" w:val="clear"/>
          </w:tcPr>
          <w:p>
            <w:r>
              <w:rPr>
                <w:b/>
                <w:sz w:val="17"/>
              </w:rPr>
              <w:t>3,130</w:t>
            </w:r>
          </w:p>
        </w:tc>
        <w:tc>
          <w:tcPr>
            <w:tcW w:type="dxa" w:w="1440"/>
            <w:shd w:fill="FAFAFA" w:val="clear"/>
          </w:tcPr>
          <w:p>
            <w:r>
              <w:rPr>
                <w:sz w:val="17"/>
              </w:rPr>
              <w:t>3,277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2,892</w:t>
            </w:r>
          </w:p>
        </w:tc>
        <w:tc>
          <w:tcPr>
            <w:tcW w:type="dxa" w:w="1440"/>
            <w:shd w:fill="FAFAFA" w:val="clear"/>
          </w:tcPr>
          <w:p>
            <w:r>
              <w:rPr>
                <w:b/>
                <w:sz w:val="17"/>
              </w:rPr>
              <w:t>3,098</w:t>
            </w:r>
          </w:p>
        </w:tc>
        <w:tc>
          <w:tcPr>
            <w:tcW w:type="dxa" w:w="1440"/>
            <w:shd w:fill="FAFAFA" w:val="clear"/>
          </w:tcPr>
          <w:p>
            <w:r>
              <w:rPr>
                <w:sz w:val="17"/>
              </w:rPr>
              <w:t>3,304</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2026-09-23</w:t>
            </w:r>
          </w:p>
        </w:tc>
        <w:tc>
          <w:tcPr>
            <w:tcW w:type="dxa" w:w="1440"/>
            <w:shd w:fill="FFDCE0" w:val="clear"/>
          </w:tcPr>
          <w:p>
            <w:r>
              <w:rPr>
                <w:sz w:val="17"/>
              </w:rPr>
              <w:t>2,822</w:t>
            </w:r>
          </w:p>
        </w:tc>
        <w:tc>
          <w:tcPr>
            <w:tcW w:type="dxa" w:w="1440"/>
            <w:shd w:fill="FFDCE0" w:val="clear"/>
          </w:tcPr>
          <w:p>
            <w:r>
              <w:rPr>
                <w:b/>
                <w:sz w:val="17"/>
              </w:rPr>
              <w:t>3,072</w:t>
            </w:r>
          </w:p>
        </w:tc>
        <w:tc>
          <w:tcPr>
            <w:tcW w:type="dxa" w:w="1440"/>
            <w:shd w:fill="FFDCE0" w:val="clear"/>
          </w:tcPr>
          <w:p>
            <w:r>
              <w:rPr>
                <w:sz w:val="17"/>
              </w:rPr>
              <w:t>3,323</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2026-09-24</w:t>
            </w:r>
          </w:p>
        </w:tc>
        <w:tc>
          <w:tcPr>
            <w:tcW w:type="dxa" w:w="1440"/>
            <w:shd w:fill="FFDCE0" w:val="clear"/>
          </w:tcPr>
          <w:p>
            <w:r>
              <w:rPr>
                <w:sz w:val="17"/>
              </w:rPr>
              <w:t>2,761</w:t>
            </w:r>
          </w:p>
        </w:tc>
        <w:tc>
          <w:tcPr>
            <w:tcW w:type="dxa" w:w="1440"/>
            <w:shd w:fill="FFDCE0" w:val="clear"/>
          </w:tcPr>
          <w:p>
            <w:r>
              <w:rPr>
                <w:b/>
                <w:sz w:val="17"/>
              </w:rPr>
              <w:t>3,047</w:t>
            </w:r>
          </w:p>
        </w:tc>
        <w:tc>
          <w:tcPr>
            <w:tcW w:type="dxa" w:w="1440"/>
            <w:shd w:fill="FFDCE0" w:val="clear"/>
          </w:tcPr>
          <w:p>
            <w:r>
              <w:rPr>
                <w:sz w:val="17"/>
              </w:rPr>
              <w:t>3,334</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2026-09-25</w:t>
            </w:r>
          </w:p>
        </w:tc>
        <w:tc>
          <w:tcPr>
            <w:tcW w:type="dxa" w:w="1440"/>
            <w:shd w:fill="FFDCE0" w:val="clear"/>
          </w:tcPr>
          <w:p>
            <w:r>
              <w:rPr>
                <w:sz w:val="17"/>
              </w:rPr>
              <w:t>2,705</w:t>
            </w:r>
          </w:p>
        </w:tc>
        <w:tc>
          <w:tcPr>
            <w:tcW w:type="dxa" w:w="1440"/>
            <w:shd w:fill="FFDCE0" w:val="clear"/>
          </w:tcPr>
          <w:p>
            <w:r>
              <w:rPr>
                <w:b/>
                <w:sz w:val="17"/>
              </w:rPr>
              <w:t>3,022</w:t>
            </w:r>
          </w:p>
        </w:tc>
        <w:tc>
          <w:tcPr>
            <w:tcW w:type="dxa" w:w="1440"/>
            <w:shd w:fill="FFDCE0" w:val="clear"/>
          </w:tcPr>
          <w:p>
            <w:r>
              <w:rPr>
                <w:sz w:val="17"/>
              </w:rPr>
              <w:t>3,340</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2,653</w:t>
            </w:r>
          </w:p>
        </w:tc>
        <w:tc>
          <w:tcPr>
            <w:tcW w:type="dxa" w:w="1440"/>
            <w:shd w:fill="FFDCE0" w:val="clear"/>
          </w:tcPr>
          <w:p>
            <w:r>
              <w:rPr>
                <w:b/>
                <w:sz w:val="17"/>
              </w:rPr>
              <w:t>2,999</w:t>
            </w:r>
          </w:p>
        </w:tc>
        <w:tc>
          <w:tcPr>
            <w:tcW w:type="dxa" w:w="1440"/>
            <w:shd w:fill="FFDCE0" w:val="clear"/>
          </w:tcPr>
          <w:p>
            <w:r>
              <w:rPr>
                <w:sz w:val="17"/>
              </w:rPr>
              <w:t>3,344</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2,605</w:t>
            </w:r>
          </w:p>
        </w:tc>
        <w:tc>
          <w:tcPr>
            <w:tcW w:type="dxa" w:w="1440"/>
            <w:shd w:fill="FFDCE0" w:val="clear"/>
          </w:tcPr>
          <w:p>
            <w:r>
              <w:rPr>
                <w:b/>
                <w:sz w:val="17"/>
              </w:rPr>
              <w:t>2,975</w:t>
            </w:r>
          </w:p>
        </w:tc>
        <w:tc>
          <w:tcPr>
            <w:tcW w:type="dxa" w:w="1440"/>
            <w:shd w:fill="FFDCE0" w:val="clear"/>
          </w:tcPr>
          <w:p>
            <w:r>
              <w:rPr>
                <w:sz w:val="17"/>
              </w:rPr>
              <w:t>3,346</w:t>
            </w:r>
          </w:p>
        </w:tc>
        <w:tc>
          <w:tcPr>
            <w:tcW w:type="dxa" w:w="1440"/>
            <w:shd w:fill="FFDCE0" w:val="clear"/>
          </w:tcPr>
          <w:p>
            <w:r>
              <w:rPr>
                <w:b/>
                <w:color w:val="C00000"/>
                <w:sz w:val="17"/>
              </w:rPr>
              <w:t>-5.8%</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2,561</w:t>
            </w:r>
          </w:p>
        </w:tc>
        <w:tc>
          <w:tcPr>
            <w:tcW w:type="dxa" w:w="1440"/>
            <w:shd w:fill="FFDCE0" w:val="clear"/>
          </w:tcPr>
          <w:p>
            <w:r>
              <w:rPr>
                <w:b/>
                <w:sz w:val="17"/>
              </w:rPr>
              <w:t>2,953</w:t>
            </w:r>
          </w:p>
        </w:tc>
        <w:tc>
          <w:tcPr>
            <w:tcW w:type="dxa" w:w="1440"/>
            <w:shd w:fill="FFDCE0" w:val="clear"/>
          </w:tcPr>
          <w:p>
            <w:r>
              <w:rPr>
                <w:sz w:val="17"/>
              </w:rPr>
              <w:t>3,346</w:t>
            </w:r>
          </w:p>
        </w:tc>
        <w:tc>
          <w:tcPr>
            <w:tcW w:type="dxa" w:w="1440"/>
            <w:shd w:fill="FFDCE0" w:val="clear"/>
          </w:tcPr>
          <w:p>
            <w:r>
              <w:rPr>
                <w:b/>
                <w:color w:val="C00000"/>
                <w:sz w:val="17"/>
              </w:rPr>
              <w:t>-6.5%</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2,518</w:t>
            </w:r>
          </w:p>
        </w:tc>
        <w:tc>
          <w:tcPr>
            <w:tcW w:type="dxa" w:w="1440"/>
            <w:shd w:fill="FFDCE0" w:val="clear"/>
          </w:tcPr>
          <w:p>
            <w:r>
              <w:rPr>
                <w:b/>
                <w:sz w:val="17"/>
              </w:rPr>
              <w:t>2,932</w:t>
            </w:r>
          </w:p>
        </w:tc>
        <w:tc>
          <w:tcPr>
            <w:tcW w:type="dxa" w:w="1440"/>
            <w:shd w:fill="FFDCE0" w:val="clear"/>
          </w:tcPr>
          <w:p>
            <w:r>
              <w:rPr>
                <w:sz w:val="17"/>
              </w:rPr>
              <w:t>3,346</w:t>
            </w:r>
          </w:p>
        </w:tc>
        <w:tc>
          <w:tcPr>
            <w:tcW w:type="dxa" w:w="1440"/>
            <w:shd w:fill="FFDCE0" w:val="clear"/>
          </w:tcPr>
          <w:p>
            <w:r>
              <w:rPr>
                <w:b/>
                <w:color w:val="C00000"/>
                <w:sz w:val="17"/>
              </w:rPr>
              <w:t>-7.2%</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2,479</w:t>
            </w:r>
          </w:p>
        </w:tc>
        <w:tc>
          <w:tcPr>
            <w:tcW w:type="dxa" w:w="1440"/>
            <w:shd w:fill="FFDCE0" w:val="clear"/>
          </w:tcPr>
          <w:p>
            <w:r>
              <w:rPr>
                <w:b/>
                <w:sz w:val="17"/>
              </w:rPr>
              <w:t>2,911</w:t>
            </w:r>
          </w:p>
        </w:tc>
        <w:tc>
          <w:tcPr>
            <w:tcW w:type="dxa" w:w="1440"/>
            <w:shd w:fill="FFDCE0" w:val="clear"/>
          </w:tcPr>
          <w:p>
            <w:r>
              <w:rPr>
                <w:sz w:val="17"/>
              </w:rPr>
              <w:t>3,344</w:t>
            </w:r>
          </w:p>
        </w:tc>
        <w:tc>
          <w:tcPr>
            <w:tcW w:type="dxa" w:w="1440"/>
            <w:shd w:fill="FFDCE0" w:val="clear"/>
          </w:tcPr>
          <w:p>
            <w:r>
              <w:rPr>
                <w:b/>
                <w:color w:val="C00000"/>
                <w:sz w:val="17"/>
              </w:rPr>
              <w:t>-7.9%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TTLC (TotalEnergies Marketing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198,96 milliards FCFA, TTLC figure parmi les valeurs les plus importantes de la cote BRVM, ce qui en fait un pilier de l'indice composite et un titre de référence pour les investisseurs institutionnels régionaux. Le BPA de 144 FCFA/action signifie que chaque titre génère 144 FCFA de bénéfice net, ce qui, rapporté au cours actuel de 3 160 FCFA, donne un PER de 21,9x — nettement supérieur à la moyenne BRVM (8-12x), signalant que le marché paie une prime de croissance ou de qualité pour cette valeur. Le P/B de 5,50x, très au-dessus du seuil de 4x, confirme cette valorisation exigeante : le marché valorise l'entreprise à plus de cinq fois ses fonds propres comptables (36,2 Mds FCFA), ce qui traduit une forte confiance dans la rentabilité future mais laisse peu de marge de sécurité en cas de déception. Enfin, l'EV/EBITDA de 11,3x, dans la fourchette haute (10-15x), indique que la valeur d'entreprise (capitalisation + dette nette) représente plus de onze fois la capacité opérationnelle de l'entreprise, une valorisation tendue qui intègre déjà une bonne partie du potentiel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progression totale de +17,04%, mais la dernière séance (J-1) marque un repli de -3,36%, signe d'une prise de profit après un rallye soutenu. Le cours actuel de 3 160 FCFA se situe dans la moitié supérieure du range de trading (plus bas à 2 700 FCFA, plus haut à 3 595 FCFA), la tendance générale restant haussière malgré la correction récente. Les statistiques descriptives révèlent une distribution asymétrique : la moyenne (2 987 FCFA) dépasse la médiane (2 905 FCFA) et le mode (2 900 FCFA), ce qui indique que quelques séances de forte hausse tirent la moyenne vers le haut, tandis que la majorité des journées se sont négociées sous ce niveau — cohérent avec le skewness positif de 0,919 (plus de journées sous la moyenne). L'écart-type de 208 FCFA, avec un coefficient de variation de 7,0%, traduit une dispersion modérée du cours autour de sa moyenne, tandis que le kurtosis de -0,192 (mésokurtique) suggère une distribution proche de la normale, sans risque excessif de pics extrêmes. La volatilité annualisée de 40,9% classe le titre dans la catégorie des valeurs à volatilité élevée (&gt;30%), ce qui implique un risque de fluctuation important et justifie une approche prudente en termes de timing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3 331,5 FCFA et la MM50 à 3 122,4 FCFA, toutes deux supérieures au cours actuel de 3 160 FCFA pour la MM20, mais la MM50 reste en-dessous. Le croisement haussier (MM20 &gt; MM50) confirme la tendance de fond positive, mais le cours repassé sous la MM20 signale une pression vendeuse court terme. La décision globale reste « Achat » tant que le cours se maintient au-dessus de la MM50 (3 122 FCFA), qui fait office de support dynamique.</w:t>
      </w:r>
    </w:p>
    <w:p>
      <w:pPr>
        <w:spacing w:after="120" w:line="276" w:lineRule="auto"/>
      </w:pPr>
      <w:r>
        <w:t>**Bandes de Bollinger** : La borne supérieure est à 3 525,6 FCFA et la borne inférieure à 3 137,4 FCFA, avec un cours actuel de 3 160 FCFA qui se situe tout près de la borne basse. Cette position indique que le titre évolue dans le bas de son canal de volatilité, ce qui peut précéder un rebond technique, mais la décision « Neutre » reflète l'absence de signal directionnel fort. L'écart entre les bornes (388 FCFA) traduit une volatilité encore présente mais en voie de normalisation.</w:t>
      </w:r>
    </w:p>
    <w:p>
      <w:pPr>
        <w:spacing w:after="120" w:line="276" w:lineRule="auto"/>
      </w:pPr>
      <w:r>
        <w:t>**MACD** : La valeur du MACD (24,19) est inférieure à son signal (52,547), générant une divergence baissière et une décision « Vente ». Cet écart négatif indique un essoufflement du momentum haussier et un possible retournement à court terme, bien que le MACD reste en territoire positif, ce qui tempère la portée baissière du signal.</w:t>
      </w:r>
    </w:p>
    <w:p>
      <w:pPr>
        <w:spacing w:after="120" w:line="276" w:lineRule="auto"/>
      </w:pPr>
      <w:r>
        <w:t>**RSI** : À 30,973, le RSI se situe juste au-dessus du seuil de survente (30), avec une décision « Neutre ». Cette valeur proche de la zone de survente suggère que le titre pourrait être survendu à court terme, ce qui limite le potentiel de baisse immédiat et ouvre la voie à un rebond technique si les autres indicateurs se stabilisent.</w:t>
      </w:r>
    </w:p>
    <w:p>
      <w:pPr>
        <w:spacing w:after="120" w:line="276" w:lineRule="auto"/>
      </w:pPr>
      <w:r>
        <w:t>**Stochastique** : Le %K est à 0,0 et le %D à 26,132, avec une décision « Achat ». Le %K à zéro indique une survente extrême, et le croisement imminent du %K au-dessus du %D pourrait déclencher un signal d'achat technique, bien que la prudence reste de mise tant que le %K ne se redresse pas effectivement.</w:t>
      </w:r>
    </w:p>
    <w:p>
      <w:pPr>
        <w:spacing w:after="120" w:line="276" w:lineRule="auto"/>
      </w:pPr>
      <w:r>
        <w:t>**Conclusion technique** : Les indicateurs sont divergents — les moyennes mobiles et le stochastique plaident pour un achat, tandis que le MACD et les Bandes de Bollinger suggèrent une prudence. Le RSI proche de la survente et le %K à zéro indiquent un potentiel de rebond à court terme, mais la pression vendeuse récente (cours sous la MM20) et la divergence baissière du MACD incitent à attendre une confirmation de retournement avant d'agir. La configuration globale est celle d'un titre en correction au sein d'une tendance haussière de fond, avec un support critique à 3 122 FCFA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milliards FCFA, en repli de 5,2% par rapport aux 621,042 milliards de 2024, dans un contexte de baisse des ventes hors réseau et d'absence de ventes exceptionnelles. Le résultat net s'établit à 9,087 milliards FCFA (contre 9,374 milliards en 2024, soit -3%), avec une marge nette de 1,54% (en légère amélioration de +0,03 point), tandis que le ROE atteint 25,1% — un niveau excellent qui témoigne d'une forte rentabilité des fonds propres (36,202 milliards FCFA) malgré des marges faibles typiques du secteur de la distribution pétrolière. Le ROA de 4,82% et la rotation des actifs de 312,4% confirment l'efficacité opérationnelle d'un modèle à fort volume et à faible marge. Sur le plan de la structure financière, l'autonomie financière de 19,2% est inférieure au seuil de 30% considéré comme sain, et le ratio d'endettement de 90,2% (dettes totales/capitaux propres) est élevé, bien que la capacité de remboursement de 1,71 an (dettes financières/CAF) reste maîtrisée. Le BFR est négatif (-9,662 milliards FCFA), ce qui est favorable car il signifie que les fournisseurs (délai de 49,72 jours) financent une partie du cycle d'exploitation, mais la trésorerie nette est négative (-21,926 milliards FCFA), signalant une dépendance aux crédits court terme. Les rapports trimestriels confirment cette dynamique : au T1 2026 (rapport publié en 2026), le chiffre d'affaires progresse de 4,3% à 154,392 milliards FCFA et le résultat net de 5,5% à 2,329 milliards FCFA, porté par la hausse des volumes sur tous les canaux et un réseau de 182 stations. On estime donc que l'exercice 2026 devrait renouer avec la croissance, après une année 2025 en repli, soutenu par la diversification (GPL, lubrifiants) et l'expansion du réseau. La politique de dividende reste généreuse (10 milliards FCFA distribués en 2025, soit un payout &gt;100%), mais sa soutenabilité est à surveiller compte tenu de la trésorerie négative. En synthèse, TTLC présente des fondamentaux solides (ROE élevé, leader de marché, amélioration opérationnelle) mais des risques financiers (endettement, trésorerie négative, payout excessif) qui tempèrent l'enthousiasme.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 le PER de 21,9x (vs 8-12x pour la moyenne BRVM), le P/B de 5,50x et l'EV/EBITDA de 11,3x intègrent déjà une prime de qualité et de croissance, laissant peu de marge d'erreur. Le comportement du cours sur 100 jours est haussier (+17,04%) mais la correction récente (-3,36% en J-1) et la volatilité élevée (40,9%) incitent à la prudence, d'autant que la distribution asymétrique (skewness positif) indique que les hausses ont été concentrées sur quelques séances. Les signaux techniques sont mitigés : les moyennes mobiles et le stochastique sont haussiers, mais le MACD est baissier et le RSI proche de la survente, créant une divergence qui appelle à la confirmation. Les fondamentaux sont solides (ROE de 25,1%, leader du secteur, T1 2026 en croissance de +4,3% du CA et +5,5% du résultat net), mais les risques financiers (endettement de 90,2%, trésorerie nette de -21,9 milliards FCFA, payout &gt;100%) sont réels. Les prédictions IA pour les 10 prochains jours (3 130 → 3 022 FCFA, soit -4,4%) confirment la pression baissière court terme et contredisent les signaux haussiers des moyennes mobiles, suggérant une poursuite de la correction vers le support de 3 122 FCFA (MM50). Sur la base de cette synthèse, la recommandation est **CONSERVER** : le titre reste un actif de qualité pour le long terme, mais la valorisation tendue, la correction en cours et les risques financiers justifient d'attendre une meilleure opportunité d'entrée ou de conserver ses positions sans renforcer. Le niveau de confiance est **Moyen** (divergence entre technique et fondamental), le risque global est **Élevé** (volatilité de 40,9%, endettement, payout excessif), et l'horizon optimal est **moyen terme (3-12 mois)** pour laisser la correction se stabiliser et les fondamentaux confirmer leur 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2,621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+21.73%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10.06% (Moyenne) — μ=3,606 FCFA, σ=363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β=0.6006 (Défensif) — Cov=0.000022, Var(idx)=0.000036, ρ=0.132,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3,754</w:t>
            </w:r>
          </w:p>
        </w:tc>
        <w:tc>
          <w:tcPr>
            <w:tcW w:type="dxa" w:w="1440"/>
            <w:shd w:fill="FAFAFA" w:val="clear"/>
          </w:tcPr>
          <w:p>
            <w:r>
              <w:rPr>
                <w:b/>
                <w:sz w:val="17"/>
              </w:rPr>
              <w:t>3,904</w:t>
            </w:r>
          </w:p>
        </w:tc>
        <w:tc>
          <w:tcPr>
            <w:tcW w:type="dxa" w:w="1440"/>
            <w:shd w:fill="FAFAFA" w:val="clear"/>
          </w:tcPr>
          <w:p>
            <w:r>
              <w:rPr>
                <w:sz w:val="17"/>
              </w:rPr>
              <w:t>4,054</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3,689</w:t>
            </w:r>
          </w:p>
        </w:tc>
        <w:tc>
          <w:tcPr>
            <w:tcW w:type="dxa" w:w="1440"/>
            <w:shd w:fill="FAFAFA" w:val="clear"/>
          </w:tcPr>
          <w:p>
            <w:r>
              <w:rPr>
                <w:b/>
                <w:sz w:val="17"/>
              </w:rPr>
              <w:t>3,902</w:t>
            </w:r>
          </w:p>
        </w:tc>
        <w:tc>
          <w:tcPr>
            <w:tcW w:type="dxa" w:w="1440"/>
            <w:shd w:fill="FAFAFA" w:val="clear"/>
          </w:tcPr>
          <w:p>
            <w:r>
              <w:rPr>
                <w:sz w:val="17"/>
              </w:rPr>
              <w:t>4,114</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3,638</w:t>
            </w:r>
          </w:p>
        </w:tc>
        <w:tc>
          <w:tcPr>
            <w:tcW w:type="dxa" w:w="1440"/>
            <w:shd w:fill="FAFAFA" w:val="clear"/>
          </w:tcPr>
          <w:p>
            <w:r>
              <w:rPr>
                <w:b/>
                <w:sz w:val="17"/>
              </w:rPr>
              <w:t>3,898</w:t>
            </w:r>
          </w:p>
        </w:tc>
        <w:tc>
          <w:tcPr>
            <w:tcW w:type="dxa" w:w="1440"/>
            <w:shd w:fill="FAFAFA" w:val="clear"/>
          </w:tcPr>
          <w:p>
            <w:r>
              <w:rPr>
                <w:sz w:val="17"/>
              </w:rPr>
              <w:t>4,158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3,594</w:t>
            </w:r>
          </w:p>
        </w:tc>
        <w:tc>
          <w:tcPr>
            <w:tcW w:type="dxa" w:w="1440"/>
            <w:shd w:fill="FAFAFA" w:val="clear"/>
          </w:tcPr>
          <w:p>
            <w:r>
              <w:rPr>
                <w:b/>
                <w:sz w:val="17"/>
              </w:rPr>
              <w:t>3,894</w:t>
            </w:r>
          </w:p>
        </w:tc>
        <w:tc>
          <w:tcPr>
            <w:tcW w:type="dxa" w:w="1440"/>
            <w:shd w:fill="FAFAFA" w:val="clear"/>
          </w:tcPr>
          <w:p>
            <w:r>
              <w:rPr>
                <w:sz w:val="17"/>
              </w:rPr>
              <w:t>4,194</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3,555</w:t>
            </w:r>
          </w:p>
        </w:tc>
        <w:tc>
          <w:tcPr>
            <w:tcW w:type="dxa" w:w="1440"/>
            <w:shd w:fill="FAFAFA" w:val="clear"/>
          </w:tcPr>
          <w:p>
            <w:r>
              <w:rPr>
                <w:b/>
                <w:sz w:val="17"/>
              </w:rPr>
              <w:t>3,891</w:t>
            </w:r>
          </w:p>
        </w:tc>
        <w:tc>
          <w:tcPr>
            <w:tcW w:type="dxa" w:w="1440"/>
            <w:shd w:fill="FAFAFA" w:val="clear"/>
          </w:tcPr>
          <w:p>
            <w:r>
              <w:rPr>
                <w:sz w:val="17"/>
              </w:rPr>
              <w:t>4,226</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3,521</w:t>
            </w:r>
          </w:p>
        </w:tc>
        <w:tc>
          <w:tcPr>
            <w:tcW w:type="dxa" w:w="1440"/>
            <w:shd w:fill="FAFAFA" w:val="clear"/>
          </w:tcPr>
          <w:p>
            <w:r>
              <w:rPr>
                <w:b/>
                <w:sz w:val="17"/>
              </w:rPr>
              <w:t>3,888</w:t>
            </w:r>
          </w:p>
        </w:tc>
        <w:tc>
          <w:tcPr>
            <w:tcW w:type="dxa" w:w="1440"/>
            <w:shd w:fill="FAFAFA" w:val="clear"/>
          </w:tcPr>
          <w:p>
            <w:r>
              <w:rPr>
                <w:sz w:val="17"/>
              </w:rPr>
              <w:t>4,255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3,489</w:t>
            </w:r>
          </w:p>
        </w:tc>
        <w:tc>
          <w:tcPr>
            <w:tcW w:type="dxa" w:w="1440"/>
            <w:shd w:fill="FAFAFA" w:val="clear"/>
          </w:tcPr>
          <w:p>
            <w:r>
              <w:rPr>
                <w:b/>
                <w:sz w:val="17"/>
              </w:rPr>
              <w:t>3,885</w:t>
            </w:r>
          </w:p>
        </w:tc>
        <w:tc>
          <w:tcPr>
            <w:tcW w:type="dxa" w:w="1440"/>
            <w:shd w:fill="FAFAFA" w:val="clear"/>
          </w:tcPr>
          <w:p>
            <w:r>
              <w:rPr>
                <w:sz w:val="17"/>
              </w:rPr>
              <w:t>4,281</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3,460</w:t>
            </w:r>
          </w:p>
        </w:tc>
        <w:tc>
          <w:tcPr>
            <w:tcW w:type="dxa" w:w="1440"/>
            <w:shd w:fill="FAFAFA" w:val="clear"/>
          </w:tcPr>
          <w:p>
            <w:r>
              <w:rPr>
                <w:b/>
                <w:sz w:val="17"/>
              </w:rPr>
              <w:t>3,883</w:t>
            </w:r>
          </w:p>
        </w:tc>
        <w:tc>
          <w:tcPr>
            <w:tcW w:type="dxa" w:w="1440"/>
            <w:shd w:fill="FAFAFA" w:val="clear"/>
          </w:tcPr>
          <w:p>
            <w:r>
              <w:rPr>
                <w:sz w:val="17"/>
              </w:rPr>
              <w:t>4,306</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3,432</w:t>
            </w:r>
          </w:p>
        </w:tc>
        <w:tc>
          <w:tcPr>
            <w:tcW w:type="dxa" w:w="1440"/>
            <w:shd w:fill="FAFAFA" w:val="clear"/>
          </w:tcPr>
          <w:p>
            <w:r>
              <w:rPr>
                <w:b/>
                <w:sz w:val="17"/>
              </w:rPr>
              <w:t>3,880</w:t>
            </w:r>
          </w:p>
        </w:tc>
        <w:tc>
          <w:tcPr>
            <w:tcW w:type="dxa" w:w="1440"/>
            <w:shd w:fill="FAFAFA" w:val="clear"/>
          </w:tcPr>
          <w:p>
            <w:r>
              <w:rPr>
                <w:sz w:val="17"/>
              </w:rPr>
              <w:t>4,329</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3,406</w:t>
            </w:r>
          </w:p>
        </w:tc>
        <w:tc>
          <w:tcPr>
            <w:tcW w:type="dxa" w:w="1440"/>
            <w:shd w:fill="FAFAFA" w:val="clear"/>
          </w:tcPr>
          <w:p>
            <w:r>
              <w:rPr>
                <w:b/>
                <w:sz w:val="17"/>
              </w:rPr>
              <w:t>3,878</w:t>
            </w:r>
          </w:p>
        </w:tc>
        <w:tc>
          <w:tcPr>
            <w:tcW w:type="dxa" w:w="1440"/>
            <w:shd w:fill="FAFAFA" w:val="clear"/>
          </w:tcPr>
          <w:p>
            <w:r>
              <w:rPr>
                <w:sz w:val="17"/>
              </w:rPr>
              <w:t>4,351</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 / Énergie**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**128,68 milliards FCFA**, TTLS figure parmi les valeurs moyennes-capitalisations de la cote BRVM, ce qui traduit une liquidité modérée mais une réelle profondeur institutionnelle. Le **BPA de 208 FCFA/action** signifie que chaque titre génère 208 FCFA de bénéfice net, un niveau cohérent avec la marge nette structurellement faible du secteur (1,5%). Le **PER de 19,0x** se situe nettement au-dessus de la moyenne BRVM (~8-12x), signalant que le marché paie une prime de qualité et de leadership pour cette valeur défensive — mais cette prime réduit la marge de sécurité. Le **P/B de 4,56x** confirme cette valorisation exigeante : le marché valorise l'entreprise à plus de 4 fois ses fonds propres comptables (28,2 Mds FCFA), ce qui n'est justifiable que par la solidité du réseau de 140 stations et la régularité des dividendes. Enfin, l'**EV/EBITDA de 8,1x** apparaît raisonnable dans la fourchette 5-10x, suggérant que la valeur d'entreprise reste cohérente avec la capacité opérationnelle de génération de cash-flow (EBE de 16,07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totale de +21,73%**, avec une dernière séance en hausse marquée de **+3,95%**, confirmant un momentum haussier soutenu. Le cours actuel de **3 950 FCFA** évolue dans un range large entre **2 845 FCFA (plus bas)** et **4 500 FCFA (plus haut)**, soit une amplitude de 58%, ce qui témoigne d'une réelle volatilité intra-période. La tendance générale est clairement haussière, portée par le retour de l'appétit pour les valeurs défensives à dividende sur la BRVM. Les statistiques descriptives révèlent une **moyenne (3 606 FCFA) quasi identique à la médiane (3 628 FCFA)**, avec un **skewness de 0,007** — distribution parfaitement symétrique, sans biais haussier ou baissier excessif. L'**écart-type de 364 FCFA (CV = 10,1%)** indique une dispersion modérée autour de la moyenne, tandis que le **kurtosis de -0,385 (mésokurtique)** suggère une distribution proche de la normale, sans risque de pics extrêmes (queues épaisses). La **volatilité annualisée de 44,0%** classe le titre dans la catégorie **élevée (&gt;30%)**, ce qui est cohérent avec une valeur de rendement exposée aux variations de prix pétroliers et aux décisions réglementaires sénégalaises.</w:t>
      </w:r>
    </w:p>
    <w:p>
      <w:pPr>
        <w:spacing w:after="120" w:line="276" w:lineRule="auto"/>
      </w:pPr>
      <w:r>
        <w:t>---</w:t>
      </w:r>
    </w:p>
    <w:p>
      <w:pPr>
        <w:spacing w:after="120" w:line="276" w:lineRule="auto"/>
      </w:pPr>
      <w:r>
        <w:t>## PARTIE 2 : ANALYSE TECHNIQUE DÉTAILLÉE</w:t>
      </w:r>
    </w:p>
    <w:p>
      <w:pPr>
        <w:spacing w:after="120" w:line="276" w:lineRule="auto"/>
      </w:pPr>
      <w:r>
        <w:t>**Moyennes Mobiles** : La MM20 (3 854,5 FCFA) et la MM50 (3 817,2 FCFA) se situent toutes deux **sous le cours actuel (3 950 FCFA)**, avec la MM20 au-dessus de la MM50 — configuration haussière classique (golden cross). Le cours évolue au-dessus de ses deux moyennes, confirmant la **décision d'Achat** par momentum positif et soutien dynamique.</w:t>
      </w:r>
    </w:p>
    <w:p>
      <w:pPr>
        <w:spacing w:after="120" w:line="276" w:lineRule="auto"/>
      </w:pPr>
      <w:r>
        <w:t>**Bandes de Bollinger** : Le cours (3 950 FCFA) se situe dans la moitié supérieure de la bande, entre la borne inférieure (3 702,4 FCFA) et la borne supérieure (4 006,6 FCFA), sans franchissement. La largeur de bande modérée traduit une volatilité contenue à court terme, justifiant la **décision Neutre** — le titre n'est ni en surachat extrême ni en survente.</w:t>
      </w:r>
    </w:p>
    <w:p>
      <w:pPr>
        <w:spacing w:after="120" w:line="276" w:lineRule="auto"/>
      </w:pPr>
      <w:r>
        <w:t>**MACD** : La ligne MACD (44,414) est **supérieure à son signal (38,227)**, avec un histogramme positif — configuration haussière confirmée. Le momentum reste favorable, justifiant la **décision d'Achat** par croisement haussier durable.</w:t>
      </w:r>
    </w:p>
    <w:p>
      <w:pPr>
        <w:spacing w:after="120" w:line="276" w:lineRule="auto"/>
      </w:pPr>
      <w:r>
        <w:t>**RSI** : À **61,03**, le RSI se situe en zone neutre-haute (30-70), sans atteindre la zone de surachat (&gt;70). La **décision Neutre** reflète un potentiel de hausse résiduel mais une vigilance accrue à l'approche des 70.</w:t>
      </w:r>
    </w:p>
    <w:p>
      <w:pPr>
        <w:spacing w:after="120" w:line="276" w:lineRule="auto"/>
      </w:pPr>
      <w:r>
        <w:t>**Stochastique** : Le %K (76,19) est nettement au-dessus du %D (52,381), signalant un momentum haussier à court terme, mais le %K en zone haute (&gt;75) approche la zone de surachat. La **décision Neutre** invite à la prudence sur un éventuel essoufflement.</w:t>
      </w:r>
    </w:p>
    <w:p>
      <w:pPr>
        <w:spacing w:after="120" w:line="276" w:lineRule="auto"/>
      </w:pPr>
      <w:r>
        <w:t>**Conclusion technique** : Les indicateurs convergent majoritairement vers un **biais haussier modéré** (MM et MACD en Achat, RSI/Stochastique/Bollinger en Neutre). Le titre bénéficie d'un momentum positif mais approche de zones de résistance technique (4 006 FCFA pour Bollinger, 4 500 FCFA pour le plus haut). Un repli vers la MM20 (3 854 FCFA) constituerait un point d'entrée intéressant, tandis qu'une cassure des 4 006 FCFA ouvrirait la voie vers 4 500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TTLS a réalisé un **chiffre d'affaires de 455,209 Mds FCFA**, en **recul de -6,13%** sur un an, et un **résultat net de 6,779 Mds FCFA** (marge nette de 1,49%). Le **ROE s'élève à 24,01%** (excellent, &gt;15%) et le **ROA à 3,95%**, confirmant une rentabilité des fonds propres solide malgré une marge nette structurellement faible. Le **BFR est négatif (-36,899 Mds FCFA)**, ce qui est **favorable** : l'entreprise finance son cycle d'exploitation par ses fournisseurs (délai fournisseurs de 97,76 jours contre délai clients de 47,43 jours), générant une trésorerie nette positive de **13,941 Mds FCFA**. Le **ratio d'endettement de 52,16%** et l'**autonomie financière de 16,44%** (inférieure au seuil de 30%) indiquent une structure financière dépendante des dettes, mais la **couverture des intérêts à 485,9%** et la **capacité de remboursement de 0,94 an** rassurent sur la solvabilité. La **rotation des actifs de 265%** traduit une efficacité opérationnelle élevée.</w:t>
      </w:r>
    </w:p>
    <w:p>
      <w:pPr>
        <w:spacing w:after="120" w:line="276" w:lineRule="auto"/>
      </w:pPr>
      <w:r>
        <w:t>**Estimations basées sur les rapports trimestriels** : Le **rapport T1 2026 (publié le 04/05/2026)** révèle un CA de 99,9 Mds FCFA (**-10%** vs T1 2025) sous l'effet de la révision réglementaire des prix à la pompe, mais un **résultat d'exploitation en hausse de +28% à 2,623 Mds FCFA** et un **résultat net en progression de +5% à 1,585 Mds FCFA** — démontrant une **résilience opérationnelle remarquable** grâce à l'amélioration des marges sur les lubrifiants. Le **rapport annuel 2025 (publié le 04/05/2026)** confirme l'arrêt stratégique du fuel lourd (39,5 Mds FCFA de CA en 2024) et la baisse des dividendes des participations (-1,019 Md FCFA), mais souligne une **trésorerie en forte amélioration (20,567 Mds FCFA vs 8,4 Mds en 2024)**. On estime que l'exercice 2026 devrait bénéficier de la montée en puissance des segments GPL, lubrifiants et export, ainsi que des retombées des projets Sangomar et GNL, compensant partiellement la pression réglementaire sur les carburants.</w:t>
      </w:r>
    </w:p>
    <w:p>
      <w:pPr>
        <w:spacing w:after="120" w:line="276" w:lineRule="auto"/>
      </w:pPr>
      <w:r>
        <w:t>**Recommandation fondamentale** : TTLS est une **valeur défensive solide** avec un ROE élevé (24%), une trésorerie nette positive et un BFR négatif favorable. Les risques principaux sont la **dépendance aux décisions étatiques sur les prix**, la **baisse structurelle du CA** et la **faible marge nette (1,5%)**. La capacité à améliorer les marges opérationnelles (+28% au T1 2026) est un signal fort de résilience. **Recommandation : CONSERVER** (avec biais positif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19,0x (vs moyenne BRVM 8-12x) et P/B de 4,56x traduisent une prime de qualité déjà intégrée, limitant le potentiel de revalorisation à court terme, bien que l'EV/EBITDA de 8,1x reste raisonnable. Le **comportement du cours (Partie 1)** est **favorable** : tendance haussière (+21,73% sur 100 jours), distribution symétrique (skewness 0,007) et kurtosis mésokurtique (absence de risque de pics extrêmes), mais la **volatilité annualisée de 44%** est élevée et appelle à la prudence. Les **signaux techniques (Partie 2)** sont **majoritairement haussiers** (MM en Achat, MACD en Achat, RSI/Stochastique/Bollinger en Neutre), avec un momentum positif mais approchant de zones de résistance. Les **fondamentaux (Partie 3)** sont **solides mais contrastés** : ROE de 24%, BFR négatif favorable, trésorerie nette positive, mais CA en repli (-6,13%) et marge nette faible (1,49%) ; le T1 2026 (+28% de résultat d'exploitation) suggère une **amélioration de la qualité des bénéfices**. Les **prédictions IA (J+1 à J+10)** anticipent une **légère correction baissière** (3 904 → 3 891 FCFA, soit -1,5% sur 10 jours), ce qui **contredit partiellement** le momentum haussier actuel et suggère une consolidation après le rallye récent.</w:t>
      </w:r>
    </w:p>
    <w:p>
      <w:pPr>
        <w:spacing w:after="120" w:line="276" w:lineRule="auto"/>
      </w:pPr>
      <w:r>
        <w:t>**Synthèse globale** : La convergence entre technique haussière, fondamentaux résilients et prédiction baissière modérée dessine un scénario de **consolidation à court terme** avant une reprise potentielle. La valorisation exigeante (PER 19x) limite le potentiel de hausse immédiat, mais la solidité du business model et le rendement du dividende (estimé ~5-6%) soutiennent la valeur.</w:t>
      </w:r>
    </w:p>
    <w:p>
      <w:pPr>
        <w:spacing w:after="120" w:line="276" w:lineRule="auto"/>
      </w:pPr>
      <w:r>
        <w:t>**Recommandation finale : CONSERVER**</w:t>
        <w:br/>
        <w:t>- **Justification** : Convergence entre valorisation exigeante, technique haussière mais proche de résistances, fondamentaux solides mais en transition, et prédiction IA baissière à court terme. Le titre mérite d'être conservé pour son rendement et sa résilience, mais un achat spéculatif serait prématuré sans cassure des 4 006 FCFA.</w:t>
        <w:br/>
        <w:t>- **Niveau de confiance** : **Moyen** (signaux divergents entre technique et prédiction IA)</w:t>
        <w:br/>
        <w:t>- **Niveau de risque global** : **Moyen** (volatilité élevée à 44%, dépendance réglementaire, mais solidité financière)</w:t>
        <w:br/>
        <w:t>- **Horizon d'investissement optimal** : **Moyen terme (3-12 mois)** — pour capturer la transition stratégique (GPL, lubrifiants, export) et le rendement du dividende, en attendant une clarification sur la politique de distribution et l'évolution des volumes.</w:t>
      </w:r>
    </w:p>
    <w:p>
      <w:pPr>
        <w:spacing w:after="120" w:line="276" w:lineRule="auto"/>
      </w:pPr>
      <w:r>
        <w:t>---</w:t>
      </w:r>
    </w:p>
    <w:p>
      <w:pPr>
        <w:spacing w:after="120" w:line="276" w:lineRule="auto"/>
      </w:pPr>
      <w:r>
        <w:t>*Rapport généré le 20 septembre 2026 — Sources : BRVM, états financiers TTLS 2025, rapports trimestriels T1 2026 et annuels 2024-2025, analyses DeepSeek et Mistral.*</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481.03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52,380 FCFA</w:t>
            </w:r>
          </w:p>
          <w:p>
            <w:r>
              <w:rPr>
                <w:b/>
                <w:color w:val="503200"/>
                <w:sz w:val="16"/>
              </w:rPr>
              <w:t xml:space="preserve">Var. 100 jours : </w:t>
            </w:r>
            <w:r>
              <w:rPr>
                <w:b/>
                <w:color w:val="B40000"/>
                <w:sz w:val="17"/>
              </w:rPr>
              <w:t>-8.43%</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49,025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5.37% (Moyenne) — μ=55,495 FCFA, σ=2,977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β=0.0362 (Défensif) — Cov=0.000001, Var(idx)=0.000036, ρ=0.006,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2026-09-21</w:t>
            </w:r>
          </w:p>
        </w:tc>
        <w:tc>
          <w:tcPr>
            <w:tcW w:type="dxa" w:w="1440"/>
            <w:shd w:fill="FAFAFA" w:val="clear"/>
          </w:tcPr>
          <w:p>
            <w:r>
              <w:rPr>
                <w:sz w:val="17"/>
              </w:rPr>
              <w:t>48,607</w:t>
            </w:r>
          </w:p>
        </w:tc>
        <w:tc>
          <w:tcPr>
            <w:tcW w:type="dxa" w:w="1440"/>
            <w:shd w:fill="FAFAFA" w:val="clear"/>
          </w:tcPr>
          <w:p>
            <w:r>
              <w:rPr>
                <w:b/>
                <w:sz w:val="17"/>
              </w:rPr>
              <w:t>51,875</w:t>
            </w:r>
          </w:p>
        </w:tc>
        <w:tc>
          <w:tcPr>
            <w:tcW w:type="dxa" w:w="1440"/>
            <w:shd w:fill="FAFAFA" w:val="clear"/>
          </w:tcPr>
          <w:p>
            <w:r>
              <w:rPr>
                <w:sz w:val="17"/>
              </w:rPr>
              <w:t>55,143</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2026-09-22</w:t>
            </w:r>
          </w:p>
        </w:tc>
        <w:tc>
          <w:tcPr>
            <w:tcW w:type="dxa" w:w="1440"/>
            <w:shd w:fill="FAFAFA" w:val="clear"/>
          </w:tcPr>
          <w:p>
            <w:r>
              <w:rPr>
                <w:sz w:val="17"/>
              </w:rPr>
              <w:t>47,265</w:t>
            </w:r>
          </w:p>
        </w:tc>
        <w:tc>
          <w:tcPr>
            <w:tcW w:type="dxa" w:w="1440"/>
            <w:shd w:fill="FAFAFA" w:val="clear"/>
          </w:tcPr>
          <w:p>
            <w:r>
              <w:rPr>
                <w:b/>
                <w:sz w:val="17"/>
              </w:rPr>
              <w:t>51,887</w:t>
            </w:r>
          </w:p>
        </w:tc>
        <w:tc>
          <w:tcPr>
            <w:tcW w:type="dxa" w:w="1440"/>
            <w:shd w:fill="FAFAFA" w:val="clear"/>
          </w:tcPr>
          <w:p>
            <w:r>
              <w:rPr>
                <w:sz w:val="17"/>
              </w:rPr>
              <w:t>56,510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2026-09-23</w:t>
            </w:r>
          </w:p>
        </w:tc>
        <w:tc>
          <w:tcPr>
            <w:tcW w:type="dxa" w:w="1440"/>
            <w:shd w:fill="FAFAFA" w:val="clear"/>
          </w:tcPr>
          <w:p>
            <w:r>
              <w:rPr>
                <w:sz w:val="17"/>
              </w:rPr>
              <w:t>46,205</w:t>
            </w:r>
          </w:p>
        </w:tc>
        <w:tc>
          <w:tcPr>
            <w:tcW w:type="dxa" w:w="1440"/>
            <w:shd w:fill="FAFAFA" w:val="clear"/>
          </w:tcPr>
          <w:p>
            <w:r>
              <w:rPr>
                <w:b/>
                <w:sz w:val="17"/>
              </w:rPr>
              <w:t>51,863</w:t>
            </w:r>
          </w:p>
        </w:tc>
        <w:tc>
          <w:tcPr>
            <w:tcW w:type="dxa" w:w="1440"/>
            <w:shd w:fill="FAFAFA" w:val="clear"/>
          </w:tcPr>
          <w:p>
            <w:r>
              <w:rPr>
                <w:sz w:val="17"/>
              </w:rPr>
              <w:t>57,522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45,303</w:t>
            </w:r>
          </w:p>
        </w:tc>
        <w:tc>
          <w:tcPr>
            <w:tcW w:type="dxa" w:w="1440"/>
            <w:shd w:fill="FAFAFA" w:val="clear"/>
          </w:tcPr>
          <w:p>
            <w:r>
              <w:rPr>
                <w:b/>
                <w:sz w:val="17"/>
              </w:rPr>
              <w:t>51,834</w:t>
            </w:r>
          </w:p>
        </w:tc>
        <w:tc>
          <w:tcPr>
            <w:tcW w:type="dxa" w:w="1440"/>
            <w:shd w:fill="FAFAFA" w:val="clear"/>
          </w:tcPr>
          <w:p>
            <w:r>
              <w:rPr>
                <w:sz w:val="17"/>
              </w:rPr>
              <w:t>58,364</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44,507</w:t>
            </w:r>
          </w:p>
        </w:tc>
        <w:tc>
          <w:tcPr>
            <w:tcW w:type="dxa" w:w="1440"/>
            <w:shd w:fill="FAFAFA" w:val="clear"/>
          </w:tcPr>
          <w:p>
            <w:r>
              <w:rPr>
                <w:b/>
                <w:sz w:val="17"/>
              </w:rPr>
              <w:t>51,804</w:t>
            </w:r>
          </w:p>
        </w:tc>
        <w:tc>
          <w:tcPr>
            <w:tcW w:type="dxa" w:w="1440"/>
            <w:shd w:fill="FAFAFA" w:val="clear"/>
          </w:tcPr>
          <w:p>
            <w:r>
              <w:rPr>
                <w:sz w:val="17"/>
              </w:rPr>
              <w:t>59,101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2026-09-28</w:t>
            </w:r>
          </w:p>
        </w:tc>
        <w:tc>
          <w:tcPr>
            <w:tcW w:type="dxa" w:w="1440"/>
            <w:shd w:fill="FAFAFA" w:val="clear"/>
          </w:tcPr>
          <w:p>
            <w:r>
              <w:rPr>
                <w:sz w:val="17"/>
              </w:rPr>
              <w:t>43,786</w:t>
            </w:r>
          </w:p>
        </w:tc>
        <w:tc>
          <w:tcPr>
            <w:tcW w:type="dxa" w:w="1440"/>
            <w:shd w:fill="FAFAFA" w:val="clear"/>
          </w:tcPr>
          <w:p>
            <w:r>
              <w:rPr>
                <w:b/>
                <w:sz w:val="17"/>
              </w:rPr>
              <w:t>51,776</w:t>
            </w:r>
          </w:p>
        </w:tc>
        <w:tc>
          <w:tcPr>
            <w:tcW w:type="dxa" w:w="1440"/>
            <w:shd w:fill="FAFAFA" w:val="clear"/>
          </w:tcPr>
          <w:p>
            <w:r>
              <w:rPr>
                <w:sz w:val="17"/>
              </w:rPr>
              <w:t>59,765</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2026-09-29</w:t>
            </w:r>
          </w:p>
        </w:tc>
        <w:tc>
          <w:tcPr>
            <w:tcW w:type="dxa" w:w="1440"/>
            <w:shd w:fill="FAFAFA" w:val="clear"/>
          </w:tcPr>
          <w:p>
            <w:r>
              <w:rPr>
                <w:sz w:val="17"/>
              </w:rPr>
              <w:t>43,123</w:t>
            </w:r>
          </w:p>
        </w:tc>
        <w:tc>
          <w:tcPr>
            <w:tcW w:type="dxa" w:w="1440"/>
            <w:shd w:fill="FAFAFA" w:val="clear"/>
          </w:tcPr>
          <w:p>
            <w:r>
              <w:rPr>
                <w:b/>
                <w:sz w:val="17"/>
              </w:rPr>
              <w:t>51,748</w:t>
            </w:r>
          </w:p>
        </w:tc>
        <w:tc>
          <w:tcPr>
            <w:tcW w:type="dxa" w:w="1440"/>
            <w:shd w:fill="FAFAFA" w:val="clear"/>
          </w:tcPr>
          <w:p>
            <w:r>
              <w:rPr>
                <w:sz w:val="17"/>
              </w:rPr>
              <w:t>60,372</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2026-09-30</w:t>
            </w:r>
          </w:p>
        </w:tc>
        <w:tc>
          <w:tcPr>
            <w:tcW w:type="dxa" w:w="1440"/>
            <w:shd w:fill="FAFAFA" w:val="clear"/>
          </w:tcPr>
          <w:p>
            <w:r>
              <w:rPr>
                <w:sz w:val="17"/>
              </w:rPr>
              <w:t>42,505</w:t>
            </w:r>
          </w:p>
        </w:tc>
        <w:tc>
          <w:tcPr>
            <w:tcW w:type="dxa" w:w="1440"/>
            <w:shd w:fill="FAFAFA" w:val="clear"/>
          </w:tcPr>
          <w:p>
            <w:r>
              <w:rPr>
                <w:b/>
                <w:sz w:val="17"/>
              </w:rPr>
              <w:t>51,720</w:t>
            </w:r>
          </w:p>
        </w:tc>
        <w:tc>
          <w:tcPr>
            <w:tcW w:type="dxa" w:w="1440"/>
            <w:shd w:fill="FAFAFA" w:val="clear"/>
          </w:tcPr>
          <w:p>
            <w:r>
              <w:rPr>
                <w:sz w:val="17"/>
              </w:rPr>
              <w:t>60,936</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2026-10-01</w:t>
            </w:r>
          </w:p>
        </w:tc>
        <w:tc>
          <w:tcPr>
            <w:tcW w:type="dxa" w:w="1440"/>
            <w:shd w:fill="FAFAFA" w:val="clear"/>
          </w:tcPr>
          <w:p>
            <w:r>
              <w:rPr>
                <w:sz w:val="17"/>
              </w:rPr>
              <w:t>41,925</w:t>
            </w:r>
          </w:p>
        </w:tc>
        <w:tc>
          <w:tcPr>
            <w:tcW w:type="dxa" w:w="1440"/>
            <w:shd w:fill="FAFAFA" w:val="clear"/>
          </w:tcPr>
          <w:p>
            <w:r>
              <w:rPr>
                <w:b/>
                <w:sz w:val="17"/>
              </w:rPr>
              <w:t>51,694</w:t>
            </w:r>
          </w:p>
        </w:tc>
        <w:tc>
          <w:tcPr>
            <w:tcW w:type="dxa" w:w="1440"/>
            <w:shd w:fill="FAFAFA" w:val="clear"/>
          </w:tcPr>
          <w:p>
            <w:r>
              <w:rPr>
                <w:sz w:val="17"/>
              </w:rPr>
              <w:t>61,463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2026-10-02</w:t>
            </w:r>
          </w:p>
        </w:tc>
        <w:tc>
          <w:tcPr>
            <w:tcW w:type="dxa" w:w="1440"/>
            <w:shd w:fill="FAFAFA" w:val="clear"/>
          </w:tcPr>
          <w:p>
            <w:r>
              <w:rPr>
                <w:sz w:val="17"/>
              </w:rPr>
              <w:t>41,375</w:t>
            </w:r>
          </w:p>
        </w:tc>
        <w:tc>
          <w:tcPr>
            <w:tcW w:type="dxa" w:w="1440"/>
            <w:shd w:fill="FAFAFA" w:val="clear"/>
          </w:tcPr>
          <w:p>
            <w:r>
              <w:rPr>
                <w:b/>
                <w:sz w:val="17"/>
              </w:rPr>
              <w:t>51,668</w:t>
            </w:r>
          </w:p>
        </w:tc>
        <w:tc>
          <w:tcPr>
            <w:tcW w:type="dxa" w:w="1440"/>
            <w:shd w:fill="FAFAFA" w:val="clear"/>
          </w:tcPr>
          <w:p>
            <w:r>
              <w:rPr>
                <w:sz w:val="17"/>
              </w:rPr>
              <w:t>61,960</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481,03 milliards FCFA, un niveau significatif qui place la société parmi les valeurs de premier plan de la cote BRVM, bien que très en deçà des géants télécoms ou bancaires régionaux. Les ratios de valorisation classiques (BPA, PER, P/B, EV/EBITDA) ne sont pas calculables en l'absence de données financières structurées exploitables dans la base — une limite qui prive l'investisseur d'une lecture directe du prix payé par unité de bénéfice ou de valeur comptable. Cette absence est d'autant plus problématique que la société a enregistré des résultats nets erratiques ces dernières années (perte massive en 2022, bénéfice modeste en 2023), rendant toute référence à un PER moyen BRVM (8-12x) théorique mais inopérante. L'investisseur doit donc se rabattre sur l'analyse fondamentale narrative (Partie 3) et technique (Partie 2) pour évaluer si le cours actuel de 52 380 FCFA est justifié.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-8,43%, avec une dernière séance en repli de -0,61%, confirmant une tendance baissière de fond. Le titre a évolué dans un range de 14 320 FCFA, entre un plus haut de 63 345 FCFA et un plus bas de 49 025 FCFA, ce qui traduit une érosion progressive du cours depuis les sommets. La moyenne (55 495 FCFA) et la médiane (55 528 FCFA) sont quasi confondues, signe d'une distribution symétrique sans biais directionnel marqué, tandis que le mode à 58 000 FCFA suggère que le cours a longtemps stagné autour de ce palier avant de céder. L'écart-type de 2 992 FCFA (CV = 5,4%) indique une dispersion modérée en valeur absolue, mais la volatilité annualisée de 60,3% classe le titre dans la catégorie des valeurs très volatiles (&gt;30%), ce qui est paradoxal pour un FMCG et reflète probablement la faible liquidité (21 titres/jour en moyenne). Le kurtosis de -0,420 (mésokurtique) et le skewness de 0,203 (distribution symétrique) suggèrent l'absence de pics extrêmes ou d'asymétrie marquée, mais la faiblesse des volumes rend ces statistiques peu fiables pour anticiper les mouvements futurs.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(53 048,5 FCFA) et la MM50 (53 470,5 FCFA) sont toutes deux supérieures au cours actuel (52 380 FCFA), ce qui place le titre en configuration baissière à court et moyen terme. La MM20 étant légèrement en dessous de la MM50, on observe un début de croisement baissier (death cross) qui confirme la pression vendeuse. La décision technique est donc logiquement **Vente**.</w:t>
      </w:r>
    </w:p>
    <w:p>
      <w:pPr>
        <w:spacing w:after="120" w:line="276" w:lineRule="auto"/>
      </w:pPr>
      <w:r>
        <w:t>**Bandes de Bollinger** : Le cours (52 380 FCFA) se situe dans la moitié inférieure de la bande, entre la borne inférieure (49 811 FCFA) et la borne supérieure (56 286 FCFA), sans atteindre les extrêmes. Cette position médiane, couplée à une largeur de bande relativement élevée, traduit une volatilité persistante mais sans signal de retournement imminent. La décision **Neutre** reflète cette absence de signal fort.</w:t>
      </w:r>
    </w:p>
    <w:p>
      <w:pPr>
        <w:spacing w:after="120" w:line="276" w:lineRule="auto"/>
      </w:pPr>
      <w:r>
        <w:t>**MACD** : La valeur du MACD (-522,657) est inférieure à son signal (-380,753), et les deux sont en territoire négatif, ce qui confirme un momentum baissier toujours actif. L'écart négatif entre les deux lignes suggère que la pression vendeuse n'est pas encore épuisée. La décision **Vente** est cohérente avec cette configuration.</w:t>
      </w:r>
    </w:p>
    <w:p>
      <w:pPr>
        <w:spacing w:after="120" w:line="276" w:lineRule="auto"/>
      </w:pPr>
      <w:r>
        <w:t>**RSI** : À 42,912, le RSI se situe dans la zone neutre basse (30-70), sans atteindre la zone de survente (&lt;30). Cela indique que le titre n'est pas encore techniquement "bon marché" malgré la baisse récente, et qu'un rebond n'est pas imminent. La décision **Neutre** est appropriée.</w:t>
      </w:r>
    </w:p>
    <w:p>
      <w:pPr>
        <w:spacing w:after="120" w:line="276" w:lineRule="auto"/>
      </w:pPr>
      <w:r>
        <w:t>**Stochastique** : Le %K (60,179) est supérieur au %D (41,272), ce qui pourrait suggérer un début de croisement haussier à court terme. Cependant, les deux valeurs restent dans une zone médiane, sans signal clair de retournement. La décision **Neutre** est donc retenue.</w:t>
      </w:r>
    </w:p>
    <w:p>
      <w:pPr>
        <w:spacing w:after="120" w:line="276" w:lineRule="auto"/>
      </w:pPr>
      <w:r>
        <w:t>**Conclusion technique** : La convergence des signaux baissiers (MM, MACD) et neutres (Bollinger, RSI, Stochastique) dessine un tableau globalement négatif à court terme. Le titre est en tendance baissière, sans signe de survente ni de retournement technique. La prudence est de mise, et aucun signal d'achat n'est identifiable en l'état.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étant absentes de la base, l'analyse repose sur les rapports narratifs officiels disponibles, dont les plus récents datent du **31 décembre 2023** (exercice 2023) et du **31 décembre 2022** (exercice 2022). Pour l'exercice 2023 (rapport du 31/12/2023, analysé le 15/03/2026), UNILEVER Côte d'Ivoire a réalisé un chiffre d'affaires de **24 336 010 000 FCFA**, stable par rapport à 2022, ce qui traduit une stagnation préoccupante dans un secteur FMCG pourtant porté par la croissance démographique et l'urbanisation. Le résultat net s'établit à **640 334 855 FCFA**, en nette amélioration après la perte abyssale de **-6 908 362 002 FCFA** en 2022, mais la marge nette reste faible à **2,63%**, très en dessous de la moyenne sectorielle (5-10%). Le résultat d'exploitation redevient positif à **+3 340 M FCFA** (contre -6 258 M FCFA en 2022), grâce à une réduction des charges et une hausse des produits accessoires, mais les frais financiers (135 M FCFA) et les capitaux propres négatifs (**-10 658 M FCFA**) fragilisent la structure financière. La politique de dividende est inexistante en 2023 (comme en 2022), la priorité étant donnée au réinvestissement pour reconstituer les fonds propres. Le rapport 2022 (daté du 31/12/2022, analysé le 15/03/2026) confirme la crise profonde de cet exercice, avec un CA de 24 336 M FCFA (déjà stable) et une perte nette de -6 382 M FCFA, due à la disparition des produits exceptionnels (cession de Lipton en 2021) et à la hausse des coûts logistiques. L'évolution 2021-2023 montre une société en transition difficile : après un bénéfice exceptionnel de 6 090 M FCFA en 2021 (porté par la cession d'actifs), UNLC a plongé en 2022 avant de revenir à un équilibre précaire en 2023. Les risques majeurs identifiés sont l'endettement élevé (4 379 M FCFA de dettes financières en 2023), les capitaux propres négatifs, la dépendance au marché ivoirien et la concurrence accrue (Nestlé, P&amp;G, marques locales). Les opportunités résident dans l'expansion régionale (UEMOA), l'innovation produit (gammes premium, bio) et l'optimisation des coûts logistiques. La recommandation fondamentale est **CONSERVER avec vigilance**, en attendant une confirmation durable de la rentabilité et une reconstitution des fonds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entre les signaux. La **valorisation (Partie 0)** est impossible à évaluer faute de ratios, mais la capitalisation de 481 Mds FCFA pour une société à capitaux propres négatifs et marge nette de 2,63% suggère une potentielle surévaluation. Le **comportement du cours (Partie 1)** est baissier (-8,43% sur 100 jours), avec une volatilité annualisée très élevée (60,3%) et des statistiques descriptives (kurtosis -0,420, skewness 0,203) qui n'offrent aucun signal directionnel fiable. Les **signaux techniques (Partie 2)** sont majoritairement baissiers (MM, MACD) ou neutres (Bollinger, RSI, Stochastique), sans convergence haussière. Les **fondamentaux (Partie 3)** montrent une amélioration fragile en 2023 (bénéfice de 640 M FCFA, résultat d'exploitation positif), mais la structure financière reste précaire (capitaux propres négatifs, endettement élevé, absence de dividende). Les **prédictions IA (J+1 à J+10)** anticipent une stagnation autour de 51 800-51 900 FCFA, en légère baisse par rapport au cours actuel (52 380 FCFA), ce qui confirme la tendance baissière de court terme. La convergence des signaux baissiers (technique, prédiction) et des fondamentaux fragiles (capitaux propres négatifs, marge faible) conduit à une recommandation de **VENTE** pour les investisseurs à court et moyen terme, avec un **niveau de confiance moyen** (les données fondamentales étant anciennes et les volumes très faibles). Le **risque global est élevé** (volatilité 60,3%, liquidité quasi nulle, structure financière dégradée). L'horizon d'investissement optimal est **court terme (&lt;3 mois)** pour les traders cherchant à profiter de la volatilité, mais **déconseillé pour les investisseurs long terme** en l'absence de retournement fondamental durable. Une **surveillance active** des prochains rapports (exercice 2024, attendu courant 2025) est impérative avant tout engagement.</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13,323 titres</w:t>
            </w:r>
          </w:p>
        </w:tc>
        <w:tc>
          <w:tcPr>
            <w:tcW w:type="dxa" w:w="2268"/>
            <w:shd w:fill="FFF2CC" w:val="clear"/>
          </w:tcPr>
          <w:p>
            <w:r>
              <w:rPr>
                <w:b/>
                <w:color w:val="503200"/>
                <w:sz w:val="16"/>
              </w:rPr>
              <w:t xml:space="preserve">Cours actuel : </w:t>
            </w:r>
            <w:r>
              <w:rPr>
                <w:color w:val="000000"/>
                <w:sz w:val="17"/>
              </w:rPr>
              <w:t>2,320 FCFA</w:t>
            </w:r>
          </w:p>
          <w:p>
            <w:r>
              <w:rPr>
                <w:b/>
                <w:color w:val="503200"/>
                <w:sz w:val="16"/>
              </w:rPr>
              <w:t xml:space="preserve">Var. 100 jours : </w:t>
            </w:r>
            <w:r>
              <w:rPr>
                <w:b/>
                <w:color w:val="007800"/>
                <w:sz w:val="17"/>
              </w:rPr>
              <w:t>+11.27%</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14.42% (Moyenne) — μ=1,964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β=0.0580 (Défensif) — Cov=0.000002, Var(idx)=0.000036, ρ=0.011,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13,323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82/100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2026-09-21</w:t>
            </w:r>
          </w:p>
        </w:tc>
        <w:tc>
          <w:tcPr>
            <w:tcW w:type="dxa" w:w="1440"/>
            <w:shd w:fill="FAFAFA" w:val="clear"/>
          </w:tcPr>
          <w:p>
            <w:r>
              <w:rPr>
                <w:sz w:val="17"/>
              </w:rPr>
              <w:t>2,218</w:t>
            </w:r>
          </w:p>
        </w:tc>
        <w:tc>
          <w:tcPr>
            <w:tcW w:type="dxa" w:w="1440"/>
            <w:shd w:fill="FAFAFA" w:val="clear"/>
          </w:tcPr>
          <w:p>
            <w:r>
              <w:rPr>
                <w:b/>
                <w:sz w:val="17"/>
              </w:rPr>
              <w:t>2,311</w:t>
            </w:r>
          </w:p>
        </w:tc>
        <w:tc>
          <w:tcPr>
            <w:tcW w:type="dxa" w:w="1440"/>
            <w:shd w:fill="FAFAFA" w:val="clear"/>
          </w:tcPr>
          <w:p>
            <w:r>
              <w:rPr>
                <w:sz w:val="17"/>
              </w:rPr>
              <w:t>2,405</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2026-09-22</w:t>
            </w:r>
          </w:p>
        </w:tc>
        <w:tc>
          <w:tcPr>
            <w:tcW w:type="dxa" w:w="1440"/>
            <w:shd w:fill="FAFAFA" w:val="clear"/>
          </w:tcPr>
          <w:p>
            <w:r>
              <w:rPr>
                <w:sz w:val="17"/>
              </w:rPr>
              <w:t>2,171</w:t>
            </w:r>
          </w:p>
        </w:tc>
        <w:tc>
          <w:tcPr>
            <w:tcW w:type="dxa" w:w="1440"/>
            <w:shd w:fill="FAFAFA" w:val="clear"/>
          </w:tcPr>
          <w:p>
            <w:r>
              <w:rPr>
                <w:b/>
                <w:sz w:val="17"/>
              </w:rPr>
              <w:t>2,303</w:t>
            </w:r>
          </w:p>
        </w:tc>
        <w:tc>
          <w:tcPr>
            <w:tcW w:type="dxa" w:w="1440"/>
            <w:shd w:fill="FAFAFA" w:val="clear"/>
          </w:tcPr>
          <w:p>
            <w:r>
              <w:rPr>
                <w:sz w:val="17"/>
              </w:rPr>
              <w:t>2,434</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2026-09-23</w:t>
            </w:r>
          </w:p>
        </w:tc>
        <w:tc>
          <w:tcPr>
            <w:tcW w:type="dxa" w:w="1440"/>
            <w:shd w:fill="FAFAFA" w:val="clear"/>
          </w:tcPr>
          <w:p>
            <w:r>
              <w:rPr>
                <w:sz w:val="17"/>
              </w:rPr>
              <w:t>2,134</w:t>
            </w:r>
          </w:p>
        </w:tc>
        <w:tc>
          <w:tcPr>
            <w:tcW w:type="dxa" w:w="1440"/>
            <w:shd w:fill="FAFAFA" w:val="clear"/>
          </w:tcPr>
          <w:p>
            <w:r>
              <w:rPr>
                <w:b/>
                <w:sz w:val="17"/>
              </w:rPr>
              <w:t>2,295</w:t>
            </w:r>
          </w:p>
        </w:tc>
        <w:tc>
          <w:tcPr>
            <w:tcW w:type="dxa" w:w="1440"/>
            <w:shd w:fill="FAFAFA" w:val="clear"/>
          </w:tcPr>
          <w:p>
            <w:r>
              <w:rPr>
                <w:sz w:val="17"/>
              </w:rPr>
              <w:t>2,455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2026-09-24</w:t>
            </w:r>
          </w:p>
        </w:tc>
        <w:tc>
          <w:tcPr>
            <w:tcW w:type="dxa" w:w="1440"/>
            <w:shd w:fill="FAFAFA" w:val="clear"/>
          </w:tcPr>
          <w:p>
            <w:r>
              <w:rPr>
                <w:sz w:val="17"/>
              </w:rPr>
              <w:t>2,102</w:t>
            </w:r>
          </w:p>
        </w:tc>
        <w:tc>
          <w:tcPr>
            <w:tcW w:type="dxa" w:w="1440"/>
            <w:shd w:fill="FAFAFA" w:val="clear"/>
          </w:tcPr>
          <w:p>
            <w:r>
              <w:rPr>
                <w:b/>
                <w:sz w:val="17"/>
              </w:rPr>
              <w:t>2,287</w:t>
            </w:r>
          </w:p>
        </w:tc>
        <w:tc>
          <w:tcPr>
            <w:tcW w:type="dxa" w:w="1440"/>
            <w:shd w:fill="FAFAFA" w:val="clear"/>
          </w:tcPr>
          <w:p>
            <w:r>
              <w:rPr>
                <w:sz w:val="17"/>
              </w:rPr>
              <w:t>2,471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2026-09-25</w:t>
            </w:r>
          </w:p>
        </w:tc>
        <w:tc>
          <w:tcPr>
            <w:tcW w:type="dxa" w:w="1440"/>
            <w:shd w:fill="FAFAFA" w:val="clear"/>
          </w:tcPr>
          <w:p>
            <w:r>
              <w:rPr>
                <w:sz w:val="17"/>
              </w:rPr>
              <w:t>2,073</w:t>
            </w:r>
          </w:p>
        </w:tc>
        <w:tc>
          <w:tcPr>
            <w:tcW w:type="dxa" w:w="1440"/>
            <w:shd w:fill="FAFAFA" w:val="clear"/>
          </w:tcPr>
          <w:p>
            <w:r>
              <w:rPr>
                <w:b/>
                <w:sz w:val="17"/>
              </w:rPr>
              <w:t>2,279</w:t>
            </w:r>
          </w:p>
        </w:tc>
        <w:tc>
          <w:tcPr>
            <w:tcW w:type="dxa" w:w="1440"/>
            <w:shd w:fill="FAFAFA" w:val="clear"/>
          </w:tcPr>
          <w:p>
            <w:r>
              <w:rPr>
                <w:sz w:val="17"/>
              </w:rPr>
              <w:t>2,484</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2026-09-28</w:t>
            </w:r>
          </w:p>
        </w:tc>
        <w:tc>
          <w:tcPr>
            <w:tcW w:type="dxa" w:w="1440"/>
            <w:shd w:fill="FFDCE0" w:val="clear"/>
          </w:tcPr>
          <w:p>
            <w:r>
              <w:rPr>
                <w:sz w:val="17"/>
              </w:rPr>
              <w:t>2,046</w:t>
            </w:r>
          </w:p>
        </w:tc>
        <w:tc>
          <w:tcPr>
            <w:tcW w:type="dxa" w:w="1440"/>
            <w:shd w:fill="FFDCE0" w:val="clear"/>
          </w:tcPr>
          <w:p>
            <w:r>
              <w:rPr>
                <w:b/>
                <w:sz w:val="17"/>
              </w:rPr>
              <w:t>2,271</w:t>
            </w:r>
          </w:p>
        </w:tc>
        <w:tc>
          <w:tcPr>
            <w:tcW w:type="dxa" w:w="1440"/>
            <w:shd w:fill="FFDCE0" w:val="clear"/>
          </w:tcPr>
          <w:p>
            <w:r>
              <w:rPr>
                <w:sz w:val="17"/>
              </w:rPr>
              <w:t>2,495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2026-09-29</w:t>
            </w:r>
          </w:p>
        </w:tc>
        <w:tc>
          <w:tcPr>
            <w:tcW w:type="dxa" w:w="1440"/>
            <w:shd w:fill="FFDCE0" w:val="clear"/>
          </w:tcPr>
          <w:p>
            <w:r>
              <w:rPr>
                <w:sz w:val="17"/>
              </w:rPr>
              <w:t>2,021</w:t>
            </w:r>
          </w:p>
        </w:tc>
        <w:tc>
          <w:tcPr>
            <w:tcW w:type="dxa" w:w="1440"/>
            <w:shd w:fill="FFDCE0" w:val="clear"/>
          </w:tcPr>
          <w:p>
            <w:r>
              <w:rPr>
                <w:b/>
                <w:sz w:val="17"/>
              </w:rPr>
              <w:t>2,263</w:t>
            </w:r>
          </w:p>
        </w:tc>
        <w:tc>
          <w:tcPr>
            <w:tcW w:type="dxa" w:w="1440"/>
            <w:shd w:fill="FFDCE0" w:val="clear"/>
          </w:tcPr>
          <w:p>
            <w:r>
              <w:rPr>
                <w:sz w:val="17"/>
              </w:rPr>
              <w:t>2,505</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2026-09-30</w:t>
            </w:r>
          </w:p>
        </w:tc>
        <w:tc>
          <w:tcPr>
            <w:tcW w:type="dxa" w:w="1440"/>
            <w:shd w:fill="FFDCE0" w:val="clear"/>
          </w:tcPr>
          <w:p>
            <w:r>
              <w:rPr>
                <w:sz w:val="17"/>
              </w:rPr>
              <w:t>1,998</w:t>
            </w:r>
          </w:p>
        </w:tc>
        <w:tc>
          <w:tcPr>
            <w:tcW w:type="dxa" w:w="1440"/>
            <w:shd w:fill="FFDCE0" w:val="clear"/>
          </w:tcPr>
          <w:p>
            <w:r>
              <w:rPr>
                <w:b/>
                <w:sz w:val="17"/>
              </w:rPr>
              <w:t>2,255</w:t>
            </w:r>
          </w:p>
        </w:tc>
        <w:tc>
          <w:tcPr>
            <w:tcW w:type="dxa" w:w="1440"/>
            <w:shd w:fill="FFDCE0" w:val="clear"/>
          </w:tcPr>
          <w:p>
            <w:r>
              <w:rPr>
                <w:sz w:val="17"/>
              </w:rPr>
              <w:t>2,513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2026-10-01</w:t>
            </w:r>
          </w:p>
        </w:tc>
        <w:tc>
          <w:tcPr>
            <w:tcW w:type="dxa" w:w="1440"/>
            <w:shd w:fill="FFDCE0" w:val="clear"/>
          </w:tcPr>
          <w:p>
            <w:r>
              <w:rPr>
                <w:sz w:val="17"/>
              </w:rPr>
              <w:t>1,976</w:t>
            </w:r>
          </w:p>
        </w:tc>
        <w:tc>
          <w:tcPr>
            <w:tcW w:type="dxa" w:w="1440"/>
            <w:shd w:fill="FFDCE0" w:val="clear"/>
          </w:tcPr>
          <w:p>
            <w:r>
              <w:rPr>
                <w:b/>
                <w:sz w:val="17"/>
              </w:rPr>
              <w:t>2,248</w:t>
            </w:r>
          </w:p>
        </w:tc>
        <w:tc>
          <w:tcPr>
            <w:tcW w:type="dxa" w:w="1440"/>
            <w:shd w:fill="FFDCE0" w:val="clear"/>
          </w:tcPr>
          <w:p>
            <w:r>
              <w:rPr>
                <w:sz w:val="17"/>
              </w:rPr>
              <w:t>2,521</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2026-10-02</w:t>
            </w:r>
          </w:p>
        </w:tc>
        <w:tc>
          <w:tcPr>
            <w:tcW w:type="dxa" w:w="1440"/>
            <w:shd w:fill="FFDCE0" w:val="clear"/>
          </w:tcPr>
          <w:p>
            <w:r>
              <w:rPr>
                <w:sz w:val="17"/>
              </w:rPr>
              <w:t>1,955</w:t>
            </w:r>
          </w:p>
        </w:tc>
        <w:tc>
          <w:tcPr>
            <w:tcW w:type="dxa" w:w="1440"/>
            <w:shd w:fill="FFDCE0" w:val="clear"/>
          </w:tcPr>
          <w:p>
            <w:r>
              <w:rPr>
                <w:b/>
                <w:sz w:val="17"/>
              </w:rPr>
              <w:t>2,241</w:t>
            </w:r>
          </w:p>
        </w:tc>
        <w:tc>
          <w:tcPr>
            <w:tcW w:type="dxa" w:w="1440"/>
            <w:shd w:fill="FFDCE0" w:val="clear"/>
          </w:tcPr>
          <w:p>
            <w:r>
              <w:rPr>
                <w:sz w:val="17"/>
              </w:rPr>
              <w:t>2,527</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Côte d'Ivoire*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48,14 milliards FCFA, UNXC se positionne dans la catégorie des valeurs moyennes de la cote BRVM, sans atteindre le poids des blue chips bancaires ou télécoms. Le BPA ressort à -105 FCFA/action, conséquence directe de la perte nette de -2,189 milliards FCFA enregistrée en 2024, ce qui rend le PER inexploitable en l'état (-22,0x) : un multiple négatif signifie simplement que la société était déficitaire sur l'exercice de référence, et non qu'elle se négocie à rabais. Le P/B de 3,09x traduit en revanche une prime de croissance significative accordée par le marché, puisque les investisseurs paient plus de trois fois la valeur comptable des fonds propres (15,591 milliards FCFA) — un niveau élevé qui n'est justifiable que par l'anticipation d'un redressement durable de la rentabilité. Le ratio EV/EBITDA n'est pas fourni, mais avec un EBE 2024 négatif (-352,22 millions FCFA), il serait de toute façon non pertinent ; c'est la trajectoire 2025-2026 (EBE redevenu positif à 1,13 milliard FCFA en 2025) qui doit guider l'analyse de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UNXC affiche une progression totale de +11,27%, avec une dernière séance stable (variation J-1 de +0,00%) à 2 320 FCFA. Le range de trading est particulièrement large, avec un plus haut à 2 495 FCFA et un plus bas à 1 250 FCFA, soit un écart de près de 100% entre les deux extrêmes — signe d'une forte amplitude de cotation sur la période. La tendance générale est haussière, portée par le retour à une rentabilité opérationnelle positive au S1 2026 et l'assainissement financier post-cession. Les statistiques descriptives révèlent une moyenne (1 964 FCFA) supérieure à la médiane (1 905 FCFA), écart modéré qui suggère une légère asymétrie positive, cohérente avec le skewness de 0,104 qualifié de symétrique. L'écart-type de 285 FCFA avec un coefficient de variation de 14,5% indique une dispersion modérée autour de la moyenne, tandis que le kurtosis de -0,071 (mésokurtique) signale une distribution proche de la normale, sans risque excessif de pics extrêmes. La volatilité annualisée de 48,8% classe le titre dans la catégorie des valeurs à volatilité élevée (&gt;30%), ce qui est typique des petites capitalisations en phase de redressement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(2 399,5 FCFA) et la MM50 (2 087,6 FCFA) sont toutes deux inférieures au cours actuel de 2 320 FCFA pour la MM20, mais la MM50 reste nettement en-dessous, ce qui confirme une configuration haussière de fond. Le croisement haussier MM20 &gt; MM50 et la position du cours au-dessus de la MM50 justifient la décision d'**Achat**.</w:t>
      </w:r>
    </w:p>
    <w:p>
      <w:pPr>
        <w:spacing w:after="120" w:line="276" w:lineRule="auto"/>
      </w:pPr>
      <w:r>
        <w:t>**Bandes de Bollinger** : Le cours (2 320 FCFA) évolue dans la partie basse du canal, entre la borne inférieure (2 296,65 FCFA) et la borne supérieure (2 502,35 FCFA), ce qui traduit une volatilité contenue et une absence de signal directionnel fort. La décision **Neutre** reflète cette position médiane, sans tension acheteuse ou vendeuse marquée.</w:t>
      </w:r>
    </w:p>
    <w:p>
      <w:pPr>
        <w:spacing w:after="120" w:line="276" w:lineRule="auto"/>
      </w:pPr>
      <w:r>
        <w:t>**MACD** : La valeur du MACD (59,521) est inférieure à son signal (89,88), configuration baissière qui indique un essoufflement du momentum haussier malgré la tendance de fond positive. La décision **Vente** suggère une prudence à court terme, le croisement à la baisse pouvant annoncer une consolidation.</w:t>
      </w:r>
    </w:p>
    <w:p>
      <w:pPr>
        <w:spacing w:after="120" w:line="276" w:lineRule="auto"/>
      </w:pPr>
      <w:r>
        <w:t>**RSI** : À 26,923, le RSI se situe en zone de survente (&lt;30), ce qui est techniquement un signal d'**Achat** : le titre a été excessivement vendu à court terme et une correction haussière est probable. Cette lecture contraste avec le MACD et renforce l'idée d'un point d'entrée potentiel.</w:t>
      </w:r>
    </w:p>
    <w:p>
      <w:pPr>
        <w:spacing w:after="120" w:line="276" w:lineRule="auto"/>
      </w:pPr>
      <w:r>
        <w:t>**Stochastique** : Avec %K et %D tous deux à 0,0, l'indicateur est en zone extrême de survente, signal d'**Achat** classique. L'absence de croisement pour l'instant signifie que la pression vendeuse est à son paroxysme, ce qui précède souvent un rebond technique.</w:t>
      </w:r>
    </w:p>
    <w:p>
      <w:pPr>
        <w:spacing w:after="120" w:line="276" w:lineRule="auto"/>
      </w:pPr>
      <w:r>
        <w:t>**Conclusion technique** : Les indicateurs sont divergents — les moyennes mobiles et le RSI/Stochastique plaident pour un achat (survente, tendance de fond haussière), tandis que le MACD et les Bandes de Bollinger incitent à la prudence (momentum baissier, cours en zone neutre). Cette configuration suggère une fenêtre d'achat tactique à court terme, mais avec un risque de consolidation avant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UNIWAX a réalisé un chiffre d'affaires de 27,333 milliards FCFA, en croissance de +15,4% par rapport à 2023, mais a enregistré une perte nette de -2,189 milliards FCFA (marge nette de -8,01%), avec un ROE négatif de -14,04% et un ROA de -6,39%. La structure financière reste solide (autonomie financière de 45,53%, endettement financier quasi nul à 328,66 millions FCFA), mais l'exploitation était déficitaire (EBE de -352,22 millions FCFA, résultat d'exploitation de -2,136 milliards FCFA). Les délais d'exploitation sont préoccupants : 51 jours de délai client (risque de trésorerie modéré), 254,72 jours de durée de stockage (immobilisation de capital très élevée) et 267,82 jours de délai fournisseurs (favorable à la trésorerie). Le BFR de 2,149 milliards FCFA et la trésorerie nette de 2,495 milliards FCFA témoignent d'une gestion rigoureuse malgré les pertes.</w:t>
      </w:r>
    </w:p>
    <w:p>
      <w:pPr>
        <w:spacing w:after="120" w:line="276" w:lineRule="auto"/>
      </w:pPr>
      <w:r>
        <w:t>**Évolution 2025-2026 (rapports narratifs)** : Le rapport annuel 2025 (publié en 2026) confirme un redressement marqué : CA de 29,03 milliards FCFA (+6,2%), EBE redevenu positif à 1,13 milliard FCFA, et perte nette réduite de 71% à -624 millions FCFA. Le rapport S1 2026 (publié en 2026) est encore plus encourageant : CA de 15,752 milliards FCFA (+0,3%), résultat d'exploitation positif à 771 millions FCFA (contre -314 millions au S1 2025), et résultat net de 771 millions FCFA — le premier bénéfice opérationnel récurrent depuis des années. La marge nette S1 2026 ressort à 4,9%, et le résultat financier s'améliore de 59,3%. Le rapport T3 2025 (daté du 30/09/2025) soulignait déjà l'absence de perte au T3 seul, confirmant l'inflexion vers la rentabilité opérationnelle.</w:t>
      </w:r>
    </w:p>
    <w:p>
      <w:pPr>
        <w:spacing w:after="120" w:line="276" w:lineRule="auto"/>
      </w:pPr>
      <w:r>
        <w:t>**Estimations et recommandation fondamentale** : Sur la base du S1 2026 (résultat d'exploitation de 771 millions FCFA), on peut estimer un résultat d'exploitation annuel 2026 autour de 1,5 à 2 milliards FCFA, et un résultat net potentiellement positif de 1 à 1,5 milliard FCFA — une première depuis 2022. La solidité du bilan (capitaux propres de 24,62 milliards FCFA en 2025, trésorerie nette positive) et le désendettement massif (dettes fournisseurs ramenées de 14,9 à 5,0 milliards FCFA) offrent une base saine pour la reprise. Les risques persistants incluent la volatilité des marchés d'exportation (Nigeria, Guinée), la dépendance aux matières premières (coton, colorants) et la durabilité de la rentabilité opérationnelle. **Recommandation fondamentale : ACHAT**, avec un biais positif sur le moyen terme, sous réserve de confirmation de la rentabilité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atypique : le PER négatif et le BPA de -105 FCFA reflètent les pertes passées, mais le P/B de 3,09x traduit une anticipation de redressement — le marché valorise déjà la reprise. Le comportement du cours (Partie 1) est haussier sur 100 jours (+11,27%), avec une volatilité élevée (48,8%) et une distribution symétrique (skewness 0,104, kurtosis -0,071), ce qui est cohérent avec une phase de retournement. Les signaux techniques (Partie 2) sont divergents : RSI et Stochastique en survente plaident pour un achat tactique, mais le MACD baissier et les Bandes de Bollinger neutres incitent à la prudence à court terme. Les fondamentaux (Partie 3) sont en nette amélioration : retour à un résultat d'exploitation positif au S1 2026 (771 millions FCFA), EBE 2025 positif (1,13 milliard FCFA), désendettement massif et capitaux propres solides (24,62 milliards FCFA). Les prédictions IA (J+1 à J+10) anticipent une légère baisse de 2 311 à 2 279 FCFA, ce qui contredit le signal de survente du RSI/Stochastique et suggère une consolidation avant rebond.</w:t>
      </w:r>
    </w:p>
    <w:p>
      <w:pPr>
        <w:spacing w:after="120" w:line="276" w:lineRule="auto"/>
      </w:pPr>
      <w:r>
        <w:t>**Synthèse globale** : La convergence entre l'amélioration fondamentale (rentabilité opérationnelle retrouvée), la solidité du bilan et la survente technique plaide pour une **recommandation d'ACHAT**, avec un niveau de confiance **Moyen** (les prédictions IA à court terme étant baissières, une entrée progressive est préférable). Le risque global est **Moyen** (volatilité élevée, dépendance aux exportations, mais bilan assaini). L'horizon d'investissement optimal est le **moyen terme (3-12 mois)**, le temps que la rentabilité opérationnelle se confirme sur un exercice complet et que le marché revalorise le titre sur des bases bénéficiaires positives. Un investisseur patient pourrait viser un objectif de cours de 2 600-2 800 FCFA à 12 mois si le résultat net 2026 s'établit autour de 1,5 milliard FCFA, avec un stop-loss à 2 100 FCFA en cas de rechute sous la MM50.</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