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15/10/2026 à 09:13</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C00000"/>
          <w:sz w:val="19"/>
        </w:rPr>
        <w:t>BAISSIER 📉</w:t>
      </w:r>
    </w:p>
    <w:p>
      <w:pPr>
        <w:spacing w:before="20" w:after="20"/>
        <w:ind w:left="360" w:right="360"/>
        <w:shd w:val="clear" w:color="auto" w:fill="EBF5FB"/>
      </w:pPr>
      <w:r>
        <w:rPr>
          <w:b/>
          <w:sz w:val="19"/>
        </w:rPr>
        <w:t xml:space="preserve">Signaux :  </w:t>
      </w:r>
      <w:r>
        <w:rPr>
          <w:color w:val="0050A0"/>
          <w:sz w:val="19"/>
        </w:rPr>
        <w:t>46 ACHAT  |  2 NEUTRE  |  0 VENTE  (sur 48 sociétés)</w:t>
      </w:r>
    </w:p>
    <w:p>
      <w:pPr>
        <w:spacing w:before="20" w:after="20"/>
        <w:ind w:left="360" w:right="360"/>
        <w:shd w:val="clear" w:color="auto" w:fill="EBF5FB"/>
      </w:pPr>
      <w:r>
        <w:rPr>
          <w:b/>
          <w:sz w:val="19"/>
        </w:rPr>
        <w:t xml:space="preserve">Top opportunité :  </w:t>
      </w:r>
      <w:r>
        <w:rPr>
          <w:color w:val="008000"/>
          <w:sz w:val="19"/>
        </w:rPr>
        <w:t>ECOC  (score 86/100)</w:t>
      </w:r>
    </w:p>
    <w:p>
      <w:pPr>
        <w:spacing w:before="20" w:after="20"/>
        <w:ind w:left="360" w:right="360"/>
        <w:shd w:val="clear" w:color="auto" w:fill="EBF5FB"/>
      </w:pPr>
      <w:r>
        <w:rPr>
          <w:b/>
          <w:sz w:val="19"/>
        </w:rPr>
        <w:t xml:space="preserve">Secteur surperformant :  </w:t>
      </w:r>
      <w:r>
        <w:rPr>
          <w:color w:val="008000"/>
          <w:sz w:val="19"/>
        </w:rPr>
        <w:t>Services Financiers  (+43.3%)</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28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536.65 points </w:t>
      </w:r>
      <w:r>
        <w:rPr>
          <w:color w:val="C00000"/>
        </w:rPr>
        <w:t>(-1.33%)</w:t>
      </w:r>
      <w:r>
        <w:t xml:space="preserve"> sur la séance. </w:t>
      </w:r>
      <w:r>
        <w:t>La capitalisation globale du marché atteint 21 044,668 milliards FCFA.</w:t>
      </w:r>
    </w:p>
    <w:p/>
    <w:p>
      <w:pPr>
        <w:pStyle w:val="Heading3"/>
      </w:pPr>
      <w:r>
        <w:t>📊 Évolution de l'indice BRVM Composite (100 derniers jours)</w:t>
      </w:r>
    </w:p>
    <w:p>
      <w:r>
        <w:rPr>
          <w:b/>
        </w:rPr>
        <w:t xml:space="preserve">BRVM Composite — </w:t>
      </w:r>
      <w:r>
        <w:t xml:space="preserve">Sur les 100 derniers jours de cotation (2026-05-21 au 2026-10-14), l'indice BRVM Composite a évolué de </w:t>
      </w:r>
      <w:r>
        <w:rPr>
          <w:b/>
          <w:color w:val="008000"/>
        </w:rPr>
        <w:t>+27.30%</w:t>
      </w:r>
      <w:r>
        <w:t>, passant de 421.55 pts à 536.65 pts. Le plus haut atteint est 555.90 pts et le plus bas 420.33 pts. Sur l'ensemble de la période, la moyenne de l'indice s'établit à 492.27 pts, la médiane à 484.07 pts et le mode à 420.33 pts</w:t>
      </w:r>
      <w:r>
        <w:t xml:space="preserve"> (distribution symétrique). </w:t>
      </w:r>
      <w:r>
        <w:t xml:space="preserve">L'écart-type de 44.38 pts (CV=9.0%) traduit une modérée dispersion des cotations. Le kurtosis de -1.42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+29.50%</w:t>
      </w:r>
      <w:r>
        <w:t xml:space="preserve"> sur la période, passant de 16 250,637 Mds FCFA à 21 044,668 Mds FCFA. Le pic de capitalisation observé est de 21 529,927 Mds FCFA et le plancher de 16 203,402 Mds FCFA. La moyenne de la capitalisation sur la période s'établit à 19 024,142 Mds FCFA, la médiane à 18 647,897 Mds FCFA et le mode à 16 203,402 Mds FCFA</w:t>
      </w:r>
      <w:r>
        <w:t xml:space="preserve"> (distribution symétrique). </w:t>
      </w:r>
      <w:r>
        <w:t>L'écart-type de 1 779,133 Mds FCFA (CV=9.4%) reflète une modérée variabilité de la valorisation du marché. Le kurtosis de -1.43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BBGC - BRIDGE BANK GROUP COTE D'IVOIRE</w:t>
      </w:r>
      <w:r>
        <w:t xml:space="preserve"> | Prix: 10400 FCFA | </w:t>
      </w:r>
      <w:r>
        <w:rPr>
          <w:b/>
          <w:color w:val="008000"/>
        </w:rPr>
        <w:t>ACHAT FORT</w:t>
      </w:r>
      <w:r>
        <w:t xml:space="preserve"> | Confiance: Élevée | Risque: Moyen</w:t>
      </w:r>
    </w:p>
    <w:p>
      <w:pPr>
        <w:pStyle w:val="ListNumber"/>
      </w:pPr>
      <w:r>
        <w:rPr>
          <w:b/>
        </w:rPr>
        <w:t>ORGT - ORGT - ORAGROUP TOGO</w:t>
      </w:r>
      <w:r>
        <w:t xml:space="preserve"> | Prix: 2810 FCFA | </w:t>
      </w:r>
      <w:r>
        <w:rPr>
          <w:b/>
          <w:color w:val="008000"/>
        </w:rPr>
        <w:t>ACHAT FORT</w:t>
      </w:r>
      <w:r>
        <w:t xml:space="preserve"> | Confiance: Faible | Risque: Faible</w:t>
      </w:r>
    </w:p>
    <w:p>
      <w:pPr>
        <w:pStyle w:val="ListNumber"/>
      </w:pPr>
      <w:r>
        <w:rPr>
          <w:b/>
        </w:rPr>
        <w:t>ABJC - ABJC - SERVAIR ABIDJAN CI</w:t>
      </w:r>
      <w:r>
        <w:t xml:space="preserve"> | Prix: 3190 FCFA | </w:t>
      </w:r>
      <w:r>
        <w:rPr>
          <w:b/>
          <w:color w:val="008000"/>
        </w:rPr>
        <w:t>ACHAT</w:t>
      </w:r>
      <w:r>
        <w:t xml:space="preserve"> | Confiance: Élevée | Risque: Faible</w:t>
      </w:r>
    </w:p>
    <w:p>
      <w:pPr>
        <w:pStyle w:val="ListNumber"/>
      </w:pPr>
      <w:r>
        <w:rPr>
          <w:b/>
        </w:rPr>
        <w:t>BICB - BIIC BN - Banque internationale pour le commerce du benin</w:t>
      </w:r>
      <w:r>
        <w:t xml:space="preserve"> | Prix: 8380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31480 FCFA | </w:t>
      </w:r>
      <w:r>
        <w:rPr>
          <w:b/>
          <w:color w:val="008000"/>
        </w:rPr>
        <w:t>ACHAT</w:t>
      </w:r>
      <w:r>
        <w:t xml:space="preserve"> | Confiance: Moyen | Risque: Moyen</w:t>
      </w:r>
    </w:p>
    <w:p>
      <w:pPr>
        <w:pStyle w:val="ListNumber"/>
      </w:pPr>
      <w:r>
        <w:rPr>
          <w:b/>
        </w:rPr>
        <w:t>BNBC - BNBC - BERNABE CI</w:t>
      </w:r>
      <w:r>
        <w:t xml:space="preserve"> | Prix: 1800 FCFA | </w:t>
      </w:r>
      <w:r>
        <w:rPr>
          <w:b/>
          <w:color w:val="008000"/>
        </w:rPr>
        <w:t>ACHAT</w:t>
      </w:r>
      <w:r>
        <w:t xml:space="preserve"> | Confiance: Faible | Risque: Faible</w:t>
      </w:r>
    </w:p>
    <w:p>
      <w:pPr>
        <w:pStyle w:val="ListNumber"/>
      </w:pPr>
      <w:r>
        <w:rPr>
          <w:b/>
        </w:rPr>
        <w:t>BOAB - BANK OF AFRICA BENIN</w:t>
      </w:r>
      <w:r>
        <w:t xml:space="preserve"> | Prix: 9305 FCFA | </w:t>
      </w:r>
      <w:r>
        <w:rPr>
          <w:b/>
          <w:color w:val="008000"/>
        </w:rPr>
        <w:t>ACHAT</w:t>
      </w:r>
      <w:r>
        <w:t xml:space="preserve"> | Confiance: Faible | Risque: Faible</w:t>
      </w:r>
    </w:p>
    <w:p>
      <w:pPr>
        <w:pStyle w:val="ListNumber"/>
      </w:pPr>
      <w:r>
        <w:rPr>
          <w:b/>
        </w:rPr>
        <w:t>BOAC - BANK OF AFRICA COTE D'IVOIRE</w:t>
      </w:r>
      <w:r>
        <w:t xml:space="preserve"> | Prix: 11380 FCFA | </w:t>
      </w:r>
      <w:r>
        <w:rPr>
          <w:b/>
          <w:color w:val="008000"/>
        </w:rPr>
        <w:t>ACHAT</w:t>
      </w:r>
      <w:r>
        <w:t xml:space="preserve"> | Confiance: Moyen | Risque: Faible</w:t>
      </w:r>
    </w:p>
    <w:p>
      <w:pPr>
        <w:pStyle w:val="ListNumber"/>
      </w:pPr>
      <w:r>
        <w:rPr>
          <w:b/>
        </w:rPr>
        <w:t>BOAM - BANK OF AFRICA MALI</w:t>
      </w:r>
      <w:r>
        <w:t xml:space="preserve"> | Prix: 5995 FCFA | </w:t>
      </w:r>
      <w:r>
        <w:rPr>
          <w:b/>
          <w:color w:val="008000"/>
        </w:rPr>
        <w:t>ACHAT</w:t>
      </w:r>
      <w:r>
        <w:t xml:space="preserve"> | Confiance: Faible | Risque: Moyen</w:t>
      </w:r>
    </w:p>
    <w:p>
      <w:pPr>
        <w:pStyle w:val="ListNumber"/>
      </w:pPr>
      <w:r>
        <w:rPr>
          <w:b/>
        </w:rPr>
        <w:t>BOAN - BANK OF AFRICA NIGER</w:t>
      </w:r>
      <w:r>
        <w:t xml:space="preserve"> | Prix: 4795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ETIT - ETIT - Ecobank Transnational Incorporated Togo</w:t>
      </w:r>
      <w:r>
        <w:t xml:space="preserve"> | Prix: 66 FCFA | </w:t>
      </w:r>
      <w:r>
        <w:rPr>
          <w:b/>
          <w:color w:val="C00000"/>
        </w:rPr>
        <w:t>CONSERVER ⚠️</w:t>
      </w:r>
      <w:r>
        <w:t xml:space="preserve"> | Confiance: Moyen | Risque: Moyen</w:t>
      </w:r>
    </w:p>
    <w:p>
      <w:pPr>
        <w:pStyle w:val="ListNumber"/>
      </w:pPr>
      <w:r>
        <w:rPr>
          <w:b/>
        </w:rPr>
        <w:t>BOABF - BANK OF AFRICA BURKINA FASO</w:t>
      </w:r>
      <w:r>
        <w:t xml:space="preserve"> | Prix: 8045 FCFA | </w:t>
      </w:r>
      <w:r>
        <w:rPr>
          <w:b/>
          <w:color w:val="C00000"/>
        </w:rPr>
        <w:t>CONSERVER ⚠️</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43.35%</w:t>
      </w:r>
      <w:r>
        <w:t xml:space="preserve">  |  </w:t>
      </w:r>
      <w:r>
        <w:rPr>
          <w:b/>
        </w:rPr>
        <w:t xml:space="preserve">vs BRVM Composite: </w:t>
      </w:r>
      <w:r>
        <w:rPr>
          <w:b/>
          <w:color w:val="008000"/>
        </w:rPr>
        <w:t>+16.05%  🟢 Surperformance</w:t>
      </w:r>
      <w:r>
        <w:br/>
      </w:r>
      <w:r>
        <w:rPr>
          <w:b/>
        </w:rPr>
        <w:t xml:space="preserve">Sentiment général: </w:t>
      </w:r>
      <w:r>
        <w:t xml:space="preserve">ACHAT FORT  |  </w:t>
      </w:r>
      <w:r>
        <w:rPr>
          <w:b/>
        </w:rPr>
        <w:t xml:space="preserve">Risque moyen: </w:t>
      </w:r>
      <w:r>
        <w:t xml:space="preserve">Moyen  |  </w:t>
      </w:r>
      <w:r>
        <w:rPr>
          <w:b/>
        </w:rPr>
        <w:t xml:space="preserve">Prix moyen: </w:t>
      </w:r>
      <w:r>
        <w:t>10400 FCFA</w:t>
        <w:br/>
      </w:r>
      <w:r>
        <w:rPr>
          <w:b/>
        </w:rPr>
        <w:br/>
        <w:t xml:space="preserve">Sociétés: </w:t>
      </w:r>
      <w:r>
        <w:t>BBGC (BRIDGE BANK GROUP COTE D'IVOIRE)</w:t>
      </w:r>
    </w:p>
    <w:p/>
    <w:p>
      <w:pPr>
        <w:pStyle w:val="Heading3"/>
      </w:pPr>
      <w:r>
        <w:t>Secteur: SERVICES PUBLICS</w:t>
      </w:r>
    </w:p>
    <w:p>
      <w:r>
        <w:rPr>
          <w:b/>
        </w:rPr>
        <w:t xml:space="preserve">Nombre de sociétés: </w:t>
      </w:r>
      <w:r>
        <w:t xml:space="preserve">2  |  </w:t>
      </w:r>
      <w:r>
        <w:rPr>
          <w:b/>
        </w:rPr>
        <w:t xml:space="preserve">Performance moyenne (100j): </w:t>
      </w:r>
      <w:r>
        <w:rPr>
          <w:color w:val="008000"/>
        </w:rPr>
        <w:t>36.09%</w:t>
      </w:r>
      <w:r>
        <w:t xml:space="preserve">  |  </w:t>
      </w:r>
      <w:r>
        <w:rPr>
          <w:b/>
        </w:rPr>
        <w:t xml:space="preserve">vs BRVM Composite: </w:t>
      </w:r>
      <w:r>
        <w:rPr>
          <w:b/>
          <w:color w:val="008000"/>
        </w:rPr>
        <w:t>+8.79%  🟢 Surperformance</w:t>
      </w:r>
      <w:r>
        <w:br/>
      </w:r>
      <w:r>
        <w:rPr>
          <w:b/>
        </w:rPr>
        <w:t xml:space="preserve">Sentiment général: </w:t>
      </w:r>
      <w:r>
        <w:t xml:space="preserve">ACHAT  |  </w:t>
      </w:r>
      <w:r>
        <w:rPr>
          <w:b/>
        </w:rPr>
        <w:t xml:space="preserve">Risque moyen: </w:t>
      </w:r>
      <w:r>
        <w:t xml:space="preserve">Moyen  |  </w:t>
      </w:r>
      <w:r>
        <w:rPr>
          <w:b/>
        </w:rPr>
        <w:t xml:space="preserve">Prix moyen: </w:t>
      </w:r>
      <w:r>
        <w:t>9250 FCFA</w:t>
        <w:br/>
      </w:r>
      <w:r>
        <w:rPr>
          <w:b/>
        </w:rPr>
        <w:br/>
        <w:t xml:space="preserve">Sociétés: </w:t>
      </w:r>
      <w:r>
        <w:t>CIEC (CIEC - Compagnie Ivoirienne d'Electricité), SDCC (SDCC - Société de Distribution d'Eau de Côte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34.09%</w:t>
      </w:r>
      <w:r>
        <w:t xml:space="preserve">  |  </w:t>
      </w:r>
      <w:r>
        <w:rPr>
          <w:b/>
        </w:rPr>
        <w:t xml:space="preserve">vs BRVM Composite: </w:t>
      </w:r>
      <w:r>
        <w:rPr>
          <w:b/>
          <w:color w:val="008000"/>
        </w:rPr>
        <w:t>+6.78%  🟢 Surperformance</w:t>
      </w:r>
      <w:r>
        <w:br/>
      </w:r>
      <w:r>
        <w:rPr>
          <w:b/>
        </w:rPr>
        <w:t xml:space="preserve">Sentiment général: </w:t>
      </w:r>
      <w:r>
        <w:t xml:space="preserve">ACHAT  |  </w:t>
      </w:r>
      <w:r>
        <w:rPr>
          <w:b/>
        </w:rPr>
        <w:t xml:space="preserve">Risque moyen: </w:t>
      </w:r>
      <w:r>
        <w:t xml:space="preserve">Moyen  |  </w:t>
      </w:r>
      <w:r>
        <w:rPr>
          <w:b/>
        </w:rPr>
        <w:t xml:space="preserve">Prix moyen: </w:t>
      </w:r>
      <w:r>
        <w:t>22750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27.19%</w:t>
      </w:r>
      <w:r>
        <w:t xml:space="preserve">  |  </w:t>
      </w:r>
      <w:r>
        <w:rPr>
          <w:b/>
        </w:rPr>
        <w:t xml:space="preserve">vs BRVM Composite: </w:t>
      </w:r>
      <w:r>
        <w:rPr>
          <w:b/>
          <w:color w:val="C00000"/>
        </w:rPr>
        <w:t>-0.11%  🔴 Sous-performance</w:t>
      </w:r>
      <w:r>
        <w:br/>
      </w:r>
      <w:r>
        <w:rPr>
          <w:b/>
        </w:rPr>
        <w:t xml:space="preserve">Sentiment général: </w:t>
      </w:r>
      <w:r>
        <w:t xml:space="preserve">ACHAT  |  </w:t>
      </w:r>
      <w:r>
        <w:rPr>
          <w:b/>
        </w:rPr>
        <w:t xml:space="preserve">Risque moyen: </w:t>
      </w:r>
      <w:r>
        <w:t xml:space="preserve">Moyen  |  </w:t>
      </w:r>
      <w:r>
        <w:rPr>
          <w:b/>
        </w:rPr>
        <w:t xml:space="preserve">Prix moyen: </w:t>
      </w:r>
      <w:r>
        <w:t>13098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14.57%</w:t>
      </w:r>
      <w:r>
        <w:t xml:space="preserve">  |  </w:t>
      </w:r>
      <w:r>
        <w:rPr>
          <w:b/>
        </w:rPr>
        <w:t xml:space="preserve">vs BRVM Composite: </w:t>
      </w:r>
      <w:r>
        <w:rPr>
          <w:b/>
          <w:color w:val="C00000"/>
        </w:rPr>
        <w:t>-12.73%  🔴 Sous-performance</w:t>
      </w:r>
      <w:r>
        <w:br/>
      </w:r>
      <w:r>
        <w:rPr>
          <w:b/>
        </w:rPr>
        <w:t xml:space="preserve">Sentiment général: </w:t>
      </w:r>
      <w:r>
        <w:t xml:space="preserve">ACHAT  |  </w:t>
      </w:r>
      <w:r>
        <w:rPr>
          <w:b/>
        </w:rPr>
        <w:t xml:space="preserve">Risque moyen: </w:t>
      </w:r>
      <w:r>
        <w:t xml:space="preserve">Faible  |  </w:t>
      </w:r>
      <w:r>
        <w:rPr>
          <w:b/>
        </w:rPr>
        <w:t xml:space="preserve">Prix moyen: </w:t>
      </w:r>
      <w:r>
        <w:t>6129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13.12%</w:t>
      </w:r>
      <w:r>
        <w:t xml:space="preserve">  |  </w:t>
      </w:r>
      <w:r>
        <w:rPr>
          <w:b/>
        </w:rPr>
        <w:t xml:space="preserve">vs BRVM Composite: </w:t>
      </w:r>
      <w:r>
        <w:rPr>
          <w:b/>
          <w:color w:val="C00000"/>
        </w:rPr>
        <w:t>-14.18%  🔴 Sous-performance</w:t>
      </w:r>
      <w:r>
        <w:br/>
      </w:r>
      <w:r>
        <w:rPr>
          <w:b/>
        </w:rPr>
        <w:t xml:space="preserve">Sentiment général: </w:t>
      </w:r>
      <w:r>
        <w:t xml:space="preserve">ACHAT  |  </w:t>
      </w:r>
      <w:r>
        <w:rPr>
          <w:b/>
        </w:rPr>
        <w:t xml:space="preserve">Risque moyen: </w:t>
      </w:r>
      <w:r>
        <w:t xml:space="preserve">Faible  |  </w:t>
      </w:r>
      <w:r>
        <w:rPr>
          <w:b/>
        </w:rPr>
        <w:t xml:space="preserve">Prix moyen: </w:t>
      </w:r>
      <w:r>
        <w:t>16994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10.64%</w:t>
      </w:r>
      <w:r>
        <w:t xml:space="preserve">  |  </w:t>
      </w:r>
      <w:r>
        <w:rPr>
          <w:b/>
        </w:rPr>
        <w:t xml:space="preserve">vs BRVM Composite: </w:t>
      </w:r>
      <w:r>
        <w:rPr>
          <w:b/>
          <w:color w:val="C00000"/>
        </w:rPr>
        <w:t>-16.66%  🔴 Sous-performance</w:t>
      </w:r>
      <w:r>
        <w:br/>
      </w:r>
      <w:r>
        <w:rPr>
          <w:b/>
        </w:rPr>
        <w:t xml:space="preserve">Sentiment général: </w:t>
      </w:r>
      <w:r>
        <w:t xml:space="preserve">ACHAT  |  </w:t>
      </w:r>
      <w:r>
        <w:rPr>
          <w:b/>
        </w:rPr>
        <w:t xml:space="preserve">Risque moyen: </w:t>
      </w:r>
      <w:r>
        <w:t xml:space="preserve">Faible  |  </w:t>
      </w:r>
      <w:r>
        <w:rPr>
          <w:b/>
        </w:rPr>
        <w:t xml:space="preserve">Prix moyen: </w:t>
      </w:r>
      <w:r>
        <w:t>2730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-5.07%</w:t>
      </w:r>
      <w:r>
        <w:t xml:space="preserve">  |  </w:t>
      </w:r>
      <w:r>
        <w:rPr>
          <w:b/>
        </w:rPr>
        <w:t xml:space="preserve">vs BRVM Composite: </w:t>
      </w:r>
      <w:r>
        <w:rPr>
          <w:b/>
          <w:color w:val="C00000"/>
        </w:rPr>
        <w:t>-32.38%  🔴 Sous-performance</w:t>
      </w:r>
      <w:r>
        <w:br/>
      </w:r>
      <w:r>
        <w:rPr>
          <w:b/>
        </w:rPr>
        <w:t xml:space="preserve">Sentiment général: </w:t>
      </w:r>
      <w:r>
        <w:t xml:space="preserve">ACHAT  |  </w:t>
      </w:r>
      <w:r>
        <w:rPr>
          <w:b/>
        </w:rPr>
        <w:t xml:space="preserve">Risque moyen: </w:t>
      </w:r>
      <w:r>
        <w:t xml:space="preserve">Faible  |  </w:t>
      </w:r>
      <w:r>
        <w:rPr>
          <w:b/>
        </w:rPr>
        <w:t xml:space="preserve">Prix moyen: </w:t>
      </w:r>
      <w:r>
        <w:t>2226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BOAS, CIEC, ECOC, ONTBF, SDSC, SGBC, SHEC, SLBC, SPHC,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BOAC, CBIBF, ORAC, SEMC, SOGC, TTLC,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 BOAM, BOAN, CABC, CFAC, FTSC, LNBB, NEIC, NSBC, NTLC, ORGT, PALC, PRSC, SAFC, SCRC, SDCC, SIBC, SICC, SIVC, SMBC, SNTS, STAC, STBC, TTLS</w:t>
            </w:r>
          </w:p>
        </w:tc>
        <w:tc>
          <w:tcPr>
            <w:tcW w:type="dxa" w:w="2160"/>
            <w:shd w:fill="FFC7CE" w:val="clear"/>
          </w:tcPr>
          <w:p>
            <w:pPr>
              <w:spacing w:before="40" w:after="40"/>
            </w:pPr>
            <w:r/>
            <w:r>
              <w:rPr>
                <w:b w:val="0"/>
                <w:sz w:val="16"/>
              </w:rPr>
              <w:t>BOABF, ETIT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1917997</w:t>
            </w:r>
          </w:p>
        </w:tc>
        <w:tc>
          <w:tcPr>
            <w:tcW w:type="dxa" w:w="1728"/>
          </w:tcPr>
          <w:p>
            <w:r>
              <w:t>128645924 FCFA</w:t>
            </w:r>
          </w:p>
        </w:tc>
        <w:tc>
          <w:tcPr>
            <w:tcW w:type="dxa" w:w="1728"/>
          </w:tcPr>
          <w:p>
            <w:r>
              <w:t>127.59%</w:t>
            </w:r>
          </w:p>
        </w:tc>
        <w:tc>
          <w:tcPr>
            <w:tcW w:type="dxa" w:w="1728"/>
          </w:tcPr>
          <w:p>
            <w:r>
              <w:t>CONSERVER ⚠️</w:t>
            </w:r>
          </w:p>
        </w:tc>
      </w:tr>
      <w:tr>
        <w:tc>
          <w:tcPr>
            <w:tcW w:type="dxa" w:w="1728"/>
          </w:tcPr>
          <w:p>
            <w:r>
              <w:t>BBGC (BRIDGE BANK GROUP COTE D'IVOIRE)</w:t>
            </w:r>
          </w:p>
        </w:tc>
        <w:tc>
          <w:tcPr>
            <w:tcW w:type="dxa" w:w="1728"/>
          </w:tcPr>
          <w:p>
            <w:r>
              <w:t>30793</w:t>
            </w:r>
          </w:p>
        </w:tc>
        <w:tc>
          <w:tcPr>
            <w:tcW w:type="dxa" w:w="1728"/>
          </w:tcPr>
          <w:p>
            <w:r>
              <w:t>288114061 FCFA</w:t>
            </w:r>
          </w:p>
        </w:tc>
        <w:tc>
          <w:tcPr>
            <w:tcW w:type="dxa" w:w="1728"/>
          </w:tcPr>
          <w:p>
            <w:r>
              <w:t>43.35%</w:t>
            </w:r>
          </w:p>
        </w:tc>
        <w:tc>
          <w:tcPr>
            <w:tcW w:type="dxa" w:w="1728"/>
          </w:tcPr>
          <w:p>
            <w:r>
              <w:t>ACHAT FORT</w:t>
            </w:r>
          </w:p>
        </w:tc>
      </w:tr>
      <w:tr>
        <w:tc>
          <w:tcPr>
            <w:tcW w:type="dxa" w:w="1728"/>
          </w:tcPr>
          <w:p>
            <w:r>
              <w:t>SNTS (SNTS - SONATEL SN)</w:t>
            </w:r>
          </w:p>
        </w:tc>
        <w:tc>
          <w:tcPr>
            <w:tcW w:type="dxa" w:w="1728"/>
          </w:tcPr>
          <w:p>
            <w:r>
              <w:t>28531</w:t>
            </w:r>
          </w:p>
        </w:tc>
        <w:tc>
          <w:tcPr>
            <w:tcW w:type="dxa" w:w="1728"/>
          </w:tcPr>
          <w:p>
            <w:r>
              <w:t>1223053280 FCFA</w:t>
            </w:r>
          </w:p>
        </w:tc>
        <w:tc>
          <w:tcPr>
            <w:tcW w:type="dxa" w:w="1728"/>
          </w:tcPr>
          <w:p>
            <w:r>
              <w:t>64.58%</w:t>
            </w:r>
          </w:p>
        </w:tc>
        <w:tc>
          <w:tcPr>
            <w:tcW w:type="dxa" w:w="1728"/>
          </w:tcPr>
          <w:p>
            <w:r>
              <w:t>ACHAT</w:t>
            </w:r>
          </w:p>
        </w:tc>
      </w:tr>
      <w:tr>
        <w:tc>
          <w:tcPr>
            <w:tcW w:type="dxa" w:w="1728"/>
          </w:tcPr>
          <w:p>
            <w:r>
              <w:t>SEMC (SEMC - EVIOSYS PACKAGING SIEM CI)</w:t>
            </w:r>
          </w:p>
        </w:tc>
        <w:tc>
          <w:tcPr>
            <w:tcW w:type="dxa" w:w="1728"/>
          </w:tcPr>
          <w:p>
            <w:r>
              <w:t>12827</w:t>
            </w:r>
          </w:p>
        </w:tc>
        <w:tc>
          <w:tcPr>
            <w:tcW w:type="dxa" w:w="1728"/>
          </w:tcPr>
          <w:p>
            <w:r>
              <w:t>18855995 FCFA</w:t>
            </w:r>
          </w:p>
        </w:tc>
        <w:tc>
          <w:tcPr>
            <w:tcW w:type="dxa" w:w="1728"/>
          </w:tcPr>
          <w:p>
            <w:r>
              <w:t>-16.94%</w:t>
            </w:r>
          </w:p>
        </w:tc>
        <w:tc>
          <w:tcPr>
            <w:tcW w:type="dxa" w:w="1728"/>
          </w:tcPr>
          <w:p>
            <w:r>
              <w:t>ACHAT</w:t>
            </w:r>
          </w:p>
        </w:tc>
      </w:tr>
      <w:tr>
        <w:tc>
          <w:tcPr>
            <w:tcW w:type="dxa" w:w="1728"/>
          </w:tcPr>
          <w:p>
            <w:r>
              <w:t>BOAS (BANK OF AFRICA SENEGAL)</w:t>
            </w:r>
          </w:p>
        </w:tc>
        <w:tc>
          <w:tcPr>
            <w:tcW w:type="dxa" w:w="1728"/>
          </w:tcPr>
          <w:p>
            <w:r>
              <w:t>12803</w:t>
            </w:r>
          </w:p>
        </w:tc>
        <w:tc>
          <w:tcPr>
            <w:tcW w:type="dxa" w:w="1728"/>
          </w:tcPr>
          <w:p>
            <w:r>
              <w:t>103633494 FCFA</w:t>
            </w:r>
          </w:p>
        </w:tc>
        <w:tc>
          <w:tcPr>
            <w:tcW w:type="dxa" w:w="1728"/>
          </w:tcPr>
          <w:p>
            <w:r>
              <w:t>1.69%</w:t>
            </w:r>
          </w:p>
        </w:tc>
        <w:tc>
          <w:tcPr>
            <w:tcW w:type="dxa" w:w="1728"/>
          </w:tcPr>
          <w:p>
            <w:r>
              <w:t>ACHAT</w:t>
            </w:r>
          </w:p>
        </w:tc>
      </w:tr>
      <w:tr>
        <w:tc>
          <w:tcPr>
            <w:tcW w:type="dxa" w:w="1728"/>
          </w:tcPr>
          <w:p>
            <w:r>
              <w:t>SDSC (SDSC - AFRICA GLOBAL LOGISTICS CI)</w:t>
            </w:r>
          </w:p>
        </w:tc>
        <w:tc>
          <w:tcPr>
            <w:tcW w:type="dxa" w:w="1728"/>
          </w:tcPr>
          <w:p>
            <w:r>
              <w:t>12039</w:t>
            </w:r>
          </w:p>
        </w:tc>
        <w:tc>
          <w:tcPr>
            <w:tcW w:type="dxa" w:w="1728"/>
          </w:tcPr>
          <w:p>
            <w:r>
              <w:t>34880750 FCFA</w:t>
            </w:r>
          </w:p>
        </w:tc>
        <w:tc>
          <w:tcPr>
            <w:tcW w:type="dxa" w:w="1728"/>
          </w:tcPr>
          <w:p>
            <w:r>
              <w:t>83.43%</w:t>
            </w:r>
          </w:p>
        </w:tc>
        <w:tc>
          <w:tcPr>
            <w:tcW w:type="dxa" w:w="1728"/>
          </w:tcPr>
          <w:p>
            <w:r>
              <w:t>ACHAT</w:t>
            </w:r>
          </w:p>
        </w:tc>
      </w:tr>
      <w:tr>
        <w:tc>
          <w:tcPr>
            <w:tcW w:type="dxa" w:w="1728"/>
          </w:tcPr>
          <w:p>
            <w:r>
              <w:t>SCRC (SCRC - SUCRIVOIRE)</w:t>
            </w:r>
          </w:p>
        </w:tc>
        <w:tc>
          <w:tcPr>
            <w:tcW w:type="dxa" w:w="1728"/>
          </w:tcPr>
          <w:p>
            <w:r>
              <w:t>11867</w:t>
            </w:r>
          </w:p>
        </w:tc>
        <w:tc>
          <w:tcPr>
            <w:tcW w:type="dxa" w:w="1728"/>
          </w:tcPr>
          <w:p>
            <w:r>
              <w:t>33242240 FCFA</w:t>
            </w:r>
          </w:p>
        </w:tc>
        <w:tc>
          <w:tcPr>
            <w:tcW w:type="dxa" w:w="1728"/>
          </w:tcPr>
          <w:p>
            <w:r>
              <w:t>-4.51%</w:t>
            </w:r>
          </w:p>
        </w:tc>
        <w:tc>
          <w:tcPr>
            <w:tcW w:type="dxa" w:w="1728"/>
          </w:tcPr>
          <w:p>
            <w:r>
              <w:t>ACHAT</w:t>
            </w:r>
          </w:p>
        </w:tc>
      </w:tr>
      <w:tr>
        <w:tc>
          <w:tcPr>
            <w:tcW w:type="dxa" w:w="1728"/>
          </w:tcPr>
          <w:p>
            <w:r>
              <w:t>SIBC (SIBC - SOCIETE IVOIRIENNE DE BANQUE)</w:t>
            </w:r>
          </w:p>
        </w:tc>
        <w:tc>
          <w:tcPr>
            <w:tcW w:type="dxa" w:w="1728"/>
          </w:tcPr>
          <w:p>
            <w:r>
              <w:t>11341</w:t>
            </w:r>
          </w:p>
        </w:tc>
        <w:tc>
          <w:tcPr>
            <w:tcW w:type="dxa" w:w="1728"/>
          </w:tcPr>
          <w:p>
            <w:r>
              <w:t>101750716 FCFA</w:t>
            </w:r>
          </w:p>
        </w:tc>
        <w:tc>
          <w:tcPr>
            <w:tcW w:type="dxa" w:w="1728"/>
          </w:tcPr>
          <w:p>
            <w:r>
              <w:t>12.17%</w:t>
            </w:r>
          </w:p>
        </w:tc>
        <w:tc>
          <w:tcPr>
            <w:tcW w:type="dxa" w:w="1728"/>
          </w:tcPr>
          <w:p>
            <w:r>
              <w:t>ACHAT</w:t>
            </w:r>
          </w:p>
        </w:tc>
      </w:tr>
      <w:tr>
        <w:tc>
          <w:tcPr>
            <w:tcW w:type="dxa" w:w="1728"/>
          </w:tcPr>
          <w:p>
            <w:r>
              <w:t>BOAC (BANK OF AFRICA COTE D'IVOIRE)</w:t>
            </w:r>
          </w:p>
        </w:tc>
        <w:tc>
          <w:tcPr>
            <w:tcW w:type="dxa" w:w="1728"/>
          </w:tcPr>
          <w:p>
            <w:r>
              <w:t>10166</w:t>
            </w:r>
          </w:p>
        </w:tc>
        <w:tc>
          <w:tcPr>
            <w:tcW w:type="dxa" w:w="1728"/>
          </w:tcPr>
          <w:p>
            <w:r>
              <w:t>115430937 FCFA</w:t>
            </w:r>
          </w:p>
        </w:tc>
        <w:tc>
          <w:tcPr>
            <w:tcW w:type="dxa" w:w="1728"/>
          </w:tcPr>
          <w:p>
            <w:r>
              <w:t>28.15%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SPHC (SPHC - Société Africaine de Plantation d'Hévéas de Côte d'Ivoire)</w:t>
            </w:r>
          </w:p>
        </w:tc>
        <w:tc>
          <w:tcPr>
            <w:tcW w:type="dxa" w:w="1728"/>
          </w:tcPr>
          <w:p>
            <w:r>
              <w:t>3820</w:t>
            </w:r>
          </w:p>
        </w:tc>
        <w:tc>
          <w:tcPr>
            <w:tcW w:type="dxa" w:w="1728"/>
          </w:tcPr>
          <w:p>
            <w:r>
              <w:t>29845550 FCFA</w:t>
            </w:r>
          </w:p>
        </w:tc>
        <w:tc>
          <w:tcPr>
            <w:tcW w:type="dxa" w:w="1728"/>
          </w:tcPr>
          <w:p>
            <w:r>
              <w:t>9.57%</w:t>
            </w:r>
          </w:p>
        </w:tc>
        <w:tc>
          <w:tcPr>
            <w:tcW w:type="dxa" w:w="1728"/>
          </w:tcPr>
          <w:p>
            <w:r>
              <w:t>ACHAT</w:t>
            </w:r>
          </w:p>
        </w:tc>
      </w:tr>
      <w:tr>
        <w:tc>
          <w:tcPr>
            <w:tcW w:type="dxa" w:w="1728"/>
          </w:tcPr>
          <w:p>
            <w:r>
              <w:t>ORGT (ORGT - ORAGROUP TOGO)</w:t>
            </w:r>
          </w:p>
        </w:tc>
        <w:tc>
          <w:tcPr>
            <w:tcW w:type="dxa" w:w="1728"/>
          </w:tcPr>
          <w:p>
            <w:r>
              <w:t>3228</w:t>
            </w:r>
          </w:p>
        </w:tc>
        <w:tc>
          <w:tcPr>
            <w:tcW w:type="dxa" w:w="1728"/>
          </w:tcPr>
          <w:p>
            <w:r>
              <w:t>9654371 FCFA</w:t>
            </w:r>
          </w:p>
        </w:tc>
        <w:tc>
          <w:tcPr>
            <w:tcW w:type="dxa" w:w="1728"/>
          </w:tcPr>
          <w:p>
            <w:r>
              <w:t>8.49%</w:t>
            </w:r>
          </w:p>
        </w:tc>
        <w:tc>
          <w:tcPr>
            <w:tcW w:type="dxa" w:w="1728"/>
          </w:tcPr>
          <w:p>
            <w:r>
              <w:t>ACHAT FORT</w:t>
            </w:r>
          </w:p>
        </w:tc>
      </w:tr>
      <w:tr>
        <w:tc>
          <w:tcPr>
            <w:tcW w:type="dxa" w:w="1728"/>
          </w:tcPr>
          <w:p>
            <w:r>
              <w:t>SIVC (SIVC - ERIUM CI (Ex AIR LIQUIDECI))</w:t>
            </w:r>
          </w:p>
        </w:tc>
        <w:tc>
          <w:tcPr>
            <w:tcW w:type="dxa" w:w="1728"/>
          </w:tcPr>
          <w:p>
            <w:r>
              <w:t>3213</w:t>
            </w:r>
          </w:p>
        </w:tc>
        <w:tc>
          <w:tcPr>
            <w:tcW w:type="dxa" w:w="1728"/>
          </w:tcPr>
          <w:p>
            <w:r>
              <w:t>6536266 FCFA</w:t>
            </w:r>
          </w:p>
        </w:tc>
        <w:tc>
          <w:tcPr>
            <w:tcW w:type="dxa" w:w="1728"/>
          </w:tcPr>
          <w:p>
            <w:r>
              <w:t>-35.20%</w:t>
            </w:r>
          </w:p>
        </w:tc>
        <w:tc>
          <w:tcPr>
            <w:tcW w:type="dxa" w:w="1728"/>
          </w:tcPr>
          <w:p>
            <w:r>
              <w:t>ACHAT</w:t>
            </w:r>
          </w:p>
        </w:tc>
      </w:tr>
      <w:tr>
        <w:tc>
          <w:tcPr>
            <w:tcW w:type="dxa" w:w="1728"/>
          </w:tcPr>
          <w:p>
            <w:r>
              <w:t>CFAC (CFAC - CFAO MOTORS CI)</w:t>
            </w:r>
          </w:p>
        </w:tc>
        <w:tc>
          <w:tcPr>
            <w:tcW w:type="dxa" w:w="1728"/>
          </w:tcPr>
          <w:p>
            <w:r>
              <w:t>2747</w:t>
            </w:r>
          </w:p>
        </w:tc>
        <w:tc>
          <w:tcPr>
            <w:tcW w:type="dxa" w:w="1728"/>
          </w:tcPr>
          <w:p>
            <w:r>
              <w:t>4274263 FCFA</w:t>
            </w:r>
          </w:p>
        </w:tc>
        <w:tc>
          <w:tcPr>
            <w:tcW w:type="dxa" w:w="1728"/>
          </w:tcPr>
          <w:p>
            <w:r>
              <w:t>-4.38%</w:t>
            </w:r>
          </w:p>
        </w:tc>
        <w:tc>
          <w:tcPr>
            <w:tcW w:type="dxa" w:w="1728"/>
          </w:tcPr>
          <w:p>
            <w:r>
              <w:t>ACHAT</w:t>
            </w:r>
          </w:p>
        </w:tc>
      </w:tr>
      <w:tr>
        <w:tc>
          <w:tcPr>
            <w:tcW w:type="dxa" w:w="1728"/>
          </w:tcPr>
          <w:p>
            <w:r>
              <w:t>NEIC (NEIC - NEI-CEDA CI)</w:t>
            </w:r>
          </w:p>
        </w:tc>
        <w:tc>
          <w:tcPr>
            <w:tcW w:type="dxa" w:w="1728"/>
          </w:tcPr>
          <w:p>
            <w:r>
              <w:t>2742</w:t>
            </w:r>
          </w:p>
        </w:tc>
        <w:tc>
          <w:tcPr>
            <w:tcW w:type="dxa" w:w="1728"/>
          </w:tcPr>
          <w:p>
            <w:r>
              <w:t>6238833 FCFA</w:t>
            </w:r>
          </w:p>
        </w:tc>
        <w:tc>
          <w:tcPr>
            <w:tcW w:type="dxa" w:w="1728"/>
          </w:tcPr>
          <w:p>
            <w:r>
              <w:t>11.37%</w:t>
            </w:r>
          </w:p>
        </w:tc>
        <w:tc>
          <w:tcPr>
            <w:tcW w:type="dxa" w:w="1728"/>
          </w:tcPr>
          <w:p>
            <w:r>
              <w:t>ACHAT</w:t>
            </w:r>
          </w:p>
        </w:tc>
      </w:tr>
      <w:tr>
        <w:tc>
          <w:tcPr>
            <w:tcW w:type="dxa" w:w="1728"/>
          </w:tcPr>
          <w:p>
            <w:r>
              <w:t>ECOC (ECOC - ECOBANK COTE D'IVOIRE)</w:t>
            </w:r>
          </w:p>
        </w:tc>
        <w:tc>
          <w:tcPr>
            <w:tcW w:type="dxa" w:w="1728"/>
          </w:tcPr>
          <w:p>
            <w:r>
              <w:t>2692</w:t>
            </w:r>
          </w:p>
        </w:tc>
        <w:tc>
          <w:tcPr>
            <w:tcW w:type="dxa" w:w="1728"/>
          </w:tcPr>
          <w:p>
            <w:r>
              <w:t>45130481 FCFA</w:t>
            </w:r>
          </w:p>
        </w:tc>
        <w:tc>
          <w:tcPr>
            <w:tcW w:type="dxa" w:w="1728"/>
          </w:tcPr>
          <w:p>
            <w:r>
              <w:t>2.48%</w:t>
            </w:r>
          </w:p>
        </w:tc>
        <w:tc>
          <w:tcPr>
            <w:tcW w:type="dxa" w:w="1728"/>
          </w:tcPr>
          <w:p>
            <w:r>
              <w:t>ACHAT</w:t>
            </w:r>
          </w:p>
        </w:tc>
      </w:tr>
      <w:tr>
        <w:tc>
          <w:tcPr>
            <w:tcW w:type="dxa" w:w="1728"/>
          </w:tcPr>
          <w:p>
            <w:r>
              <w:t>FTSC (FTSC - FILTISAC COTE D'IVOIRE)</w:t>
            </w:r>
          </w:p>
        </w:tc>
        <w:tc>
          <w:tcPr>
            <w:tcW w:type="dxa" w:w="1728"/>
          </w:tcPr>
          <w:p>
            <w:r>
              <w:t>2683</w:t>
            </w:r>
          </w:p>
        </w:tc>
        <w:tc>
          <w:tcPr>
            <w:tcW w:type="dxa" w:w="1728"/>
          </w:tcPr>
          <w:p>
            <w:r>
              <w:t>5260724 FCFA</w:t>
            </w:r>
          </w:p>
        </w:tc>
        <w:tc>
          <w:tcPr>
            <w:tcW w:type="dxa" w:w="1728"/>
          </w:tcPr>
          <w:p>
            <w:r>
              <w:t>-19.57%</w:t>
            </w:r>
          </w:p>
        </w:tc>
        <w:tc>
          <w:tcPr>
            <w:tcW w:type="dxa" w:w="1728"/>
          </w:tcPr>
          <w:p>
            <w:r>
              <w:t>ACHAT</w:t>
            </w:r>
          </w:p>
        </w:tc>
      </w:tr>
      <w:tr>
        <w:tc>
          <w:tcPr>
            <w:tcW w:type="dxa" w:w="1728"/>
          </w:tcPr>
          <w:p>
            <w:r>
              <w:t>SOGC (SOGC - Société des caoutchoucs de Grand-Béréby)</w:t>
            </w:r>
          </w:p>
        </w:tc>
        <w:tc>
          <w:tcPr>
            <w:tcW w:type="dxa" w:w="1728"/>
          </w:tcPr>
          <w:p>
            <w:r>
              <w:t>2621</w:t>
            </w:r>
          </w:p>
        </w:tc>
        <w:tc>
          <w:tcPr>
            <w:tcW w:type="dxa" w:w="1728"/>
          </w:tcPr>
          <w:p>
            <w:r>
              <w:t>20540371 FCFA</w:t>
            </w:r>
          </w:p>
        </w:tc>
        <w:tc>
          <w:tcPr>
            <w:tcW w:type="dxa" w:w="1728"/>
          </w:tcPr>
          <w:p>
            <w:r>
              <w:t>2.37%</w:t>
            </w:r>
          </w:p>
        </w:tc>
        <w:tc>
          <w:tcPr>
            <w:tcW w:type="dxa" w:w="1728"/>
          </w:tcPr>
          <w:p>
            <w:r>
              <w:t>ACHAT</w:t>
            </w:r>
          </w:p>
        </w:tc>
      </w:tr>
      <w:tr>
        <w:tc>
          <w:tcPr>
            <w:tcW w:type="dxa" w:w="1728"/>
          </w:tcPr>
          <w:p>
            <w:r>
              <w:t>ABJC (ABJC - SERVAIR ABIDJAN CI)</w:t>
            </w:r>
          </w:p>
        </w:tc>
        <w:tc>
          <w:tcPr>
            <w:tcW w:type="dxa" w:w="1728"/>
          </w:tcPr>
          <w:p>
            <w:r>
              <w:t>2522</w:t>
            </w:r>
          </w:p>
        </w:tc>
        <w:tc>
          <w:tcPr>
            <w:tcW w:type="dxa" w:w="1728"/>
          </w:tcPr>
          <w:p>
            <w:r>
              <w:t>9388358 FCFA</w:t>
            </w:r>
          </w:p>
        </w:tc>
        <w:tc>
          <w:tcPr>
            <w:tcW w:type="dxa" w:w="1728"/>
          </w:tcPr>
          <w:p>
            <w:r>
              <w:t>11.54%</w:t>
            </w:r>
          </w:p>
        </w:tc>
        <w:tc>
          <w:tcPr>
            <w:tcW w:type="dxa" w:w="1728"/>
          </w:tcPr>
          <w:p>
            <w:r>
              <w:t>ACHAT</w:t>
            </w:r>
          </w:p>
        </w:tc>
      </w:tr>
      <w:tr>
        <w:tc>
          <w:tcPr>
            <w:tcW w:type="dxa" w:w="1728"/>
          </w:tcPr>
          <w:p>
            <w:r>
              <w:t>BNBC (BNBC - BERNABE CI)</w:t>
            </w:r>
          </w:p>
        </w:tc>
        <w:tc>
          <w:tcPr>
            <w:tcW w:type="dxa" w:w="1728"/>
          </w:tcPr>
          <w:p>
            <w:r>
              <w:t>2133</w:t>
            </w:r>
          </w:p>
        </w:tc>
        <w:tc>
          <w:tcPr>
            <w:tcW w:type="dxa" w:w="1728"/>
          </w:tcPr>
          <w:p>
            <w:r>
              <w:t>4125076 FCFA</w:t>
            </w:r>
          </w:p>
        </w:tc>
        <w:tc>
          <w:tcPr>
            <w:tcW w:type="dxa" w:w="1728"/>
          </w:tcPr>
          <w:p>
            <w:r>
              <w:t>18.03%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BICB - BIIC BN - Banque internationale pour le commerce du benin</w:t>
      </w:r>
    </w:p>
    <w:p>
      <w:r>
        <w:rPr>
          <w:b/>
        </w:rPr>
        <w:t xml:space="preserve">Score de divergence: </w:t>
      </w:r>
      <w:r>
        <w:t>5/8</w:t>
        <w:br/>
      </w:r>
      <w:r>
        <w:rPr>
          <w:b/>
        </w:rPr>
        <w:t xml:space="preserve">Description: </w:t>
      </w:r>
      <w:r>
        <w:t>Signaux de vente: MM, MACD | Recommandation finale: ACHAT</w:t>
        <w:br/>
      </w:r>
    </w:p>
    <w:p/>
    <w:p>
      <w:pPr>
        <w:pStyle w:val="Heading3"/>
      </w:pPr>
      <w:r>
        <w:t>2. BOAB - BANK OF AFRICA BENIN</w:t>
      </w:r>
    </w:p>
    <w:p>
      <w:r>
        <w:rPr>
          <w:b/>
        </w:rPr>
        <w:t xml:space="preserve">Score de divergence: </w:t>
      </w:r>
      <w:r>
        <w:t>5/8</w:t>
        <w:br/>
      </w:r>
      <w:r>
        <w:rPr>
          <w:b/>
        </w:rPr>
        <w:t xml:space="preserve">Description: </w:t>
      </w:r>
      <w:r>
        <w:t>Signaux de vente: MM, MACD | Recommandation finale: ACHAT</w:t>
        <w:br/>
      </w:r>
    </w:p>
    <w:p/>
    <w:p>
      <w:pPr>
        <w:pStyle w:val="Heading3"/>
      </w:pPr>
      <w:r>
        <w:t>3. BOAM - BANK OF AFRICA MALI</w:t>
      </w:r>
    </w:p>
    <w:p>
      <w:r>
        <w:rPr>
          <w:b/>
        </w:rPr>
        <w:t xml:space="preserve">Score de divergence: </w:t>
      </w:r>
      <w:r>
        <w:t>5/8</w:t>
        <w:br/>
      </w:r>
      <w:r>
        <w:rPr>
          <w:b/>
        </w:rPr>
        <w:t xml:space="preserve">Description: </w:t>
      </w:r>
      <w:r>
        <w:t>Signaux de vente: MM, MACD | Recommandation finale: ACHAT</w:t>
        <w:br/>
      </w:r>
    </w:p>
    <w:p/>
    <w:p>
      <w:pPr>
        <w:pStyle w:val="Heading3"/>
      </w:pPr>
      <w:r>
        <w:t>4.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5. LNBB - LNBB - LOTERIE NATIONALE DU BENIN</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6.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7. SMBC - SMBC - Société Multinationale de Bitumes COTE D'IVOIRE</w:t>
      </w:r>
    </w:p>
    <w:p>
      <w:r>
        <w:rPr>
          <w:b/>
        </w:rPr>
        <w:t xml:space="preserve">Score de divergence: </w:t>
      </w:r>
      <w:r>
        <w:t>5/8</w:t>
        <w:br/>
      </w:r>
      <w:r>
        <w:rPr>
          <w:b/>
        </w:rPr>
        <w:t xml:space="preserve">Description: </w:t>
      </w:r>
      <w:r>
        <w:t>Signaux de vente: MM, MACD | Recommandation finale: ACHAT</w:t>
        <w:br/>
      </w:r>
    </w:p>
    <w:p/>
    <w:p>
      <w:pPr>
        <w:pStyle w:val="Heading3"/>
      </w:pPr>
      <w:r>
        <w:t>8. SNTS - SNTS - SONATEL SN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9. TTLS - TTLS - TOTAL ENERGIES MARKETING SENEGAL</w:t>
      </w:r>
    </w:p>
    <w:p>
      <w:r>
        <w:rPr>
          <w:b/>
        </w:rPr>
        <w:t xml:space="preserve">Score de divergence: </w:t>
      </w:r>
      <w:r>
        <w:t>5/8</w:t>
        <w:br/>
      </w:r>
      <w:r>
        <w:rPr>
          <w:b/>
        </w:rPr>
        <w:t xml:space="preserve">Description: </w:t>
      </w:r>
      <w:r>
        <w:t>Signaux de vente: MM, MACD | Recommandation finale: ACHAT</w:t>
        <w:br/>
      </w:r>
    </w:p>
    <w:p/>
    <w:p>
      <w:pPr>
        <w:pStyle w:val="Heading3"/>
      </w:pPr>
      <w:r>
        <w:t>10. BNBC - BNBC - BERNABE CI</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32</w:t>
            </w:r>
          </w:p>
        </w:tc>
        <w:tc>
          <w:tcPr>
            <w:tcW w:type="dxa" w:w="2160"/>
          </w:tcPr>
          <w:p>
            <w:r>
              <w:t>0</w:t>
            </w:r>
          </w:p>
        </w:tc>
      </w:tr>
      <w:tr>
        <w:tc>
          <w:tcPr>
            <w:tcW w:type="dxa" w:w="2160"/>
          </w:tcPr>
          <w:p>
            <w:r>
              <w:t>Risque Moyen</w:t>
            </w:r>
          </w:p>
        </w:tc>
        <w:tc>
          <w:tcPr>
            <w:tcW w:type="dxa" w:w="2160"/>
          </w:tcPr>
          <w:p>
            <w:r>
              <w:t>0</w:t>
            </w:r>
          </w:p>
        </w:tc>
        <w:tc>
          <w:tcPr>
            <w:tcW w:type="dxa" w:w="2160"/>
          </w:tcPr>
          <w:p>
            <w:r>
              <w:t>16</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ORAC (ORAC - ORANGE COTE D'IVOIRE)</w:t>
      </w:r>
    </w:p>
    <w:p>
      <w:pPr>
        <w:pStyle w:val="ListBullet"/>
      </w:pPr>
      <w:r>
        <w:t>• SAFC (SAFCA CI)</w:t>
      </w:r>
    </w:p>
    <w:p>
      <w:pPr>
        <w:pStyle w:val="ListBullet"/>
      </w:pPr>
      <w:r>
        <w:t>• SCRC (SCRC - SUCRIVOIRE)</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**Tensions sur la dette française** : les marchés doutent d'un soutien de la BCE, ce qui ravive les craintes sur la zone euro.</w:t>
      </w:r>
    </w:p>
    <w:p>
      <w:pPr>
        <w:pStyle w:val="ListBullet"/>
        <w:spacing w:before="20" w:after="20"/>
        <w:ind w:left="360"/>
      </w:pPr>
      <w:r>
        <w:rPr>
          <w:sz w:val="18"/>
        </w:rPr>
        <w:t>**Débat sur l'annulation de la dette BCE** : Stéphane Boujnah (Euronext) critique vivement cette idée, signalant une nervosité des marchés européens.</w:t>
      </w:r>
    </w:p>
    <w:p>
      <w:pPr>
        <w:pStyle w:val="ListBullet"/>
        <w:spacing w:before="20" w:after="20"/>
        <w:ind w:left="360"/>
      </w:pPr>
      <w:r>
        <w:rPr>
          <w:sz w:val="18"/>
        </w:rPr>
        <w:t>**IA et prévisions boursières** : intérêt croissant pour l'IA comme outil d'anticipation des marchés (Les Affaires).</w:t>
      </w:r>
    </w:p>
    <w:p>
      <w:pPr>
        <w:pStyle w:val="ListBullet"/>
        <w:spacing w:before="20" w:after="20"/>
        <w:ind w:left="360"/>
      </w:pPr>
      <w:r>
        <w:rPr>
          <w:sz w:val="18"/>
        </w:rPr>
        <w:t>**Assemblées FMI/Banque mondiale à Bangkok** : focus sur dette et inflation mondiale.</w:t>
      </w:r>
    </w:p>
    <w:p>
      <w:pPr>
        <w:pStyle w:val="Heading3"/>
      </w:pPr>
      <w:r>
        <w:rPr>
          <w:color w:val="500050"/>
        </w:rPr>
        <w:t>⚡ Impact estimé sur la BRVM</w:t>
      </w:r>
    </w:p>
    <w:p>
      <w:pPr>
        <w:spacing w:before="20" w:after="40"/>
        <w:ind w:left="280"/>
      </w:pPr>
      <w:r>
        <w:rPr>
          <w:i/>
          <w:sz w:val="18"/>
        </w:rPr>
        <w:t>Les tensions sur la dette européenne renforcent l'aversion au risque, ce qui peut détourner les flux des marchés frontières comme la BRVM. Les banques cotées (SGBC, BOAB, BOAC, ECOC) pourraient subir une pression sur leurs valorisations, tandis que les valeurs défensives (SLBC, SPHC, ONTBF) restent des refuges relatifs.</w:t>
      </w:r>
    </w:p>
    <w:p>
      <w:pPr>
        <w:pStyle w:val="Heading2"/>
      </w:pPr>
      <w:r>
        <w:rPr>
          <w:color w:val="006E32"/>
        </w:rPr>
        <w:t>🌍 Plan Africain</w:t>
      </w:r>
    </w:p>
    <w:p>
      <w:pPr>
        <w:pStyle w:val="ListBullet"/>
        <w:spacing w:before="20" w:after="20"/>
        <w:ind w:left="360"/>
      </w:pPr>
      <w:r>
        <w:rPr>
          <w:sz w:val="18"/>
        </w:rPr>
        <w:t>**FMI/Banque mondiale à Bangkok** : dossiers africains centrés sur croissance, dette et inflation.</w:t>
      </w:r>
    </w:p>
    <w:p>
      <w:pPr>
        <w:pStyle w:val="ListBullet"/>
        <w:spacing w:before="20" w:after="20"/>
        <w:ind w:left="360"/>
      </w:pPr>
      <w:r>
        <w:rPr>
          <w:sz w:val="18"/>
        </w:rPr>
        <w:t>**CEDEAO-FMI** : renforcement du partenariat via le Général Birame Diop.</w:t>
      </w:r>
    </w:p>
    <w:p>
      <w:pPr>
        <w:pStyle w:val="ListBullet"/>
        <w:spacing w:before="20" w:after="20"/>
        <w:ind w:left="360"/>
      </w:pPr>
      <w:r>
        <w:rPr>
          <w:color w:val="008000"/>
          <w:sz w:val="18"/>
        </w:rPr>
        <w:t>**Indice des marchés financiers africains** : plus haut niveau en 10 ans (Benin Web TV) — signal positif pour la liquidité régionale.</w:t>
      </w:r>
    </w:p>
    <w:p>
      <w:pPr>
        <w:pStyle w:val="Heading3"/>
      </w:pPr>
      <w:r>
        <w:rPr>
          <w:color w:val="500050"/>
        </w:rPr>
        <w:t>⚡ Impact estimé sur la BRVM</w:t>
      </w:r>
    </w:p>
    <w:p>
      <w:pPr>
        <w:spacing w:before="20" w:after="40"/>
        <w:ind w:left="280"/>
      </w:pPr>
      <w:r>
        <w:rPr>
          <w:i/>
          <w:sz w:val="18"/>
        </w:rPr>
        <w:t>Le dynamisme des marchés africains soutient la confiance des investisseurs institutionnels. Les sociétés à rayonnement régional (ECOC, ONTBF, SGBC) pourraient bénéficier d'un regain d'intérêt, notamment via des flux de portefeuille panafricains.</w:t>
      </w:r>
    </w:p>
    <w:p>
      <w:pPr>
        <w:pStyle w:val="Heading2"/>
      </w:pPr>
      <w:r>
        <w:rPr>
          <w:color w:val="145A28"/>
        </w:rPr>
        <w:t>🌍 Plan Afrique de l'Ouest</w:t>
      </w:r>
    </w:p>
    <w:p>
      <w:pPr>
        <w:pStyle w:val="ListBullet"/>
        <w:spacing w:before="20" w:after="20"/>
        <w:ind w:left="360"/>
      </w:pPr>
      <w:r>
        <w:rPr>
          <w:sz w:val="18"/>
        </w:rPr>
        <w:t>**Cour de justice CEDEAO** : Charlyne Brumskine (Libéria) élue présidente — stabilité institutionnelle.</w:t>
      </w:r>
    </w:p>
    <w:p>
      <w:pPr>
        <w:pStyle w:val="ListBullet"/>
        <w:spacing w:before="20" w:after="20"/>
        <w:ind w:left="360"/>
      </w:pPr>
      <w:r>
        <w:rPr>
          <w:color w:val="008000"/>
          <w:sz w:val="18"/>
        </w:rPr>
        <w:t>**Indice des marchés financiers africains au plus haut en 10 ans** : dynamique favorable pour la sous-région.</w:t>
      </w:r>
    </w:p>
    <w:p>
      <w:pPr>
        <w:pStyle w:val="ListBullet"/>
        <w:spacing w:before="20" w:after="20"/>
        <w:ind w:left="360"/>
      </w:pPr>
      <w:r>
        <w:rPr>
          <w:sz w:val="18"/>
        </w:rPr>
        <w:t>**Forum parlementaire mondial** : représentation CEDEAO à Bangkok, visibilité institutionnelle accrue.</w:t>
      </w:r>
    </w:p>
    <w:p>
      <w:pPr>
        <w:pStyle w:val="Heading3"/>
      </w:pPr>
      <w:r>
        <w:rPr>
          <w:color w:val="500050"/>
        </w:rPr>
        <w:t>⚡ Impact estimé sur la BRVM</w:t>
      </w:r>
    </w:p>
    <w:p>
      <w:pPr>
        <w:spacing w:before="20" w:after="40"/>
        <w:ind w:left="280"/>
      </w:pPr>
      <w:r>
        <w:rPr>
          <w:i/>
          <w:sz w:val="18"/>
        </w:rPr>
        <w:t>La stabilité institutionnelle CEDEAO rassure les investisseurs. Les valeurs financières (SGBC, BOAS, BOAC, ORGT) et télécoms (ONTBF) opérant dans plusieurs pays de la zone sont les premières bénéficiaires de ce climat apaisé.</w:t>
      </w:r>
    </w:p>
    <w:p>
      <w:pPr>
        <w:pStyle w:val="Heading2"/>
      </w:pPr>
      <w:r>
        <w:rPr>
          <w:color w:val="8C4600"/>
        </w:rPr>
        <w:t>🏦 Plan UEMOA / Zone Franc</w:t>
      </w:r>
    </w:p>
    <w:p>
      <w:pPr>
        <w:pStyle w:val="ListBullet"/>
        <w:spacing w:before="20" w:after="20"/>
        <w:ind w:left="360"/>
      </w:pPr>
      <w:r>
        <w:rPr>
          <w:color w:val="C00000"/>
          <w:sz w:val="18"/>
        </w:rPr>
        <w:t>**Mali/Niger – rapprochement Algérie-Russie** : risque géopolitique accru au Sahel, pouvant affecter les échanges régionaux.</w:t>
      </w:r>
    </w:p>
    <w:p>
      <w:pPr>
        <w:pStyle w:val="ListBullet"/>
        <w:spacing w:before="20" w:after="20"/>
        <w:ind w:left="360"/>
      </w:pPr>
      <w:r>
        <w:rPr>
          <w:sz w:val="18"/>
        </w:rPr>
        <w:t>**Iran-Sénégal** : proposition de partenariat drones/IA/énergie — diversification des partenariats.</w:t>
      </w:r>
    </w:p>
    <w:p>
      <w:pPr>
        <w:pStyle w:val="ListBullet"/>
        <w:spacing w:before="20" w:after="20"/>
        <w:ind w:left="360"/>
      </w:pPr>
      <w:r>
        <w:rPr>
          <w:sz w:val="18"/>
        </w:rPr>
        <w:t>**Sénégal-Guinée-Bissau** : médiation diplomatique pour décrispation politique.</w:t>
      </w:r>
    </w:p>
    <w:p>
      <w:pPr>
        <w:pStyle w:val="ListBullet"/>
        <w:spacing w:before="20" w:after="20"/>
        <w:ind w:left="360"/>
      </w:pPr>
      <w:r>
        <w:rPr>
          <w:sz w:val="18"/>
        </w:rPr>
        <w:t>**Données BCEAO, inflation, FCFA, cacao, caoutchouc** : non fournies dans les actualités.</w:t>
      </w:r>
    </w:p>
    <w:p>
      <w:pPr>
        <w:pStyle w:val="Heading3"/>
      </w:pPr>
      <w:r>
        <w:rPr>
          <w:color w:val="500050"/>
        </w:rPr>
        <w:t>⚡ Impact estimé sur la BRVM</w:t>
      </w:r>
    </w:p>
    <w:p>
      <w:pPr>
        <w:spacing w:before="20" w:after="40"/>
        <w:ind w:left="280"/>
      </w:pPr>
      <w:r>
        <w:rPr>
          <w:i/>
          <w:sz w:val="18"/>
        </w:rPr>
        <w:t>Les tensions sahéliennes pèsent sur les sociétés exposées au Mali/Burkina/Niger (banques comme BOAB, BOAC, CORI). À l'inverse, les valeurs ivoiriennes et sénégalaises (SGBC, SONATEL/ONTBF, SIVC) restent protégées. Le cacao (SIFC, SCRC) et le caoutchouc (SOGB) dépendent de cours non renseignés ici.</w:t>
      </w:r>
    </w:p>
    <w:p>
      <w:pPr>
        <w:pStyle w:val="Heading2"/>
      </w:pPr>
      <w:r>
        <w:rPr>
          <w:color w:val="003366"/>
        </w:rPr>
        <w:t>📈 Plan BRVM</w:t>
      </w:r>
    </w:p>
    <w:p>
      <w:pPr>
        <w:pStyle w:val="ListBullet"/>
        <w:spacing w:before="20" w:after="20"/>
        <w:ind w:left="360"/>
      </w:pPr>
      <w:r>
        <w:rPr>
          <w:color w:val="008000"/>
          <w:sz w:val="18"/>
        </w:rPr>
        <w:t>**Résultats encourageants des sociétés cotées ivoiriennes** (La Tribune, juin 2026) — signal positif.</w:t>
      </w:r>
    </w:p>
    <w:p>
      <w:pPr>
        <w:pStyle w:val="ListBullet"/>
        <w:spacing w:before="20" w:after="20"/>
        <w:ind w:left="360"/>
      </w:pPr>
      <w:r>
        <w:rPr>
          <w:sz w:val="18"/>
        </w:rPr>
        <w:t>**Indice BRVM Composite : 536.65** — niveau à surveiller.</w:t>
      </w:r>
    </w:p>
    <w:p>
      <w:pPr>
        <w:pStyle w:val="ListBullet"/>
        <w:spacing w:before="20" w:after="20"/>
        <w:ind w:left="360"/>
      </w:pPr>
      <w:r>
        <w:rPr>
          <w:sz w:val="18"/>
        </w:rPr>
        <w:t>Pas d'IPO ni de mouvement de dividende signalé dans les actualités fournies.</w:t>
      </w:r>
    </w:p>
    <w:p>
      <w:pPr>
        <w:pStyle w:val="Heading3"/>
      </w:pPr>
      <w:r>
        <w:rPr>
          <w:color w:val="500050"/>
        </w:rPr>
        <w:t>⚡ Impact estimé sur la BRVM</w:t>
      </w:r>
    </w:p>
    <w:p>
      <w:pPr>
        <w:spacing w:before="20" w:after="40"/>
        <w:ind w:left="280"/>
      </w:pPr>
      <w:r>
        <w:rPr>
          <w:i/>
          <w:sz w:val="18"/>
        </w:rPr>
        <w:t>Recommandation de **surpondérer** les financières ivoiriennes (SGBC, ECOC) portées par de bons résultats. **Neutre** sur ONTBF (télécom défensif). **Prudence** sur les valeurs exposées au Sahel (BOAB, BOAC). Les agro-industrielles (SIFC, SCRC, SPHC) restent dépendantes des cours mondiaux du cacao.</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**Débat BCE/dette française** : crispation politique en zone euro.</w:t>
      </w:r>
    </w:p>
    <w:p>
      <w:pPr>
        <w:pStyle w:val="ListBullet"/>
        <w:spacing w:before="20" w:after="20"/>
        <w:ind w:left="360"/>
      </w:pPr>
      <w:r>
        <w:rPr>
          <w:sz w:val="18"/>
        </w:rPr>
        <w:t>**Tensions sur la dette française** : incertitude budgétaire européenne.</w:t>
      </w:r>
    </w:p>
    <w:p>
      <w:pPr>
        <w:pStyle w:val="ListBullet"/>
        <w:spacing w:before="20" w:after="20"/>
        <w:ind w:left="360"/>
      </w:pPr>
      <w:r>
        <w:rPr>
          <w:sz w:val="18"/>
        </w:rPr>
        <w:t>**Algérie-Russie au Sahel** : recomposition géopolitique affectant les relations avec l'Europe.</w:t>
      </w:r>
    </w:p>
    <w:p>
      <w:pPr>
        <w:pStyle w:val="Heading3"/>
      </w:pPr>
      <w:r>
        <w:rPr>
          <w:color w:val="500050"/>
        </w:rPr>
        <w:t>⚡ Impact estimé sur la BRVM</w:t>
      </w:r>
    </w:p>
    <w:p>
      <w:pPr>
        <w:spacing w:before="20" w:after="40"/>
        <w:ind w:left="280"/>
      </w:pPr>
      <w:r>
        <w:rPr>
          <w:i/>
          <w:sz w:val="18"/>
        </w:rPr>
        <w:t>L'instabilité européenne détourne marginalement les capitaux vers les marchés frontières, mais accroît la volatilité. Les investisseurs BRVM pourraient privilégier les valeurs domestiques à faible beta (ONTBF, SLBC).</w:t>
      </w:r>
    </w:p>
    <w:p>
      <w:pPr>
        <w:pStyle w:val="Heading2"/>
      </w:pPr>
      <w:r>
        <w:rPr>
          <w:color w:val="006E32"/>
        </w:rPr>
        <w:t>🌍 Plan Africain</w:t>
      </w:r>
    </w:p>
    <w:p>
      <w:pPr>
        <w:pStyle w:val="ListBullet"/>
        <w:spacing w:before="20" w:after="20"/>
        <w:ind w:left="360"/>
      </w:pPr>
      <w:r>
        <w:rPr>
          <w:sz w:val="18"/>
        </w:rPr>
        <w:t>**Mali/Niger – rapprochement Algérie-Russie** : isolement croissant des juntes sahéliennes.</w:t>
      </w:r>
    </w:p>
    <w:p>
      <w:pPr>
        <w:pStyle w:val="ListBullet"/>
        <w:spacing w:before="20" w:after="20"/>
        <w:ind w:left="360"/>
      </w:pPr>
      <w:r>
        <w:rPr>
          <w:sz w:val="18"/>
        </w:rPr>
        <w:t>**Sénégal-Guinée-Bissau** : médiation diplomatique sénégalaise.</w:t>
      </w:r>
    </w:p>
    <w:p>
      <w:pPr>
        <w:pStyle w:val="ListBullet"/>
        <w:spacing w:before="20" w:after="20"/>
        <w:ind w:left="360"/>
      </w:pPr>
      <w:r>
        <w:rPr>
          <w:sz w:val="18"/>
        </w:rPr>
        <w:t>**CEDEAO** : nouvelle présidente de la Cour de justice — gouvernance renforcée.</w:t>
      </w:r>
    </w:p>
    <w:p>
      <w:pPr>
        <w:pStyle w:val="Heading3"/>
      </w:pPr>
      <w:r>
        <w:rPr>
          <w:color w:val="500050"/>
        </w:rPr>
        <w:t>⚡ Impact estimé sur la BRVM</w:t>
      </w:r>
    </w:p>
    <w:p>
      <w:pPr>
        <w:spacing w:before="20" w:after="40"/>
        <w:ind w:left="280"/>
      </w:pPr>
      <w:r>
        <w:rPr>
          <w:i/>
          <w:sz w:val="18"/>
        </w:rPr>
        <w:t>Les tensions sahéliennes réduisent l'appétit pour les titres exposés à ces pays. Les flux de capitaux se concentrent sur la Côte d'Ivoire et le Sénégal, favorisant SGBC, ECOC, ONTBF.</w:t>
      </w:r>
    </w:p>
    <w:p>
      <w:pPr>
        <w:pStyle w:val="Heading2"/>
      </w:pPr>
      <w:r>
        <w:rPr>
          <w:color w:val="145A28"/>
        </w:rPr>
        <w:t>🌍 Plan Afrique de l'Ouest</w:t>
      </w:r>
    </w:p>
    <w:p>
      <w:pPr>
        <w:pStyle w:val="ListBullet"/>
        <w:spacing w:before="20" w:after="20"/>
        <w:ind w:left="360"/>
      </w:pPr>
      <w:r>
        <w:rPr>
          <w:sz w:val="18"/>
        </w:rPr>
        <w:t>**Sécurité CEDEAO** : préoccupations persistantes au Sahel (Mali, Niger, Burkina).</w:t>
      </w:r>
    </w:p>
    <w:p>
      <w:pPr>
        <w:pStyle w:val="ListBullet"/>
        <w:spacing w:before="20" w:after="20"/>
        <w:ind w:left="360"/>
      </w:pPr>
      <w:r>
        <w:rPr>
          <w:color w:val="C00000"/>
          <w:sz w:val="18"/>
        </w:rPr>
        <w:t>**AES vs CEDEAO** : divergence croissante, risque de fragmentation régionale.</w:t>
      </w:r>
    </w:p>
    <w:p>
      <w:pPr>
        <w:pStyle w:val="ListBullet"/>
        <w:spacing w:before="20" w:after="20"/>
        <w:ind w:left="360"/>
      </w:pPr>
      <w:r>
        <w:rPr>
          <w:sz w:val="18"/>
        </w:rPr>
        <w:t>**Relations régionales** : médiation Sénégal-Guinée-Bissau, élection Cour de justice.</w:t>
      </w:r>
    </w:p>
    <w:p>
      <w:pPr>
        <w:pStyle w:val="Heading3"/>
      </w:pPr>
      <w:r>
        <w:rPr>
          <w:color w:val="500050"/>
        </w:rPr>
        <w:t>⚡ Impact estimé sur la BRVM</w:t>
      </w:r>
    </w:p>
    <w:p>
      <w:pPr>
        <w:spacing w:before="20" w:after="40"/>
        <w:ind w:left="280"/>
      </w:pPr>
      <w:r>
        <w:rPr>
          <w:i/>
          <w:sz w:val="18"/>
        </w:rPr>
        <w:t>Risque spécifique pour les banques panafricaines (BOAB, BOAC, CORI) présentes au Mali/Niger/Burkina. Les sociétés purement ivoiriennes ou sénégalaises (SGBC, SIVC, ONTBF) sont moins exposées.</w:t>
      </w:r>
    </w:p>
    <w:p>
      <w:pPr>
        <w:pStyle w:val="Heading2"/>
      </w:pPr>
      <w:r>
        <w:rPr>
          <w:color w:val="8C4600"/>
        </w:rPr>
        <w:t>🏦 Plan UEMOA / Zone Franc</w:t>
      </w:r>
    </w:p>
    <w:p>
      <w:pPr>
        <w:pStyle w:val="ListBullet"/>
        <w:spacing w:before="20" w:after="20"/>
        <w:ind w:left="360"/>
      </w:pPr>
      <w:r>
        <w:rPr>
          <w:sz w:val="18"/>
        </w:rPr>
        <w:t>**Situation politique** : Sénégal actif diplomatiquement, Côte d'Ivoire stable.</w:t>
      </w:r>
    </w:p>
    <w:p>
      <w:pPr>
        <w:pStyle w:val="ListBullet"/>
        <w:spacing w:before="20" w:after="20"/>
        <w:ind w:left="360"/>
      </w:pPr>
      <w:r>
        <w:rPr>
          <w:sz w:val="18"/>
        </w:rPr>
        <w:t>**Réformes institutionnelles** : non détaillées dans les actualités.</w:t>
      </w:r>
    </w:p>
    <w:p>
      <w:pPr>
        <w:pStyle w:val="ListBullet"/>
        <w:spacing w:before="20" w:after="20"/>
        <w:ind w:left="360"/>
      </w:pPr>
      <w:r>
        <w:rPr>
          <w:color w:val="C00000"/>
          <w:sz w:val="18"/>
        </w:rPr>
        <w:t>**Risques réglementaires** : non signalés.</w:t>
      </w:r>
    </w:p>
    <w:p>
      <w:pPr>
        <w:pStyle w:val="Heading3"/>
      </w:pPr>
      <w:r>
        <w:rPr>
          <w:color w:val="500050"/>
        </w:rPr>
        <w:t>⚡ Impact estimé sur la BRVM</w:t>
      </w:r>
    </w:p>
    <w:p>
      <w:pPr>
        <w:spacing w:before="20" w:after="40"/>
        <w:ind w:left="280"/>
      </w:pPr>
      <w:r>
        <w:rPr>
          <w:i/>
          <w:sz w:val="18"/>
        </w:rPr>
        <w:t>Environnement politique UEMOA globalement stable, favorable à la BRVM. Pas de risque réglementaire majeur identifié à court terme.</w:t>
      </w:r>
    </w:p>
    <w:p>
      <w:pPr>
        <w:pStyle w:val="Heading2"/>
      </w:pPr>
      <w:r>
        <w:rPr>
          <w:color w:val="003366"/>
        </w:rPr>
        <w:t>📈 Plan BRVM</w:t>
      </w:r>
    </w:p>
    <w:p>
      <w:pPr>
        <w:pStyle w:val="ListBullet"/>
        <w:spacing w:before="20" w:after="20"/>
        <w:ind w:left="360"/>
      </w:pPr>
      <w:r>
        <w:rPr>
          <w:sz w:val="18"/>
        </w:rPr>
        <w:t>**Réglementation CREPMF** : non mentionnée dans les actualités.</w:t>
      </w:r>
    </w:p>
    <w:p>
      <w:pPr>
        <w:pStyle w:val="ListBullet"/>
        <w:spacing w:before="20" w:after="20"/>
        <w:ind w:left="360"/>
      </w:pPr>
      <w:r>
        <w:rPr>
          <w:sz w:val="18"/>
        </w:rPr>
        <w:t>**Nouvelles cotations** : aucune signalée.</w:t>
      </w:r>
    </w:p>
    <w:p>
      <w:pPr>
        <w:pStyle w:val="ListBullet"/>
        <w:spacing w:before="20" w:after="20"/>
        <w:ind w:left="360"/>
      </w:pPr>
      <w:r>
        <w:rPr>
          <w:sz w:val="18"/>
        </w:rPr>
        <w:t>**Gouvernance** : pas d'information spécifique.</w:t>
      </w:r>
    </w:p>
    <w:p>
      <w:pPr>
        <w:pStyle w:val="Heading3"/>
      </w:pPr>
      <w:r>
        <w:rPr>
          <w:color w:val="500050"/>
        </w:rPr>
        <w:t>⚡ Impact estimé sur la BRVM</w:t>
      </w:r>
    </w:p>
    <w:p>
      <w:pPr>
        <w:spacing w:before="20" w:after="40"/>
        <w:ind w:left="280"/>
      </w:pPr>
      <w:r>
        <w:rPr>
          <w:i/>
          <w:sz w:val="18"/>
        </w:rPr>
        <w:t>Données insuffisantes pour évaluer les évolutions réglementaires. Le marché reste dans un cadre normatif stable.</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**Tensions dette française** : volatilité sur les taux européens.</w:t>
      </w:r>
    </w:p>
    <w:p>
      <w:pPr>
        <w:pStyle w:val="ListBullet"/>
        <w:spacing w:before="20" w:after="20"/>
        <w:ind w:left="360"/>
      </w:pPr>
      <w:r>
        <w:rPr>
          <w:color w:val="C00000"/>
          <w:sz w:val="18"/>
        </w:rPr>
        <w:t>**BCE** : soutien peu probable à la France, pression sur les spreads.</w:t>
      </w:r>
    </w:p>
    <w:p>
      <w:pPr>
        <w:pStyle w:val="ListBullet"/>
        <w:spacing w:before="20" w:after="20"/>
        <w:ind w:left="360"/>
      </w:pPr>
      <w:r>
        <w:rPr>
          <w:sz w:val="18"/>
        </w:rPr>
        <w:t>**IA et marchés** : adoption croissante pour la prévision boursière.</w:t>
      </w:r>
    </w:p>
    <w:p>
      <w:pPr>
        <w:pStyle w:val="Heading3"/>
      </w:pPr>
      <w:r>
        <w:rPr>
          <w:color w:val="500050"/>
        </w:rPr>
        <w:t>⚡ Impact estimé sur la BRVM</w:t>
      </w:r>
    </w:p>
    <w:p>
      <w:pPr>
        <w:spacing w:before="20" w:after="40"/>
        <w:ind w:left="280"/>
      </w:pPr>
      <w:r>
        <w:rPr>
          <w:i/>
          <w:sz w:val="18"/>
        </w:rPr>
        <w:t>Corrélation limitée avec les marchés développés, mais hausse de l'aversion au risque global. Les investisseurs BRVM pourraient rester attentistes sur les valeurs cycliques (UNXC, ABJC).</w:t>
      </w:r>
    </w:p>
    <w:p>
      <w:pPr>
        <w:pStyle w:val="Heading2"/>
      </w:pPr>
      <w:r>
        <w:rPr>
          <w:color w:val="006E32"/>
        </w:rPr>
        <w:t>🌍 Plan Africain</w:t>
      </w:r>
    </w:p>
    <w:p>
      <w:pPr>
        <w:pStyle w:val="ListBullet"/>
        <w:spacing w:before="20" w:after="20"/>
        <w:ind w:left="360"/>
      </w:pPr>
      <w:r>
        <w:rPr>
          <w:sz w:val="18"/>
        </w:rPr>
        <w:t>**Indice des marchés financiers africains** : plus haut en 10 ans.</w:t>
      </w:r>
    </w:p>
    <w:p>
      <w:pPr>
        <w:pStyle w:val="ListBullet"/>
        <w:spacing w:before="20" w:after="20"/>
        <w:ind w:left="360"/>
      </w:pPr>
      <w:r>
        <w:rPr>
          <w:sz w:val="18"/>
        </w:rPr>
        <w:t>**Eurobonds, notations souveraines** : non détaillés dans les actualités.</w:t>
      </w:r>
    </w:p>
    <w:p>
      <w:pPr>
        <w:pStyle w:val="ListBullet"/>
        <w:spacing w:before="20" w:after="20"/>
        <w:ind w:left="360"/>
      </w:pPr>
      <w:r>
        <w:rPr>
          <w:sz w:val="18"/>
        </w:rPr>
        <w:t>**Marchés obligataires africains** : pas de données spécifiques.</w:t>
      </w:r>
    </w:p>
    <w:p>
      <w:pPr>
        <w:pStyle w:val="Heading3"/>
      </w:pPr>
      <w:r>
        <w:rPr>
          <w:color w:val="500050"/>
        </w:rPr>
        <w:t>⚡ Impact estimé sur la BRVM</w:t>
      </w:r>
    </w:p>
    <w:p>
      <w:pPr>
        <w:spacing w:before="20" w:after="40"/>
        <w:ind w:left="280"/>
      </w:pPr>
      <w:r>
        <w:rPr>
          <w:i/>
          <w:sz w:val="18"/>
        </w:rPr>
        <w:t>Le dynamisme des marchés africains attire des capitaux vers la région. La BRVM pourrait bénéficier d'un effet de contagion positive, notamment sur les blue chips (SGBC, ONTBF, ECOC).</w:t>
      </w:r>
    </w:p>
    <w:p>
      <w:pPr>
        <w:pStyle w:val="Heading2"/>
      </w:pPr>
      <w:r>
        <w:rPr>
          <w:color w:val="145A28"/>
        </w:rPr>
        <w:t>🌍 Plan Afrique de l'Ouest</w:t>
      </w:r>
    </w:p>
    <w:p>
      <w:pPr>
        <w:pStyle w:val="ListBullet"/>
        <w:spacing w:before="20" w:after="20"/>
        <w:ind w:left="360"/>
      </w:pPr>
      <w:r>
        <w:rPr>
          <w:sz w:val="18"/>
        </w:rPr>
        <w:t>**Bourses régionales concurrentes** : non mentionnées.</w:t>
      </w:r>
    </w:p>
    <w:p>
      <w:pPr>
        <w:pStyle w:val="ListBullet"/>
        <w:spacing w:before="20" w:after="20"/>
        <w:ind w:left="360"/>
      </w:pPr>
      <w:r>
        <w:rPr>
          <w:sz w:val="18"/>
        </w:rPr>
        <w:t>**Flux de capitaux sous-régionaux** : dynamique positive selon l'indice africain.</w:t>
      </w:r>
    </w:p>
    <w:p>
      <w:pPr>
        <w:pStyle w:val="ListBullet"/>
        <w:spacing w:before="20" w:after="20"/>
        <w:ind w:left="360"/>
      </w:pPr>
      <w:r>
        <w:rPr>
          <w:sz w:val="18"/>
        </w:rPr>
        <w:t>**Positionnement BRVM** : non détaillé.</w:t>
      </w:r>
    </w:p>
    <w:p>
      <w:pPr>
        <w:pStyle w:val="Heading3"/>
      </w:pPr>
      <w:r>
        <w:rPr>
          <w:color w:val="500050"/>
        </w:rPr>
        <w:t>⚡ Impact estimé sur la BRVM</w:t>
      </w:r>
    </w:p>
    <w:p>
      <w:pPr>
        <w:spacing w:before="20" w:after="40"/>
        <w:ind w:left="280"/>
      </w:pPr>
      <w:r>
        <w:rPr>
          <w:i/>
          <w:sz w:val="18"/>
        </w:rPr>
        <w:t>Données insuffisantes pour évaluer précisément la concurrence régionale. La BRVM reste la principale place de l'UEMOA.</w:t>
      </w:r>
    </w:p>
    <w:p>
      <w:pPr>
        <w:pStyle w:val="Heading2"/>
      </w:pPr>
      <w:r>
        <w:rPr>
          <w:color w:val="8C4600"/>
        </w:rPr>
        <w:t>🏦 Plan UEMOA / Zone Franc</w:t>
      </w:r>
    </w:p>
    <w:p>
      <w:pPr>
        <w:pStyle w:val="ListBullet"/>
        <w:spacing w:before="20" w:after="20"/>
        <w:ind w:left="360"/>
      </w:pPr>
      <w:r>
        <w:rPr>
          <w:sz w:val="18"/>
        </w:rPr>
        <w:t>**Marché des titres publics** : non détaillé.</w:t>
      </w:r>
    </w:p>
    <w:p>
      <w:pPr>
        <w:pStyle w:val="ListBullet"/>
        <w:spacing w:before="20" w:after="20"/>
        <w:ind w:left="360"/>
      </w:pPr>
      <w:r>
        <w:rPr>
          <w:sz w:val="18"/>
        </w:rPr>
        <w:t>**Taux interbancaire, liquidité** : non renseignés.</w:t>
      </w:r>
    </w:p>
    <w:p>
      <w:pPr>
        <w:pStyle w:val="ListBullet"/>
        <w:spacing w:before="20" w:after="20"/>
        <w:ind w:left="360"/>
      </w:pPr>
      <w:r>
        <w:rPr>
          <w:sz w:val="18"/>
        </w:rPr>
        <w:t>**Arbitrage titres publics/actions** : non évoqué.</w:t>
      </w:r>
    </w:p>
    <w:p>
      <w:pPr>
        <w:pStyle w:val="Heading3"/>
      </w:pPr>
      <w:r>
        <w:rPr>
          <w:color w:val="500050"/>
        </w:rPr>
        <w:t>⚡ Impact estimé sur la BRVM</w:t>
      </w:r>
    </w:p>
    <w:p>
      <w:pPr>
        <w:spacing w:before="20" w:after="40"/>
        <w:ind w:left="280"/>
      </w:pPr>
      <w:r>
        <w:rPr>
          <w:i/>
          <w:sz w:val="18"/>
        </w:rPr>
        <w:t>Données insuffisantes. En l'absence d'informations sur les taux BCEAO, l'arbitrage reste indéterminé.</w:t>
      </w:r>
    </w:p>
    <w:p>
      <w:pPr>
        <w:pStyle w:val="Heading2"/>
      </w:pPr>
      <w:r>
        <w:rPr>
          <w:color w:val="003366"/>
        </w:rPr>
        <w:t>📈 Plan BRVM</w:t>
      </w:r>
    </w:p>
    <w:p>
      <w:pPr>
        <w:pStyle w:val="ListBullet"/>
        <w:spacing w:before="20" w:after="20"/>
        <w:ind w:left="360"/>
      </w:pPr>
      <w:r>
        <w:rPr>
          <w:sz w:val="18"/>
        </w:rPr>
        <w:t>**Indice BRVM Composite : 536.65**.</w:t>
      </w:r>
    </w:p>
    <w:p>
      <w:pPr>
        <w:pStyle w:val="ListBullet"/>
        <w:spacing w:before="20" w:after="20"/>
        <w:ind w:left="360"/>
      </w:pPr>
      <w:r>
        <w:rPr>
          <w:sz w:val="18"/>
        </w:rPr>
        <w:t>**Résultats encourageants des sociétés ivoiriennes** (juin 2026).</w:t>
      </w:r>
    </w:p>
    <w:p>
      <w:pPr>
        <w:pStyle w:val="ListBullet"/>
        <w:spacing w:before="20" w:after="20"/>
        <w:ind w:left="360"/>
      </w:pPr>
      <w:r>
        <w:rPr>
          <w:sz w:val="18"/>
        </w:rPr>
        <w:t>**Top/Flop, volumes** : non détaillés.</w:t>
      </w:r>
    </w:p>
    <w:p>
      <w:pPr>
        <w:pStyle w:val="Heading3"/>
      </w:pPr>
      <w:r>
        <w:rPr>
          <w:color w:val="500050"/>
        </w:rPr>
        <w:t>⚡ Impact estimé sur la BRVM</w:t>
      </w:r>
    </w:p>
    <w:p>
      <w:pPr>
        <w:pStyle w:val="ListBullet"/>
        <w:spacing w:before="20" w:after="20"/>
        <w:ind w:left="560"/>
      </w:pPr>
      <w:r>
        <w:rPr>
          <w:color w:val="500050"/>
          <w:sz w:val="18"/>
        </w:rPr>
        <w:t>**SGBC, ECOC** : achat, portés par de bons résultats.</w:t>
      </w:r>
    </w:p>
    <w:p>
      <w:pPr>
        <w:pStyle w:val="ListBullet"/>
        <w:spacing w:before="20" w:after="20"/>
        <w:ind w:left="560"/>
      </w:pPr>
      <w:r>
        <w:rPr>
          <w:color w:val="500050"/>
          <w:sz w:val="18"/>
        </w:rPr>
        <w:t>**ONTBF** : conserver, valeur défensive.</w:t>
      </w:r>
    </w:p>
    <w:p>
      <w:pPr>
        <w:pStyle w:val="ListBullet"/>
        <w:spacing w:before="20" w:after="20"/>
        <w:ind w:left="560"/>
      </w:pPr>
      <w:r>
        <w:rPr>
          <w:color w:val="500050"/>
          <w:sz w:val="18"/>
        </w:rPr>
        <w:t>**BOAB, BOAC** : prudence, exposition sahélienne.</w:t>
      </w:r>
    </w:p>
    <w:p>
      <w:pPr>
        <w:pStyle w:val="ListBullet"/>
        <w:spacing w:before="20" w:after="20"/>
        <w:ind w:left="560"/>
      </w:pPr>
      <w:r>
        <w:rPr>
          <w:color w:val="500050"/>
          <w:sz w:val="18"/>
        </w:rPr>
        <w:t>**SIFC, SCRC, SPHC** : neutre, dépendance aux cours du cacao.</w:t>
      </w:r>
    </w:p>
    <w:p>
      <w:pPr>
        <w:pStyle w:val="ListBullet"/>
        <w:spacing w:before="20" w:after="20"/>
        <w:ind w:left="560"/>
      </w:pPr>
      <w:r>
        <w:rPr>
          <w:color w:val="500050"/>
          <w:sz w:val="18"/>
        </w:rPr>
        <w:t>**SIVC, UNXC, ABJC** : surveiller, sensibles à la consommation.</w:t>
      </w:r>
    </w:p>
    <w:p>
      <w:pPr>
        <w:pStyle w:val="ListBullet"/>
        <w:spacing w:before="20" w:after="20"/>
        <w:ind w:left="560"/>
      </w:pPr>
      <w:r>
        <w:rPr>
          <w:color w:val="500050"/>
          <w:sz w:val="18"/>
        </w:rPr>
        <w:t>**SHEC** : neutre, secteur énergie stable.</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globalement favorable grâce au dynamisme des marchés africains (plus haut en 10 ans) et aux bons résultats des sociétés ivoiriennes. Cependant, les tensions sur la dette européenne, l'instabilité sahélienne et l'absence de données BCEAO sur l'inflation et la liquidité imposent une **prudence sélective**. Recommandation : **surpondérer les financières ivoiriennes (SGBC, ECOC) et les télécoms (ONTBF)**, **sous-pondérer les valeurs exposées au Sahel (BOAB, BOAC)**, et **rester neutre sur l'agro-industrie** en attendant les cours du cacao.</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2026-10-14</w:t>
            </w:r>
          </w:p>
        </w:tc>
        <w:tc>
          <w:tcPr>
            <w:tcW w:type="dxa" w:w="1728"/>
          </w:tcPr>
          <w:p>
            <w:r>
              <w:rPr>
                <w:sz w:val="14"/>
              </w:rPr>
              <w:t xml:space="preserve">Les prix à la production en Chine s'accélèrent tandis que l'inflation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La décision de la BCE fait grimper les taux : quel sera l’impact sur 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L’Iran propose au Sénégal un partenariat drones, IA et énergie - Afric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2026-10-15</w:t>
            </w:r>
          </w:p>
        </w:tc>
        <w:tc>
          <w:tcPr>
            <w:tcW w:type="dxa" w:w="1728"/>
          </w:tcPr>
          <w:p>
            <w:r>
              <w:rPr>
                <w:sz w:val="14"/>
              </w:rPr>
              <w:t>Burkina Faso : Ibrahim Traoré a-t-il confisqué l’héritage de Thomas Sa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 xml:space="preserve">Côte d'Ivoire : Le gouvernement prépare un budget de 18 466 milliards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r>
        <w:tc>
          <w:tcPr>
            <w:tcW w:type="dxa" w:w="1728"/>
          </w:tcPr>
          <w:p>
            <w:r>
              <w:rPr>
                <w:sz w:val="14"/>
              </w:rPr>
              <w:t>2026-10-14</w:t>
            </w:r>
          </w:p>
        </w:tc>
        <w:tc>
          <w:tcPr>
            <w:tcW w:type="dxa" w:w="1728"/>
          </w:tcPr>
          <w:p>
            <w:r>
              <w:rPr>
                <w:sz w:val="14"/>
              </w:rPr>
              <w:t>Côte d'Ivoire : Nouvel organe électoral, Amadou Coulibaly refroidit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2026-10-15</w:t>
            </w:r>
          </w:p>
        </w:tc>
        <w:tc>
          <w:tcPr>
            <w:tcW w:type="dxa" w:w="1728"/>
          </w:tcPr>
          <w:p>
            <w:r>
              <w:rPr>
                <w:sz w:val="14"/>
              </w:rPr>
              <w:t>Burkina Faso : Ibrahim Traoré a-t-il confisqué l’héritage de Thomas Sa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 xml:space="preserve">Côte d'Ivoire : Le gouvernement prépare un budget de 18 466 milliards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2026-10-15</w:t>
            </w:r>
          </w:p>
        </w:tc>
        <w:tc>
          <w:tcPr>
            <w:tcW w:type="dxa" w:w="1728"/>
          </w:tcPr>
          <w:p>
            <w:r>
              <w:rPr>
                <w:sz w:val="14"/>
              </w:rPr>
              <w:t>Burkina Faso : Ibrahim Traoré a-t-il confisqué l’héritage de Thomas Sa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 xml:space="preserve">Côte d'Ivoire : Le gouvernement prépare un budget de 18 466 milliards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L’Iran propose au Sénégal un partenariat drones, IA et énergie - Afric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2026-10-15</w:t>
            </w:r>
          </w:p>
        </w:tc>
        <w:tc>
          <w:tcPr>
            <w:tcW w:type="dxa" w:w="1728"/>
          </w:tcPr>
          <w:p>
            <w:r>
              <w:rPr>
                <w:sz w:val="14"/>
              </w:rPr>
              <w:t>Burkina Faso : Ibrahim Traoré a-t-il confisqué l’héritage de Thomas Sa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2026-10-15</w:t>
            </w:r>
          </w:p>
        </w:tc>
        <w:tc>
          <w:tcPr>
            <w:tcW w:type="dxa" w:w="1728"/>
          </w:tcPr>
          <w:p>
            <w:r>
              <w:rPr>
                <w:sz w:val="14"/>
              </w:rPr>
              <w:t>Burkina Faso : Ibrahim Traoré a-t-il confisqué l’héritage de Thomas Sa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 xml:space="preserve">Côte d'Ivoire : Le gouvernement prépare un budget de 18 466 milliards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2026-10-14</w:t>
            </w:r>
          </w:p>
        </w:tc>
        <w:tc>
          <w:tcPr>
            <w:tcW w:type="dxa" w:w="1728"/>
          </w:tcPr>
          <w:p>
            <w:r>
              <w:rPr>
                <w:sz w:val="14"/>
              </w:rPr>
              <w:t xml:space="preserve">Les prix à la production en Chine s'accélèrent tandis que l'inflation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2026-10-14</w:t>
            </w:r>
          </w:p>
        </w:tc>
        <w:tc>
          <w:tcPr>
            <w:tcW w:type="dxa" w:w="1728"/>
          </w:tcPr>
          <w:p>
            <w:r>
              <w:rPr>
                <w:sz w:val="14"/>
              </w:rPr>
              <w:t>L’Iran propose au Sénégal un partenariat drones, IA et énergie - Afric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Le Sénégal plaide pour une décrispation du climat politique en Guinée-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2026-10-14</w:t>
            </w:r>
          </w:p>
        </w:tc>
        <w:tc>
          <w:tcPr>
            <w:tcW w:type="dxa" w:w="1728"/>
          </w:tcPr>
          <w:p>
            <w:r>
              <w:rPr>
                <w:sz w:val="14"/>
              </w:rPr>
              <w:t>Tensions sur la dette française : l'aide de la BCE peu probable - Yaho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2026-10-13</w:t>
            </w:r>
          </w:p>
        </w:tc>
        <w:tc>
          <w:tcPr>
            <w:tcW w:type="dxa" w:w="1728"/>
          </w:tcPr>
          <w:p>
            <w:r>
              <w:rPr>
                <w:sz w:val="14"/>
              </w:rPr>
              <w:t>Mali et Niger: l’Algérie se rallie à la stratégie russe - Le360</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2026-10-11</w:t>
            </w:r>
          </w:p>
        </w:tc>
        <w:tc>
          <w:tcPr>
            <w:tcW w:type="dxa" w:w="1728"/>
          </w:tcPr>
          <w:p>
            <w:r>
              <w:rPr>
                <w:sz w:val="14"/>
              </w:rPr>
              <w:t>Utiliser l’IA pour prévoir l’évolution de la Bourse - Les Affaires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La Banque centrale européenne relève ses taux face aux risques inflati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(14 alerte(s))</w:t>
      </w:r>
    </w:p>
    <w:p>
      <w:pPr>
        <w:spacing w:before="40" w:after="40"/>
        <w:ind w:left="360"/>
      </w:pPr>
      <w:r>
        <w:rPr>
          <w:color w:val="646464"/>
          <w:sz w:val="17"/>
        </w:rPr>
        <w:t xml:space="preserve">[15/10/2026] ⚪  </w:t>
      </w:r>
      <w:r>
        <w:rPr>
          <w:b/>
          <w:color w:val="505050"/>
          <w:sz w:val="18"/>
        </w:rPr>
        <w:t>Burkina Faso : Ibrahim Traoré a-t-il confisqué l’héritage de Thomas Sankara ?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examine la relation entre le président burkinabè Ibrahim Traoré et l'héritage de Thomas Sankara, figure emblématique de la révolution burkinabè. Il analyse si Traoré s'approprie ou dévoie les idéaux sankaristes pour légitimer son pouvoir. La question soulève des débats sur la continuité politique et l'utilisation symboliq</w:t>
      </w:r>
    </w:p>
    <w:p>
      <w:pPr>
        <w:spacing w:before="0" w:after="40"/>
        <w:ind w:left="600"/>
      </w:pPr>
      <w:r>
        <w:rPr>
          <w:color w:val="00643C"/>
          <w:sz w:val="16"/>
        </w:rPr>
        <w:t>Points clés : Comparaison entre Ibrahim Traoré et Thomas Sankara  •  Enjeux de légitimité politique au Burkina Faso  •  Instrumentalisation de l'héritage sankariste</w:t>
      </w:r>
    </w:p>
    <w:p>
      <w:pPr>
        <w:spacing w:before="0" w:after="60"/>
        <w:ind w:left="600"/>
      </w:pPr>
      <w:r>
        <w:rPr>
          <w:color w:val="0064B4"/>
          <w:sz w:val="15"/>
        </w:rPr>
        <w:t>Source : https://news.google.com/rss/articles/CBMivAFBVV95cUxQS19ralhnSWRTQ2FXUzJqeDlkMWw</w:t>
      </w:r>
    </w:p>
    <w:p>
      <w:pPr>
        <w:spacing w:before="40" w:after="40"/>
        <w:ind w:left="360"/>
      </w:pPr>
      <w:r>
        <w:rPr>
          <w:color w:val="646464"/>
          <w:sz w:val="17"/>
        </w:rPr>
        <w:t xml:space="preserve">[14/10/2026] ⚪  </w:t>
      </w:r>
      <w:r>
        <w:rPr>
          <w:b/>
          <w:color w:val="505050"/>
          <w:sz w:val="18"/>
        </w:rPr>
        <w:t xml:space="preserve">Côte d'Ivoire : Retour sans accros judiciaires pour Tidjane Thiam, la réplique cinglante d'Amadou Coulibaly au PDCI-RDA </w:t>
      </w:r>
      <w:r>
        <w:rPr>
          <w:color w:val="787878"/>
          <w:sz w:val="15"/>
        </w:rPr>
        <w:t xml:space="preserve">  [politique]</w:t>
      </w:r>
      <w:r>
        <w:rPr>
          <w:color w:val="B47800"/>
          <w:sz w:val="16"/>
        </w:rPr>
        <w:t xml:space="preserve">  ★ 50/10</w:t>
      </w:r>
    </w:p>
    <w:p>
      <w:pPr>
        <w:spacing w:before="0" w:after="20"/>
        <w:ind w:left="600"/>
      </w:pPr>
      <w:r>
        <w:rPr>
          <w:color w:val="323232"/>
          <w:sz w:val="17"/>
        </w:rPr>
        <w:t>Tidjane Thiam, figure de l'opposition ivoirienne et ancien dirigeant du PDCI-RDA, effectue un retour en Côte d'Ivoire sans être inquiété par la justice. Amadou Coulibaly, porte-parole du gouvernement, a répliqué vivement aux accusations du PDCI-RDA concernant d'éventuelles poursuites judiciaires, déclarant que seul le juge d'instruction pourrait co</w:t>
      </w:r>
    </w:p>
    <w:p>
      <w:pPr>
        <w:spacing w:before="0" w:after="40"/>
        <w:ind w:left="600"/>
      </w:pPr>
      <w:r>
        <w:rPr>
          <w:color w:val="00643C"/>
          <w:sz w:val="16"/>
        </w:rPr>
        <w:t>Points clés : Tidjane Thiam rentre en Côte d'Ivoire sans obstacles judiciaires apparents  •  Amadou Coulibaly répond au PDCI-RDA sur la question des poursuites judiciaires  •  Contexte politique tendu avant la présidentielle de 2025</w:t>
      </w:r>
    </w:p>
    <w:p>
      <w:pPr>
        <w:spacing w:before="0" w:after="60"/>
        <w:ind w:left="600"/>
      </w:pPr>
      <w:r>
        <w:rPr>
          <w:color w:val="0064B4"/>
          <w:sz w:val="15"/>
        </w:rPr>
        <w:t>Source : https://news.google.com/rss/articles/CBMi5wJBVV95cUxONW9BcWNrVGNqUWxtNWFtVDNhOTd</w:t>
      </w:r>
    </w:p>
    <w:p>
      <w:pPr>
        <w:spacing w:before="40" w:after="40"/>
        <w:ind w:left="360"/>
      </w:pPr>
      <w:r>
        <w:rPr>
          <w:color w:val="646464"/>
          <w:sz w:val="17"/>
        </w:rPr>
        <w:t xml:space="preserve">[14/10/2026] 🔴  </w:t>
      </w:r>
      <w:r>
        <w:rPr>
          <w:b/>
          <w:color w:val="C00000"/>
          <w:sz w:val="18"/>
        </w:rPr>
        <w:t>Côte d'Ivoire : Nouvel organe électoral, Amadou Coulibaly refroidit l'opposition :« On ne m'a pas informé qu'il y aura u</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mis en place un nouvel organe électoral, une décision qui suscite des tensions avec l'opposition. Amadou Coulibaly, porte-parole du gouvernement, a déclaré ne pas avoir été informé de la tenue d'un dialogue national, refroidissant ainsi les attentes de l'opposition. Cette situation politique intervient dans un contexte pr</w:t>
      </w:r>
    </w:p>
    <w:p>
      <w:pPr>
        <w:spacing w:before="0" w:after="40"/>
        <w:ind w:left="600"/>
      </w:pPr>
      <w:r>
        <w:rPr>
          <w:color w:val="00643C"/>
          <w:sz w:val="16"/>
        </w:rPr>
        <w:t>Points clés : Création d'un nouvel organe électoral en Côte d'Ivoire  •  L'opposition exprime son mécontentement face à cette décision  •  Amadou Coulibaly affirme ne pas être informé d'un dialogue national  •  Tensions politiques persistantes à l'approche des élections</w:t>
      </w:r>
    </w:p>
    <w:p>
      <w:pPr>
        <w:spacing w:before="0" w:after="60"/>
        <w:ind w:left="600"/>
      </w:pPr>
      <w:r>
        <w:rPr>
          <w:color w:val="0064B4"/>
          <w:sz w:val="15"/>
        </w:rPr>
        <w:t>Source : https://news.google.com/rss/articles/CBMirgJBVV95cUxQeE9iMVlubGFETjVvREsxTWhYdm8</w:t>
      </w:r>
    </w:p>
    <w:p>
      <w:pPr>
        <w:spacing w:before="40" w:after="40"/>
        <w:ind w:left="360"/>
      </w:pPr>
      <w:r>
        <w:rPr>
          <w:color w:val="646464"/>
          <w:sz w:val="17"/>
        </w:rPr>
        <w:t xml:space="preserve">[14/10/2026] 🟢  </w:t>
      </w:r>
      <w:r>
        <w:rPr>
          <w:b/>
          <w:color w:val="008000"/>
          <w:sz w:val="18"/>
        </w:rPr>
        <w:t>Côte d'Ivoire : Le gouvernement prépare un budget de 18 466 milliards FCFA pour 2027, et lance le fonds souverain d'un m</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prépare un budget de 18 466 milliards FCFA pour l'année 2027, marquant une hausse significative des dépenses publiques. En parallèle, il annonce le lancement d'un fonds souverain doté de 100 milliards FCFA. Ces mesures visent à soutenir la croissance économique et à financer des projets structurants. Cette annonce intervien</w:t>
      </w:r>
    </w:p>
    <w:p>
      <w:pPr>
        <w:spacing w:before="0" w:after="40"/>
        <w:ind w:left="600"/>
      </w:pPr>
      <w:r>
        <w:rPr>
          <w:color w:val="00643C"/>
          <w:sz w:val="16"/>
        </w:rPr>
        <w:t>Points clés : Budget 2027 prévu à 18 466 milliards FCFA  •  Lancement d'un fonds souverain de 100 milliards FCFA  •  Objectif de soutien à la croissance et aux projets structurants</w:t>
      </w:r>
    </w:p>
    <w:p>
      <w:pPr>
        <w:spacing w:before="0" w:after="60"/>
        <w:ind w:left="600"/>
      </w:pPr>
      <w:r>
        <w:rPr>
          <w:color w:val="0064B4"/>
          <w:sz w:val="15"/>
        </w:rPr>
        <w:t>Source : https://news.google.com/rss/articles/CBMizgJBVV95cUxQQ3FzRmFoX2g0czhVRV96VkZHN18</w:t>
      </w:r>
    </w:p>
    <w:p>
      <w:pPr>
        <w:spacing w:before="40" w:after="40"/>
        <w:ind w:left="360"/>
      </w:pPr>
      <w:r>
        <w:rPr>
          <w:color w:val="646464"/>
          <w:sz w:val="17"/>
        </w:rPr>
        <w:t xml:space="preserve">[14/10/2026] 🔴  </w:t>
      </w:r>
      <w:r>
        <w:rPr>
          <w:b/>
          <w:color w:val="C00000"/>
          <w:sz w:val="18"/>
        </w:rPr>
        <w:t>Production du Riz : le Burkina Faso « déshabille » la politique d’import-substitution du Cameroun - Actu Cameroun</w:t>
      </w:r>
      <w:r>
        <w:rPr>
          <w:color w:val="787878"/>
          <w:sz w:val="15"/>
        </w:rPr>
        <w:t xml:space="preserve">  [politique]</w:t>
      </w:r>
      <w:r>
        <w:rPr>
          <w:color w:val="B47800"/>
          <w:sz w:val="16"/>
        </w:rPr>
        <w:t xml:space="preserve">  ★ 50/10</w:t>
      </w:r>
    </w:p>
    <w:p>
      <w:pPr>
        <w:spacing w:before="0" w:after="20"/>
        <w:ind w:left="600"/>
      </w:pPr>
      <w:r>
        <w:rPr>
          <w:color w:val="323232"/>
          <w:sz w:val="17"/>
        </w:rPr>
        <w:t>Le Burkina Faso a réussi à augmenter sa production de riz au point de concurrencer les importations camerounaises, remettant en cause la politique d'import-substitution du Cameroun. Cette performance burkinabè met en lumière les limites de la stratégie camerounaise visant à réduire sa dépendance aux importations de riz. L'article souligne que le Bu</w:t>
      </w:r>
    </w:p>
    <w:p>
      <w:pPr>
        <w:spacing w:before="0" w:after="40"/>
        <w:ind w:left="600"/>
      </w:pPr>
      <w:r>
        <w:rPr>
          <w:color w:val="00643C"/>
          <w:sz w:val="16"/>
        </w:rPr>
        <w:t>Points clés : Le Burkina Faso accroît sa production rizicole et devient compétitif face au Cameroun.  •  La politique d'import-substitution du Cameroun est remise en question.  •  L'article suggère un échec de la stratégie camerounaise de réduction des importations.</w:t>
      </w:r>
    </w:p>
    <w:p>
      <w:pPr>
        <w:spacing w:before="0" w:after="60"/>
        <w:ind w:left="600"/>
      </w:pPr>
      <w:r>
        <w:rPr>
          <w:color w:val="0064B4"/>
          <w:sz w:val="15"/>
        </w:rPr>
        <w:t>Source : https://news.google.com/rss/articles/CBMixgFBVV95cUxNWGY0R1hpakNNZXhmVzJEQ01oMVF</w:t>
      </w:r>
    </w:p>
    <w:p>
      <w:pPr>
        <w:spacing w:before="120" w:after="40"/>
      </w:pPr>
      <w:r>
        <w:rPr>
          <w:b/>
          <w:color w:val="00467F"/>
          <w:sz w:val="20"/>
        </w:rPr>
        <w:t>🔑 politique_monetaire  (3 alerte(s))</w:t>
      </w:r>
    </w:p>
    <w:p>
      <w:pPr>
        <w:spacing w:before="40" w:after="40"/>
        <w:ind w:left="360"/>
      </w:pPr>
      <w:r>
        <w:rPr>
          <w:color w:val="646464"/>
          <w:sz w:val="17"/>
        </w:rPr>
        <w:t xml:space="preserve">[14/10/2026] 🔴  </w:t>
      </w:r>
      <w:r>
        <w:rPr>
          <w:b/>
          <w:color w:val="C00000"/>
          <w:sz w:val="18"/>
        </w:rPr>
        <w:t>Tensions sur la dette française : l'aide de la BCE peu probable - Yahoo Finance France</w:t>
      </w:r>
      <w:r>
        <w:rPr>
          <w:color w:val="787878"/>
          <w:sz w:val="15"/>
        </w:rPr>
        <w:t xml:space="preserve">  [politique_monetaire]</w:t>
      </w:r>
      <w:r>
        <w:rPr>
          <w:color w:val="B47800"/>
          <w:sz w:val="16"/>
        </w:rPr>
        <w:t xml:space="preserve">  ★ 50/10</w:t>
      </w:r>
    </w:p>
    <w:p>
      <w:pPr>
        <w:spacing w:before="0" w:after="20"/>
        <w:ind w:left="600"/>
      </w:pPr>
      <w:r>
        <w:rPr>
          <w:color w:val="323232"/>
          <w:sz w:val="17"/>
        </w:rPr>
        <w:t>Les tensions sur la dette française s'intensifient alors que les marchés doutent de plus en plus d'un soutien de la Banque centrale européenne. La BCE pourrait être réticente à intervenir directement pour aider la France, ce qui alimente les inquiétudes des investisseurs. Cette situation crée une incertitude sur les marchés obligataires européens e</w:t>
      </w:r>
    </w:p>
    <w:p>
      <w:pPr>
        <w:spacing w:before="0" w:after="40"/>
        <w:ind w:left="600"/>
      </w:pPr>
      <w:r>
        <w:rPr>
          <w:color w:val="00643C"/>
          <w:sz w:val="16"/>
        </w:rPr>
        <w:t>Points clés : Les tensions sur la dette française persistent  •  L'aide de la BCE est jugée peu probable  •  Incertitude accrue sur les marchés obligataires européens</w:t>
      </w:r>
    </w:p>
    <w:p>
      <w:pPr>
        <w:spacing w:before="0" w:after="60"/>
        <w:ind w:left="600"/>
      </w:pPr>
      <w:r>
        <w:rPr>
          <w:color w:val="0064B4"/>
          <w:sz w:val="15"/>
        </w:rPr>
        <w:t>Source : https://news.google.com/rss/articles/CBMimgFBVV95cUxQaVl0RDZScUYyY1ZTTk1ZeEo5R0h</w:t>
      </w:r>
    </w:p>
    <w:p>
      <w:pPr>
        <w:spacing w:before="40" w:after="40"/>
        <w:ind w:left="360"/>
      </w:pPr>
      <w:r>
        <w:rPr>
          <w:color w:val="646464"/>
          <w:sz w:val="17"/>
        </w:rPr>
        <w:t xml:space="preserve">[14/10/2026] 🔴  </w:t>
      </w:r>
      <w:r>
        <w:rPr>
          <w:b/>
          <w:color w:val="C00000"/>
          <w:sz w:val="18"/>
        </w:rPr>
        <w:t>La décision de la BCE fait grimper les taux : quel sera l’impact sur votre futur crédit immobilier ? - lanouvellerepubli</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relever ses taux directeurs, ce qui entraîne une hausse des taux d'intérêt sur le marché. Cette décision aura un impact direct sur les futurs crédits immobiliers, en renchérissant le coût de l'emprunt pour les ménages. Les acquéreurs potentiels devront faire face à des mensualités plus élevées ou revo</w:t>
      </w:r>
    </w:p>
    <w:p>
      <w:pPr>
        <w:spacing w:before="0" w:after="40"/>
        <w:ind w:left="600"/>
      </w:pPr>
      <w:r>
        <w:rPr>
          <w:color w:val="00643C"/>
          <w:sz w:val="16"/>
        </w:rPr>
        <w:t>Points clés : La BCE augmente ses taux directeurs  •  Les taux des crédits immobiliers vont augmenter  •  Le pouvoir d'achat immobilier des ménages diminue</w:t>
      </w:r>
    </w:p>
    <w:p>
      <w:pPr>
        <w:spacing w:before="0" w:after="60"/>
        <w:ind w:left="600"/>
      </w:pPr>
      <w:r>
        <w:rPr>
          <w:color w:val="0064B4"/>
          <w:sz w:val="15"/>
        </w:rPr>
        <w:t>Source : https://news.google.com/rss/articles/CBMi5wFBVV95cUxNV3U2bF9feUI1LXRVeDVtTlJGekN</w:t>
      </w:r>
    </w:p>
    <w:p>
      <w:pPr>
        <w:spacing w:before="40" w:after="40"/>
        <w:ind w:left="360"/>
      </w:pPr>
      <w:r>
        <w:rPr>
          <w:color w:val="646464"/>
          <w:sz w:val="17"/>
        </w:rPr>
        <w:t xml:space="preserve">[13/10/2026] 🔴  </w:t>
      </w:r>
      <w:r>
        <w:rPr>
          <w:b/>
          <w:color w:val="C00000"/>
          <w:sz w:val="18"/>
        </w:rPr>
        <w:t>Annuler la dette détenue par la BCE ? «Soit il se trompe, soit il ment», tranche Stéphane Boujnah (Euronext) - Capital.f</w:t>
      </w:r>
      <w:r>
        <w:rPr>
          <w:color w:val="787878"/>
          <w:sz w:val="15"/>
        </w:rPr>
        <w:t xml:space="preserve">  [politique_monetaire]</w:t>
      </w:r>
      <w:r>
        <w:rPr>
          <w:color w:val="B47800"/>
          <w:sz w:val="16"/>
        </w:rPr>
        <w:t xml:space="preserve">  ★ 50/10</w:t>
      </w:r>
    </w:p>
    <w:p>
      <w:pPr>
        <w:spacing w:before="0" w:after="20"/>
        <w:ind w:left="600"/>
      </w:pPr>
      <w:r>
        <w:rPr>
          <w:color w:val="323232"/>
          <w:sz w:val="17"/>
        </w:rPr>
        <w:t>Stéphane Boujnah, directeur général d'Euronext, a vivement critiqué l'idée d'annuler la dette détenue par la Banque centrale européenne (BCE), déclarant que ceux qui la proposent « soit se trompent, soit mentent ». Il souligne que cette mesure serait contraire aux traités européens et créerait un précédent dangereux pour la crédibilité de la BCE. C</w:t>
      </w:r>
    </w:p>
    <w:p>
      <w:pPr>
        <w:spacing w:before="0" w:after="40"/>
        <w:ind w:left="600"/>
      </w:pPr>
      <w:r>
        <w:rPr>
          <w:color w:val="00643C"/>
          <w:sz w:val="16"/>
        </w:rPr>
        <w:t>Points clés : Stéphane Boujnah rejette catégoriquement l'annulation de la dette détenue par la BCE.  •  Il accuse les partisans de cette idée d'être soit ignorants, soit de mauvaise foi.  •  L'annulation serait juridiquement et économiquement problématique selon lui.</w:t>
      </w:r>
    </w:p>
    <w:p>
      <w:pPr>
        <w:spacing w:before="0" w:after="60"/>
        <w:ind w:left="600"/>
      </w:pPr>
      <w:r>
        <w:rPr>
          <w:color w:val="0064B4"/>
          <w:sz w:val="15"/>
        </w:rPr>
        <w:t>Source : https://news.google.com/rss/articles/CBMi5AFBVV95cUxOdjJEU1RzYmtCYVFDdE1FekdlUE9</w:t>
      </w:r>
    </w:p>
    <w:p>
      <w:pPr>
        <w:spacing w:before="120" w:after="40"/>
      </w:pPr>
      <w:r>
        <w:rPr>
          <w:b/>
          <w:color w:val="00467F"/>
          <w:sz w:val="20"/>
        </w:rPr>
        <w:t>🔑 économique  (1 alerte(s))</w:t>
      </w:r>
    </w:p>
    <w:p>
      <w:pPr>
        <w:spacing w:before="40" w:after="40"/>
        <w:ind w:left="360"/>
      </w:pPr>
      <w:r>
        <w:rPr>
          <w:color w:val="646464"/>
          <w:sz w:val="17"/>
        </w:rPr>
        <w:t xml:space="preserve">[14/10/2026] ⚪  </w:t>
      </w:r>
      <w:r>
        <w:rPr>
          <w:b/>
          <w:color w:val="505050"/>
          <w:sz w:val="18"/>
        </w:rPr>
        <w:t>Cedeao : La Libérienne Charlyne Brumskine élue présidente de la Cour de justice - Koaci</w:t>
      </w:r>
      <w:r>
        <w:rPr>
          <w:color w:val="787878"/>
          <w:sz w:val="15"/>
        </w:rPr>
        <w:t xml:space="preserve">  [économique]</w:t>
      </w:r>
      <w:r>
        <w:rPr>
          <w:color w:val="B47800"/>
          <w:sz w:val="16"/>
        </w:rPr>
        <w:t xml:space="preserve">  ★ 50/10</w:t>
      </w:r>
    </w:p>
    <w:p>
      <w:pPr>
        <w:spacing w:before="0" w:after="20"/>
        <w:ind w:left="600"/>
      </w:pPr>
      <w:r>
        <w:rPr>
          <w:color w:val="323232"/>
          <w:sz w:val="17"/>
        </w:rPr>
        <w:t>La Libérienne Charlyne Brumskine a été élue présidente de la Cour de justice de la Cedeao. Cette nomination intervient dans un contexte d'actualité institutionnelle régionale. Elle renforce la représentation du Liberia au sein des instances judiciaires de la communauté. L'information a été relayée par le média Koaci.</w:t>
      </w:r>
    </w:p>
    <w:p>
      <w:pPr>
        <w:spacing w:before="0" w:after="40"/>
        <w:ind w:left="600"/>
      </w:pPr>
      <w:r>
        <w:rPr>
          <w:color w:val="00643C"/>
          <w:sz w:val="16"/>
        </w:rPr>
        <w:t>Points clés : Charlyne Brumskine, de nationalité libérienne, prend la tête de la Cour de justice de la Cedeao  •  Élection à la présidence d'une institution judiciaire régionale clé  •  Information publiée par Koaci dans la catégorie économique</w:t>
      </w:r>
    </w:p>
    <w:p>
      <w:pPr>
        <w:spacing w:before="0" w:after="60"/>
        <w:ind w:left="600"/>
      </w:pPr>
      <w:r>
        <w:rPr>
          <w:color w:val="0064B4"/>
          <w:sz w:val="15"/>
        </w:rPr>
        <w:t>Source : https://news.google.com/rss/articles/CBMi3wFBVV95cUxOZW9HRFlCT3ItUkI2VXZnY09obDF</w:t>
      </w:r>
    </w:p>
    <w:p>
      <w:pPr>
        <w:spacing w:before="120" w:after="40"/>
      </w:pPr>
      <w:r>
        <w:rPr>
          <w:b/>
          <w:color w:val="00467F"/>
          <w:sz w:val="20"/>
        </w:rPr>
        <w:t>🔑 marche_financier  (1 alerte(s))</w:t>
      </w:r>
    </w:p>
    <w:p>
      <w:pPr>
        <w:spacing w:before="40" w:after="40"/>
        <w:ind w:left="360"/>
      </w:pPr>
      <w:r>
        <w:rPr>
          <w:color w:val="646464"/>
          <w:sz w:val="17"/>
        </w:rPr>
        <w:t xml:space="preserve">[14/10/2026] 🟢  </w:t>
      </w:r>
      <w:r>
        <w:rPr>
          <w:b/>
          <w:color w:val="008000"/>
          <w:sz w:val="18"/>
        </w:rPr>
        <w:t>The index of African financial markets reaches its highest score in ten years - beninwebtv.com</w:t>
      </w:r>
      <w:r>
        <w:rPr>
          <w:color w:val="787878"/>
          <w:sz w:val="15"/>
        </w:rPr>
        <w:t xml:space="preserve">  [marche_financier]</w:t>
      </w:r>
      <w:r>
        <w:rPr>
          <w:color w:val="B47800"/>
          <w:sz w:val="16"/>
        </w:rPr>
        <w:t xml:space="preserve">  ★ 50/10</w:t>
      </w:r>
    </w:p>
    <w:p>
      <w:pPr>
        <w:spacing w:before="0" w:after="20"/>
        <w:ind w:left="600"/>
      </w:pPr>
      <w:r>
        <w:rPr>
          <w:color w:val="323232"/>
          <w:sz w:val="17"/>
        </w:rPr>
        <w:t>L'indice des marchés financiers africains a atteint son plus haut niveau en dix ans, selon beninwebtv.com. Cette performance reflète une dynamique haussière sur les places africaines, portée par un contexte économique et financier favorable. Cette information est de nature à renforcer la confiance des investisseurs sur le continent.</w:t>
      </w:r>
    </w:p>
    <w:p>
      <w:pPr>
        <w:spacing w:before="0" w:after="40"/>
        <w:ind w:left="600"/>
      </w:pPr>
      <w:r>
        <w:rPr>
          <w:color w:val="00643C"/>
          <w:sz w:val="16"/>
        </w:rPr>
        <w:t>Points clés : L'indice des marchés financiers africains atteint son plus haut niveau depuis dix ans  •  Performance positive des places financières africaines  •  Signal de confiance pour les investisseurs sur le continent</w:t>
      </w:r>
    </w:p>
    <w:p>
      <w:pPr>
        <w:spacing w:before="0" w:after="60"/>
        <w:ind w:left="600"/>
      </w:pPr>
      <w:r>
        <w:rPr>
          <w:color w:val="0064B4"/>
          <w:sz w:val="15"/>
        </w:rPr>
        <w:t>Source : https://news.google.com/rss/articles/CBMipwFBVV95cUxPdFVNNlF1ZHh0ZmQ5cEYzNlVDa3p</w:t>
      </w:r>
    </w:p>
    <w:p>
      <w:pPr>
        <w:spacing w:before="120" w:after="40"/>
      </w:pPr>
      <w:r>
        <w:rPr>
          <w:b/>
          <w:color w:val="00467F"/>
          <w:sz w:val="20"/>
        </w:rPr>
        <w:t>🔑 matieres_premieres  (1 alerte(s))</w:t>
      </w:r>
    </w:p>
    <w:p>
      <w:pPr>
        <w:spacing w:before="40" w:after="40"/>
        <w:ind w:left="360"/>
      </w:pPr>
      <w:r>
        <w:rPr>
          <w:color w:val="646464"/>
          <w:sz w:val="17"/>
        </w:rPr>
        <w:t xml:space="preserve">[14/10/2026] ⚪  </w:t>
      </w:r>
      <w:r>
        <w:rPr>
          <w:b/>
          <w:color w:val="505050"/>
          <w:sz w:val="18"/>
        </w:rPr>
        <w:t>Les prix à la production en Chine s'accélèrent tandis que l'inflation des prix à la consommation reste modérée - IndexBo</w:t>
      </w:r>
      <w:r>
        <w:rPr>
          <w:color w:val="787878"/>
          <w:sz w:val="15"/>
        </w:rPr>
        <w:t xml:space="preserve">  [matieres_premieres]</w:t>
      </w:r>
      <w:r>
        <w:rPr>
          <w:color w:val="B47800"/>
          <w:sz w:val="16"/>
        </w:rPr>
        <w:t xml:space="preserve">  ★ 50/10</w:t>
      </w:r>
    </w:p>
    <w:p>
      <w:pPr>
        <w:spacing w:before="0" w:after="20"/>
        <w:ind w:left="600"/>
      </w:pPr>
      <w:r>
        <w:rPr>
          <w:color w:val="323232"/>
          <w:sz w:val="17"/>
        </w:rPr>
        <w:t>Les prix à la production en Chine s'accélèrent, signalant une pression inflationniste en amont dans la chaîne de production. En revanche, l'inflation des prix à la consommation reste modérée, ce qui suggère que la hausse des coûts de production ne se répercute pas encore pleinement sur les consommateurs. Cette divergence pourrait refléter des tensi</w:t>
      </w:r>
    </w:p>
    <w:p>
      <w:pPr>
        <w:spacing w:before="0" w:after="40"/>
        <w:ind w:left="600"/>
      </w:pPr>
      <w:r>
        <w:rPr>
          <w:color w:val="00643C"/>
          <w:sz w:val="16"/>
        </w:rPr>
        <w:t>Points clés : Accélération des prix à la production en Chine  •  Inflation des prix à la consommation modérée  •  Divergence entre prix amont et aval  •  Risque de pression sur les marges des entreprises</w:t>
      </w:r>
    </w:p>
    <w:p>
      <w:pPr>
        <w:spacing w:before="0" w:after="60"/>
        <w:ind w:left="600"/>
      </w:pPr>
      <w:r>
        <w:rPr>
          <w:color w:val="0064B4"/>
          <w:sz w:val="15"/>
        </w:rPr>
        <w:t>Source : https://news.google.com/rss/articles/CBMipAFBVV95cUxPbHZyV2g4QVRIeUFsWWZCd1B3alZ</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15,905</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8,135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6,000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3,100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2,150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3,045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38,200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7,555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11,380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2,810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14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2,435</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15</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21,140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3,060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15,330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7,700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4,345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12,500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44,700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7,780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27</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2,155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20,900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20,505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1,850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4,070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8,380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31,480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9,305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15,500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3,715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44,410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5,995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4,795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ETIT</w:t>
            </w:r>
          </w:p>
        </w:tc>
        <w:tc>
          <w:tcPr>
            <w:tcW w:type="dxa" w:w="1080"/>
            <w:shd w:fill="FEFEFE" w:val="clear"/>
          </w:tcPr>
          <w:p>
            <w:r>
              <w:rPr>
                <w:sz w:val="16"/>
              </w:rPr>
              <w:t>SERVICES FINANCIER</w:t>
            </w:r>
          </w:p>
        </w:tc>
        <w:tc>
          <w:tcPr>
            <w:tcW w:type="dxa" w:w="1080"/>
            <w:shd w:fill="FEFEFE" w:val="clear"/>
          </w:tcPr>
          <w:p>
            <w:r>
              <w:rPr>
                <w:sz w:val="16"/>
              </w:rPr>
              <w:t>66</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48</w:t>
            </w:r>
          </w:p>
        </w:tc>
        <w:tc>
          <w:tcPr>
            <w:tcW w:type="dxa" w:w="1080"/>
            <w:shd w:fill="FEFEFE" w:val="clear"/>
          </w:tcPr>
          <w:p>
            <w:r>
              <w:rPr>
                <w:sz w:val="16"/>
              </w:rPr>
              <w:t>BOABF</w:t>
            </w:r>
          </w:p>
        </w:tc>
        <w:tc>
          <w:tcPr>
            <w:tcW w:type="dxa" w:w="1080"/>
            <w:shd w:fill="FEFEFE" w:val="clear"/>
          </w:tcPr>
          <w:p>
            <w:r>
              <w:rPr>
                <w:sz w:val="16"/>
              </w:rPr>
              <w:t>SERVICES FINANCIER</w:t>
            </w:r>
          </w:p>
        </w:tc>
        <w:tc>
          <w:tcPr>
            <w:tcW w:type="dxa" w:w="1080"/>
            <w:shd w:fill="FEFEFE" w:val="clear"/>
          </w:tcPr>
          <w:p>
            <w:r>
              <w:rPr>
                <w:sz w:val="16"/>
              </w:rPr>
              <w:t>8,045</w:t>
            </w:r>
          </w:p>
        </w:tc>
        <w:tc>
          <w:tcPr>
            <w:tcW w:type="dxa" w:w="1080"/>
            <w:shd w:fill="FEFEFE" w:val="clear"/>
          </w:tcPr>
          <w:p>
            <w:r>
              <w:rPr>
                <w:b/>
                <w:sz w:val="16"/>
              </w:rPr>
              <w:t>47/100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15,905</w:t>
            </w:r>
          </w:p>
        </w:tc>
        <w:tc>
          <w:tcPr>
            <w:tcW w:type="dxa" w:w="1728"/>
            <w:shd w:fill="DEEAF1" w:val="clear"/>
          </w:tcPr>
          <w:p>
            <w:r>
              <w:rPr>
                <w:sz w:val="17"/>
              </w:rPr>
              <w:t>86/100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3,190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8,135</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SDSC</w:t>
            </w:r>
          </w:p>
        </w:tc>
        <w:tc>
          <w:tcPr>
            <w:tcW w:type="dxa" w:w="1728"/>
            <w:shd w:fill="DEEAF1" w:val="clear"/>
          </w:tcPr>
          <w:p>
            <w:r>
              <w:rPr>
                <w:sz w:val="17"/>
              </w:rPr>
              <w:t>SDSC - AFRICA GLOBAL LOGISTI</w:t>
            </w:r>
          </w:p>
        </w:tc>
        <w:tc>
          <w:tcPr>
            <w:tcW w:type="dxa" w:w="1728"/>
            <w:shd w:fill="DEEAF1" w:val="clear"/>
          </w:tcPr>
          <w:p>
            <w:r>
              <w:rPr>
                <w:sz w:val="17"/>
              </w:rPr>
              <w:t>3,100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2,150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3,045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38,200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15,905</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3,190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8,135</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CIEC</w:t>
            </w:r>
          </w:p>
        </w:tc>
        <w:tc>
          <w:tcPr>
            <w:tcW w:type="dxa" w:w="1728"/>
            <w:shd w:fill="E2EFDA" w:val="clear"/>
          </w:tcPr>
          <w:p>
            <w:r>
              <w:rPr>
                <w:sz w:val="17"/>
              </w:rPr>
              <w:t xml:space="preserve">CIEC - Compagnie Ivoirienne </w:t>
            </w:r>
          </w:p>
        </w:tc>
        <w:tc>
          <w:tcPr>
            <w:tcW w:type="dxa" w:w="1728"/>
            <w:shd w:fill="E2EFDA" w:val="clear"/>
          </w:tcPr>
          <w:p>
            <w:r>
              <w:rPr>
                <w:sz w:val="17"/>
              </w:rPr>
              <w:t>6,000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3,100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2,150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3,045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15,905</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3,190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8,135</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CIEC</w:t>
            </w:r>
          </w:p>
        </w:tc>
        <w:tc>
          <w:tcPr>
            <w:tcW w:type="dxa" w:w="1728"/>
            <w:shd w:fill="FCE4D6" w:val="clear"/>
          </w:tcPr>
          <w:p>
            <w:r>
              <w:rPr>
                <w:sz w:val="17"/>
              </w:rPr>
              <w:t xml:space="preserve">CIEC - Compagnie Ivoirienne </w:t>
            </w:r>
          </w:p>
        </w:tc>
        <w:tc>
          <w:tcPr>
            <w:tcW w:type="dxa" w:w="1728"/>
            <w:shd w:fill="FCE4D6" w:val="clear"/>
          </w:tcPr>
          <w:p>
            <w:r>
              <w:rPr>
                <w:sz w:val="17"/>
              </w:rPr>
              <w:t>6,000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3,100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2,150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3,045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SNTS — SNTS - SONATEL SN</w:t>
      </w:r>
    </w:p>
    <w:p>
      <w:pPr>
        <w:pStyle w:val="ListBullet"/>
        <w:spacing w:before="20"/>
        <w:ind w:left="400"/>
      </w:pPr>
      <w:r>
        <w:rPr>
          <w:sz w:val="18"/>
        </w:rPr>
        <w:t>🔴 RSI surachat (92.3 &gt; 70) — risque de correction</w:t>
      </w:r>
    </w:p>
    <w:p>
      <w:pPr>
        <w:pStyle w:val="ListBullet"/>
        <w:spacing w:before="20"/>
        <w:ind w:left="400"/>
      </w:pPr>
      <w:r>
        <w:rPr>
          <w:sz w:val="18"/>
        </w:rPr>
        <w:t>⚠️ Cours à 0.7% du plus haut 100j (45,000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(71.9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CABC — CABC - SICABLE COTE D'IVOIRE</w:t>
      </w:r>
    </w:p>
    <w:p>
      <w:pPr>
        <w:pStyle w:val="ListBullet"/>
        <w:spacing w:before="20"/>
        <w:ind w:left="400"/>
      </w:pPr>
      <w:r>
        <w:rPr>
          <w:sz w:val="18"/>
        </w:rPr>
        <w:t>⚠️ Cours à 0.0% du plus bas 100j (3,060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Cours à 0.0% du plus bas 100j (1,420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RSI survente (27.5 &lt; 30) — opportunité potentielle</w:t>
      </w:r>
    </w:p>
    <w:p>
      <w:pPr>
        <w:pStyle w:val="ListBullet"/>
        <w:spacing w:before="20"/>
        <w:ind w:left="400"/>
      </w:pPr>
      <w:r>
        <w:rPr>
          <w:sz w:val="18"/>
        </w:rPr>
        <w:t>⚠️ Cours à 2.5% du plus bas 100j (15,520 FCFA)</w:t>
      </w:r>
    </w:p>
    <w:p>
      <w:pPr>
        <w:spacing w:before="120"/>
      </w:pPr>
      <w:r>
        <w:rPr>
          <w:b/>
          <w:color w:val="0050A0"/>
          <w:sz w:val="20"/>
        </w:rPr>
        <w:t>FTSC — FTSC - FILTISAC COTE D'IVOIRE</w:t>
      </w:r>
    </w:p>
    <w:p>
      <w:pPr>
        <w:pStyle w:val="ListBullet"/>
        <w:spacing w:before="20"/>
        <w:ind w:left="400"/>
      </w:pPr>
      <w:r>
        <w:rPr>
          <w:sz w:val="18"/>
        </w:rPr>
        <w:t>⚠️ Cours à 0.0%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RSI surachat (72.7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(17.9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0.3% du plus bas 100j (7,680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(73.2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Cours à 0.0%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0.0% du plus bas 100j (2,000 FCFA)</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1.2% du plus bas 100j (20,895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(15.4 &lt; 30) — opportunité potentielle</w:t>
      </w:r>
    </w:p>
    <w:p>
      <w:pPr>
        <w:spacing w:before="120"/>
      </w:pPr>
      <w:r>
        <w:rPr>
          <w:b/>
          <w:color w:val="0050A0"/>
          <w:sz w:val="20"/>
        </w:rPr>
        <w:t>BBGC — BRIDGE BANK GROUP COTE D'IVOIRE</w:t>
      </w:r>
    </w:p>
    <w:p>
      <w:pPr>
        <w:pStyle w:val="ListBullet"/>
        <w:spacing w:before="20"/>
        <w:ind w:left="400"/>
      </w:pPr>
      <w:r>
        <w:rPr>
          <w:sz w:val="18"/>
        </w:rPr>
        <w:t>⚠️ Cours à 0.5% du plus haut 100j (10,450 FCFA)</w:t>
      </w:r>
    </w:p>
    <w:p>
      <w:pPr>
        <w:spacing w:before="120"/>
      </w:pPr>
      <w:r>
        <w:rPr>
          <w:b/>
          <w:color w:val="0050A0"/>
          <w:sz w:val="20"/>
        </w:rPr>
        <w:t>BICB — BIIC BN - Banque internationale pour le commerce du benin</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(81.3 &gt; 70) — risque de correction</w:t>
      </w:r>
    </w:p>
    <w:p>
      <w:pPr>
        <w:spacing w:before="120"/>
      </w:pPr>
      <w:r>
        <w:rPr>
          <w:b/>
          <w:color w:val="0050A0"/>
          <w:sz w:val="20"/>
        </w:rPr>
        <w:t>ETIT — ETIT - Ecobank Transnational Incorporated Togo</w:t>
      </w:r>
    </w:p>
    <w:p>
      <w:pPr>
        <w:pStyle w:val="ListBullet"/>
        <w:spacing w:before="20"/>
        <w:ind w:left="400"/>
      </w:pPr>
      <w:r>
        <w:rPr>
          <w:sz w:val="18"/>
        </w:rPr>
        <w:t>🟠 Divergence tech(VENTE) / fond(NEUTRE) — recommandation ajustée à CONSERVER ⚠️</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Cours à 0.8%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 FORT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0.0% du plus bas 100j (44,410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32 société(s) (67%)</w:t>
            </w:r>
          </w:p>
        </w:tc>
        <w:tc>
          <w:tcPr>
            <w:tcW w:type="dxa" w:w="1644"/>
            <w:shd w:fill="FFEB9C" w:val="clear"/>
          </w:tcPr>
          <w:p>
            <w:r>
              <w:rPr>
                <w:b/>
                <w:color w:val="825A00"/>
                <w:sz w:val="19"/>
              </w:rPr>
              <w:t>16 société(s) (33%)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19.1/100</w:t>
            </w:r>
          </w:p>
        </w:tc>
        <w:tc>
          <w:tcPr>
            <w:tcW w:type="dxa" w:w="1644"/>
            <w:shd w:fill="DEEAF1" w:val="clear"/>
          </w:tcPr>
          <w:p>
            <w:r>
              <w:rPr>
                <w:b/>
                <w:color w:val="000000"/>
                <w:sz w:val="19"/>
              </w:rPr>
              <w:t>17.3/100</w:t>
            </w:r>
          </w:p>
        </w:tc>
      </w:tr>
    </w:tbl>
    <w:p/>
    <w:p>
      <w:r>
        <w:rPr>
          <w:i/>
          <w:color w:val="006400"/>
          <w:sz w:val="18"/>
        </w:rPr>
        <w:t>✅ Le marché BRVM présente globalement un profil de risque FAIBLE (score moyen 19.1/100).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32.0/100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#2 SAFC (32.8/100 — Moyen) : </w:t>
      </w:r>
      <w:r>
        <w:rPr>
          <w:sz w:val="17"/>
        </w:rPr>
        <w:t>Volatilité=Élevée | Bêta=Agressif | Liquidité=Bonne | Divergence signaux=taux divergence=20% (Mixte ⚠️) | Stabilité=Modérée</w:t>
      </w:r>
    </w:p>
    <w:p>
      <w:pPr>
        <w:pStyle w:val="ListBullet"/>
      </w:pPr>
      <w:r>
        <w:rPr>
          <w:b/>
          <w:color w:val="B40000"/>
          <w:sz w:val="18"/>
        </w:rPr>
        <w:t xml:space="preserve">#3 ETIT (32.0/100 — Moyen) : </w:t>
      </w:r>
      <w:r>
        <w:rPr>
          <w:sz w:val="17"/>
        </w:rPr>
        <w:t>Volatilité=Élevée | Bêta=Très agressif | Liquidité=Excellente | Divergence signaux=taux divergence=0% (Convergent ✅) | Stabilité=Modérée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STAC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32.0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22.2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-0.01%  |  Médiane : -1.03%</w:t>
            </w:r>
          </w:p>
        </w:tc>
      </w:tr>
      <w:tr>
        <w:tc>
          <w:tcPr>
            <w:tcW w:type="dxa" w:w="2835"/>
            <w:shd w:fill="DEEAF1" w:val="clear"/>
          </w:tcPr>
          <w:p>
            <w:r>
              <w:rPr>
                <w:b/>
                <w:sz w:val="18"/>
              </w:rPr>
              <w:t>Répartition</w:t>
            </w:r>
          </w:p>
        </w:tc>
        <w:tc>
          <w:tcPr>
            <w:tcW w:type="dxa" w:w="7370"/>
          </w:tcPr>
          <w:p>
            <w:r>
              <w:rPr>
                <w:b/>
                <w:sz w:val="18"/>
              </w:rPr>
              <w:t>📈 17 sociétés en hausse (&gt;+1%)   📉 24 en baisse (&lt;-1%)   ➡️ 4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-0.01% avec 4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2,435 FCFA</w:t>
            </w:r>
          </w:p>
        </w:tc>
        <w:tc>
          <w:tcPr>
            <w:tcW w:type="dxa" w:w="1417"/>
            <w:shd w:fill="FFFFFF" w:val="clear"/>
          </w:tcPr>
          <w:p>
            <w:r>
              <w:rPr>
                <w:sz w:val="16"/>
              </w:rPr>
              <w:t>3,166 FCFA</w:t>
            </w:r>
          </w:p>
        </w:tc>
        <w:tc>
          <w:tcPr>
            <w:tcW w:type="dxa" w:w="1134"/>
            <w:shd w:fill="C6EFCE" w:val="clear"/>
          </w:tcPr>
          <w:p>
            <w:r>
              <w:rPr>
                <w:b/>
                <w:color w:val="007800"/>
                <w:sz w:val="16"/>
              </w:rPr>
              <w:t>+30.01%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21,140 FCFA</w:t>
            </w:r>
          </w:p>
        </w:tc>
        <w:tc>
          <w:tcPr>
            <w:tcW w:type="dxa" w:w="1417"/>
            <w:shd w:fill="FFFFFF" w:val="clear"/>
          </w:tcPr>
          <w:p>
            <w:r>
              <w:rPr>
                <w:sz w:val="16"/>
              </w:rPr>
              <w:t>24,203 FCFA</w:t>
            </w:r>
          </w:p>
        </w:tc>
        <w:tc>
          <w:tcPr>
            <w:tcW w:type="dxa" w:w="1134"/>
            <w:shd w:fill="C6EFCE" w:val="clear"/>
          </w:tcPr>
          <w:p>
            <w:r>
              <w:rPr>
                <w:b/>
                <w:color w:val="007800"/>
                <w:sz w:val="16"/>
              </w:rPr>
              <w:t>+14.49%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8,380 FCFA</w:t>
            </w:r>
          </w:p>
        </w:tc>
        <w:tc>
          <w:tcPr>
            <w:tcW w:type="dxa" w:w="1417"/>
            <w:shd w:fill="FFFFFF" w:val="clear"/>
          </w:tcPr>
          <w:p>
            <w:r>
              <w:rPr>
                <w:sz w:val="16"/>
              </w:rPr>
              <w:t>9,304 FCFA</w:t>
            </w:r>
          </w:p>
        </w:tc>
        <w:tc>
          <w:tcPr>
            <w:tcW w:type="dxa" w:w="1134"/>
            <w:shd w:fill="C6EFCE" w:val="clear"/>
          </w:tcPr>
          <w:p>
            <w:r>
              <w:rPr>
                <w:b/>
                <w:color w:val="007800"/>
                <w:sz w:val="16"/>
              </w:rPr>
              <w:t>+11.02%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1,420 FCFA</w:t>
            </w:r>
          </w:p>
        </w:tc>
        <w:tc>
          <w:tcPr>
            <w:tcW w:type="dxa" w:w="1417"/>
            <w:shd w:fill="FFFFFF" w:val="clear"/>
          </w:tcPr>
          <w:p>
            <w:r>
              <w:rPr>
                <w:sz w:val="16"/>
              </w:rPr>
              <w:t>1,513 FCFA</w:t>
            </w:r>
          </w:p>
        </w:tc>
        <w:tc>
          <w:tcPr>
            <w:tcW w:type="dxa" w:w="1134"/>
            <w:shd w:fill="C6EFCE" w:val="clear"/>
          </w:tcPr>
          <w:p>
            <w:r>
              <w:rPr>
                <w:b/>
                <w:color w:val="007800"/>
                <w:sz w:val="16"/>
              </w:rPr>
              <w:t>+6.54%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1,850 FCFA</w:t>
            </w:r>
          </w:p>
        </w:tc>
        <w:tc>
          <w:tcPr>
            <w:tcW w:type="dxa" w:w="1417"/>
            <w:shd w:fill="FFFFFF" w:val="clear"/>
          </w:tcPr>
          <w:p>
            <w:r>
              <w:rPr>
                <w:sz w:val="16"/>
              </w:rPr>
              <w:t>1,956 FCFA</w:t>
            </w:r>
          </w:p>
        </w:tc>
        <w:tc>
          <w:tcPr>
            <w:tcW w:type="dxa" w:w="1134"/>
            <w:shd w:fill="C6EFCE" w:val="clear"/>
          </w:tcPr>
          <w:p>
            <w:r>
              <w:rPr>
                <w:b/>
                <w:color w:val="007800"/>
                <w:sz w:val="16"/>
              </w:rPr>
              <w:t>+5.73%</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(+30.0%) — signal potentiellement excessif, à croiser avec l'analyse technique. Trajectoire : 📈 Hausse continue. Cours actuel : 2,435 FCFA → prédit J+10 : 3,166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(+14.5%) — potentiel de revalorisation notable. Trajectoire : 📈 Hausse continue. Cours actuel : 21,140 FCFA → prédit J+10 : 24,203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(+11.0%) — potentiel de revalorisation notable. Trajectoire : 📈 Hausse continue. Cours actuel : 8,380 FCFA → prédit J+10 : 9,304 FCFA. ⚠️ Confiance limitée — volatilité élevée ou données insuffisantes. Résultat indicatif uniquement.</w:t>
      </w:r>
    </w:p>
    <w:p>
      <w:pPr>
        <w:pStyle w:val="ListBullet"/>
      </w:pPr>
      <w:r>
        <w:rPr>
          <w:b/>
          <w:color w:val="006400"/>
          <w:sz w:val="18"/>
        </w:rPr>
        <w:t xml:space="preserve">#4 CFAC </w:t>
      </w:r>
      <w:r>
        <w:rPr>
          <w:sz w:val="17"/>
        </w:rPr>
        <w:t>(CFAC - CFAO MOTORS CI) — hausse modérée (+6.5%) — signal raisonnable et crédible. Trajectoire : 📈 Hausse continue. Cours actuel : 1,420 FCFA → prédit J+10 : 1,513 FCFA. ⚠️ Confiance limitée — volatilité élevée ou données insuffisantes. Résultat indicatif uniquement.</w:t>
      </w:r>
    </w:p>
    <w:p>
      <w:pPr>
        <w:pStyle w:val="ListBullet"/>
      </w:pPr>
      <w:r>
        <w:rPr>
          <w:b/>
          <w:color w:val="006400"/>
          <w:sz w:val="18"/>
        </w:rPr>
        <w:t xml:space="preserve">#5 SIVC </w:t>
      </w:r>
      <w:r>
        <w:rPr>
          <w:sz w:val="17"/>
        </w:rPr>
        <w:t>(SIVC - ERIUM CI (Ex AIR LIQUIDECI)) — hausse modérée (+5.7%) — signal raisonnable et crédible. Trajectoire : 📈 Hausse continue. Cours actuel : 1,850 FCFA → prédit J+10 : 1,956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8,135 FCFA</w:t>
            </w:r>
          </w:p>
        </w:tc>
        <w:tc>
          <w:tcPr>
            <w:tcW w:type="dxa" w:w="1417"/>
            <w:shd w:fill="FFFFFF" w:val="clear"/>
          </w:tcPr>
          <w:p>
            <w:r>
              <w:rPr>
                <w:sz w:val="16"/>
              </w:rPr>
              <w:t>7,110 FCFA</w:t>
            </w:r>
          </w:p>
        </w:tc>
        <w:tc>
          <w:tcPr>
            <w:tcW w:type="dxa" w:w="1134"/>
            <w:shd w:fill="FFC7CE" w:val="clear"/>
          </w:tcPr>
          <w:p>
            <w:r>
              <w:rPr>
                <w:b/>
                <w:color w:val="B40000"/>
                <w:sz w:val="16"/>
              </w:rPr>
              <w:t>-12.61%</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20,900 FCFA</w:t>
            </w:r>
          </w:p>
        </w:tc>
        <w:tc>
          <w:tcPr>
            <w:tcW w:type="dxa" w:w="1417"/>
            <w:shd w:fill="FFFFFF" w:val="clear"/>
          </w:tcPr>
          <w:p>
            <w:r>
              <w:rPr>
                <w:sz w:val="16"/>
              </w:rPr>
              <w:t>18,741 FCFA</w:t>
            </w:r>
          </w:p>
        </w:tc>
        <w:tc>
          <w:tcPr>
            <w:tcW w:type="dxa" w:w="1134"/>
            <w:shd w:fill="FFC7CE" w:val="clear"/>
          </w:tcPr>
          <w:p>
            <w:r>
              <w:rPr>
                <w:b/>
                <w:color w:val="B40000"/>
                <w:sz w:val="16"/>
              </w:rPr>
              <w:t>-10.33%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5,995 FCFA</w:t>
            </w:r>
          </w:p>
        </w:tc>
        <w:tc>
          <w:tcPr>
            <w:tcW w:type="dxa" w:w="1417"/>
            <w:shd w:fill="FFFFFF" w:val="clear"/>
          </w:tcPr>
          <w:p>
            <w:r>
              <w:rPr>
                <w:sz w:val="16"/>
              </w:rPr>
              <w:t>5,436 FCFA</w:t>
            </w:r>
          </w:p>
        </w:tc>
        <w:tc>
          <w:tcPr>
            <w:tcW w:type="dxa" w:w="1134"/>
            <w:shd w:fill="FFC7CE" w:val="clear"/>
          </w:tcPr>
          <w:p>
            <w:r>
              <w:rPr>
                <w:b/>
                <w:color w:val="B40000"/>
                <w:sz w:val="16"/>
              </w:rPr>
              <w:t>-9.32%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3,190 FCFA</w:t>
            </w:r>
          </w:p>
        </w:tc>
        <w:tc>
          <w:tcPr>
            <w:tcW w:type="dxa" w:w="1417"/>
            <w:shd w:fill="FFFFFF" w:val="clear"/>
          </w:tcPr>
          <w:p>
            <w:r>
              <w:rPr>
                <w:sz w:val="16"/>
              </w:rPr>
              <w:t>2,988 FCFA</w:t>
            </w:r>
          </w:p>
        </w:tc>
        <w:tc>
          <w:tcPr>
            <w:tcW w:type="dxa" w:w="1134"/>
            <w:shd w:fill="FFC7CE" w:val="clear"/>
          </w:tcPr>
          <w:p>
            <w:r>
              <w:rPr>
                <w:b/>
                <w:color w:val="B40000"/>
                <w:sz w:val="16"/>
              </w:rPr>
              <w:t>-6.34%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1,850 FCFA</w:t>
            </w:r>
          </w:p>
        </w:tc>
        <w:tc>
          <w:tcPr>
            <w:tcW w:type="dxa" w:w="1417"/>
            <w:shd w:fill="FFFFFF" w:val="clear"/>
          </w:tcPr>
          <w:p>
            <w:r>
              <w:rPr>
                <w:sz w:val="16"/>
              </w:rPr>
              <w:t>1,733 FCFA</w:t>
            </w:r>
          </w:p>
        </w:tc>
        <w:tc>
          <w:tcPr>
            <w:tcW w:type="dxa" w:w="1134"/>
            <w:shd w:fill="FFC7CE" w:val="clear"/>
          </w:tcPr>
          <w:p>
            <w:r>
              <w:rPr>
                <w:b/>
                <w:color w:val="B40000"/>
                <w:sz w:val="16"/>
              </w:rPr>
              <w:t>-6.32%</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(-12.6%) — repli technique attendu. Trajectoire : 📉 Baisse continue. Cours actuel : 8,135 FCFA → prédit J+10 : 7,110 FCFA. Confiance partielle — surveiller l'évolution réelle des premiers jours.</w:t>
      </w:r>
    </w:p>
    <w:p>
      <w:pPr>
        <w:pStyle w:val="ListBullet"/>
      </w:pPr>
      <w:r>
        <w:rPr>
          <w:b/>
          <w:color w:val="B40000"/>
          <w:sz w:val="18"/>
        </w:rPr>
        <w:t xml:space="preserve">#2 NSBC </w:t>
      </w:r>
      <w:r>
        <w:rPr>
          <w:sz w:val="17"/>
        </w:rPr>
        <w:t>(NSBC - NSIA BANQUE COTE D'IVOIRE) — baisse modérée (-10.3%) — repli technique attendu. Trajectoire : 📉 Baisse continue. Cours actuel : 20,900 FCFA → prédit J+10 : 18,741 FCFA. ⚠️ Confiance limitée — volatilité élevée. Ne pas agir sur ce seul signal.</w:t>
      </w:r>
    </w:p>
    <w:p>
      <w:pPr>
        <w:pStyle w:val="ListBullet"/>
      </w:pPr>
      <w:r>
        <w:rPr>
          <w:b/>
          <w:color w:val="B40000"/>
          <w:sz w:val="18"/>
        </w:rPr>
        <w:t xml:space="preserve">#3 BOAM </w:t>
      </w:r>
      <w:r>
        <w:rPr>
          <w:sz w:val="17"/>
        </w:rPr>
        <w:t>(BANK OF AFRICA MALI) — baisse modérée (-9.3%) — repli technique attendu. Trajectoire : 📉 Baisse continue. Cours actuel : 5,995 FCFA → prédit J+10 : 5,436 FCFA. ⚠️ Confiance limitée — volatilité élevée. Ne pas agir sur ce seul signal.</w:t>
      </w:r>
    </w:p>
    <w:p>
      <w:pPr>
        <w:pStyle w:val="ListBullet"/>
      </w:pPr>
      <w:r>
        <w:rPr>
          <w:b/>
          <w:color w:val="B40000"/>
          <w:sz w:val="18"/>
        </w:rPr>
        <w:t xml:space="preserve">#4 ABJC </w:t>
      </w:r>
      <w:r>
        <w:rPr>
          <w:sz w:val="17"/>
        </w:rPr>
        <w:t>(ABJC - SERVAIR ABIDJAN CI) — baisse modérée (-6.3%) — repli technique attendu. Trajectoire : 📉 Baisse continue. Cours actuel : 3,190 FCFA → prédit J+10 : 2,988 FCFA. ⚠️ Confiance limitée — volatilité élevée. Ne pas agir sur ce seul signal.</w:t>
      </w:r>
    </w:p>
    <w:p>
      <w:pPr>
        <w:pStyle w:val="ListBullet"/>
      </w:pPr>
      <w:r>
        <w:rPr>
          <w:b/>
          <w:color w:val="B40000"/>
          <w:sz w:val="18"/>
        </w:rPr>
        <w:t xml:space="preserve">#5 FTSC </w:t>
      </w:r>
      <w:r>
        <w:rPr>
          <w:sz w:val="17"/>
        </w:rPr>
        <w:t>(FTSC - FILTISAC COTE D'IVOIRE) — baisse modérée (-6.3%) — repli technique attendu. Trajectoire : 📉 Baisse continue. Cours actuel : 1,850 FCFA → prédit J+10 : 1,733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2,435</w:t>
            </w:r>
          </w:p>
        </w:tc>
        <w:tc>
          <w:tcPr>
            <w:tcW w:type="dxa" w:w="1417"/>
            <w:shd w:fill="FFFFFF" w:val="clear"/>
          </w:tcPr>
          <w:p>
            <w:r>
              <w:rPr>
                <w:sz w:val="16"/>
              </w:rPr>
              <w:t>3,166</w:t>
            </w:r>
          </w:p>
        </w:tc>
        <w:tc>
          <w:tcPr>
            <w:tcW w:type="dxa" w:w="1134"/>
            <w:shd w:fill="C6EFCE" w:val="clear"/>
          </w:tcPr>
          <w:p>
            <w:r>
              <w:rPr>
                <w:b/>
                <w:color w:val="007800"/>
                <w:sz w:val="16"/>
              </w:rPr>
              <w:t>+30.01%</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21,140</w:t>
            </w:r>
          </w:p>
        </w:tc>
        <w:tc>
          <w:tcPr>
            <w:tcW w:type="dxa" w:w="1417"/>
            <w:shd w:fill="FFFFFF" w:val="clear"/>
          </w:tcPr>
          <w:p>
            <w:r>
              <w:rPr>
                <w:sz w:val="16"/>
              </w:rPr>
              <w:t>24,203</w:t>
            </w:r>
          </w:p>
        </w:tc>
        <w:tc>
          <w:tcPr>
            <w:tcW w:type="dxa" w:w="1134"/>
            <w:shd w:fill="C6EFCE" w:val="clear"/>
          </w:tcPr>
          <w:p>
            <w:r>
              <w:rPr>
                <w:b/>
                <w:color w:val="007800"/>
                <w:sz w:val="16"/>
              </w:rPr>
              <w:t>+14.49%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8,380</w:t>
            </w:r>
          </w:p>
        </w:tc>
        <w:tc>
          <w:tcPr>
            <w:tcW w:type="dxa" w:w="1417"/>
            <w:shd w:fill="FFFFFF" w:val="clear"/>
          </w:tcPr>
          <w:p>
            <w:r>
              <w:rPr>
                <w:sz w:val="16"/>
              </w:rPr>
              <w:t>9,304</w:t>
            </w:r>
          </w:p>
        </w:tc>
        <w:tc>
          <w:tcPr>
            <w:tcW w:type="dxa" w:w="1134"/>
            <w:shd w:fill="C6EFCE" w:val="clear"/>
          </w:tcPr>
          <w:p>
            <w:r>
              <w:rPr>
                <w:b/>
                <w:color w:val="007800"/>
                <w:sz w:val="16"/>
              </w:rPr>
              <w:t>+11.02%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1,420</w:t>
            </w:r>
          </w:p>
        </w:tc>
        <w:tc>
          <w:tcPr>
            <w:tcW w:type="dxa" w:w="1417"/>
            <w:shd w:fill="FFFFFF" w:val="clear"/>
          </w:tcPr>
          <w:p>
            <w:r>
              <w:rPr>
                <w:sz w:val="16"/>
              </w:rPr>
              <w:t>1,513</w:t>
            </w:r>
          </w:p>
        </w:tc>
        <w:tc>
          <w:tcPr>
            <w:tcW w:type="dxa" w:w="1134"/>
            <w:shd w:fill="C6EFCE" w:val="clear"/>
          </w:tcPr>
          <w:p>
            <w:r>
              <w:rPr>
                <w:b/>
                <w:color w:val="007800"/>
                <w:sz w:val="16"/>
              </w:rPr>
              <w:t>+6.54%</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1,850</w:t>
            </w:r>
          </w:p>
        </w:tc>
        <w:tc>
          <w:tcPr>
            <w:tcW w:type="dxa" w:w="1417"/>
            <w:shd w:fill="FFFFFF" w:val="clear"/>
          </w:tcPr>
          <w:p>
            <w:r>
              <w:rPr>
                <w:sz w:val="16"/>
              </w:rPr>
              <w:t>1,956</w:t>
            </w:r>
          </w:p>
        </w:tc>
        <w:tc>
          <w:tcPr>
            <w:tcW w:type="dxa" w:w="1134"/>
            <w:shd w:fill="C6EFCE" w:val="clear"/>
          </w:tcPr>
          <w:p>
            <w:r>
              <w:rPr>
                <w:b/>
                <w:color w:val="007800"/>
                <w:sz w:val="16"/>
              </w:rPr>
              <w:t>+5.73%</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12,500</w:t>
            </w:r>
          </w:p>
        </w:tc>
        <w:tc>
          <w:tcPr>
            <w:tcW w:type="dxa" w:w="1417"/>
            <w:shd w:fill="FFFFFF" w:val="clear"/>
          </w:tcPr>
          <w:p>
            <w:r>
              <w:rPr>
                <w:sz w:val="16"/>
              </w:rPr>
              <w:t>13,053</w:t>
            </w:r>
          </w:p>
        </w:tc>
        <w:tc>
          <w:tcPr>
            <w:tcW w:type="dxa" w:w="1134"/>
            <w:shd w:fill="C6EFCE" w:val="clear"/>
          </w:tcPr>
          <w:p>
            <w:r>
              <w:rPr>
                <w:b/>
                <w:color w:val="007800"/>
                <w:sz w:val="16"/>
              </w:rPr>
              <w:t>+4.43%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44,410</w:t>
            </w:r>
          </w:p>
        </w:tc>
        <w:tc>
          <w:tcPr>
            <w:tcW w:type="dxa" w:w="1417"/>
            <w:shd w:fill="FFFFFF" w:val="clear"/>
          </w:tcPr>
          <w:p>
            <w:r>
              <w:rPr>
                <w:sz w:val="16"/>
              </w:rPr>
              <w:t>46,336</w:t>
            </w:r>
          </w:p>
        </w:tc>
        <w:tc>
          <w:tcPr>
            <w:tcW w:type="dxa" w:w="1134"/>
            <w:shd w:fill="C6EFCE" w:val="clear"/>
          </w:tcPr>
          <w:p>
            <w:r>
              <w:rPr>
                <w:b/>
                <w:color w:val="007800"/>
                <w:sz w:val="16"/>
              </w:rPr>
              <w:t>+4.34%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15,905</w:t>
            </w:r>
          </w:p>
        </w:tc>
        <w:tc>
          <w:tcPr>
            <w:tcW w:type="dxa" w:w="1417"/>
            <w:shd w:fill="FFFFFF" w:val="clear"/>
          </w:tcPr>
          <w:p>
            <w:r>
              <w:rPr>
                <w:sz w:val="16"/>
              </w:rPr>
              <w:t>16,528</w:t>
            </w:r>
          </w:p>
        </w:tc>
        <w:tc>
          <w:tcPr>
            <w:tcW w:type="dxa" w:w="1134"/>
            <w:shd w:fill="C6EFCE" w:val="clear"/>
          </w:tcPr>
          <w:p>
            <w:r>
              <w:rPr>
                <w:b/>
                <w:color w:val="007800"/>
                <w:sz w:val="16"/>
              </w:rPr>
              <w:t>+3.92%</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4,795</w:t>
            </w:r>
          </w:p>
        </w:tc>
        <w:tc>
          <w:tcPr>
            <w:tcW w:type="dxa" w:w="1417"/>
            <w:shd w:fill="FFFFFF" w:val="clear"/>
          </w:tcPr>
          <w:p>
            <w:r>
              <w:rPr>
                <w:sz w:val="16"/>
              </w:rPr>
              <w:t>4,961</w:t>
            </w:r>
          </w:p>
        </w:tc>
        <w:tc>
          <w:tcPr>
            <w:tcW w:type="dxa" w:w="1134"/>
            <w:shd w:fill="C6EFCE" w:val="clear"/>
          </w:tcPr>
          <w:p>
            <w:r>
              <w:rPr>
                <w:b/>
                <w:color w:val="007800"/>
                <w:sz w:val="16"/>
              </w:rPr>
              <w:t>+3.45%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38,200</w:t>
            </w:r>
          </w:p>
        </w:tc>
        <w:tc>
          <w:tcPr>
            <w:tcW w:type="dxa" w:w="1417"/>
            <w:shd w:fill="FFFFFF" w:val="clear"/>
          </w:tcPr>
          <w:p>
            <w:r>
              <w:rPr>
                <w:sz w:val="16"/>
              </w:rPr>
              <w:t>39,454</w:t>
            </w:r>
          </w:p>
        </w:tc>
        <w:tc>
          <w:tcPr>
            <w:tcW w:type="dxa" w:w="1134"/>
            <w:shd w:fill="C6EFCE" w:val="clear"/>
          </w:tcPr>
          <w:p>
            <w:r>
              <w:rPr>
                <w:b/>
                <w:color w:val="007800"/>
                <w:sz w:val="16"/>
              </w:rPr>
              <w:t>+3.28%</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2,000</w:t>
            </w:r>
          </w:p>
        </w:tc>
        <w:tc>
          <w:tcPr>
            <w:tcW w:type="dxa" w:w="1417"/>
            <w:shd w:fill="FFFFFF" w:val="clear"/>
          </w:tcPr>
          <w:p>
            <w:r>
              <w:rPr>
                <w:sz w:val="16"/>
              </w:rPr>
              <w:t>2,057</w:t>
            </w:r>
          </w:p>
        </w:tc>
        <w:tc>
          <w:tcPr>
            <w:tcW w:type="dxa" w:w="1134"/>
            <w:shd w:fill="C6EFCE" w:val="clear"/>
          </w:tcPr>
          <w:p>
            <w:r>
              <w:rPr>
                <w:b/>
                <w:color w:val="007800"/>
                <w:sz w:val="16"/>
              </w:rPr>
              <w:t>+2.87%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20,505</w:t>
            </w:r>
          </w:p>
        </w:tc>
        <w:tc>
          <w:tcPr>
            <w:tcW w:type="dxa" w:w="1417"/>
            <w:shd w:fill="FFFFFF" w:val="clear"/>
          </w:tcPr>
          <w:p>
            <w:r>
              <w:rPr>
                <w:sz w:val="16"/>
              </w:rPr>
              <w:t>21,085</w:t>
            </w:r>
          </w:p>
        </w:tc>
        <w:tc>
          <w:tcPr>
            <w:tcW w:type="dxa" w:w="1134"/>
            <w:shd w:fill="C6EFCE" w:val="clear"/>
          </w:tcPr>
          <w:p>
            <w:r>
              <w:rPr>
                <w:b/>
                <w:color w:val="007800"/>
                <w:sz w:val="16"/>
              </w:rPr>
              <w:t>+2.83%</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2,200</w:t>
            </w:r>
          </w:p>
        </w:tc>
        <w:tc>
          <w:tcPr>
            <w:tcW w:type="dxa" w:w="1417"/>
            <w:shd w:fill="FFFFFF" w:val="clear"/>
          </w:tcPr>
          <w:p>
            <w:r>
              <w:rPr>
                <w:sz w:val="16"/>
              </w:rPr>
              <w:t>2,241</w:t>
            </w:r>
          </w:p>
        </w:tc>
        <w:tc>
          <w:tcPr>
            <w:tcW w:type="dxa" w:w="1134"/>
            <w:shd w:fill="C6EFCE" w:val="clear"/>
          </w:tcPr>
          <w:p>
            <w:r>
              <w:rPr>
                <w:b/>
                <w:color w:val="007800"/>
                <w:sz w:val="16"/>
              </w:rPr>
              <w:t>+1.87%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6,000</w:t>
            </w:r>
          </w:p>
        </w:tc>
        <w:tc>
          <w:tcPr>
            <w:tcW w:type="dxa" w:w="1417"/>
            <w:shd w:fill="FFFFFF" w:val="clear"/>
          </w:tcPr>
          <w:p>
            <w:r>
              <w:rPr>
                <w:sz w:val="16"/>
              </w:rPr>
              <w:t>6,099</w:t>
            </w:r>
          </w:p>
        </w:tc>
        <w:tc>
          <w:tcPr>
            <w:tcW w:type="dxa" w:w="1134"/>
            <w:shd w:fill="C6EFCE" w:val="clear"/>
          </w:tcPr>
          <w:p>
            <w:r>
              <w:rPr>
                <w:b/>
                <w:color w:val="007800"/>
                <w:sz w:val="16"/>
              </w:rPr>
              <w:t>+1.65%</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1,800</w:t>
            </w:r>
          </w:p>
        </w:tc>
        <w:tc>
          <w:tcPr>
            <w:tcW w:type="dxa" w:w="1417"/>
            <w:shd w:fill="FFFFFF" w:val="clear"/>
          </w:tcPr>
          <w:p>
            <w:r>
              <w:rPr>
                <w:sz w:val="16"/>
              </w:rPr>
              <w:t>1,824</w:t>
            </w:r>
          </w:p>
        </w:tc>
        <w:tc>
          <w:tcPr>
            <w:tcW w:type="dxa" w:w="1134"/>
            <w:shd w:fill="C6EFCE" w:val="clear"/>
          </w:tcPr>
          <w:p>
            <w:r>
              <w:rPr>
                <w:b/>
                <w:color w:val="007800"/>
                <w:sz w:val="16"/>
              </w:rPr>
              <w:t>+1.33%</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4,070</w:t>
            </w:r>
          </w:p>
        </w:tc>
        <w:tc>
          <w:tcPr>
            <w:tcW w:type="dxa" w:w="1417"/>
            <w:shd w:fill="FFFFFF" w:val="clear"/>
          </w:tcPr>
          <w:p>
            <w:r>
              <w:rPr>
                <w:sz w:val="16"/>
              </w:rPr>
              <w:t>4,122</w:t>
            </w:r>
          </w:p>
        </w:tc>
        <w:tc>
          <w:tcPr>
            <w:tcW w:type="dxa" w:w="1134"/>
            <w:shd w:fill="C6EFCE" w:val="clear"/>
          </w:tcPr>
          <w:p>
            <w:r>
              <w:rPr>
                <w:b/>
                <w:color w:val="007800"/>
                <w:sz w:val="16"/>
              </w:rPr>
              <w:t>+1.27%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11,380</w:t>
            </w:r>
          </w:p>
        </w:tc>
        <w:tc>
          <w:tcPr>
            <w:tcW w:type="dxa" w:w="1417"/>
            <w:shd w:fill="FFFFFF" w:val="clear"/>
          </w:tcPr>
          <w:p>
            <w:r>
              <w:rPr>
                <w:sz w:val="16"/>
              </w:rPr>
              <w:t>11,517</w:t>
            </w:r>
          </w:p>
        </w:tc>
        <w:tc>
          <w:tcPr>
            <w:tcW w:type="dxa" w:w="1134"/>
            <w:shd w:fill="C6EFCE" w:val="clear"/>
          </w:tcPr>
          <w:p>
            <w:r>
              <w:rPr>
                <w:b/>
                <w:color w:val="007800"/>
                <w:sz w:val="16"/>
              </w:rPr>
              <w:t>+1.20%</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3,060</w:t>
            </w:r>
          </w:p>
        </w:tc>
        <w:tc>
          <w:tcPr>
            <w:tcW w:type="dxa" w:w="1417"/>
            <w:shd w:fill="FFFFFF" w:val="clear"/>
          </w:tcPr>
          <w:p>
            <w:r>
              <w:rPr>
                <w:sz w:val="16"/>
              </w:rPr>
              <w:t>3,070</w:t>
            </w:r>
          </w:p>
        </w:tc>
        <w:tc>
          <w:tcPr>
            <w:tcW w:type="dxa" w:w="1134"/>
            <w:shd w:fill="FFEB9C" w:val="clear"/>
          </w:tcPr>
          <w:p>
            <w:r>
              <w:rPr>
                <w:b/>
                <w:color w:val="646400"/>
                <w:sz w:val="16"/>
              </w:rPr>
              <w:t>+0.34%</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2,810</w:t>
            </w:r>
          </w:p>
        </w:tc>
        <w:tc>
          <w:tcPr>
            <w:tcW w:type="dxa" w:w="1417"/>
            <w:shd w:fill="FFFFFF" w:val="clear"/>
          </w:tcPr>
          <w:p>
            <w:r>
              <w:rPr>
                <w:sz w:val="16"/>
              </w:rPr>
              <w:t>2,818</w:t>
            </w:r>
          </w:p>
        </w:tc>
        <w:tc>
          <w:tcPr>
            <w:tcW w:type="dxa" w:w="1134"/>
            <w:shd w:fill="FFEB9C" w:val="clear"/>
          </w:tcPr>
          <w:p>
            <w:r>
              <w:rPr>
                <w:b/>
                <w:color w:val="646400"/>
                <w:sz w:val="16"/>
              </w:rPr>
              <w:t>+0.29%</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44,700</w:t>
            </w:r>
          </w:p>
        </w:tc>
        <w:tc>
          <w:tcPr>
            <w:tcW w:type="dxa" w:w="1417"/>
            <w:shd w:fill="FFFFFF" w:val="clear"/>
          </w:tcPr>
          <w:p>
            <w:r>
              <w:rPr>
                <w:sz w:val="16"/>
              </w:rPr>
              <w:t>44,558</w:t>
            </w:r>
          </w:p>
        </w:tc>
        <w:tc>
          <w:tcPr>
            <w:tcW w:type="dxa" w:w="1134"/>
            <w:shd w:fill="FFEB9C" w:val="clear"/>
          </w:tcPr>
          <w:p>
            <w:r>
              <w:rPr>
                <w:b/>
                <w:color w:val="646400"/>
                <w:sz w:val="16"/>
              </w:rPr>
              <w:t>-0.32%</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15,330</w:t>
            </w:r>
          </w:p>
        </w:tc>
        <w:tc>
          <w:tcPr>
            <w:tcW w:type="dxa" w:w="1417"/>
            <w:shd w:fill="FFFFFF" w:val="clear"/>
          </w:tcPr>
          <w:p>
            <w:r>
              <w:rPr>
                <w:sz w:val="16"/>
              </w:rPr>
              <w:t>15,208</w:t>
            </w:r>
          </w:p>
        </w:tc>
        <w:tc>
          <w:tcPr>
            <w:tcW w:type="dxa" w:w="1134"/>
            <w:shd w:fill="FFEB9C" w:val="clear"/>
          </w:tcPr>
          <w:p>
            <w:r>
              <w:rPr>
                <w:b/>
                <w:color w:val="646400"/>
                <w:sz w:val="16"/>
              </w:rPr>
              <w:t>-0.80%</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15,500</w:t>
            </w:r>
          </w:p>
        </w:tc>
        <w:tc>
          <w:tcPr>
            <w:tcW w:type="dxa" w:w="1417"/>
            <w:shd w:fill="FFFFFF" w:val="clear"/>
          </w:tcPr>
          <w:p>
            <w:r>
              <w:rPr>
                <w:sz w:val="16"/>
              </w:rPr>
              <w:t>15,341</w:t>
            </w:r>
          </w:p>
        </w:tc>
        <w:tc>
          <w:tcPr>
            <w:tcW w:type="dxa" w:w="1134"/>
            <w:shd w:fill="FFC7CE" w:val="clear"/>
          </w:tcPr>
          <w:p>
            <w:r>
              <w:rPr>
                <w:b/>
                <w:color w:val="B40000"/>
                <w:sz w:val="16"/>
              </w:rPr>
              <w:t>-1.03%</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65</w:t>
            </w:r>
          </w:p>
        </w:tc>
        <w:tc>
          <w:tcPr>
            <w:tcW w:type="dxa" w:w="1134"/>
            <w:shd w:fill="FFC7CE" w:val="clear"/>
          </w:tcPr>
          <w:p>
            <w:r>
              <w:rPr>
                <w:b/>
                <w:color w:val="B40000"/>
                <w:sz w:val="16"/>
              </w:rPr>
              <w:t>-1.03%</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4,050</w:t>
            </w:r>
          </w:p>
        </w:tc>
        <w:tc>
          <w:tcPr>
            <w:tcW w:type="dxa" w:w="1417"/>
            <w:shd w:fill="FFFFFF" w:val="clear"/>
          </w:tcPr>
          <w:p>
            <w:r>
              <w:rPr>
                <w:sz w:val="16"/>
              </w:rPr>
              <w:t>3,995</w:t>
            </w:r>
          </w:p>
        </w:tc>
        <w:tc>
          <w:tcPr>
            <w:tcW w:type="dxa" w:w="1134"/>
            <w:shd w:fill="FFC7CE" w:val="clear"/>
          </w:tcPr>
          <w:p>
            <w:r>
              <w:rPr>
                <w:b/>
                <w:color w:val="B40000"/>
                <w:sz w:val="16"/>
              </w:rPr>
              <w:t>-1.36%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31,480</w:t>
            </w:r>
          </w:p>
        </w:tc>
        <w:tc>
          <w:tcPr>
            <w:tcW w:type="dxa" w:w="1417"/>
            <w:shd w:fill="FFFFFF" w:val="clear"/>
          </w:tcPr>
          <w:p>
            <w:r>
              <w:rPr>
                <w:sz w:val="16"/>
              </w:rPr>
              <w:t>30,969</w:t>
            </w:r>
          </w:p>
        </w:tc>
        <w:tc>
          <w:tcPr>
            <w:tcW w:type="dxa" w:w="1134"/>
            <w:shd w:fill="FFC7CE" w:val="clear"/>
          </w:tcPr>
          <w:p>
            <w:r>
              <w:rPr>
                <w:b/>
                <w:color w:val="B40000"/>
                <w:sz w:val="16"/>
              </w:rPr>
              <w:t>-1.62%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7,780</w:t>
            </w:r>
          </w:p>
        </w:tc>
        <w:tc>
          <w:tcPr>
            <w:tcW w:type="dxa" w:w="1417"/>
            <w:shd w:fill="FFFFFF" w:val="clear"/>
          </w:tcPr>
          <w:p>
            <w:r>
              <w:rPr>
                <w:sz w:val="16"/>
              </w:rPr>
              <w:t>7,637</w:t>
            </w:r>
          </w:p>
        </w:tc>
        <w:tc>
          <w:tcPr>
            <w:tcW w:type="dxa" w:w="1134"/>
            <w:shd w:fill="FFC7CE" w:val="clear"/>
          </w:tcPr>
          <w:p>
            <w:r>
              <w:rPr>
                <w:b/>
                <w:color w:val="B40000"/>
                <w:sz w:val="16"/>
              </w:rPr>
              <w:t>-1.83%</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4,345</w:t>
            </w:r>
          </w:p>
        </w:tc>
        <w:tc>
          <w:tcPr>
            <w:tcW w:type="dxa" w:w="1417"/>
            <w:shd w:fill="FFFFFF" w:val="clear"/>
          </w:tcPr>
          <w:p>
            <w:r>
              <w:rPr>
                <w:sz w:val="16"/>
              </w:rPr>
              <w:t>4,263</w:t>
            </w:r>
          </w:p>
        </w:tc>
        <w:tc>
          <w:tcPr>
            <w:tcW w:type="dxa" w:w="1134"/>
            <w:shd w:fill="FFC7CE" w:val="clear"/>
          </w:tcPr>
          <w:p>
            <w:r>
              <w:rPr>
                <w:b/>
                <w:color w:val="B40000"/>
                <w:sz w:val="16"/>
              </w:rPr>
              <w:t>-1.89%</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7,555</w:t>
            </w:r>
          </w:p>
        </w:tc>
        <w:tc>
          <w:tcPr>
            <w:tcW w:type="dxa" w:w="1417"/>
            <w:shd w:fill="FFFFFF" w:val="clear"/>
          </w:tcPr>
          <w:p>
            <w:r>
              <w:rPr>
                <w:sz w:val="16"/>
              </w:rPr>
              <w:t>7,405</w:t>
            </w:r>
          </w:p>
        </w:tc>
        <w:tc>
          <w:tcPr>
            <w:tcW w:type="dxa" w:w="1134"/>
            <w:shd w:fill="FFC7CE" w:val="clear"/>
          </w:tcPr>
          <w:p>
            <w:r>
              <w:rPr>
                <w:b/>
                <w:color w:val="B40000"/>
                <w:sz w:val="16"/>
              </w:rPr>
              <w:t>-1.99%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9,305</w:t>
            </w:r>
          </w:p>
        </w:tc>
        <w:tc>
          <w:tcPr>
            <w:tcW w:type="dxa" w:w="1417"/>
            <w:shd w:fill="FFFFFF" w:val="clear"/>
          </w:tcPr>
          <w:p>
            <w:r>
              <w:rPr>
                <w:sz w:val="16"/>
              </w:rPr>
              <w:t>9,116</w:t>
            </w:r>
          </w:p>
        </w:tc>
        <w:tc>
          <w:tcPr>
            <w:tcW w:type="dxa" w:w="1134"/>
            <w:shd w:fill="FFC7CE" w:val="clear"/>
          </w:tcPr>
          <w:p>
            <w:r>
              <w:rPr>
                <w:b/>
                <w:color w:val="B40000"/>
                <w:sz w:val="16"/>
              </w:rPr>
              <w:t>-2.03%</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38,197</w:t>
            </w:r>
          </w:p>
        </w:tc>
        <w:tc>
          <w:tcPr>
            <w:tcW w:type="dxa" w:w="1134"/>
            <w:shd w:fill="FFC7CE" w:val="clear"/>
          </w:tcPr>
          <w:p>
            <w:r>
              <w:rPr>
                <w:b/>
                <w:color w:val="B40000"/>
                <w:sz w:val="16"/>
              </w:rPr>
              <w:t>-2.06%</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3,100</w:t>
            </w:r>
          </w:p>
        </w:tc>
        <w:tc>
          <w:tcPr>
            <w:tcW w:type="dxa" w:w="1417"/>
            <w:shd w:fill="FFFFFF" w:val="clear"/>
          </w:tcPr>
          <w:p>
            <w:r>
              <w:rPr>
                <w:sz w:val="16"/>
              </w:rPr>
              <w:t>3,021</w:t>
            </w:r>
          </w:p>
        </w:tc>
        <w:tc>
          <w:tcPr>
            <w:tcW w:type="dxa" w:w="1134"/>
            <w:shd w:fill="FFC7CE" w:val="clear"/>
          </w:tcPr>
          <w:p>
            <w:r>
              <w:rPr>
                <w:b/>
                <w:color w:val="B40000"/>
                <w:sz w:val="16"/>
              </w:rPr>
              <w:t>-2.55%</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8,045</w:t>
            </w:r>
          </w:p>
        </w:tc>
        <w:tc>
          <w:tcPr>
            <w:tcW w:type="dxa" w:w="1417"/>
            <w:shd w:fill="FFFFFF" w:val="clear"/>
          </w:tcPr>
          <w:p>
            <w:r>
              <w:rPr>
                <w:sz w:val="16"/>
              </w:rPr>
              <w:t>7,791</w:t>
            </w:r>
          </w:p>
        </w:tc>
        <w:tc>
          <w:tcPr>
            <w:tcW w:type="dxa" w:w="1134"/>
            <w:shd w:fill="FFC7CE" w:val="clear"/>
          </w:tcPr>
          <w:p>
            <w:r>
              <w:rPr>
                <w:b/>
                <w:color w:val="B40000"/>
                <w:sz w:val="16"/>
              </w:rPr>
              <w:t>-3.16%</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7,700</w:t>
            </w:r>
          </w:p>
        </w:tc>
        <w:tc>
          <w:tcPr>
            <w:tcW w:type="dxa" w:w="1417"/>
            <w:shd w:fill="FFFFFF" w:val="clear"/>
          </w:tcPr>
          <w:p>
            <w:r>
              <w:rPr>
                <w:sz w:val="16"/>
              </w:rPr>
              <w:t>7,455</w:t>
            </w:r>
          </w:p>
        </w:tc>
        <w:tc>
          <w:tcPr>
            <w:tcW w:type="dxa" w:w="1134"/>
            <w:shd w:fill="FFC7CE" w:val="clear"/>
          </w:tcPr>
          <w:p>
            <w:r>
              <w:rPr>
                <w:b/>
                <w:color w:val="B40000"/>
                <w:sz w:val="16"/>
              </w:rPr>
              <w:t>-3.19%</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3,045</w:t>
            </w:r>
          </w:p>
        </w:tc>
        <w:tc>
          <w:tcPr>
            <w:tcW w:type="dxa" w:w="1417"/>
            <w:shd w:fill="FFFFFF" w:val="clear"/>
          </w:tcPr>
          <w:p>
            <w:r>
              <w:rPr>
                <w:sz w:val="16"/>
              </w:rPr>
              <w:t>2,942</w:t>
            </w:r>
          </w:p>
        </w:tc>
        <w:tc>
          <w:tcPr>
            <w:tcW w:type="dxa" w:w="1134"/>
            <w:shd w:fill="FFC7CE" w:val="clear"/>
          </w:tcPr>
          <w:p>
            <w:r>
              <w:rPr>
                <w:b/>
                <w:color w:val="B40000"/>
                <w:sz w:val="16"/>
              </w:rPr>
              <w:t>-3.39%</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3,715</w:t>
            </w:r>
          </w:p>
        </w:tc>
        <w:tc>
          <w:tcPr>
            <w:tcW w:type="dxa" w:w="1417"/>
            <w:shd w:fill="FFFFFF" w:val="clear"/>
          </w:tcPr>
          <w:p>
            <w:r>
              <w:rPr>
                <w:sz w:val="16"/>
              </w:rPr>
              <w:t>3,586</w:t>
            </w:r>
          </w:p>
        </w:tc>
        <w:tc>
          <w:tcPr>
            <w:tcW w:type="dxa" w:w="1134"/>
            <w:shd w:fill="FFC7CE" w:val="clear"/>
          </w:tcPr>
          <w:p>
            <w:r>
              <w:rPr>
                <w:b/>
                <w:color w:val="B40000"/>
                <w:sz w:val="16"/>
              </w:rPr>
              <w:t>-3.47%</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3,100</w:t>
            </w:r>
          </w:p>
        </w:tc>
        <w:tc>
          <w:tcPr>
            <w:tcW w:type="dxa" w:w="1417"/>
            <w:shd w:fill="FFFFFF" w:val="clear"/>
          </w:tcPr>
          <w:p>
            <w:r>
              <w:rPr>
                <w:sz w:val="16"/>
              </w:rPr>
              <w:t>2,986</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2,150</w:t>
            </w:r>
          </w:p>
        </w:tc>
        <w:tc>
          <w:tcPr>
            <w:tcW w:type="dxa" w:w="1417"/>
            <w:shd w:fill="FFFFFF" w:val="clear"/>
          </w:tcPr>
          <w:p>
            <w:r>
              <w:rPr>
                <w:sz w:val="16"/>
              </w:rPr>
              <w:t>2,052</w:t>
            </w:r>
          </w:p>
        </w:tc>
        <w:tc>
          <w:tcPr>
            <w:tcW w:type="dxa" w:w="1134"/>
            <w:shd w:fill="FFC7CE" w:val="clear"/>
          </w:tcPr>
          <w:p>
            <w:r>
              <w:rPr>
                <w:b/>
                <w:color w:val="B40000"/>
                <w:sz w:val="16"/>
              </w:rPr>
              <w:t>-4.57%</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8,800</w:t>
            </w:r>
          </w:p>
        </w:tc>
        <w:tc>
          <w:tcPr>
            <w:tcW w:type="dxa" w:w="1417"/>
            <w:shd w:fill="FFFFFF" w:val="clear"/>
          </w:tcPr>
          <w:p>
            <w:r>
              <w:rPr>
                <w:sz w:val="16"/>
              </w:rPr>
              <w:t>8,370</w:t>
            </w:r>
          </w:p>
        </w:tc>
        <w:tc>
          <w:tcPr>
            <w:tcW w:type="dxa" w:w="1134"/>
            <w:shd w:fill="FFC7CE" w:val="clear"/>
          </w:tcPr>
          <w:p>
            <w:r>
              <w:rPr>
                <w:b/>
                <w:color w:val="B40000"/>
                <w:sz w:val="16"/>
              </w:rPr>
              <w:t>-4.88%</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2,155</w:t>
            </w:r>
          </w:p>
        </w:tc>
        <w:tc>
          <w:tcPr>
            <w:tcW w:type="dxa" w:w="1417"/>
            <w:shd w:fill="FFFFFF" w:val="clear"/>
          </w:tcPr>
          <w:p>
            <w:r>
              <w:rPr>
                <w:sz w:val="16"/>
              </w:rPr>
              <w:t>2,042</w:t>
            </w:r>
          </w:p>
        </w:tc>
        <w:tc>
          <w:tcPr>
            <w:tcW w:type="dxa" w:w="1134"/>
            <w:shd w:fill="FFC7CE" w:val="clear"/>
          </w:tcPr>
          <w:p>
            <w:r>
              <w:rPr>
                <w:b/>
                <w:color w:val="B40000"/>
                <w:sz w:val="16"/>
              </w:rPr>
              <w:t>-5.26%</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30,500</w:t>
            </w:r>
          </w:p>
        </w:tc>
        <w:tc>
          <w:tcPr>
            <w:tcW w:type="dxa" w:w="1417"/>
            <w:shd w:fill="FFFFFF" w:val="clear"/>
          </w:tcPr>
          <w:p>
            <w:r>
              <w:rPr>
                <w:sz w:val="16"/>
              </w:rPr>
              <w:t>28,631</w:t>
            </w:r>
          </w:p>
        </w:tc>
        <w:tc>
          <w:tcPr>
            <w:tcW w:type="dxa" w:w="1134"/>
            <w:shd w:fill="FFC7CE" w:val="clear"/>
          </w:tcPr>
          <w:p>
            <w:r>
              <w:rPr>
                <w:b/>
                <w:color w:val="B40000"/>
                <w:sz w:val="16"/>
              </w:rPr>
              <w:t>-6.13%</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1,850</w:t>
            </w:r>
          </w:p>
        </w:tc>
        <w:tc>
          <w:tcPr>
            <w:tcW w:type="dxa" w:w="1417"/>
            <w:shd w:fill="FFFFFF" w:val="clear"/>
          </w:tcPr>
          <w:p>
            <w:r>
              <w:rPr>
                <w:sz w:val="16"/>
              </w:rPr>
              <w:t>1,733</w:t>
            </w:r>
          </w:p>
        </w:tc>
        <w:tc>
          <w:tcPr>
            <w:tcW w:type="dxa" w:w="1134"/>
            <w:shd w:fill="FFC7CE" w:val="clear"/>
          </w:tcPr>
          <w:p>
            <w:r>
              <w:rPr>
                <w:b/>
                <w:color w:val="B40000"/>
                <w:sz w:val="16"/>
              </w:rPr>
              <w:t>-6.32%</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3,190</w:t>
            </w:r>
          </w:p>
        </w:tc>
        <w:tc>
          <w:tcPr>
            <w:tcW w:type="dxa" w:w="1417"/>
            <w:shd w:fill="FFFFFF" w:val="clear"/>
          </w:tcPr>
          <w:p>
            <w:r>
              <w:rPr>
                <w:sz w:val="16"/>
              </w:rPr>
              <w:t>2,988</w:t>
            </w:r>
          </w:p>
        </w:tc>
        <w:tc>
          <w:tcPr>
            <w:tcW w:type="dxa" w:w="1134"/>
            <w:shd w:fill="FFC7CE" w:val="clear"/>
          </w:tcPr>
          <w:p>
            <w:r>
              <w:rPr>
                <w:b/>
                <w:color w:val="B40000"/>
                <w:sz w:val="16"/>
              </w:rPr>
              <w:t>-6.34%</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5,995</w:t>
            </w:r>
          </w:p>
        </w:tc>
        <w:tc>
          <w:tcPr>
            <w:tcW w:type="dxa" w:w="1417"/>
            <w:shd w:fill="FFFFFF" w:val="clear"/>
          </w:tcPr>
          <w:p>
            <w:r>
              <w:rPr>
                <w:sz w:val="16"/>
              </w:rPr>
              <w:t>5,436</w:t>
            </w:r>
          </w:p>
        </w:tc>
        <w:tc>
          <w:tcPr>
            <w:tcW w:type="dxa" w:w="1134"/>
            <w:shd w:fill="FFC7CE" w:val="clear"/>
          </w:tcPr>
          <w:p>
            <w:r>
              <w:rPr>
                <w:b/>
                <w:color w:val="B40000"/>
                <w:sz w:val="16"/>
              </w:rPr>
              <w:t>-9.32%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20,900</w:t>
            </w:r>
          </w:p>
        </w:tc>
        <w:tc>
          <w:tcPr>
            <w:tcW w:type="dxa" w:w="1417"/>
            <w:shd w:fill="FFFFFF" w:val="clear"/>
          </w:tcPr>
          <w:p>
            <w:r>
              <w:rPr>
                <w:sz w:val="16"/>
              </w:rPr>
              <w:t>18,741</w:t>
            </w:r>
          </w:p>
        </w:tc>
        <w:tc>
          <w:tcPr>
            <w:tcW w:type="dxa" w:w="1134"/>
            <w:shd w:fill="FFC7CE" w:val="clear"/>
          </w:tcPr>
          <w:p>
            <w:r>
              <w:rPr>
                <w:b/>
                <w:color w:val="B40000"/>
                <w:sz w:val="16"/>
              </w:rPr>
              <w:t>-10.33%</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8,135</w:t>
            </w:r>
          </w:p>
        </w:tc>
        <w:tc>
          <w:tcPr>
            <w:tcW w:type="dxa" w:w="1417"/>
            <w:shd w:fill="FFFFFF" w:val="clear"/>
          </w:tcPr>
          <w:p>
            <w:r>
              <w:rPr>
                <w:sz w:val="16"/>
              </w:rPr>
              <w:t>7,110</w:t>
            </w:r>
          </w:p>
        </w:tc>
        <w:tc>
          <w:tcPr>
            <w:tcW w:type="dxa" w:w="1134"/>
            <w:shd w:fill="FFC7CE" w:val="clear"/>
          </w:tcPr>
          <w:p>
            <w:r>
              <w:rPr>
                <w:b/>
                <w:color w:val="B40000"/>
                <w:sz w:val="16"/>
              </w:rPr>
              <w:t>-12.61%</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3,260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007800"/>
                <w:sz w:val="17"/>
              </w:rPr>
              <w:t>+11.54%</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10.48% (Moyenne) — μ=3,362 FCFA, σ=352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β=0.3358 (Défensif) — Cov=0.000025, Var(idx)=0.000075, ρ=0.101,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3,036</w:t>
            </w:r>
          </w:p>
        </w:tc>
        <w:tc>
          <w:tcPr>
            <w:tcW w:type="dxa" w:w="1440"/>
            <w:shd w:fill="FAFAFA" w:val="clear"/>
          </w:tcPr>
          <w:p>
            <w:r>
              <w:rPr>
                <w:b/>
                <w:sz w:val="17"/>
              </w:rPr>
              <w:t>3,163</w:t>
            </w:r>
          </w:p>
        </w:tc>
        <w:tc>
          <w:tcPr>
            <w:tcW w:type="dxa" w:w="1440"/>
            <w:shd w:fill="FAFAFA" w:val="clear"/>
          </w:tcPr>
          <w:p>
            <w:r>
              <w:rPr>
                <w:sz w:val="17"/>
              </w:rPr>
              <w:t>3,289</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2,963</w:t>
            </w:r>
          </w:p>
        </w:tc>
        <w:tc>
          <w:tcPr>
            <w:tcW w:type="dxa" w:w="1440"/>
            <w:shd w:fill="FAFAFA" w:val="clear"/>
          </w:tcPr>
          <w:p>
            <w:r>
              <w:rPr>
                <w:b/>
                <w:sz w:val="17"/>
              </w:rPr>
              <w:t>3,141</w:t>
            </w:r>
          </w:p>
        </w:tc>
        <w:tc>
          <w:tcPr>
            <w:tcW w:type="dxa" w:w="1440"/>
            <w:shd w:fill="FAFAFA" w:val="clear"/>
          </w:tcPr>
          <w:p>
            <w:r>
              <w:rPr>
                <w:sz w:val="17"/>
              </w:rPr>
              <w:t>3,319</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2026-10-19</w:t>
            </w:r>
          </w:p>
        </w:tc>
        <w:tc>
          <w:tcPr>
            <w:tcW w:type="dxa" w:w="1440"/>
            <w:shd w:fill="FFDCE0" w:val="clear"/>
          </w:tcPr>
          <w:p>
            <w:r>
              <w:rPr>
                <w:sz w:val="17"/>
              </w:rPr>
              <w:t>2,901</w:t>
            </w:r>
          </w:p>
        </w:tc>
        <w:tc>
          <w:tcPr>
            <w:tcW w:type="dxa" w:w="1440"/>
            <w:shd w:fill="FFDCE0" w:val="clear"/>
          </w:tcPr>
          <w:p>
            <w:r>
              <w:rPr>
                <w:b/>
                <w:sz w:val="17"/>
              </w:rPr>
              <w:t>3,117</w:t>
            </w:r>
          </w:p>
        </w:tc>
        <w:tc>
          <w:tcPr>
            <w:tcW w:type="dxa" w:w="1440"/>
            <w:shd w:fill="FFDCE0" w:val="clear"/>
          </w:tcPr>
          <w:p>
            <w:r>
              <w:rPr>
                <w:sz w:val="17"/>
              </w:rPr>
              <w:t>3,334</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2,848</w:t>
            </w:r>
          </w:p>
        </w:tc>
        <w:tc>
          <w:tcPr>
            <w:tcW w:type="dxa" w:w="1440"/>
            <w:shd w:fill="FFDCE0" w:val="clear"/>
          </w:tcPr>
          <w:p>
            <w:r>
              <w:rPr>
                <w:b/>
                <w:sz w:val="17"/>
              </w:rPr>
              <w:t>3,096</w:t>
            </w:r>
          </w:p>
        </w:tc>
        <w:tc>
          <w:tcPr>
            <w:tcW w:type="dxa" w:w="1440"/>
            <w:shd w:fill="FFDCE0" w:val="clear"/>
          </w:tcPr>
          <w:p>
            <w:r>
              <w:rPr>
                <w:sz w:val="17"/>
              </w:rPr>
              <w:t>3,344</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2,800</w:t>
            </w:r>
          </w:p>
        </w:tc>
        <w:tc>
          <w:tcPr>
            <w:tcW w:type="dxa" w:w="1440"/>
            <w:shd w:fill="FFDCE0" w:val="clear"/>
          </w:tcPr>
          <w:p>
            <w:r>
              <w:rPr>
                <w:b/>
                <w:sz w:val="17"/>
              </w:rPr>
              <w:t>3,076</w:t>
            </w:r>
          </w:p>
        </w:tc>
        <w:tc>
          <w:tcPr>
            <w:tcW w:type="dxa" w:w="1440"/>
            <w:shd w:fill="FFDCE0" w:val="clear"/>
          </w:tcPr>
          <w:p>
            <w:r>
              <w:rPr>
                <w:sz w:val="17"/>
              </w:rPr>
              <w:t>3,351</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2,757</w:t>
            </w:r>
          </w:p>
        </w:tc>
        <w:tc>
          <w:tcPr>
            <w:tcW w:type="dxa" w:w="1440"/>
            <w:shd w:fill="FFDCE0" w:val="clear"/>
          </w:tcPr>
          <w:p>
            <w:r>
              <w:rPr>
                <w:b/>
                <w:sz w:val="17"/>
              </w:rPr>
              <w:t>3,056</w:t>
            </w:r>
          </w:p>
        </w:tc>
        <w:tc>
          <w:tcPr>
            <w:tcW w:type="dxa" w:w="1440"/>
            <w:shd w:fill="FFDCE0" w:val="clear"/>
          </w:tcPr>
          <w:p>
            <w:r>
              <w:rPr>
                <w:sz w:val="17"/>
              </w:rPr>
              <w:t>3,356</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2,716</w:t>
            </w:r>
          </w:p>
        </w:tc>
        <w:tc>
          <w:tcPr>
            <w:tcW w:type="dxa" w:w="1440"/>
            <w:shd w:fill="FFDCE0" w:val="clear"/>
          </w:tcPr>
          <w:p>
            <w:r>
              <w:rPr>
                <w:b/>
                <w:sz w:val="17"/>
              </w:rPr>
              <w:t>3,038</w:t>
            </w:r>
          </w:p>
        </w:tc>
        <w:tc>
          <w:tcPr>
            <w:tcW w:type="dxa" w:w="1440"/>
            <w:shd w:fill="FFDCE0" w:val="clear"/>
          </w:tcPr>
          <w:p>
            <w:r>
              <w:rPr>
                <w:sz w:val="17"/>
              </w:rPr>
              <w:t>3,360</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2,678</w:t>
            </w:r>
          </w:p>
        </w:tc>
        <w:tc>
          <w:tcPr>
            <w:tcW w:type="dxa" w:w="1440"/>
            <w:shd w:fill="FFDCE0" w:val="clear"/>
          </w:tcPr>
          <w:p>
            <w:r>
              <w:rPr>
                <w:b/>
                <w:sz w:val="17"/>
              </w:rPr>
              <w:t>3,021</w:t>
            </w:r>
          </w:p>
        </w:tc>
        <w:tc>
          <w:tcPr>
            <w:tcW w:type="dxa" w:w="1440"/>
            <w:shd w:fill="FFDCE0" w:val="clear"/>
          </w:tcPr>
          <w:p>
            <w:r>
              <w:rPr>
                <w:sz w:val="17"/>
              </w:rPr>
              <w:t>3,363</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2,643</w:t>
            </w:r>
          </w:p>
        </w:tc>
        <w:tc>
          <w:tcPr>
            <w:tcW w:type="dxa" w:w="1440"/>
            <w:shd w:fill="FFDCE0" w:val="clear"/>
          </w:tcPr>
          <w:p>
            <w:r>
              <w:rPr>
                <w:b/>
                <w:sz w:val="17"/>
              </w:rPr>
              <w:t>3,004</w:t>
            </w:r>
          </w:p>
        </w:tc>
        <w:tc>
          <w:tcPr>
            <w:tcW w:type="dxa" w:w="1440"/>
            <w:shd w:fill="FFDCE0" w:val="clear"/>
          </w:tcPr>
          <w:p>
            <w:r>
              <w:rPr>
                <w:sz w:val="17"/>
              </w:rPr>
              <w:t>3,365</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2,609</w:t>
            </w:r>
          </w:p>
        </w:tc>
        <w:tc>
          <w:tcPr>
            <w:tcW w:type="dxa" w:w="1440"/>
            <w:shd w:fill="FFDCE0" w:val="clear"/>
          </w:tcPr>
          <w:p>
            <w:r>
              <w:rPr>
                <w:b/>
                <w:sz w:val="17"/>
              </w:rPr>
              <w:t>2,988</w:t>
            </w:r>
          </w:p>
        </w:tc>
        <w:tc>
          <w:tcPr>
            <w:tcW w:type="dxa" w:w="1440"/>
            <w:shd w:fill="FFDCE0" w:val="clear"/>
          </w:tcPr>
          <w:p>
            <w:r>
              <w:rPr>
                <w:sz w:val="17"/>
              </w:rPr>
              <w:t>3,366</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34,81 milliards FCFA, Servair Abidjan se positionne comme une valeur de taille intermédiaire sur la BRVM, loin des poids lourds bancaires et télécoms mais suffisamment liquide pour intéresser les investisseurs institutionnels régionaux. Le BPA de 124 FCFA/action signifie que chaque titre génère un bénéfice net de 124 FCFA, ce qui, rapporté au cours actuel de 3 190 FCFA, aboutit à un PER de 25,8x — très nettement supérieur à la moyenne du marché BRVM (8-12x), signalant que les investisseurs paient une prime de croissance significative ou que le titre est surévalué. Le P/B de 6,75x, largement au-dessus du seuil de 4x, confirme cette valorisation exigeante : le marché valorise l'entreprise à près de 7 fois sa valeur comptable, ce qui n'est justifiable que par une rentabilité des fonds propres élevée (ROE de 26,18% en 2025) et des perspectives de croissance solides. Enfin, l'EV/EBITDA de 13,0x, dans la fourchette haute (10-15x), indique que la valeur d'entreprise incluant la dette reste chère rapportée à la capacité opérationnelle de génération de cash, ce qui laisse peu de marge de sécurité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variation positive de +11,54%, avec un cours actuel de 3 190 FCFA et une dernière séance stable (+0,00%). Le titre a évolué dans un range de 2 800 FCFA (plus bas) à 4 095 FCFA (plus haut), soit une amplitude de trading de près de 46%, traduisant une tendance globalement haussière mais avec une correction récente depuis les sommets. La moyenne du cours s'établit à 3 362 FCFA, supérieure à la médiane de 3 278 FCFA, ce qui indique une distribution légèrement asymétrique avec quelques journées de forte hausse tirant la moyenne vers le haut. L'écart-type de 354 FCFA (CV de 10,5%) reflète une dispersion modérée du cours autour de sa moyenne, tandis que le kurtosis de -0,756 (mésokurtique) suggère une distribution proche de la normale, sans risque excessif de pics extrêmes. Le skewness positif de 0,643 confirme cette asymétrie positive : il y a eu plus de journées sous la moyenne, mais les hausses ont été plus amples que les baisses. Avec une volatilité annualisée de 45,1%, le titre se classe dans la catégorie des valeurs à volatilité élevée (&gt;30%), ce qui implique un risque de prix significatif et nécessite une tolérance au risque adaptée.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(3 590 FCFA) et la MM50 (3 563,3 FCFA) se situent toutes deux nettement au-dessus du cours actuel (3 190 FCFA), ce qui place le titre en position baissière à court et moyen terme. Cependant, la décision technique affichée est "Achat", probablement en anticipation d'un rebond technique après la correction. La convergence des deux moyennes (écart de seulement 26,7 FCFA) suggère une tendance de fond qui s'essouffle.</w:t>
      </w:r>
    </w:p>
    <w:p>
      <w:pPr>
        <w:spacing w:after="120" w:line="276" w:lineRule="auto"/>
      </w:pPr>
      <w:r>
        <w:t>**Bandes de Bollinger** : Le cours actuel (3 190 FCFA) se situe dans la partie basse de la bande, entre la borne inférieure (2 919,4 FCFA) et la borne supérieure (4 260,6 FCFA), mais plus proche de la borne basse. La décision est "Neutre", ce qui reflète l'absence de signal clair : le titre n'est ni en survente extrême ni en surachat, et la volatilité implicite reste élevée (largeur de bande de 1 341 FCFA).</w:t>
      </w:r>
    </w:p>
    <w:p>
      <w:pPr>
        <w:spacing w:after="120" w:line="276" w:lineRule="auto"/>
      </w:pPr>
      <w:r>
        <w:t>**MACD** : La valeur du MACD (-149,996) est inférieure à son signal (-87,923), confirmant un momentum baissier. La divergence négative entre les deux lignes indique que la pression vendeuse persiste, justifiant la décision "Vente". Un croisement haussier du MACD au-dessus de son signal serait nécessaire pour inverser cette tendance.</w:t>
      </w:r>
    </w:p>
    <w:p>
      <w:pPr>
        <w:spacing w:after="120" w:line="276" w:lineRule="auto"/>
      </w:pPr>
      <w:r>
        <w:t>**RSI** : Avec une valeur de 15,421, le RSI est très nettement en zone de survente (&lt;30), ce qui déclenche une décision "Achat". Ce niveau extrême suggère que le titre a été massivement vendu et qu'un rebond technique est probable à court terme, bien que la tendance baissière de fond ne soit pas encore invalidée.</w:t>
      </w:r>
    </w:p>
    <w:p>
      <w:pPr>
        <w:spacing w:after="120" w:line="276" w:lineRule="auto"/>
      </w:pPr>
      <w:r>
        <w:t>**Stochastique** : Les valeurs %K et %D sont toutes deux à 0,0, ce qui place l'indicateur en zone de survente extrême et déclenche une décision "Achat". Un croisement haussier du %K au-dessus du %D serait un signal de retournement, mais pour l'instant, la pression baissière reste dominante.</w:t>
      </w:r>
    </w:p>
    <w:p>
      <w:pPr>
        <w:spacing w:after="120" w:line="276" w:lineRule="auto"/>
      </w:pPr>
      <w:r>
        <w:t>**Conclusion technique** : Les indicateurs techniques présentent une divergence notable : les moyennes mobiles et le MACD sont baissiers, tandis que le RSI et le stochastique sont en survente extrême et génèrent des signaux d'achat contrariens. Cette configuration suggère un possible rebond technique à court terme, mais la tendance de fond reste fragile tant que le cours ne repasse pas au-dessus de la MM20 (3 590 FCFA). La prudence est de mise, car la survente peut persister dans un marché baissier.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 réalisé un chiffre d'affaires de 13,298 milliards FCFA, en croissance de 6,67% par rapport à 2024, portée par la dynamique du trafic aérien et la diversification vers les activités non aériennes. Le résultat net s'établit à 1,351 milliard FCFA, en baisse de 12,1% selon le rapport annuel 2025 (publié en 2026), principalement en raison d'une charge d'impôt en forte hausse (+46,7% à 848 millions FCFA). La rentabilité reste solide avec un ROE de 26,18% et un ROA de 14,64%, bien que la marge nette se contracte à 10,16% contre 12,1% en 2024. La structure financière est saine : les capitaux propres s'élèvent à 5,159 milliards FCFA (autonomie financière de 55,9%), la trésorerie nette atteint 4,035 milliards FCFA, et l'endettement financier est quasi nul (dettes financières de 65,89 millions FCFA seulement). Le BFR est négatif (257,45 millions FCFA), ce qui est favorable, mais le délai client de 70,10 jours reste élevé et constitue un point de vigilance pour la trésorerie. Les rapports trimestriels révèlent une dégradation récente : au T1 2026 (rapport publié en 2026), le CA progresse de seulement 1,9% à 3,237 milliards FCFA, mais le résultat net chute de 35,6% à 222,6 millions FCFA, pénalisé par les ajustements de redevances aéroportuaires et les tensions géopolitiques au Moyen-Orient. Sur la base de ce T1 2026, on estime que l'exercice 2026 devrait enregistrer une contraction de la rentabilité, avec un résultat net annualisé potentiellement inférieur à 1 milliard FCFA si la tendance se poursuit. Le rapport T3 2025 (publié en 2025) montrait déjà un redressement avec un CA trimestriel de 10,218 milliards FCFA (+10,3%) et un résultat net de 1,325 milliard FCFA (+17,1%), mais cette dynamique semble s'être essoufflée au T1 2026. La recommandation fondamentale est de **conserver** la valeur : la solidité financière et la position dominante sur le marché ivoirien des services aéroportuaires sont des atouts, mais la dégradation récente de la rentabilité et les risques exogènes (concurrence, tensions géopolitiques, pression fiscale)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Servair Abidjan apparaît exigeante : le PER de 25,8x et le P/B de 6,75x intègrent déjà une prime de croissance significative, ce qui laisse peu de marge de sécurité en cas de déception sur les résultats. Le comportement du cours sur 100 jours est globalement haussier (+11,54%) mais avec une correction récente depuis les sommets, une volatilité élevée (45,1%) et une asymétrie positive (skewness de 0,643) qui suggère que les hausses passées ont été plus amples que les baisses. Les signaux techniques sont divergents : les moyennes mobiles et le MACD sont baissiers, tandis que le RSI (15,4) et le stochastique (0,0) sont en survente extrême et génèrent des signaux d'achat contrariens, ce qui pourrait annoncer un rebond technique à court terme. Les fondamentaux restent solides (ROE de 26,18%, trésorerie nette de 4,035 milliards FCFA, endettement quasi nul), mais la dégradation de la rentabilité au T1 2026 (résultat net -35,6%) et les risques exogènes (tensions géopolitiques, ajustements de redevances) pèsent sur les perspectives. Les prédictions IA pour les 10 prochains jours ouvrables (de 3 163 FCFA le 15/10/2026 à 3 076 FCFA le 21/10/2026) confirment une trajectoire baissière à court terme, en ligne avec le MACD et les moyennes mobiles, mais en contradiction avec les signaux de survente du RSI et du stochastique. Sur la base de cette synthèse, la recommandation finale est **CONSERVER** : la convergence entre une valorisation tendue, des signaux techniques mitigés (survente contrarienne mais tendance baissière) et des fondamentaux solides mais en dégradation ne justifie ni un achat agressif ni une vente précipitée. Le niveau de confiance est **Moyen**, car les signaux sont contradictoires et les perspectives dépendent largement de la résolution des facteurs exogènes. Le niveau de risque global est **Élevé** en raison de la volatilité du titre (45,1%) et de la sensibilité du secteur aéroportuaire aux chocs externes. L'horizon d'investissement optimal est le **moyen terme (3-12 mois)**, en attendant une clarification sur la tendance de la rentabilité et la résolution des tensions géopolitiques, avec un point d'entrée potentiel si le cours se stabilise au-dessus de la MM20 (3 590 FCFA) ou si le RSI confirme un rebond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30,793 titres</w:t>
            </w:r>
          </w:p>
        </w:tc>
        <w:tc>
          <w:tcPr>
            <w:tcW w:type="dxa" w:w="2268"/>
            <w:shd w:fill="FFF2CC" w:val="clear"/>
          </w:tcPr>
          <w:p>
            <w:r>
              <w:rPr>
                <w:b/>
                <w:color w:val="503200"/>
                <w:sz w:val="16"/>
              </w:rPr>
              <w:t xml:space="preserve">Cours actuel : </w:t>
            </w:r>
            <w:r>
              <w:rPr>
                <w:color w:val="000000"/>
                <w:sz w:val="17"/>
              </w:rPr>
              <w:t>10,400 FCFA</w:t>
            </w:r>
          </w:p>
          <w:p>
            <w:r>
              <w:rPr>
                <w:b/>
                <w:color w:val="503200"/>
                <w:sz w:val="16"/>
              </w:rPr>
              <w:t xml:space="preserve">Var. 100 jours : </w:t>
            </w:r>
            <w:r>
              <w:rPr>
                <w:b/>
                <w:color w:val="007800"/>
                <w:sz w:val="17"/>
              </w:rPr>
              <w:t>+43.35%</w:t>
            </w:r>
          </w:p>
          <w:p>
            <w:r>
              <w:rPr>
                <w:b/>
                <w:color w:val="503200"/>
                <w:sz w:val="16"/>
              </w:rPr>
              <w:t xml:space="preserve">Plus haut 100j : </w:t>
            </w:r>
            <w:r>
              <w:rPr>
                <w:color w:val="000000"/>
                <w:sz w:val="17"/>
              </w:rPr>
              <w:t>10,450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52.3%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22.2/100 → Moyen</w:t>
      </w:r>
    </w:p>
    <w:p>
      <w:pPr>
        <w:spacing w:before="40" w:after="80"/>
      </w:pPr>
      <w:r>
        <w:rPr>
          <w:rFonts w:ascii="Courier New" w:hAnsi="Courier New"/>
          <w:color w:val="825A00"/>
          <w:sz w:val="18"/>
        </w:rPr>
        <w:t>████░░░░░░░░░░░░░░░░  22.2/100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10.70% (Moyenne) — μ=9,348 FCFA, σ=1,000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β=1.3305 (Agressif) — Cov=0.000116, Var(idx)=0.000087, ρ=0.377, n=10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30,793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σ_j=3.29%/j (Modérée) — Vol. annualisée≈52.3%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**RAPPORT D'ANALYSE FINANCIÈRE — BBGC (BRIDGE BANK GROUP COTE D'IVOIRE)**</w:t>
        <w:br/>
        <w:t>*Marché : BRVM | Secteur : Banque | Date d'analyse :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520,00 Mds FCFA, BBGC s'impose comme une valeur de premier plan de la cote BRVM, positionnant la banque parmi les grandes capitalisations régionales. Le BPA de 544 FCFA/action signifie que chaque titre génère près de 544 FCFA de bénéfice net, ce qui, rapporté au cours actuel de 10 400 FCFA, donne un PER de 19,1x — nettement supérieur à la moyenne du marché BRVM (8-12x), traduisant une prime de croissance significative mais aussi une valorisation tendue. Le P/B de 4,95x confirme cette exigence : le marché valorise la banque à près de cinq fois ses fonds propres comptables (105,1 Mds FCFA), ce qui n'est justifié que par la qualité exceptionnelle de la rentabilité (ROE de 25,9%). Enfin, l'EV/EBITDA de 17,0x, supérieur au seuil de 15x, signale que la valeur d'entreprise intègre déjà une forte anticipation de croissance opérationnelle — un niveau à surveiller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BBGC affiche une performance remarquable de +43,35%, avec une dernière séance quasi stable (+0,05%) à 10 400 FCFA, proche de son plus haut de 10 450 FCFA et très éloignée de son plus bas de 7 255 FCFA — soit un range de trading de près de 44%, caractéristique d'une tendance franchement haussière portée par le succès de l'introduction en bourse et la publication de résultats semestriels solides. Les statistiques descriptives révèlent une moyenne de 9 348 FCFA légèrement inférieure à la médiane de 9 422 FCFA, avec un mode à 9 000 FCFA : cet écart modéré indique une distribution quasi symétrique mais légèrement tirée vers le bas par des séances de consolidation. L'écart-type de 1 038 FCFA (CV = 11,1%) traduit une dispersion modérée du cours autour de sa moyenne, tandis que le kurtosis de -0,731 (mésokurtique) suggère une distribution proche de la normale, sans pics extrêmes fréquents — un profil rassurant pour la gestion du risque. Le skewness de -0,599 (asymétrie négative) indique toutefois davantage de journées de baisse que de hausse au-dessus de la moyenne, signalant une pression vendeuse ponctuelle malgré la tendance globale. La volatilité annualisée de 52,3% classe le titre dans la catégorie **élevée** (&gt;30%), ce qui est cohérent avec une valeur récemment introduite en bourse et encore en phase de découverte de prix.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valeurs MM20 et MM50 sont indisponibles (nan), ce qui s'explique probablement par un historique de cotation encore insuffisant pour calculer ces moyennes sur 20 et 50 séances. Aucune décision technique ne peut donc être dérivée de cet indicateur, et il conviendra de le reconstituer une fois l'historique suffisant accumulé.</w:t>
      </w:r>
    </w:p>
    <w:p>
      <w:pPr>
        <w:spacing w:after="120" w:line="276" w:lineRule="auto"/>
      </w:pPr>
      <w:r>
        <w:t>**Bandes de Bollinger** : Les bornes supérieure et inférieure sont également indisponibles (nan), pour la même raison d'historique insuffisant. Le cours actuel de 10 400 FCFA ne peut donc être positionné par rapport à ces bandes, privant l'analyste d'un repère de volatilité relative.</w:t>
      </w:r>
    </w:p>
    <w:p>
      <w:pPr>
        <w:spacing w:after="120" w:line="276" w:lineRule="auto"/>
      </w:pPr>
      <w:r>
        <w:t>**MACD** : La valeur du MACD et celle de son signal sont indisponibles (nan), empêchant toute analyse de divergence ou de momentum. Cet indicateur deviendra exploitable dès que 26 séances de cotation seront disponibles.</w:t>
      </w:r>
    </w:p>
    <w:p>
      <w:pPr>
        <w:spacing w:after="120" w:line="276" w:lineRule="auto"/>
      </w:pPr>
      <w:r>
        <w:t>**RSI** : Le RSI est indisponible (nan), ne permettant pas de déterminer si le titre est en zone de surachat (&gt;70), de survente (&lt;30) ou neutre. Compte tenu de la hausse de +43% sur 100 jours, un RSI élevé serait attendu, mais l'absence de donnée interdit toute conclusion.</w:t>
      </w:r>
    </w:p>
    <w:p>
      <w:pPr>
        <w:spacing w:after="120" w:line="276" w:lineRule="auto"/>
      </w:pPr>
      <w:r>
        <w:t>**Stochastique** : Les valeurs %K et %D sont indisponibles (nan), rendant impossible l'analyse des croisements et des zones de retournement.</w:t>
      </w:r>
    </w:p>
    <w:p>
      <w:pPr>
        <w:spacing w:after="120" w:line="276" w:lineRule="auto"/>
      </w:pPr>
      <w:r>
        <w:t>**Conclusion technique** : L'ensemble des indicateurs techniques étant indisponibles en raison d'un historique de cotation insuffisant (introduction récente à la BRVM), aucune lecture technique fiable ne peut être produite. Seule l'analyse du cours brut (tendance haussière de +43,35%, volatilité élevée de 52,3%) permet de qualifier le titre de **haussier mais spéculatif**. Il est recommandé de reconstituer ces indicateurs après 50 séances de cotation effectives avant toute décision technique.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BBGC affiche un Produit Net Bancaire (équivalent du chiffre d'affaires pour une banque) de 67,824 Mds FCFA, un résultat net de 27,197 Mds FCFA, soit une marge nette exceptionnelle de 40,10%. Le ROE ressort à 25,87% (largement supérieur au seuil d'excellence de 15%) et le ROA à 1,91%, confirmant une rentabilité de premier ordre. Le coefficient d'exploitation de 41,85% place la banque en zone d'excellence (&lt;50%), signe d'une efficacité opérationnelle remarquable. Le coût du risque de 0,8853% est faible, témoignant d'un portefeuille de crédits sain. La structure bilancielle révèle une forte dépendance aux dépôts clientèle (1 138,1 Mds FCFA) face à des créances clientèle de 768,6 Mds FCFA, soit un ratio dépôts/crédits de 148% — une surliquidité confortable. Toutefois, l'autonomie financière de 7,37% (capitaux propres/total bilan) est faible, reflet normal du modèle bancaire, mais le ratio d'endettement de 1 257,6% et la solvabilité générale de 107,95% (juste au-dessus de 1) appellent à la vigilance.</w:t>
      </w:r>
    </w:p>
    <w:p>
      <w:pPr>
        <w:spacing w:after="120" w:line="276" w:lineRule="auto"/>
      </w:pPr>
      <w:r>
        <w:t>**Estimations basées sur les rapports semestriels (S1 2026, publiés le 30 juin 2026, analysés le 28 septembre 2026)** : Le rapport S1 2026 (analysé par DeepSeek et Gemini-Vision) révèle un PNB de 37,7 Mds FCFA (+25% vs S1 2025), un résultat net de 15,2 Mds FCFA (+46%), un coefficient d'exploitation amélioré à 40,3% (vs 43,3%) et une marge nette de 40,3%. La croissance des crédits (+28% à 823,9 Mds FCFA) et des dépôts (+46% à 1 318,3 Mds FCFA) confirme la dynamique commerciale. **Sur cette base, on estime que l'exercice 2026 devrait afficher un PNB annuel proche de 75-78 Mds FCFA et un résultat net de l'ordre de 30-32 Mds FCFA**, soit une croissance de 10-18% par rapport à 2025. L'OPV sursouscrite à 6 750 FCFA/action (20% du capital, 67,5 Mds FCFA levés) et l'avis favorable pour une succursale au Burkina Faso constituent des catalyseurs positifs. **Recommandation fondamentale : ACHAT**, avec un biais spéculatif lié à l'absence de politique de dividende communiquée et à la valorisation exigeante.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BBGC (PER 19,1x, P/B 4,95x, EV/EBITDA 17,0x) est nettement supérieure aux moyennes du marché BRVM, traduisant une **surévaluation relative** qui n'est justifiée que par la qualité exceptionnelle des fondamentaux (ROE 25,9%, marge nette 40,1%, coefficient d'exploitation 41,8%). Le comportement du cours est franchement haussier (+43,35% sur 100 jours), avec une volatilité élevée (52,3%) et une distribution quasi normale (kurtosis -0,731) mais légèrement asymétrique à la baisse (skewness -0,599) — un profil favorable mais exigeant en gestion du risque. Les signaux techniques sont **indisponibles** (MM, Bollinger, MACD, RSI, Stochastique tous en nan), ce qui empêche toute confirmation ou infirmation technique de la tendance — un point de prudence majeur. Les fondamentaux sont **excellents** : croissance du PNB (+25% au S1 2026), bond du résultat net (+46%), amélioration de l'efficacité opérationnelle, et expansion régionale porteuse. Les prédictions IA sont **indisponibles**, ne permettant pas de confirmer la trajectoire court terme. **En synthèse, la convergence entre fondamentaux solides et dynamique haussière est réelle, mais la valorisation tendue et l'absence de repères techniques imposent la prudence.** Recommandation finale : **ACHAT** (et non ACHAT FORT, en raison de la valorisation exigeante et de l'absence de signaux techniques). Niveau de confiance : **Moyen**. Niveau de risque global : **Élevé** (volatilité 52,3%, introduction récente, absence de dividende connu). Horizon d'investissement optimal : **moyen terme (3-12 mois)**, le temps que l'historique technique se constitue et que la politique de dividende soit précisée.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484.03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13,905 titres</w:t>
            </w:r>
          </w:p>
        </w:tc>
        <w:tc>
          <w:tcPr>
            <w:tcW w:type="dxa" w:w="2268"/>
            <w:shd w:fill="FFF2CC" w:val="clear"/>
          </w:tcPr>
          <w:p>
            <w:r>
              <w:rPr>
                <w:b/>
                <w:color w:val="503200"/>
                <w:sz w:val="16"/>
              </w:rPr>
              <w:t xml:space="preserve">Cours actuel : </w:t>
            </w:r>
            <w:r>
              <w:rPr>
                <w:color w:val="000000"/>
                <w:sz w:val="17"/>
              </w:rPr>
              <w:t>8,380 FCFA</w:t>
            </w:r>
          </w:p>
          <w:p>
            <w:r>
              <w:rPr>
                <w:b/>
                <w:color w:val="503200"/>
                <w:sz w:val="16"/>
              </w:rPr>
              <w:t xml:space="preserve">Var. 100 jours : </w:t>
            </w:r>
            <w:r>
              <w:rPr>
                <w:b/>
                <w:color w:val="007800"/>
                <w:sz w:val="17"/>
              </w:rPr>
              <w:t>+60.38%</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5,190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21.91% (Élevée) — μ=7,512 FCFA, σ=1,646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β=0.8509 (Neutre (suit le marché)) — Cov=0.000063, Var(idx)=0.000075, ρ=0.270,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13,905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2026-10-15</w:t>
            </w:r>
          </w:p>
        </w:tc>
        <w:tc>
          <w:tcPr>
            <w:tcW w:type="dxa" w:w="1440"/>
            <w:shd w:fill="C6EFCE" w:val="clear"/>
          </w:tcPr>
          <w:p>
            <w:r>
              <w:rPr>
                <w:sz w:val="17"/>
              </w:rPr>
              <w:t>8,332</w:t>
            </w:r>
          </w:p>
        </w:tc>
        <w:tc>
          <w:tcPr>
            <w:tcW w:type="dxa" w:w="1440"/>
            <w:shd w:fill="C6EFCE" w:val="clear"/>
          </w:tcPr>
          <w:p>
            <w:r>
              <w:rPr>
                <w:b/>
                <w:sz w:val="17"/>
              </w:rPr>
              <w:t>8,825</w:t>
            </w:r>
          </w:p>
        </w:tc>
        <w:tc>
          <w:tcPr>
            <w:tcW w:type="dxa" w:w="1440"/>
            <w:shd w:fill="C6EFCE" w:val="clear"/>
          </w:tcPr>
          <w:p>
            <w:r>
              <w:rPr>
                <w:sz w:val="17"/>
              </w:rPr>
              <w:t>9,319</w:t>
            </w:r>
          </w:p>
        </w:tc>
        <w:tc>
          <w:tcPr>
            <w:tcW w:type="dxa" w:w="1440"/>
            <w:shd w:fill="C6EFCE" w:val="clear"/>
          </w:tcPr>
          <w:p>
            <w:r>
              <w:rPr>
                <w:b/>
                <w:color w:val="008000"/>
                <w:sz w:val="17"/>
              </w:rPr>
              <w:t>+5.3%</w:t>
            </w:r>
          </w:p>
        </w:tc>
      </w:tr>
      <w:tr>
        <w:tc>
          <w:tcPr>
            <w:tcW w:type="dxa" w:w="1440"/>
            <w:shd w:fill="C6EFCE" w:val="clear"/>
          </w:tcPr>
          <w:p>
            <w:r>
              <w:rPr>
                <w:sz w:val="17"/>
              </w:rPr>
              <w:t>J+2  ⭐</w:t>
            </w:r>
          </w:p>
        </w:tc>
        <w:tc>
          <w:tcPr>
            <w:tcW w:type="dxa" w:w="1440"/>
            <w:shd w:fill="C6EFCE" w:val="clear"/>
          </w:tcPr>
          <w:p>
            <w:r>
              <w:rPr>
                <w:sz w:val="17"/>
              </w:rPr>
              <w:t>2026-10-16</w:t>
            </w:r>
          </w:p>
        </w:tc>
        <w:tc>
          <w:tcPr>
            <w:tcW w:type="dxa" w:w="1440"/>
            <w:shd w:fill="C6EFCE" w:val="clear"/>
          </w:tcPr>
          <w:p>
            <w:r>
              <w:rPr>
                <w:sz w:val="17"/>
              </w:rPr>
              <w:t>8,177</w:t>
            </w:r>
          </w:p>
        </w:tc>
        <w:tc>
          <w:tcPr>
            <w:tcW w:type="dxa" w:w="1440"/>
            <w:shd w:fill="C6EFCE" w:val="clear"/>
          </w:tcPr>
          <w:p>
            <w:r>
              <w:rPr>
                <w:b/>
                <w:sz w:val="17"/>
              </w:rPr>
              <w:t>8,879</w:t>
            </w:r>
          </w:p>
        </w:tc>
        <w:tc>
          <w:tcPr>
            <w:tcW w:type="dxa" w:w="1440"/>
            <w:shd w:fill="C6EFCE" w:val="clear"/>
          </w:tcPr>
          <w:p>
            <w:r>
              <w:rPr>
                <w:sz w:val="17"/>
              </w:rPr>
              <w:t>9,580</w:t>
            </w:r>
          </w:p>
        </w:tc>
        <w:tc>
          <w:tcPr>
            <w:tcW w:type="dxa" w:w="1440"/>
            <w:shd w:fill="C6EFCE" w:val="clear"/>
          </w:tcPr>
          <w:p>
            <w:r>
              <w:rPr>
                <w:b/>
                <w:color w:val="008000"/>
                <w:sz w:val="17"/>
              </w:rPr>
              <w:t>+6.0%</w:t>
            </w:r>
          </w:p>
        </w:tc>
      </w:tr>
      <w:tr>
        <w:tc>
          <w:tcPr>
            <w:tcW w:type="dxa" w:w="1440"/>
            <w:shd w:fill="C6EFCE" w:val="clear"/>
          </w:tcPr>
          <w:p>
            <w:r>
              <w:rPr>
                <w:sz w:val="17"/>
              </w:rPr>
              <w:t>J+3  ⭐</w:t>
            </w:r>
          </w:p>
        </w:tc>
        <w:tc>
          <w:tcPr>
            <w:tcW w:type="dxa" w:w="1440"/>
            <w:shd w:fill="C6EFCE" w:val="clear"/>
          </w:tcPr>
          <w:p>
            <w:r>
              <w:rPr>
                <w:sz w:val="17"/>
              </w:rPr>
              <w:t>2026-10-19</w:t>
            </w:r>
          </w:p>
        </w:tc>
        <w:tc>
          <w:tcPr>
            <w:tcW w:type="dxa" w:w="1440"/>
            <w:shd w:fill="C6EFCE" w:val="clear"/>
          </w:tcPr>
          <w:p>
            <w:r>
              <w:rPr>
                <w:sz w:val="17"/>
              </w:rPr>
              <w:t>8,083</w:t>
            </w:r>
          </w:p>
        </w:tc>
        <w:tc>
          <w:tcPr>
            <w:tcW w:type="dxa" w:w="1440"/>
            <w:shd w:fill="C6EFCE" w:val="clear"/>
          </w:tcPr>
          <w:p>
            <w:r>
              <w:rPr>
                <w:b/>
                <w:sz w:val="17"/>
              </w:rPr>
              <w:t>8,949</w:t>
            </w:r>
          </w:p>
        </w:tc>
        <w:tc>
          <w:tcPr>
            <w:tcW w:type="dxa" w:w="1440"/>
            <w:shd w:fill="C6EFCE" w:val="clear"/>
          </w:tcPr>
          <w:p>
            <w:r>
              <w:rPr>
                <w:sz w:val="17"/>
              </w:rPr>
              <w:t>9,816</w:t>
            </w:r>
          </w:p>
        </w:tc>
        <w:tc>
          <w:tcPr>
            <w:tcW w:type="dxa" w:w="1440"/>
            <w:shd w:fill="C6EFCE" w:val="clear"/>
          </w:tcPr>
          <w:p>
            <w:r>
              <w:rPr>
                <w:b/>
                <w:color w:val="008000"/>
                <w:sz w:val="17"/>
              </w:rPr>
              <w:t>+6.8%</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8,011</w:t>
            </w:r>
          </w:p>
        </w:tc>
        <w:tc>
          <w:tcPr>
            <w:tcW w:type="dxa" w:w="1440"/>
            <w:shd w:fill="C6EFCE" w:val="clear"/>
          </w:tcPr>
          <w:p>
            <w:r>
              <w:rPr>
                <w:b/>
                <w:sz w:val="17"/>
              </w:rPr>
              <w:t>9,019</w:t>
            </w:r>
          </w:p>
        </w:tc>
        <w:tc>
          <w:tcPr>
            <w:tcW w:type="dxa" w:w="1440"/>
            <w:shd w:fill="C6EFCE" w:val="clear"/>
          </w:tcPr>
          <w:p>
            <w:r>
              <w:rPr>
                <w:sz w:val="17"/>
              </w:rPr>
              <w:t>10,027</w:t>
            </w:r>
          </w:p>
        </w:tc>
        <w:tc>
          <w:tcPr>
            <w:tcW w:type="dxa" w:w="1440"/>
            <w:shd w:fill="C6EFCE" w:val="clear"/>
          </w:tcPr>
          <w:p>
            <w:r>
              <w:rPr>
                <w:b/>
                <w:color w:val="008000"/>
                <w:sz w:val="17"/>
              </w:rPr>
              <w:t>+7.6%</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7,949</w:t>
            </w:r>
          </w:p>
        </w:tc>
        <w:tc>
          <w:tcPr>
            <w:tcW w:type="dxa" w:w="1440"/>
            <w:shd w:fill="C6EFCE" w:val="clear"/>
          </w:tcPr>
          <w:p>
            <w:r>
              <w:rPr>
                <w:b/>
                <w:sz w:val="17"/>
              </w:rPr>
              <w:t>9,083</w:t>
            </w:r>
          </w:p>
        </w:tc>
        <w:tc>
          <w:tcPr>
            <w:tcW w:type="dxa" w:w="1440"/>
            <w:shd w:fill="C6EFCE" w:val="clear"/>
          </w:tcPr>
          <w:p>
            <w:r>
              <w:rPr>
                <w:sz w:val="17"/>
              </w:rPr>
              <w:t>10,218</w:t>
            </w:r>
          </w:p>
        </w:tc>
        <w:tc>
          <w:tcPr>
            <w:tcW w:type="dxa" w:w="1440"/>
            <w:shd w:fill="C6EFCE" w:val="clear"/>
          </w:tcPr>
          <w:p>
            <w:r>
              <w:rPr>
                <w:b/>
                <w:color w:val="008000"/>
                <w:sz w:val="17"/>
              </w:rPr>
              <w:t>+8.4%</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7,889</w:t>
            </w:r>
          </w:p>
        </w:tc>
        <w:tc>
          <w:tcPr>
            <w:tcW w:type="dxa" w:w="1440"/>
            <w:shd w:fill="C6EFCE" w:val="clear"/>
          </w:tcPr>
          <w:p>
            <w:r>
              <w:rPr>
                <w:b/>
                <w:sz w:val="17"/>
              </w:rPr>
              <w:t>9,140</w:t>
            </w:r>
          </w:p>
        </w:tc>
        <w:tc>
          <w:tcPr>
            <w:tcW w:type="dxa" w:w="1440"/>
            <w:shd w:fill="C6EFCE" w:val="clear"/>
          </w:tcPr>
          <w:p>
            <w:r>
              <w:rPr>
                <w:sz w:val="17"/>
              </w:rPr>
              <w:t>10,391</w:t>
            </w:r>
          </w:p>
        </w:tc>
        <w:tc>
          <w:tcPr>
            <w:tcW w:type="dxa" w:w="1440"/>
            <w:shd w:fill="C6EFCE" w:val="clear"/>
          </w:tcPr>
          <w:p>
            <w:r>
              <w:rPr>
                <w:b/>
                <w:color w:val="008000"/>
                <w:sz w:val="17"/>
              </w:rPr>
              <w:t>+9.1%</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7,832</w:t>
            </w:r>
          </w:p>
        </w:tc>
        <w:tc>
          <w:tcPr>
            <w:tcW w:type="dxa" w:w="1440"/>
            <w:shd w:fill="C6EFCE" w:val="clear"/>
          </w:tcPr>
          <w:p>
            <w:r>
              <w:rPr>
                <w:b/>
                <w:sz w:val="17"/>
              </w:rPr>
              <w:t>9,190</w:t>
            </w:r>
          </w:p>
        </w:tc>
        <w:tc>
          <w:tcPr>
            <w:tcW w:type="dxa" w:w="1440"/>
            <w:shd w:fill="C6EFCE" w:val="clear"/>
          </w:tcPr>
          <w:p>
            <w:r>
              <w:rPr>
                <w:sz w:val="17"/>
              </w:rPr>
              <w:t>10,549</w:t>
            </w:r>
          </w:p>
        </w:tc>
        <w:tc>
          <w:tcPr>
            <w:tcW w:type="dxa" w:w="1440"/>
            <w:shd w:fill="C6EFCE" w:val="clear"/>
          </w:tcPr>
          <w:p>
            <w:r>
              <w:rPr>
                <w:b/>
                <w:color w:val="008000"/>
                <w:sz w:val="17"/>
              </w:rPr>
              <w:t>+9.7%</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7,774</w:t>
            </w:r>
          </w:p>
        </w:tc>
        <w:tc>
          <w:tcPr>
            <w:tcW w:type="dxa" w:w="1440"/>
            <w:shd w:fill="C6EFCE" w:val="clear"/>
          </w:tcPr>
          <w:p>
            <w:r>
              <w:rPr>
                <w:b/>
                <w:sz w:val="17"/>
              </w:rPr>
              <w:t>9,234</w:t>
            </w:r>
          </w:p>
        </w:tc>
        <w:tc>
          <w:tcPr>
            <w:tcW w:type="dxa" w:w="1440"/>
            <w:shd w:fill="C6EFCE" w:val="clear"/>
          </w:tcPr>
          <w:p>
            <w:r>
              <w:rPr>
                <w:sz w:val="17"/>
              </w:rPr>
              <w:t>10,693</w:t>
            </w:r>
          </w:p>
        </w:tc>
        <w:tc>
          <w:tcPr>
            <w:tcW w:type="dxa" w:w="1440"/>
            <w:shd w:fill="C6EFCE" w:val="clear"/>
          </w:tcPr>
          <w:p>
            <w:r>
              <w:rPr>
                <w:b/>
                <w:color w:val="008000"/>
                <w:sz w:val="17"/>
              </w:rPr>
              <w:t>+10.2%</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7,717</w:t>
            </w:r>
          </w:p>
        </w:tc>
        <w:tc>
          <w:tcPr>
            <w:tcW w:type="dxa" w:w="1440"/>
            <w:shd w:fill="C6EFCE" w:val="clear"/>
          </w:tcPr>
          <w:p>
            <w:r>
              <w:rPr>
                <w:b/>
                <w:sz w:val="17"/>
              </w:rPr>
              <w:t>9,271</w:t>
            </w:r>
          </w:p>
        </w:tc>
        <w:tc>
          <w:tcPr>
            <w:tcW w:type="dxa" w:w="1440"/>
            <w:shd w:fill="C6EFCE" w:val="clear"/>
          </w:tcPr>
          <w:p>
            <w:r>
              <w:rPr>
                <w:sz w:val="17"/>
              </w:rPr>
              <w:t>10,825</w:t>
            </w:r>
          </w:p>
        </w:tc>
        <w:tc>
          <w:tcPr>
            <w:tcW w:type="dxa" w:w="1440"/>
            <w:shd w:fill="C6EFCE" w:val="clear"/>
          </w:tcPr>
          <w:p>
            <w:r>
              <w:rPr>
                <w:b/>
                <w:color w:val="008000"/>
                <w:sz w:val="17"/>
              </w:rPr>
              <w:t>+10.6%</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7,660</w:t>
            </w:r>
          </w:p>
        </w:tc>
        <w:tc>
          <w:tcPr>
            <w:tcW w:type="dxa" w:w="1440"/>
            <w:shd w:fill="C6EFCE" w:val="clear"/>
          </w:tcPr>
          <w:p>
            <w:r>
              <w:rPr>
                <w:b/>
                <w:sz w:val="17"/>
              </w:rPr>
              <w:t>9,304</w:t>
            </w:r>
          </w:p>
        </w:tc>
        <w:tc>
          <w:tcPr>
            <w:tcW w:type="dxa" w:w="1440"/>
            <w:shd w:fill="C6EFCE" w:val="clear"/>
          </w:tcPr>
          <w:p>
            <w:r>
              <w:rPr>
                <w:sz w:val="17"/>
              </w:rPr>
              <w:t>10,948</w:t>
            </w:r>
          </w:p>
        </w:tc>
        <w:tc>
          <w:tcPr>
            <w:tcW w:type="dxa" w:w="1440"/>
            <w:shd w:fill="C6EFCE" w:val="clear"/>
          </w:tcPr>
          <w:p>
            <w:r>
              <w:rPr>
                <w:b/>
                <w:color w:val="008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484,03 milliards FCFA, la BICB s'impose comme l'une des capitalisations les plus significatives de la cote BRVM, reflétant son statut de banque systémique au Bénin. Le Bénéfice Par Action (BPA) de 627 FCFA indique que chaque titre génère près de 627 FCFA de profit net, un niveau de rentabilité par action particulièrement élevé pour le secteur. Le PER de 13,4x situe le titre légèrement au-dessus de la moyenne du marché BRVM (8-12x), traduisant une prime de qualité justifiée par la régularité des résultats, mais qui n'est pas excessive au regard de la croissance affichée. Le ratio P/B de 3,58x montre que le marché valorise la banque à plus de trois fois ses fonds propres comptables (135,1 Mds FCFA), une prime de croissance significative qui exige une rentabilité durable pour être maintenue. Enfin, l'EV/EBITDA de 23,9x apparaît très exigeant (seuil d'alerte &gt;15x), signalant que la valeur d'entreprise intègre déjà une forte anticipation de croissance future — un niveau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+60,38%, passant d'un plus bas de 5 190 FCFA à un plus haut de 10 790 FCFA, avant de se replier légèrement à 8 380 FCFA (variation J-1 : -0,71%). Ce range de trading de plus de 5 600 FCFA témoigne d'une dynamique haussière puissante, bien que le cours actuel se situe désormais à environ 22% sous son sommet, suggérant une phase de consolidation après un rallye exceptionnel. Les statistiques descriptives révèlent une moyenne de 7 512 FCFA légèrement inférieure à la médiane de 7 608 FCFA, indiquant une asymétrie positive modérée (skewness de 0,263, distribution quasi-symétrique), ce qui signifie que les pics de hausse ont été plus fréquents que les pics de baisse. L'écart-type de 1 654 FCFA (CV de 22%) traduit une dispersion modérée autour de la moyenne, tandis que le kurtosis négatif (-1,079, distribution platykurtique) indique une faible concentration des rendements et un risque de mouvements extrêmes plus limité qu'une distribution normale. La volatilité annualisée de 42,5% classe le titre dans la catégorie des valeurs à volatilité élevée (&gt;30%), ce qui est cohérent avec le secteur bancaire de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(8 380 FCFA) évolue nettement en dessous de la MM20 (8 908,5 FCFA) et de la MM50 (8 930,9 FCFA), confirmant une pression baissière de court et moyen terme. La décision technique est à la **Vente**, le titre ayant cassé ses supports mobiles après le sommet de 10 790 FCFA.</w:t>
      </w:r>
    </w:p>
    <w:p>
      <w:pPr>
        <w:spacing w:after="120" w:line="276" w:lineRule="auto"/>
      </w:pPr>
      <w:r>
        <w:t>**Bandes de Bollinger** : Le cours (8 380 FCFA) se situe dans la partie inférieure de la bande, entre la borne inférieure (7 422,7 FCFA) et la borne supérieure (10 394,3 FCFA), sans franchissement des extrêmes. La décision est **Neutre**, le titre n'étant ni en surachat ni en survente, mais la largeur des bandes confirme une volatilité persistante.</w:t>
      </w:r>
    </w:p>
    <w:p>
      <w:pPr>
        <w:spacing w:after="120" w:line="276" w:lineRule="auto"/>
      </w:pPr>
      <w:r>
        <w:t>**MACD** : La valeur du MACD (-213,256) est inférieure à son signal (-136,485), avec un histogramme négatif, traduisant un momentum baissier toujours actif. La décision est à la **Vente**, bien que l'écart entre les deux lignes tende à se réduire, suggérant un possible essoufflement de la baisse.</w:t>
      </w:r>
    </w:p>
    <w:p>
      <w:pPr>
        <w:spacing w:after="120" w:line="276" w:lineRule="auto"/>
      </w:pPr>
      <w:r>
        <w:t>**RSI** : À 46,053, le RSI se situe en zone neutre (30-70), sans signal de surachat ni de survente. La décision est **Neutre**, le titre évoluant dans une phase d'indécision qui pourrait précéder un retournement ou une poursuite de la consolidation.</w:t>
      </w:r>
    </w:p>
    <w:p>
      <w:pPr>
        <w:spacing w:after="120" w:line="276" w:lineRule="auto"/>
      </w:pPr>
      <w:r>
        <w:t>**Stochastique** : Le %K (46,465) et le %D (46,28) sont proches l'un de l'autre, sans croisement significatif, et se situent en zone médiane. La décision est **Neutre**, confirmant l'absence de signal directionnel fort à court terme.</w:t>
      </w:r>
    </w:p>
    <w:p>
      <w:pPr>
        <w:spacing w:after="120" w:line="276" w:lineRule="auto"/>
      </w:pPr>
      <w:r>
        <w:t>**Conclusion technique** : Les indicateurs techniques présentent un tableau mitigé, avec une majorité de signaux neutres (Bollinger, RSI, Stochastique) et deux signaux baissiers (MM et MACD). Le titre se trouve dans une phase de consolidation après un rallye exceptionnel, avec un momentum baissier qui s'essouffle mais sans confirmation d'un retournement haussier. La prudence est de mise tant que le cours ne repasse pas au-dessus de la MM20 (8 908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sur un an, porté par la dynamique des crédits (+37,3% à 1 151,5 Mds FCFA) et des dépôts (+29,4% à 1 181,0 Mds FCFA). Le résultat net s'établit à 36,237 milliards FCFA, en hausse de +24,7%, générant un ROE exceptionnel de 26,82% (largement supérieur au seuil de 15% considéré comme excellent) et un ROA de 1,96%. Le coefficient d'exploitation de 31,12% classe la banque parmi les plus efficaces du secteur (seuil &lt;60% = efficace, &lt;50% = excellente), tandis que le coût du risque de 9,61% reste un point de vigilance malgré son amélioration. La structure financière affiche une autonomie financière de 7,33% (faible, typique des banques) et un ratio crédits nets/dépôts de 97,5%, signalant une transformation tendue qui limite la marge de manœuvre en liquidité.</w:t>
      </w:r>
    </w:p>
    <w:p>
      <w:pPr>
        <w:spacing w:after="120" w:line="276" w:lineRule="auto"/>
      </w:pPr>
      <w:r>
        <w:t>**Estimations basées sur les rapports trimestriels** : Le rapport du T1 2026 (publié en 2026) révèle un PNB de 14,6 Mds FCFA (+35%) et un résultat net de 8,0 Mds FCFA (+48%), confirmant une accélération de la dynamique. Le rapport du S1 2026 (publié en 2026) fait état d'un PNB de 31,9 Mds FCFA (+19%) et d'un résultat net de 18,4 Mds FCFA (+11%), avec un coût du risque redevenu une charge de 3,6 Mds FCFA contre un produit net de 2,4 Mds FCFA au S1 2025 (effet de base défavorable lié aux reprises exceptionnelles de 2025). Sur cette base, on estime que l'exercice 2026 devrait afficher un PNB annualisé d'environ 63-65 Mds FCFA et un résultat net de l'ordre de 36-38 Mds FCFA, soit une légère progression par rapport à 2025 malgré la normalisation du coût du risque.</w:t>
      </w:r>
    </w:p>
    <w:p>
      <w:pPr>
        <w:spacing w:after="120" w:line="276" w:lineRule="auto"/>
      </w:pPr>
      <w:r>
        <w:t>**Recommandation fondamentale** : La BICB présente des fondamentaux solides (ROE &gt;26%, coefficient d'exploitation &lt;32%, croissance à deux chiffres), mais les risques de crédit (coût du risque en normalisation) et de liquidité (ratio crédits/dépôts à 97,5%) nécessitent une surveillance attentive. La recommandation fondamentale est **CONSERVER**, avec un biais positif pour les investisseurs déjà positionnés.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la valorisation (Partie 0)**, le PER de 13,4x et le P/B de 3,58x indiquent une légère surévaluation par rapport au marché BRVM, mais l'EV/EBITDA de 23,9x apparaît très exigeant et laisse peu de marge d'erreur. **Sur le comportement du cours (Partie 1)**, la tendance haussière de +60,38% sur 100 jours est impressionnante, mais la volatilité élevée (42,5%) et la phase de consolidation actuelle (cours sous les MM) appellent à la prudence. **Sur les signaux techniques (Partie 2)**, la divergence entre les indicateurs (MM et MACD baissiers, RSI et Stochastique neutres) ne permet pas de dégager une tendance claire, le titre évoluant dans une zone d'indécision. **Sur les fondamentaux (Partie 3)**, la solidité financière (ROE 26,8%, coefficient d'exploitation 31,1%) et la croissance du PNB (+19% au S1 2026) sont des atouts majeurs, mais la normalisation du coût du risque et la tension sur la liquidité constituent des défis. **Les prédictions IA (J+1 à J+10)** anticipent une trajectoire haussière modérée (de 8 825 FCFA à 9 083 FCFA, soit +8,4% sur 10 jours), ce qui contredit légèrement les signaux techniques baissiers à court terme mais s'aligne sur les fondamentaux solides.</w:t>
      </w:r>
    </w:p>
    <w:p>
      <w:pPr>
        <w:spacing w:after="120" w:line="276" w:lineRule="auto"/>
      </w:pPr>
      <w:r>
        <w:t>**Recommandation finale** : **CONSERVER** avec un biais positif. La convergence entre la valorisation raisonnable (PER 13,4x), les fondamentaux solides (ROE &gt;26%) et les prédictions haussières à court terme justifie une position de conservation, mais l'absence de signal technique clair et la volatilité élevée incitent à la prudence. **Niveau de confiance : Moyen** (les signaux sont divergents entre technique et fondamental). **Niveau de risque : Moyen à Élevé** (volatilité de 42,5%, tension sur la liquidité, normalisation du coût du risque). **Horizon d'investissement optimal : Moyen terme (3-12 mois)**, le temps que la banque confirme la maîtrise de son coût du risque et que les indicateurs techniques se stabilisent. Un renforcement de la position serait justifié si le cours repasse au-dessus de la MM20 (8 908 FCFA) avec un MACD positif, ou si le prochain rapport trimestriel confirme la poursuite de la croissance du PNB sans dégradation supplémentaire du coût du risque.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524.67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722 titres</w:t>
            </w:r>
          </w:p>
        </w:tc>
        <w:tc>
          <w:tcPr>
            <w:tcW w:type="dxa" w:w="2268"/>
            <w:shd w:fill="FFF2CC" w:val="clear"/>
          </w:tcPr>
          <w:p>
            <w:r>
              <w:rPr>
                <w:b/>
                <w:color w:val="503200"/>
                <w:sz w:val="16"/>
              </w:rPr>
              <w:t xml:space="preserve">Cours actuel : </w:t>
            </w:r>
            <w:r>
              <w:rPr>
                <w:color w:val="000000"/>
                <w:sz w:val="17"/>
              </w:rPr>
              <w:t>31,480 FCFA</w:t>
            </w:r>
          </w:p>
          <w:p>
            <w:r>
              <w:rPr>
                <w:b/>
                <w:color w:val="503200"/>
                <w:sz w:val="16"/>
              </w:rPr>
              <w:t xml:space="preserve">Var. 100 jours : </w:t>
            </w:r>
            <w:r>
              <w:rPr>
                <w:b/>
                <w:color w:val="007800"/>
                <w:sz w:val="17"/>
              </w:rPr>
              <w:t>+16.59%</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27,000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μ=29,679 FCFA, σ=1,806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β=1.0264 (Neutre (suit le marché)) — Cov=0.000076, Var(idx)=0.000075, ρ=0.374,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722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29,544</w:t>
            </w:r>
          </w:p>
        </w:tc>
        <w:tc>
          <w:tcPr>
            <w:tcW w:type="dxa" w:w="1440"/>
            <w:shd w:fill="FAFAFA" w:val="clear"/>
          </w:tcPr>
          <w:p>
            <w:r>
              <w:rPr>
                <w:b/>
                <w:sz w:val="17"/>
              </w:rPr>
              <w:t>31,423</w:t>
            </w:r>
          </w:p>
        </w:tc>
        <w:tc>
          <w:tcPr>
            <w:tcW w:type="dxa" w:w="1440"/>
            <w:shd w:fill="FAFAFA" w:val="clear"/>
          </w:tcPr>
          <w:p>
            <w:r>
              <w:rPr>
                <w:sz w:val="17"/>
              </w:rPr>
              <w:t>33,302</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28,719</w:t>
            </w:r>
          </w:p>
        </w:tc>
        <w:tc>
          <w:tcPr>
            <w:tcW w:type="dxa" w:w="1440"/>
            <w:shd w:fill="FAFAFA" w:val="clear"/>
          </w:tcPr>
          <w:p>
            <w:r>
              <w:rPr>
                <w:b/>
                <w:sz w:val="17"/>
              </w:rPr>
              <w:t>31,372</w:t>
            </w:r>
          </w:p>
        </w:tc>
        <w:tc>
          <w:tcPr>
            <w:tcW w:type="dxa" w:w="1440"/>
            <w:shd w:fill="FAFAFA" w:val="clear"/>
          </w:tcPr>
          <w:p>
            <w:r>
              <w:rPr>
                <w:sz w:val="17"/>
              </w:rPr>
              <w:t>34,025</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28,080</w:t>
            </w:r>
          </w:p>
        </w:tc>
        <w:tc>
          <w:tcPr>
            <w:tcW w:type="dxa" w:w="1440"/>
            <w:shd w:fill="FAFAFA" w:val="clear"/>
          </w:tcPr>
          <w:p>
            <w:r>
              <w:rPr>
                <w:b/>
                <w:sz w:val="17"/>
              </w:rPr>
              <w:t>31,325</w:t>
            </w:r>
          </w:p>
        </w:tc>
        <w:tc>
          <w:tcPr>
            <w:tcW w:type="dxa" w:w="1440"/>
            <w:shd w:fill="FAFAFA" w:val="clear"/>
          </w:tcPr>
          <w:p>
            <w:r>
              <w:rPr>
                <w:sz w:val="17"/>
              </w:rPr>
              <w:t>34,569</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27,532</w:t>
            </w:r>
          </w:p>
        </w:tc>
        <w:tc>
          <w:tcPr>
            <w:tcW w:type="dxa" w:w="1440"/>
            <w:shd w:fill="FAFAFA" w:val="clear"/>
          </w:tcPr>
          <w:p>
            <w:r>
              <w:rPr>
                <w:b/>
                <w:sz w:val="17"/>
              </w:rPr>
              <w:t>31,272</w:t>
            </w:r>
          </w:p>
        </w:tc>
        <w:tc>
          <w:tcPr>
            <w:tcW w:type="dxa" w:w="1440"/>
            <w:shd w:fill="FAFAFA" w:val="clear"/>
          </w:tcPr>
          <w:p>
            <w:r>
              <w:rPr>
                <w:sz w:val="17"/>
              </w:rPr>
              <w:t>35,012</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27,043</w:t>
            </w:r>
          </w:p>
        </w:tc>
        <w:tc>
          <w:tcPr>
            <w:tcW w:type="dxa" w:w="1440"/>
            <w:shd w:fill="FAFAFA" w:val="clear"/>
          </w:tcPr>
          <w:p>
            <w:r>
              <w:rPr>
                <w:b/>
                <w:sz w:val="17"/>
              </w:rPr>
              <w:t>31,218</w:t>
            </w:r>
          </w:p>
        </w:tc>
        <w:tc>
          <w:tcPr>
            <w:tcW w:type="dxa" w:w="1440"/>
            <w:shd w:fill="FAFAFA" w:val="clear"/>
          </w:tcPr>
          <w:p>
            <w:r>
              <w:rPr>
                <w:sz w:val="17"/>
              </w:rPr>
              <w:t>35,392</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26,600</w:t>
            </w:r>
          </w:p>
        </w:tc>
        <w:tc>
          <w:tcPr>
            <w:tcW w:type="dxa" w:w="1440"/>
            <w:shd w:fill="FAFAFA" w:val="clear"/>
          </w:tcPr>
          <w:p>
            <w:r>
              <w:rPr>
                <w:b/>
                <w:sz w:val="17"/>
              </w:rPr>
              <w:t>31,165</w:t>
            </w:r>
          </w:p>
        </w:tc>
        <w:tc>
          <w:tcPr>
            <w:tcW w:type="dxa" w:w="1440"/>
            <w:shd w:fill="FAFAFA" w:val="clear"/>
          </w:tcPr>
          <w:p>
            <w:r>
              <w:rPr>
                <w:sz w:val="17"/>
              </w:rPr>
              <w:t>35,729</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26,191</w:t>
            </w:r>
          </w:p>
        </w:tc>
        <w:tc>
          <w:tcPr>
            <w:tcW w:type="dxa" w:w="1440"/>
            <w:shd w:fill="FAFAFA" w:val="clear"/>
          </w:tcPr>
          <w:p>
            <w:r>
              <w:rPr>
                <w:b/>
                <w:sz w:val="17"/>
              </w:rPr>
              <w:t>31,113</w:t>
            </w:r>
          </w:p>
        </w:tc>
        <w:tc>
          <w:tcPr>
            <w:tcW w:type="dxa" w:w="1440"/>
            <w:shd w:fill="FAFAFA" w:val="clear"/>
          </w:tcPr>
          <w:p>
            <w:r>
              <w:rPr>
                <w:sz w:val="17"/>
              </w:rPr>
              <w:t>36,036</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25,810</w:t>
            </w:r>
          </w:p>
        </w:tc>
        <w:tc>
          <w:tcPr>
            <w:tcW w:type="dxa" w:w="1440"/>
            <w:shd w:fill="FAFAFA" w:val="clear"/>
          </w:tcPr>
          <w:p>
            <w:r>
              <w:rPr>
                <w:b/>
                <w:sz w:val="17"/>
              </w:rPr>
              <w:t>31,064</w:t>
            </w:r>
          </w:p>
        </w:tc>
        <w:tc>
          <w:tcPr>
            <w:tcW w:type="dxa" w:w="1440"/>
            <w:shd w:fill="FAFAFA" w:val="clear"/>
          </w:tcPr>
          <w:p>
            <w:r>
              <w:rPr>
                <w:sz w:val="17"/>
              </w:rPr>
              <w:t>36,318</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25,452</w:t>
            </w:r>
          </w:p>
        </w:tc>
        <w:tc>
          <w:tcPr>
            <w:tcW w:type="dxa" w:w="1440"/>
            <w:shd w:fill="FAFAFA" w:val="clear"/>
          </w:tcPr>
          <w:p>
            <w:r>
              <w:rPr>
                <w:b/>
                <w:sz w:val="17"/>
              </w:rPr>
              <w:t>31,016</w:t>
            </w:r>
          </w:p>
        </w:tc>
        <w:tc>
          <w:tcPr>
            <w:tcW w:type="dxa" w:w="1440"/>
            <w:shd w:fill="FAFAFA" w:val="clear"/>
          </w:tcPr>
          <w:p>
            <w:r>
              <w:rPr>
                <w:sz w:val="17"/>
              </w:rPr>
              <w:t>36,579</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25,113</w:t>
            </w:r>
          </w:p>
        </w:tc>
        <w:tc>
          <w:tcPr>
            <w:tcW w:type="dxa" w:w="1440"/>
            <w:shd w:fill="FAFAFA" w:val="clear"/>
          </w:tcPr>
          <w:p>
            <w:r>
              <w:rPr>
                <w:b/>
                <w:sz w:val="17"/>
              </w:rPr>
              <w:t>30,969</w:t>
            </w:r>
          </w:p>
        </w:tc>
        <w:tc>
          <w:tcPr>
            <w:tcW w:type="dxa" w:w="1440"/>
            <w:shd w:fill="FAFAFA" w:val="clear"/>
          </w:tcPr>
          <w:p>
            <w:r>
              <w:rPr>
                <w:sz w:val="17"/>
              </w:rPr>
              <w:t>36,825</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524,67 Mds FCFA, BICC s'impose comme l'une des valeurs bancaires les plus capitalisées de la BRVM, reflétant sa stature de banque systémique en Côte d'Ivoire. Le BPA de 2 191 FCFA/action signifie que chaque titre génère près de 2 200 FCFA de bénéfice net, un niveau élevé qui traduit la forte rentabilité de l'établissement. Le PER de 14,4x situe le titre légèrement au-dessus de la moyenne BRVM (~8-12x), suggérant que les investisseurs paient une prime modérée pour la qualité et la régularité des bénéfices, sans toutefois basculer dans une surévaluation excessive. En revanche, le P/B de 4,35x indique que le marché valorise la banque à plus de quatre fois sa valeur comptable, une prime exigeante qui reflète la confiance dans la capacité bénéficiaire future mais laisse peu de marge d'erreur. Enfin, l'EV/EBITDA de 10,4x, bien que dans la fourchette haute (10-15x), reste cohérent avec la capacité opérationnelle dégagée, confirmant une valorisation raisonnablement tendue mais justifiée par les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affiche une progression totale de +16,59%, avec une dernière séance quasi stable (+0,10%), portant le cours actuel à 31 480 FCFA. Le range de trading s'établit entre un plus bas de 27 000 FCFA et un plus haut de 34 895 FCFA, soit une amplitude de près de 29%, témoignant d'une dynamique haussière soutenue mais entrecoupée de corrections. La tendance générale est clairement haussière, le cours actuel se maintenant au-dessus de la moyenne (29 679 FCFA) et de la médiane (29 000 FCFA), bien que l'écart entre ces deux mesures soit modeste. Le skewness de 1,011 révèle une asymétrie positive : davantage de journées ont été passées sous la moyenne, mais les hausses ont été plus amples, ce qui est typique d'un titre en phase d'appréciation avec des pics ponctuels. Le kurtosis de 0,014 (mésokurtique) indique une distribution proche de la normale, sans risque excessif de pics extrêmes. L'écart-type de 1 815 FCFA (CV de 6,1%) traduit une dispersion modérée du cours, tandis que la volatilité annualisée de 37,8% classe le titre dans la catégorie des valeurs à volatilité élevée (&gt;30%), ce qui est courant pour les petites et moyennes capitalisations de la BRVM mais nécessite une tolérance au risque appropriée.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(31 838,75 FCFA) et la MM50 (30 949,70 FCFA) se situent toutes deux au-dessus du cours actuel (31 480 FCFA), mais la MM20 reste supérieure à la MM50, confirmant une configuration haussière de fond. Le cours évoluant légèrement sous la MM20, la décision technique est à l'**Achat**, suggérant que la tendance de moyen terme reste favorable malgré une consolidation récente.</w:t>
      </w:r>
    </w:p>
    <w:p>
      <w:pPr>
        <w:spacing w:after="120" w:line="276" w:lineRule="auto"/>
      </w:pPr>
      <w:r>
        <w:t>**Bandes de Bollinger** : Le cours (31 480 FCFA) se situe dans la partie médiane de la bande, entre la borne inférieure (29 617 FCFA) et supérieure (34 060 FCFA), sans contact avec les extrêmes. Cette position centrale traduit une absence de signal directionnel fort, justifiant la décision **Neutre** ; la volatilité reste contenue dans les bandes, sans surchauffe ni survente.</w:t>
      </w:r>
    </w:p>
    <w:p>
      <w:pPr>
        <w:spacing w:after="120" w:line="276" w:lineRule="auto"/>
      </w:pPr>
      <w:r>
        <w:t>**MACD** : La valeur du MACD (155,55) est nettement inférieure à son signal (323,35), générant un croisement baissier et une décision de **Vente**. Ce divergence indique un essoufflement du momentum haussier à court terme, bien que le MACD reste en territoire positif, ce qui limite la portée baissière du signal.</w:t>
      </w:r>
    </w:p>
    <w:p>
      <w:pPr>
        <w:spacing w:after="120" w:line="276" w:lineRule="auto"/>
      </w:pPr>
      <w:r>
        <w:t>**RSI** : À 55,94, le RSI se situe dans la zone neutre (30-70), sans approcher les seuils de surachat (70) ou de survente (30). La décision **Neutre** reflète un équilibre entre acheteurs et vendeurs, sans pression directionnelle marquée.</w:t>
      </w:r>
    </w:p>
    <w:p>
      <w:pPr>
        <w:spacing w:after="120" w:line="276" w:lineRule="auto"/>
      </w:pPr>
      <w:r>
        <w:t>**Stochastique** : Le %K (22,30) et le %D (29,50) sont tous deux en zone basse, proches du seuil de survente (20), avec un %K inférieur au %D. Cette configuration suggère une possible reprise à court terme si un croisement haussier se matérialise, mais la décision reste **Neutre** en l'absence de signal confirmé.</w:t>
      </w:r>
    </w:p>
    <w:p>
      <w:pPr>
        <w:spacing w:after="120" w:line="276" w:lineRule="auto"/>
      </w:pPr>
      <w:r>
        <w:t>**Conclusion technique** : Les indicateurs sont globalement mitigés. Les moyennes mobiles plaident pour un achat de fond, mais le MACD baissier et le RSI neutre tempèrent l'optimisme. Le stochastique en zone basse pourrait annoncer un rebond, mais la prudence reste de mise tant que le cours ne repasse pas au-dessus de la MM20 (31 838 FCFA). La configuration actuelle suggère une phase de consolidation avant une éventuelle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BICC affiche un Produit Net Bancaire (PNB) de 79 563 Mds FCFA, en croissance de 16,90% par rapport à 2024, confirmant une dynamique commerciale robuste. Le résultat net s'établit à 36 520 Mds FCFA, avec une marge nette exceptionnelle de 45,90% (résultat net/PNB), parmi les meilleures du secteur bancaire de l'UEMOA. Le ROE atteint 30,29%, largement supérieur au seuil d'excellence de 15%, tandis que le ROA de 3,24% traduit une utilisation efficace des actifs. Le coefficient d'exploitation de 50,83% (charges/PNB) classe la banque parmi les établissements les plus efficaces (&lt;60% = efficace, &lt;50% = excellent), bien qu'il se situe légèrement au-dessus du seuil d'excellence. Le coût du risque, à -12,15% (provisions/charges financières), reste un point de vigilance modéré, mais la couverture des intérêts (329,33%) et la capacité de remboursement (0,40 an) témoignent d'une structure financière solide. Le ratio dépôts/crédits (952,87 Mds FCFA de dépôts pour 524,44 Mds FCFA de créances) indique une surliquidité, avec un excédent de ressources stable qui pourrait être mieux valorisé.</w:t>
      </w:r>
    </w:p>
    <w:p>
      <w:pPr>
        <w:spacing w:after="120" w:line="276" w:lineRule="auto"/>
      </w:pPr>
      <w:r>
        <w:t>**Estimations basées sur les rapports trimestriels** : Le rapport du S1 2026 (publié en 2026) confirme l'accélération de la dynamique : PNB de 42 637 MXOF (+14,8% sur un an), résultat net de 19 948 MXOF (+22,7%), et marge nette de 46,8% (contre 43,8% au S1 2025). Le rapport T1 2026 (publié en 2026) affiche un PNB de 21 214 MXOF (+17,0%) et un résultat net de 10 387 MXOF (+29,7%), avec une marge nette de 49,0%. Sur la base de ces tendances, on estime que l'exercice 2026 devrait enregistrer un PNB supérieur à 90 000 MXOF et un résultat net dépassant 42 000 MXOF, soit une croissance annuelle de 15-20% du bénéfice net. Cependant, le coût du risque a bondi de 1 343,1% au S1 2026 (passant de -123 MXOF à -1 778 MXOF), un signal d'alerte sur la qualité du portefeuille de crédits qui pourrait peser sur la rentabilité future si la tendance se poursuit. Les rapports antérieurs (T3 2025, S1 2025, T1 2025, exercice 2024) confirment une trajectoire de croissance exceptionnelle depuis 2024, avec un résultat net passant de 26 226 MXOF en 2024 à 36 520 MXOF en 2025 (+39,2%), et une marge nette en amélioration continue (38,5% en 2024, 45,9% en 2025, 49,0% au T1 2026). La recommandation fondamentale est **ACHAT**, portée par une rentabilité exceptionnelle, une croissance soutenue et une structure financière solide, mais tempérée par la dégradation du coût du risque et l'absence d'information sur la politique de dividende pour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BICC (Partie 0) présente un profil mitigé : le PER de 14,4x et l'EV/EBITDA de 10,4x indiquent une valorisation raisonnable mais tendue, tandis que le P/B de 4,35x traduit une prime exigeante qui laisse peu de marge d'erreur. Le comportement du cours (Partie 1) est favorable, avec une tendance haussière de +16,59% sur 100 jours, une volatilité élevée (37,8%) mais une distribution proche de la normale (kurtosis 0,014) et une asymétrie positive (skewness 1,011) qui suggère des gains potentiels supérieurs aux pertes. Les signaux techniques (Partie 2) sont divergents : les moyennes mobiles plaident pour un achat, mais le MACD baissier et le RSI neutre incitent à la prudence, tandis que le stochastique en zone basse pourrait annoncer un rebond à court terme. Les fondamentaux (Partie 3) sont exceptionnels : ROE de 30,29%, marge nette de 45,90%, coefficient d'exploitation de 50,83%, et une croissance estimée de 15-20% du bénéfice net en 2026, bien que le coût du risque en forte hausse constitue un risque à surveiller. Les prédictions IA (J+1 à J+10) anticipent une légère baisse du cours, de 31 423 FCFA à 31 218 FCFA, ce qui contredit la dynamique haussière récente et les signaux fondamentaux, suggérant une consolidation à court terme. **Recommandation finale : CONSERVER**, avec un niveau de confiance **Moyen** et un risque global **Moyen**. La convergence entre fondamentaux solides et valorisation tendue, couplée à des signaux techniques mitigés et des prédictions baissières à court terme, justifie une position attentiste. Un passage à l'ACHAT serait justifié si le cours repasse au-dessus de la MM20 (31 838 FCFA) et si le coût du risque se stabilise au S2 2026. L'horizon d'investissement optimal est le **moyen terme (3-12 mois)**, le temps que les incertitudes sur le coût du risque et la politique de dividende se dissipent.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BICICI affiche une croissance solide de ses r\u00e9sultats et une am\u00e9lioration de son efficacit\u00e9 op\u00e9rationnelle, avec un R\u00e9sultat Net en hausse de 22,7%. La dynamique commerciale soutenue et la ma\u00eetrise des charges renforcent la confiance dans la poursuite de cette performance."}</w:t>
      </w:r>
    </w:p>
    <w:p>
      <w:pPr>
        <w:spacing w:before="40"/>
        <w:ind w:left="400"/>
      </w:pPr>
      <w:r>
        <w:rPr>
          <w:sz w:val="18"/>
        </w:rPr>
        <w:t>Au premier semestre 2026, la BICICI affiche une performance opérationnelle et financière en nette amélioration malgré un environnement international incertain et des conditions financières contraignantes. Le Produit Net Bancaire progresse de 14,8% à 42 637 MXOF, porté par la marge d'intermédiation (+18,0%) et les commissions nettes (+17,0%). Les frais de gestion reculent de 2,2% à 18 932 MXOF, ce qui permet au Résultat Brut d'Exploitation de bondir de 33,2% à 23 705 MXOF. Le Résultat Net s'établit à 19 948 MXOF, en hausse de 22,7% par rapport au premier semestre 2025. Les encours de crédits et les dépôts de la clientèle progressent respectivement de 4,1% et 6,4%, confirmant la dynamique comm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'-1 778 MXOF', 'depots_clientele': '1 007 993 MXOF', 'frais_de_gestion': '18 932 MXOF', 'produit_net_bancaire': '42 637 MXOF', 'credits_nets_clientele': '533 422 MXOF', 'resultat_brut_exploitation': '23 705 MXOF', 'resultat_courant_avant_impot': '21 810 MXOF'}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19 948 MXOF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14,8% à 42 637 MXOF au S1 2026.</w:t>
      </w:r>
    </w:p>
    <w:p>
      <w:pPr>
        <w:pStyle w:val="ListBullet"/>
        <w:spacing w:before="20" w:after="20"/>
        <w:ind w:left="700"/>
      </w:pPr>
      <w:r>
        <w:rPr>
          <w:sz w:val="18"/>
        </w:rPr>
        <w:t>Marge d'intermédiation en progression de 18,0% et commissions nettes en hausse de 17,0%.</w:t>
      </w:r>
    </w:p>
    <w:p>
      <w:pPr>
        <w:pStyle w:val="ListBullet"/>
        <w:spacing w:before="20" w:after="20"/>
        <w:ind w:left="700"/>
      </w:pPr>
      <w:r>
        <w:rPr>
          <w:sz w:val="18"/>
        </w:rPr>
        <w:t>Frais de gestion en baisse de 2,2% à 18 932 MXOF, traduisant une bonne maîtrise des charges.</w:t>
      </w:r>
    </w:p>
    <w:p>
      <w:pPr>
        <w:pStyle w:val="ListBullet"/>
        <w:spacing w:before="20" w:after="20"/>
        <w:ind w:left="700"/>
      </w:pPr>
      <w:r>
        <w:rPr>
          <w:sz w:val="18"/>
        </w:rPr>
        <w:t>Résultat Brut d'Exploitation en forte croissance de 33,2% à 23 705 MXOF.</w:t>
      </w:r>
    </w:p>
    <w:p>
      <w:pPr>
        <w:pStyle w:val="ListBullet"/>
        <w:spacing w:before="20" w:after="20"/>
        <w:ind w:left="700"/>
      </w:pPr>
      <w:r>
        <w:rPr>
          <w:sz w:val="18"/>
        </w:rPr>
        <w:t>Résultat Net bénéficiaire de 19 948 MXOF, en progression de 22,7% sur un an.</w:t>
      </w:r>
    </w:p>
    <w:p>
      <w:pPr>
        <w:pStyle w:val="ListBullet"/>
        <w:spacing w:before="20" w:after="20"/>
        <w:ind w:left="700"/>
      </w:pPr>
      <w:r>
        <w:rPr>
          <w:sz w:val="18"/>
        </w:rPr>
        <w:t>Crédits nets à la clientèle en hausse de 4,1% à 533 422 MXOF.</w:t>
      </w:r>
    </w:p>
    <w:p>
      <w:pPr>
        <w:spacing w:before="40"/>
        <w:ind w:left="400"/>
      </w:pPr>
      <w:r>
        <w:rPr>
          <w:b/>
          <w:color w:val="C05000"/>
          <w:sz w:val="18"/>
        </w:rPr>
        <w:t xml:space="preserve">⚠️ Risques : </w:t>
      </w:r>
      <w:r>
        <w:rPr>
          <w:sz w:val="18"/>
        </w:rPr>
        <w:t xml:space="preserve">["D\u00e9gradation de l'environnement \u00e9conomique international et tensions g\u00e9opolitiques persistantes.", "Hausse significative du co\u00fbt du risque (+1 343,1%) pouvant impacter la qualit\u00e9 du portefeuille de cr\u00e9dits.", "Renforcement des exigences r\u00e9glementaires et pression </w:t>
      </w:r>
    </w:p>
    <w:p>
      <w:pPr>
        <w:spacing w:before="40"/>
        <w:ind w:left="400"/>
      </w:pPr>
      <w:r>
        <w:rPr>
          <w:b/>
          <w:color w:val="0064A0"/>
          <w:sz w:val="18"/>
        </w:rPr>
        <w:t xml:space="preserve">🔮 Perspectives : </w:t>
      </w:r>
      <w:r>
        <w:rPr>
          <w:sz w:val="18"/>
        </w:rPr>
        <w:t>Au second semestre 2026, la BICICI entend poursuivre sa dynamique de croissance et consolider ses niveaux de performance et de rentabilité. La banque veillera à la maîtrise des principaux facteurs de risque, notamment le coût du risque, tout en capitalisant sur la digitalisation et l'évolution des 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2,877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007800"/>
                <w:sz w:val="17"/>
              </w:rPr>
              <w:t>+18.03%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8.91% (Moyenne) — μ=1,938 FCFA, σ=173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β=0.5660 (Défensif) — Cov=0.000042, Var(idx)=0.000075, ρ=0.148,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1,711</w:t>
            </w:r>
          </w:p>
        </w:tc>
        <w:tc>
          <w:tcPr>
            <w:tcW w:type="dxa" w:w="1440"/>
            <w:shd w:fill="FAFAFA" w:val="clear"/>
          </w:tcPr>
          <w:p>
            <w:r>
              <w:rPr>
                <w:b/>
                <w:sz w:val="17"/>
              </w:rPr>
              <w:t>1,825</w:t>
            </w:r>
          </w:p>
        </w:tc>
        <w:tc>
          <w:tcPr>
            <w:tcW w:type="dxa" w:w="1440"/>
            <w:shd w:fill="FAFAFA" w:val="clear"/>
          </w:tcPr>
          <w:p>
            <w:r>
              <w:rPr>
                <w:sz w:val="17"/>
              </w:rPr>
              <w:t>1,938</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1,657</w:t>
            </w:r>
          </w:p>
        </w:tc>
        <w:tc>
          <w:tcPr>
            <w:tcW w:type="dxa" w:w="1440"/>
            <w:shd w:fill="FAFAFA" w:val="clear"/>
          </w:tcPr>
          <w:p>
            <w:r>
              <w:rPr>
                <w:b/>
                <w:sz w:val="17"/>
              </w:rPr>
              <w:t>1,817</w:t>
            </w:r>
          </w:p>
        </w:tc>
        <w:tc>
          <w:tcPr>
            <w:tcW w:type="dxa" w:w="1440"/>
            <w:shd w:fill="FAFAFA" w:val="clear"/>
          </w:tcPr>
          <w:p>
            <w:r>
              <w:rPr>
                <w:sz w:val="17"/>
              </w:rPr>
              <w:t>1,977</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1,622</w:t>
            </w:r>
          </w:p>
        </w:tc>
        <w:tc>
          <w:tcPr>
            <w:tcW w:type="dxa" w:w="1440"/>
            <w:shd w:fill="FAFAFA" w:val="clear"/>
          </w:tcPr>
          <w:p>
            <w:r>
              <w:rPr>
                <w:b/>
                <w:sz w:val="17"/>
              </w:rPr>
              <w:t>1,818</w:t>
            </w:r>
          </w:p>
        </w:tc>
        <w:tc>
          <w:tcPr>
            <w:tcW w:type="dxa" w:w="1440"/>
            <w:shd w:fill="FAFAFA" w:val="clear"/>
          </w:tcPr>
          <w:p>
            <w:r>
              <w:rPr>
                <w:sz w:val="17"/>
              </w:rPr>
              <w:t>2,014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1,593</w:t>
            </w:r>
          </w:p>
        </w:tc>
        <w:tc>
          <w:tcPr>
            <w:tcW w:type="dxa" w:w="1440"/>
            <w:shd w:fill="FAFAFA" w:val="clear"/>
          </w:tcPr>
          <w:p>
            <w:r>
              <w:rPr>
                <w:b/>
                <w:sz w:val="17"/>
              </w:rPr>
              <w:t>1,820</w:t>
            </w:r>
          </w:p>
        </w:tc>
        <w:tc>
          <w:tcPr>
            <w:tcW w:type="dxa" w:w="1440"/>
            <w:shd w:fill="FAFAFA" w:val="clear"/>
          </w:tcPr>
          <w:p>
            <w:r>
              <w:rPr>
                <w:sz w:val="17"/>
              </w:rPr>
              <w:t>2,046</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1,568</w:t>
            </w:r>
          </w:p>
        </w:tc>
        <w:tc>
          <w:tcPr>
            <w:tcW w:type="dxa" w:w="1440"/>
            <w:shd w:fill="FAFAFA" w:val="clear"/>
          </w:tcPr>
          <w:p>
            <w:r>
              <w:rPr>
                <w:b/>
                <w:sz w:val="17"/>
              </w:rPr>
              <w:t>1,821</w:t>
            </w:r>
          </w:p>
        </w:tc>
        <w:tc>
          <w:tcPr>
            <w:tcW w:type="dxa" w:w="1440"/>
            <w:shd w:fill="FAFAFA" w:val="clear"/>
          </w:tcPr>
          <w:p>
            <w:r>
              <w:rPr>
                <w:sz w:val="17"/>
              </w:rPr>
              <w:t>2,074</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1,544</w:t>
            </w:r>
          </w:p>
        </w:tc>
        <w:tc>
          <w:tcPr>
            <w:tcW w:type="dxa" w:w="1440"/>
            <w:shd w:fill="FAFAFA" w:val="clear"/>
          </w:tcPr>
          <w:p>
            <w:r>
              <w:rPr>
                <w:b/>
                <w:sz w:val="17"/>
              </w:rPr>
              <w:t>1,822</w:t>
            </w:r>
          </w:p>
        </w:tc>
        <w:tc>
          <w:tcPr>
            <w:tcW w:type="dxa" w:w="1440"/>
            <w:shd w:fill="FAFAFA" w:val="clear"/>
          </w:tcPr>
          <w:p>
            <w:r>
              <w:rPr>
                <w:sz w:val="17"/>
              </w:rPr>
              <w:t>2,100</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1,523</w:t>
            </w:r>
          </w:p>
        </w:tc>
        <w:tc>
          <w:tcPr>
            <w:tcW w:type="dxa" w:w="1440"/>
            <w:shd w:fill="FAFAFA" w:val="clear"/>
          </w:tcPr>
          <w:p>
            <w:r>
              <w:rPr>
                <w:b/>
                <w:sz w:val="17"/>
              </w:rPr>
              <w:t>1,823</w:t>
            </w:r>
          </w:p>
        </w:tc>
        <w:tc>
          <w:tcPr>
            <w:tcW w:type="dxa" w:w="1440"/>
            <w:shd w:fill="FAFAFA" w:val="clear"/>
          </w:tcPr>
          <w:p>
            <w:r>
              <w:rPr>
                <w:sz w:val="17"/>
              </w:rPr>
              <w:t>2,123</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1,502</w:t>
            </w:r>
          </w:p>
        </w:tc>
        <w:tc>
          <w:tcPr>
            <w:tcW w:type="dxa" w:w="1440"/>
            <w:shd w:fill="FAFAFA" w:val="clear"/>
          </w:tcPr>
          <w:p>
            <w:r>
              <w:rPr>
                <w:b/>
                <w:sz w:val="17"/>
              </w:rPr>
              <w:t>1,823</w:t>
            </w:r>
          </w:p>
        </w:tc>
        <w:tc>
          <w:tcPr>
            <w:tcW w:type="dxa" w:w="1440"/>
            <w:shd w:fill="FAFAFA" w:val="clear"/>
          </w:tcPr>
          <w:p>
            <w:r>
              <w:rPr>
                <w:sz w:val="17"/>
              </w:rPr>
              <w:t>2,144</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1,483</w:t>
            </w:r>
          </w:p>
        </w:tc>
        <w:tc>
          <w:tcPr>
            <w:tcW w:type="dxa" w:w="1440"/>
            <w:shd w:fill="FAFAFA" w:val="clear"/>
          </w:tcPr>
          <w:p>
            <w:r>
              <w:rPr>
                <w:b/>
                <w:sz w:val="17"/>
              </w:rPr>
              <w:t>1,824</w:t>
            </w:r>
          </w:p>
        </w:tc>
        <w:tc>
          <w:tcPr>
            <w:tcW w:type="dxa" w:w="1440"/>
            <w:shd w:fill="FAFAFA" w:val="clear"/>
          </w:tcPr>
          <w:p>
            <w:r>
              <w:rPr>
                <w:sz w:val="17"/>
              </w:rPr>
              <w:t>2,164</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1,465</w:t>
            </w:r>
          </w:p>
        </w:tc>
        <w:tc>
          <w:tcPr>
            <w:tcW w:type="dxa" w:w="1440"/>
            <w:shd w:fill="FAFAFA" w:val="clear"/>
          </w:tcPr>
          <w:p>
            <w:r>
              <w:rPr>
                <w:b/>
                <w:sz w:val="17"/>
              </w:rPr>
              <w:t>1,824</w:t>
            </w:r>
          </w:p>
        </w:tc>
        <w:tc>
          <w:tcPr>
            <w:tcW w:type="dxa" w:w="1440"/>
            <w:shd w:fill="FAFAFA" w:val="clear"/>
          </w:tcPr>
          <w:p>
            <w:r>
              <w:rPr>
                <w:sz w:val="17"/>
              </w:rPr>
              <w:t>2,183</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11,92 milliards FCFA, BNBC se situe dans la catégorie des petites capitalisations de la BRVM, ce qui la rend vulnérable aux mouvements de faible volume (2 877 titres/jour en moyenne). Le BPA de 3 FCFA/action est symbolique et traduit une rentabilité quasi nulle, tandis que le PER de 534,2x — très au-dessus de la moyenne BRVM (~8-12x) — signale que les investisseurs paient un prix déconnecté des bénéfices actuels, ce qui n'est soutenable que si une forte reprise des profits se matérialise. À l'inverse, le P/B de 0,67x indique que le marché valorise l'action à 33% en dessous de sa valeur comptable (capitaux propres de 17,77 Mds FCFA), ce qui constitue une opportunité potentielle de valeur patrimoniale. Enfin, l'EV/EBITDA de 23,6x, très supérieur au seuil de 15x, montre que la valeur d'entreprise intègre déjà une prime de croissance que les résultats opérationnels actuels (EBE de 2,009 Mds FCFA) ne justifient pas encore pleinement.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progression totale de +18,03%, mais la dernière séance (J-1) marque un net repli de -4,51%, signalant une prise de bénéfices après un rallye haussier. Le cours actuel de 1 800 FCFA se situe dans la moitié basse du range de trading (plus haut 2 400 FCFA, plus bas 1 495 FCFA), ce qui traduit une correction en cours depuis les sommets. La moyenne (1 938 FCFA) est légèrement inférieure à la médiane (1 962 FCFA) et au mode (1 990 FCFA), indiquant une distribution légèrement asymétrique à gauche, cohérente avec le skewness de -0,133 qui confirme une symétrie quasi parfaite avec une très légère prédominance des valeurs basses. L'écart-type de 173 FCFA (CV de 9,0%) révèle une dispersion modérée du cours autour de sa moyenne, tandis que le kurtosis de 0,682 (mésokurtique) suggère une distribution proche de la normale, sans risque excessif de pics extrêmes. La volatilité annualisée de 52,5% classe le titre dans la catégorie des valeurs très volatiles (&gt;30%), ce qui implique un risque de perte en capital significatif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(1 926,75 FCFA) et la MM50 (2 023,9 FCFA) sont toutes deux supérieures au cours actuel (1 800 FCFA), avec la MM20 en dessous de la MM50, configurant un croisement baissier (death cross) caractéristique d'une tendance descendante. Le cours évolue sous ses deux moyennes, ce qui confirme la pression vendeuse et justifie la décision technique de **Vente**.</w:t>
      </w:r>
    </w:p>
    <w:p>
      <w:pPr>
        <w:spacing w:after="120" w:line="276" w:lineRule="auto"/>
      </w:pPr>
      <w:r>
        <w:t>**Bandes de Bollinger** : Le cours (1 800 FCFA) se situe dans la partie basse de la bande, entre la borne inférieure (1 760,26 FCFA) et la borne supérieure (2 093,24 FCFA), sans franchir la borne basse, ce qui traduit une volatilité modérée et l'absence de signal extrême. La décision est **Neutre**, le titre n'étant ni en survente technique ni en surachat.</w:t>
      </w:r>
    </w:p>
    <w:p>
      <w:pPr>
        <w:spacing w:after="120" w:line="276" w:lineRule="auto"/>
      </w:pPr>
      <w:r>
        <w:t>**MACD** : La valeur du MACD (-58,758) est inférieure à son signal (-50,262), avec un histogramme négatif, confirmant un momentum baissier persistant. La divergence négative entre les deux lignes indique que la pression vendeuse reste dominante, justifiant la décision de **Vente**.</w:t>
      </w:r>
    </w:p>
    <w:p>
      <w:pPr>
        <w:spacing w:after="120" w:line="276" w:lineRule="auto"/>
      </w:pPr>
      <w:r>
        <w:t>**RSI** : À 44,578, le RSI se situe dans la zone neutre (30-70), sans signal de surachat (&gt;70) ni de survente (&lt;30). Cette position médiane reflète une absence de force directionnelle claire et justifie la décision **Neutre**, bien que la tendance de fond reste fragile.</w:t>
      </w:r>
    </w:p>
    <w:p>
      <w:pPr>
        <w:spacing w:after="120" w:line="276" w:lineRule="auto"/>
      </w:pPr>
      <w:r>
        <w:t>**Stochastique** : Le %K (0,0) est en dessous du %D (26,984), avec un %K au plus bas absolu, ce qui signale une survente extrême et un possible rebond technique à court terme. Cette configuration justifie la décision d'**Achat** à contre-tendance, mais elle doit être confirmée par un croisement haussier du %K au-dessus du %D.</w:t>
      </w:r>
    </w:p>
    <w:p>
      <w:pPr>
        <w:spacing w:after="120" w:line="276" w:lineRule="auto"/>
      </w:pPr>
      <w:r>
        <w:t>**Conclusion technique** : Les indicateurs sont majoritairement baissiers (MM, MACD), avec un RSI neutre et un stochastique en survente extrême. Cette divergence entre la tendance de fond (baissière) et le signal de court terme (rebond possible) suggère une phase de consolidation volatile, sans direction claire. La prudence reste de mise tant que le cours n'aura pas reconquis la MM20 (1 926,75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BNBC a réalisé un chiffre d'affaires de 42,454 Mds FCFA, en recul de -6,31% par rapport à 2024 (45,312 Mds FCFA), confirmant une contraction de l'activité. Le résultat net s'établit à 22,318 M FCFA (contre 7,313 M FCFA en 2024), soit une amélioration en valeur absolue mais une marge nette quasi nulle de 0,0526%. Le ROE est de 0,1256% et le ROA de 0,0454%, des niveaux extrêmement faibles qui traduisent une rentabilité structurellement anémique. En tant qu'entreprise non bancaire, les délais d'exploitation sont préoccupants : délai clients de 104,40 jours (risque de trésorerie élevé), délai fournisseurs de 116,09 jours (favorable) et durée de stockage de 339,23 jours (immobilisation de capital massive). Le BFR de 29,373 Mds FCFA est positif et lourd, tandis que la trésorerie nette est fortement négative (-16,689 Mds FCFA), créant un risque de liquidité majeur. L'autonomie financière de 36,16% reste saine (&gt;30%), mais le ratio d'endettement de 105,48% et la capacité de remboursement de 19,17 années (dettes financières/CAF) sont alarmants.</w:t>
      </w:r>
    </w:p>
    <w:p>
      <w:pPr>
        <w:spacing w:after="120" w:line="276" w:lineRule="auto"/>
      </w:pPr>
      <w:r>
        <w:t>**Estimations basées sur les rapports trimestriels** : Le rapport du T1 2026 (publié le 31/12/2026, analysé le 01/05/2026) indique un chiffre d'affaires stable à 11,194 Mds FCFA (-0,12% vs T1 2025) et un résultat net positif de 65,566 M FCFA contre une perte de 16,147 M FCFA au T1 2025, soit une amélioration spectaculaire de +506%. Cette performance est toutefois impactée par l'intégration de la division Équipement, encore en phase de montée en puissance. Le rapport du T3 2025 (30/09/2025) faisait état d'une perte nette de -157,03 M FCFA sur 9 mois, avec un CA de 31,83 Mds FCFA (-3%), et le rapport du S1 2025 (30/06/2025) d'une perte de -139,57 M FCFA. On estime donc que l'exercice 2026 devrait bénéficier d'un effet de base favorable et de la montée en puissance des nouvelles divisions (Équipement, Power, Matériaux), mais la prudence reste de mise compte tenu de la volatilité des résultats trimestriels et de la dépendance aux affaires exceptionnelles.</w:t>
      </w:r>
    </w:p>
    <w:p>
      <w:pPr>
        <w:spacing w:after="120" w:line="276" w:lineRule="auto"/>
      </w:pPr>
      <w:r>
        <w:t>**Recommandation fondamentale** : La situation financière de BNBC reste fragile malgré l'amélioration du résultat net 2025 et le retour à la rentabilité au T1 2026. Les risques majeurs (trésorerie négative, BFR élevé, rentabilité anémique, absence de dividende) persistent, et la valorisation boursière (PER 534x) n'offre aucune marge de sécurité. Le rapport annuel 2025 (publié le 31/12/2025) confirme l'absence de dividende pour la troisième année consécutive, ce qui pénalise les investisseurs en quête de rendement. La recommandation fondamentale est **CONSERVER avec surveillance renforcée**, en attendant la confirmation d'une reprise durable de l'activité et d'une amélioration structurelle de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BNBC présente un profil paradoxal : un PER de 534,2x (très surévalué par rapport aux bénéfices) contraste avec un P/B de 0,67x (sous-évaluation patrimoniale), tandis que l'EV/EBITDA de 23,6x intègre une prime de croissance non encore justifiée. Le comportement du cours sur 100 jours (+18,03%) masque une correction récente (-4,51% en J-1) et une volatilité annualisée très élevée (52,5%), avec une distribution proche de la normale (kurtosis 0,682, skewness -0,133) mais un risque de pics modéré. Les signaux techniques sont majoritairement baissiers (MM20 &lt; MM50, MACD négatif), avec un RSI neutre (44,58) et un stochastique en survente extrême (%K=0,0) qui suggère un rebond technique possible mais fragile. Les fondamentaux restent préoccupants : CA en baisse (-6,31% en 2025), marge nette quasi nulle (0,05%), trésorerie nette négative (-16,69 Mds FCFA) et absence de dividende, bien que le T1 2026 montre un retour à la rentabilité (+65,6 M FCFA) porté par les nouvelles divisions. Les prédictions IA (J+1 à J+10) anticipent une légère hausse vers 1 825 FCFA puis une stabilisation autour de 1 820 FCFA, ce qui confirme la possibilité d'un rebond technique de court terme mais sans tendance haussière durable.</w:t>
      </w:r>
    </w:p>
    <w:p>
      <w:pPr>
        <w:spacing w:after="120" w:line="276" w:lineRule="auto"/>
      </w:pPr>
      <w:r>
        <w:t>**Recommandation finale : CONSERVER** — Justification : la convergence entre une valorisation patrimoniale attractive (P/B &lt; 1), un rebond technique possible (stochastique en survente) et une amélioration des résultats trimestriels (T1 2026) est contrebalancée par des fondamentaux fragiles (rentabilité anémique, trésorerie négative) et une tendance technique de fond baissière. Le niveau de confiance est **Moyen** (les signaux sont contradictoires) et le niveau de risque global est **Élevé** (volatilité 52,5%, trésorerie négative, dépendance aux nouvelles divisions). L'horizon d'investissement optimal est **moyen terme (3-12 mois)**, en attendant la confirmation d'une reprise durable de l'activité et d'une amélioration de la génération de cash-flows opérationnels. Une position **VENTE** serait justifiée si le cours venait à casser le support des 1 760 FCFA (borne inférieure de Bollinger) ou si les résultats du T2 2026 décevaient les attentes.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377.42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5,500 titres</w:t>
            </w:r>
          </w:p>
        </w:tc>
        <w:tc>
          <w:tcPr>
            <w:tcW w:type="dxa" w:w="2268"/>
            <w:shd w:fill="FFF2CC" w:val="clear"/>
          </w:tcPr>
          <w:p>
            <w:r>
              <w:rPr>
                <w:b/>
                <w:color w:val="503200"/>
                <w:sz w:val="16"/>
              </w:rPr>
              <w:t xml:space="preserve">Cours actuel : </w:t>
            </w:r>
            <w:r>
              <w:rPr>
                <w:color w:val="000000"/>
                <w:sz w:val="17"/>
              </w:rPr>
              <w:t>9,305 FCFA</w:t>
            </w:r>
          </w:p>
          <w:p>
            <w:r>
              <w:rPr>
                <w:b/>
                <w:color w:val="503200"/>
                <w:sz w:val="16"/>
              </w:rPr>
              <w:t xml:space="preserve">Var. 100 jours : </w:t>
            </w:r>
            <w:r>
              <w:rPr>
                <w:b/>
                <w:color w:val="007800"/>
                <w:sz w:val="17"/>
              </w:rPr>
              <w:t>+5.32%</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μ=9,171 FCFA, σ=553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β=0.5790 (Défensif) — Cov=0.000043, Var(idx)=0.000075, ρ=0.289,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8,986</w:t>
            </w:r>
          </w:p>
        </w:tc>
        <w:tc>
          <w:tcPr>
            <w:tcW w:type="dxa" w:w="1440"/>
            <w:shd w:fill="FAFAFA" w:val="clear"/>
          </w:tcPr>
          <w:p>
            <w:r>
              <w:rPr>
                <w:b/>
                <w:sz w:val="17"/>
              </w:rPr>
              <w:t>9,280</w:t>
            </w:r>
          </w:p>
        </w:tc>
        <w:tc>
          <w:tcPr>
            <w:tcW w:type="dxa" w:w="1440"/>
            <w:shd w:fill="FAFAFA" w:val="clear"/>
          </w:tcPr>
          <w:p>
            <w:r>
              <w:rPr>
                <w:sz w:val="17"/>
              </w:rPr>
              <w:t>9,575</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8,838</w:t>
            </w:r>
          </w:p>
        </w:tc>
        <w:tc>
          <w:tcPr>
            <w:tcW w:type="dxa" w:w="1440"/>
            <w:shd w:fill="FAFAFA" w:val="clear"/>
          </w:tcPr>
          <w:p>
            <w:r>
              <w:rPr>
                <w:b/>
                <w:sz w:val="17"/>
              </w:rPr>
              <w:t>9,254</w:t>
            </w:r>
          </w:p>
        </w:tc>
        <w:tc>
          <w:tcPr>
            <w:tcW w:type="dxa" w:w="1440"/>
            <w:shd w:fill="FAFAFA" w:val="clear"/>
          </w:tcPr>
          <w:p>
            <w:r>
              <w:rPr>
                <w:sz w:val="17"/>
              </w:rPr>
              <w:t>9,669</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8,724</w:t>
            </w:r>
          </w:p>
        </w:tc>
        <w:tc>
          <w:tcPr>
            <w:tcW w:type="dxa" w:w="1440"/>
            <w:shd w:fill="FAFAFA" w:val="clear"/>
          </w:tcPr>
          <w:p>
            <w:r>
              <w:rPr>
                <w:b/>
                <w:sz w:val="17"/>
              </w:rPr>
              <w:t>9,231</w:t>
            </w:r>
          </w:p>
        </w:tc>
        <w:tc>
          <w:tcPr>
            <w:tcW w:type="dxa" w:w="1440"/>
            <w:shd w:fill="FAFAFA" w:val="clear"/>
          </w:tcPr>
          <w:p>
            <w:r>
              <w:rPr>
                <w:sz w:val="17"/>
              </w:rPr>
              <w:t>9,739</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2026-10-20</w:t>
            </w:r>
          </w:p>
        </w:tc>
        <w:tc>
          <w:tcPr>
            <w:tcW w:type="dxa" w:w="1440"/>
            <w:shd w:fill="FAFAFA" w:val="clear"/>
          </w:tcPr>
          <w:p>
            <w:r>
              <w:rPr>
                <w:sz w:val="17"/>
              </w:rPr>
              <w:t>8,627</w:t>
            </w:r>
          </w:p>
        </w:tc>
        <w:tc>
          <w:tcPr>
            <w:tcW w:type="dxa" w:w="1440"/>
            <w:shd w:fill="FAFAFA" w:val="clear"/>
          </w:tcPr>
          <w:p>
            <w:r>
              <w:rPr>
                <w:b/>
                <w:sz w:val="17"/>
              </w:rPr>
              <w:t>9,212</w:t>
            </w:r>
          </w:p>
        </w:tc>
        <w:tc>
          <w:tcPr>
            <w:tcW w:type="dxa" w:w="1440"/>
            <w:shd w:fill="FAFAFA" w:val="clear"/>
          </w:tcPr>
          <w:p>
            <w:r>
              <w:rPr>
                <w:sz w:val="17"/>
              </w:rPr>
              <w:t>9,797</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2026-10-21</w:t>
            </w:r>
          </w:p>
        </w:tc>
        <w:tc>
          <w:tcPr>
            <w:tcW w:type="dxa" w:w="1440"/>
            <w:shd w:fill="FAFAFA" w:val="clear"/>
          </w:tcPr>
          <w:p>
            <w:r>
              <w:rPr>
                <w:sz w:val="17"/>
              </w:rPr>
              <w:t>8,541</w:t>
            </w:r>
          </w:p>
        </w:tc>
        <w:tc>
          <w:tcPr>
            <w:tcW w:type="dxa" w:w="1440"/>
            <w:shd w:fill="FAFAFA" w:val="clear"/>
          </w:tcPr>
          <w:p>
            <w:r>
              <w:rPr>
                <w:b/>
                <w:sz w:val="17"/>
              </w:rPr>
              <w:t>9,194</w:t>
            </w:r>
          </w:p>
        </w:tc>
        <w:tc>
          <w:tcPr>
            <w:tcW w:type="dxa" w:w="1440"/>
            <w:shd w:fill="FAFAFA" w:val="clear"/>
          </w:tcPr>
          <w:p>
            <w:r>
              <w:rPr>
                <w:sz w:val="17"/>
              </w:rPr>
              <w:t>9,846</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2026-10-22</w:t>
            </w:r>
          </w:p>
        </w:tc>
        <w:tc>
          <w:tcPr>
            <w:tcW w:type="dxa" w:w="1440"/>
            <w:shd w:fill="FAFAFA" w:val="clear"/>
          </w:tcPr>
          <w:p>
            <w:r>
              <w:rPr>
                <w:sz w:val="17"/>
              </w:rPr>
              <w:t>8,463</w:t>
            </w:r>
          </w:p>
        </w:tc>
        <w:tc>
          <w:tcPr>
            <w:tcW w:type="dxa" w:w="1440"/>
            <w:shd w:fill="FAFAFA" w:val="clear"/>
          </w:tcPr>
          <w:p>
            <w:r>
              <w:rPr>
                <w:b/>
                <w:sz w:val="17"/>
              </w:rPr>
              <w:t>9,177</w:t>
            </w:r>
          </w:p>
        </w:tc>
        <w:tc>
          <w:tcPr>
            <w:tcW w:type="dxa" w:w="1440"/>
            <w:shd w:fill="FAFAFA" w:val="clear"/>
          </w:tcPr>
          <w:p>
            <w:r>
              <w:rPr>
                <w:sz w:val="17"/>
              </w:rPr>
              <w:t>9,890</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2026-10-23</w:t>
            </w:r>
          </w:p>
        </w:tc>
        <w:tc>
          <w:tcPr>
            <w:tcW w:type="dxa" w:w="1440"/>
            <w:shd w:fill="FAFAFA" w:val="clear"/>
          </w:tcPr>
          <w:p>
            <w:r>
              <w:rPr>
                <w:sz w:val="17"/>
              </w:rPr>
              <w:t>8,391</w:t>
            </w:r>
          </w:p>
        </w:tc>
        <w:tc>
          <w:tcPr>
            <w:tcW w:type="dxa" w:w="1440"/>
            <w:shd w:fill="FAFAFA" w:val="clear"/>
          </w:tcPr>
          <w:p>
            <w:r>
              <w:rPr>
                <w:b/>
                <w:sz w:val="17"/>
              </w:rPr>
              <w:t>9,161</w:t>
            </w:r>
          </w:p>
        </w:tc>
        <w:tc>
          <w:tcPr>
            <w:tcW w:type="dxa" w:w="1440"/>
            <w:shd w:fill="FAFAFA" w:val="clear"/>
          </w:tcPr>
          <w:p>
            <w:r>
              <w:rPr>
                <w:sz w:val="17"/>
              </w:rPr>
              <w:t>9,930</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2026-10-26</w:t>
            </w:r>
          </w:p>
        </w:tc>
        <w:tc>
          <w:tcPr>
            <w:tcW w:type="dxa" w:w="1440"/>
            <w:shd w:fill="FAFAFA" w:val="clear"/>
          </w:tcPr>
          <w:p>
            <w:r>
              <w:rPr>
                <w:sz w:val="17"/>
              </w:rPr>
              <w:t>8,324</w:t>
            </w:r>
          </w:p>
        </w:tc>
        <w:tc>
          <w:tcPr>
            <w:tcW w:type="dxa" w:w="1440"/>
            <w:shd w:fill="FAFAFA" w:val="clear"/>
          </w:tcPr>
          <w:p>
            <w:r>
              <w:rPr>
                <w:b/>
                <w:sz w:val="17"/>
              </w:rPr>
              <w:t>9,145</w:t>
            </w:r>
          </w:p>
        </w:tc>
        <w:tc>
          <w:tcPr>
            <w:tcW w:type="dxa" w:w="1440"/>
            <w:shd w:fill="FAFAFA" w:val="clear"/>
          </w:tcPr>
          <w:p>
            <w:r>
              <w:rPr>
                <w:sz w:val="17"/>
              </w:rPr>
              <w:t>9,966</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2026-10-27</w:t>
            </w:r>
          </w:p>
        </w:tc>
        <w:tc>
          <w:tcPr>
            <w:tcW w:type="dxa" w:w="1440"/>
            <w:shd w:fill="FAFAFA" w:val="clear"/>
          </w:tcPr>
          <w:p>
            <w:r>
              <w:rPr>
                <w:sz w:val="17"/>
              </w:rPr>
              <w:t>8,261</w:t>
            </w:r>
          </w:p>
        </w:tc>
        <w:tc>
          <w:tcPr>
            <w:tcW w:type="dxa" w:w="1440"/>
            <w:shd w:fill="FAFAFA" w:val="clear"/>
          </w:tcPr>
          <w:p>
            <w:r>
              <w:rPr>
                <w:b/>
                <w:sz w:val="17"/>
              </w:rPr>
              <w:t>9,130</w:t>
            </w:r>
          </w:p>
        </w:tc>
        <w:tc>
          <w:tcPr>
            <w:tcW w:type="dxa" w:w="1440"/>
            <w:shd w:fill="FAFAFA" w:val="clear"/>
          </w:tcPr>
          <w:p>
            <w:r>
              <w:rPr>
                <w:sz w:val="17"/>
              </w:rPr>
              <w:t>10,000</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2026-10-28</w:t>
            </w:r>
          </w:p>
        </w:tc>
        <w:tc>
          <w:tcPr>
            <w:tcW w:type="dxa" w:w="1440"/>
            <w:shd w:fill="FFDCE0" w:val="clear"/>
          </w:tcPr>
          <w:p>
            <w:r>
              <w:rPr>
                <w:sz w:val="17"/>
              </w:rPr>
              <w:t>8,201</w:t>
            </w:r>
          </w:p>
        </w:tc>
        <w:tc>
          <w:tcPr>
            <w:tcW w:type="dxa" w:w="1440"/>
            <w:shd w:fill="FFDCE0" w:val="clear"/>
          </w:tcPr>
          <w:p>
            <w:r>
              <w:rPr>
                <w:b/>
                <w:sz w:val="17"/>
              </w:rPr>
              <w:t>9,116</w:t>
            </w:r>
          </w:p>
        </w:tc>
        <w:tc>
          <w:tcPr>
            <w:tcW w:type="dxa" w:w="1440"/>
            <w:shd w:fill="FFDCE0" w:val="clear"/>
          </w:tcPr>
          <w:p>
            <w:r>
              <w:rPr>
                <w:sz w:val="17"/>
              </w:rPr>
              <w:t>10,031</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*Cotée à la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377,42 milliards FCFA, BOAB s'impose comme l'une des valeurs bancaires de référence de la BRVM, ce qui traduit une liquidité et une visibilité institutionnelle certaines au sein de la cote régionale. Le BPA de 496 FCFA par action signifie que chaque titre génère près de 500 FCFA de bénéfice net, un niveau de rentabilité par action appréciable pour le secteur. Le PER de 18,8x se situe nettement au-dessus de la moyenne BRVM (8-12x), ce qui indique que les investisseurs paient une prime significative pour les bénéfices de BOAB — signe d'anticipations de croissance mais aussi d'une valorisation exigeante. Le P/B de 3,21x confirme cette prime de croissance : le marché valorise la banque à plus de trois fois sa valeur comptable, ce qui est cohérent avec un ROE supérieur à 17% mais laisse peu de marge de sécurité. Enfin, l'EV/EBITDA de 19,4x (au-dessus du seuil de 15x) traduit une valorisation tendue par rapport à la capacité opérationnelle, ce qui invite à la prudence quant au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affiche une variation totale positive de +5,32%, malgré un repli de -0,75% lors de la dernière séance (J-1), signalant une légère prise de bénéfices après une progression soutenue. Le cours actuel de 9 305 FCFA évolue dans un range de trading compris entre 8 520 FCFA (plus bas) et 10 350 FCFA (plus haut), soit une amplitude de plus de 21%, ce qui témoigne d'une dynamique haussière entrecoupée de corrections. La tendance générale reste donc haussière sur la période, portée par des fondamentaux solides et un intérêt continu des investisseurs. Les statistiques descriptives révèlent une moyenne de 9 171 FCFA supérieure à la médiane de 8 950 FCFA, avec un mode à 8 700 FCFA : cet écart confirme une asymétrie positive (skewness de 0,954), indiquant que le cours a passé plus de journées sous la moyenne mais avec des pics haussiers marqués. L'écart-type de 556 FCFA (CV de 6,1%) traduit une dispersion modérée du cours, tandis que le kurtosis de -0,505 (mésokurtique) suggère une distribution proche de la normale, sans risque excessif de pics extrêmes. La volatilité annualisée de 27,4% positionne le titre dans la catégorie des valeurs à volatilité modérée (15-30%), ce qui est rassurant pour un investisseur recherchant un compromis rendement/risque équilibré.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(9 388,5 FCFA) et la MM50 (9 518,6 FCFA) se situent toutes deux au-dessus du cours actuel (9 305 FCFA), ce qui place le titre en position baissière à court et moyen terme. La MM20 étant inférieure à la MM50, on observe un croisement baissier (death cross) confirmant la pression vendeuse. La décision technique qui en résulte est donc **Vente**.</w:t>
      </w:r>
    </w:p>
    <w:p>
      <w:pPr>
        <w:spacing w:after="120" w:line="276" w:lineRule="auto"/>
      </w:pPr>
      <w:r>
        <w:t>**Bandes de Bollinger** : Le cours actuel (9 305 FCFA) évolue dans la partie basse de la bande, entre la borne inférieure (8 718,7 FCFA) et la borne supérieure (10 058,3 FCFA), sans atteindre les extrêmes. Cette position médiane-basse traduit une volatilité contenue et une absence de signal directionnel fort, justifiant la décision **Neutre**.</w:t>
      </w:r>
    </w:p>
    <w:p>
      <w:pPr>
        <w:spacing w:after="120" w:line="276" w:lineRule="auto"/>
      </w:pPr>
      <w:r>
        <w:t>**MACD** : La valeur du MACD (-89,132) est inférieure à son signal (-82,245), avec un histogramme négatif. Cette configuration indique un momentum baissier persistant, bien que l'écart entre les deux lignes reste modéré. La décision qui en découle est **Vente**, confirmant la tendance baissière de court terme.</w:t>
      </w:r>
    </w:p>
    <w:p>
      <w:pPr>
        <w:spacing w:after="120" w:line="276" w:lineRule="auto"/>
      </w:pPr>
      <w:r>
        <w:t>**RSI** : À 63,733, le RSI se situe dans la zone neutre-haute (30-70), sans atteindre le seuil de surachat (70). Cela suggère que le titre conserve un certain potentiel haussier mais approche de zones où une correction pourrait survenir. La décision est donc **Neutre**.</w:t>
      </w:r>
    </w:p>
    <w:p>
      <w:pPr>
        <w:spacing w:after="120" w:line="276" w:lineRule="auto"/>
      </w:pPr>
      <w:r>
        <w:t>**Stochastique** : Le %K (44,375) est légèrement inférieur au %D (49,34), sans croisement net ni divergence significative. Cette configuration neutre indique une absence de signal fort, justifiant la décision **Neutre**.</w:t>
      </w:r>
    </w:p>
    <w:p>
      <w:pPr>
        <w:spacing w:after="120" w:line="276" w:lineRule="auto"/>
      </w:pPr>
      <w:r>
        <w:t>**Conclusion technique** : Les indicateurs techniques présentent un tableau mitigé, avec une majorité de signaux baissiers (MM et MACD) et des signaux neutres (Bollinger, RSI, Stochastique). Le titre semble en phase de consolidation après une progression de +5,32% sur 100 jours, avec un risque de correction à court terme. La convergence des MM à la baisse et du MACD négatif invite à la prudence, tandis que le RSI et le Stochastique neutres laissent entrevoir une possible stabilisation.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révèlent une banque solide et rentable : le Produit Net Bancaire (PNB, équivalent du chiffre d'affaires) s'établit à 51,274 milliards FCFA, en croissance de 10,20% sur un an, tandis que le résultat net atteint 20,107 milliards FCFA, soit une marge nette élevée de 39,22%. Le ROE de 17,11% (supérieur au seuil de 15% considéré comme excellent) et le ROA de 2,08% confirment la qualité de la rentabilité. Le coefficient d'exploitation de 49,53% (inférieur à 50%) témoigne d'une excellente efficacité opérationnelle, tandis que le coût du risque de 22,50% (provisions/charges financières) reste élevé et constitue un point de vigilance pour la qualité du portefeuille de crédit. La structure financière affiche une autonomie financière de 12,18% (inférieure au seuil de 30% considéré comme sain), mais une solvabilité générale de 113,87% (supérieure à 1) et une capacité de remboursement de 5,09 années, ce qui reste acceptable pour une banque. Le ratio dépôts/crédits s'établit à 711,642/391,724 = 1,82x, indiquant une surliquidité et une transformation prudente. Les rapports trimestriels récents (T1 2026, publié en 2026) montrent un PNB de 12,329 milliards FCFA (+11% en glissement annuel), porté par une hausse des commissions (+18,9%) et de la marge nette bancaire (+8,5%), mais un résultat net de 4,502 milliards FCFA (+1% seulement), pénalisé par la pression sur les coûts. Les dépôts clientèle progressent de 3,5% à 753,7 milliards FCFA, tandis que les créances clientèle stagnent à 386,5 milliards FCFA. Sur la base de ces tendances, on estime que l'exercice 2026 devrait afficher un PNB en croissance de 8-10% (autour de 55-56 milliards FCFA) et un résultat net stable ou en légère hausse (autour de 20-21 milliards FCFA), la rentabilité nette étant freinée par la hausse du coût du risque. Les rapports antérieurs (T3 2025, publié en 2025) confirment cette dynamique : PNB trimestriel de 37,065 milliards FCFA (+9%) et résultat net de 15,880 milliards FCFA (+13%), avec une contraction du bilan (crédits -10%, dépôts -5%) compensée par une amélioration des marges. En conclusion, BOAB présente des fondamentaux solides (ROE élevé, efficacité opérationnelle, croissance du PNB) mais des risques persistants (coût du risque élevé, autonomie financière faible, stagnation des crédits). La recommandation fondamentale est **Conserver**, avec un biais positif à moyen terme si la maîtrise des coûts se confirme.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pour BOAB. Sur le plan de la **valorisation (Partie 0)**, les ratios PER (18,8x), P/B (3,21x) et EV/EBITDA (19,4x) indiquent une surévaluation relative par rapport à la moyenne BRVM, ce qui limite le potentiel de revalorisation à court terme. Le **comportement du cours (Partie 1)** est haussier sur 100 jours (+5,32%) mais avec une asymétrie positive (skewness 0,954) et une volatilité modérée (27,4%), ce qui suggère une tendance de fond positive mais des corrections fréquentes. Les **signaux techniques (Partie 2)** sont majoritairement baissiers (MM et MACD en vente) avec des indicateurs neutres (Bollinger, RSI, Stochastique), ce qui plaide pour une consolidation à court terme. Les **fondamentaux (Partie 3)** sont solides (ROE 17,11%, PNB +10,20%, coefficient d'exploitation 49,53%) mais entachés par un coût du risque élevé (22,50%) et une stagnation des crédits, avec des estimations 2026 modérées (PNB +8-10%, résultat net stable). Les **prédictions IA (J+1 à J+10)** anticipent une trajectoire baissière graduelle, de 9 280 FCFA (J+1) à 9 194 FCFA (J+5), ce qui confirme les signaux techniques baissiers et la pression vendeuse à court terme. Sur la base de cette synthèse globale, la recommandation finale est **CONSERVER**, avec un niveau de confiance **Moyen** et un risque global **Moyen**. En effet, la convergence entre la surévaluation boursière, les signaux techniques baissiers et les prédictions IA baissières contraste avec la solidité des fondamentaux et la croissance du PNB, créant une divergence qui justifie une position attentiste. L'horizon d'investissement optimal est le **moyen terme (3-12 mois)**, en attendant que la correction technique s'achève et que les fondamentaux (notamment la maîtrise du coût du risque et la reprise des crédits) confirment leur potentiel de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353.98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6,377 titres</w:t>
            </w:r>
          </w:p>
        </w:tc>
        <w:tc>
          <w:tcPr>
            <w:tcW w:type="dxa" w:w="2268"/>
            <w:shd w:fill="FFF2CC" w:val="clear"/>
          </w:tcPr>
          <w:p>
            <w:r>
              <w:rPr>
                <w:b/>
                <w:color w:val="503200"/>
                <w:sz w:val="16"/>
              </w:rPr>
              <w:t xml:space="preserve">Cours actuel : </w:t>
            </w:r>
            <w:r>
              <w:rPr>
                <w:color w:val="000000"/>
                <w:sz w:val="17"/>
              </w:rPr>
              <w:t>8,045 FCFA</w:t>
            </w:r>
          </w:p>
          <w:p>
            <w:r>
              <w:rPr>
                <w:b/>
                <w:color w:val="503200"/>
                <w:sz w:val="16"/>
              </w:rPr>
              <w:t xml:space="preserve">Var. 100 jours : </w:t>
            </w:r>
            <w:r>
              <w:rPr>
                <w:b/>
                <w:color w:val="007800"/>
                <w:sz w:val="17"/>
              </w:rPr>
              <w:t>+48.57%</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16.90% (Élevée) — μ=7,045 FCFA, σ=1,190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β=0.7547 (Défensif) — Cov=0.000056, Var(idx)=0.000075, ρ=0.284,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47/100  (Moyen)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7,706</w:t>
            </w:r>
          </w:p>
        </w:tc>
        <w:tc>
          <w:tcPr>
            <w:tcW w:type="dxa" w:w="1440"/>
            <w:shd w:fill="FAFAFA" w:val="clear"/>
          </w:tcPr>
          <w:p>
            <w:r>
              <w:rPr>
                <w:b/>
                <w:sz w:val="17"/>
              </w:rPr>
              <w:t>7,992</w:t>
            </w:r>
          </w:p>
        </w:tc>
        <w:tc>
          <w:tcPr>
            <w:tcW w:type="dxa" w:w="1440"/>
            <w:shd w:fill="FAFAFA" w:val="clear"/>
          </w:tcPr>
          <w:p>
            <w:r>
              <w:rPr>
                <w:sz w:val="17"/>
              </w:rPr>
              <w:t>8,278</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7,550</w:t>
            </w:r>
          </w:p>
        </w:tc>
        <w:tc>
          <w:tcPr>
            <w:tcW w:type="dxa" w:w="1440"/>
            <w:shd w:fill="FAFAFA" w:val="clear"/>
          </w:tcPr>
          <w:p>
            <w:r>
              <w:rPr>
                <w:b/>
                <w:sz w:val="17"/>
              </w:rPr>
              <w:t>7,952</w:t>
            </w:r>
          </w:p>
        </w:tc>
        <w:tc>
          <w:tcPr>
            <w:tcW w:type="dxa" w:w="1440"/>
            <w:shd w:fill="FAFAFA" w:val="clear"/>
          </w:tcPr>
          <w:p>
            <w:r>
              <w:rPr>
                <w:sz w:val="17"/>
              </w:rPr>
              <w:t>8,354</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7,430</w:t>
            </w:r>
          </w:p>
        </w:tc>
        <w:tc>
          <w:tcPr>
            <w:tcW w:type="dxa" w:w="1440"/>
            <w:shd w:fill="FAFAFA" w:val="clear"/>
          </w:tcPr>
          <w:p>
            <w:r>
              <w:rPr>
                <w:b/>
                <w:sz w:val="17"/>
              </w:rPr>
              <w:t>7,921</w:t>
            </w:r>
          </w:p>
        </w:tc>
        <w:tc>
          <w:tcPr>
            <w:tcW w:type="dxa" w:w="1440"/>
            <w:shd w:fill="FAFAFA" w:val="clear"/>
          </w:tcPr>
          <w:p>
            <w:r>
              <w:rPr>
                <w:sz w:val="17"/>
              </w:rPr>
              <w:t>8,411</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7,332</w:t>
            </w:r>
          </w:p>
        </w:tc>
        <w:tc>
          <w:tcPr>
            <w:tcW w:type="dxa" w:w="1440"/>
            <w:shd w:fill="FAFAFA" w:val="clear"/>
          </w:tcPr>
          <w:p>
            <w:r>
              <w:rPr>
                <w:b/>
                <w:sz w:val="17"/>
              </w:rPr>
              <w:t>7,897</w:t>
            </w:r>
          </w:p>
        </w:tc>
        <w:tc>
          <w:tcPr>
            <w:tcW w:type="dxa" w:w="1440"/>
            <w:shd w:fill="FAFAFA" w:val="clear"/>
          </w:tcPr>
          <w:p>
            <w:r>
              <w:rPr>
                <w:sz w:val="17"/>
              </w:rPr>
              <w:t>8,461</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7,246</w:t>
            </w:r>
          </w:p>
        </w:tc>
        <w:tc>
          <w:tcPr>
            <w:tcW w:type="dxa" w:w="1440"/>
            <w:shd w:fill="FFDCE0" w:val="clear"/>
          </w:tcPr>
          <w:p>
            <w:r>
              <w:rPr>
                <w:b/>
                <w:sz w:val="17"/>
              </w:rPr>
              <w:t>7,876</w:t>
            </w:r>
          </w:p>
        </w:tc>
        <w:tc>
          <w:tcPr>
            <w:tcW w:type="dxa" w:w="1440"/>
            <w:shd w:fill="FFDCE0" w:val="clear"/>
          </w:tcPr>
          <w:p>
            <w:r>
              <w:rPr>
                <w:sz w:val="17"/>
              </w:rPr>
              <w:t>8,506</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7,169</w:t>
            </w:r>
          </w:p>
        </w:tc>
        <w:tc>
          <w:tcPr>
            <w:tcW w:type="dxa" w:w="1440"/>
            <w:shd w:fill="FFDCE0" w:val="clear"/>
          </w:tcPr>
          <w:p>
            <w:r>
              <w:rPr>
                <w:b/>
                <w:sz w:val="17"/>
              </w:rPr>
              <w:t>7,858</w:t>
            </w:r>
          </w:p>
        </w:tc>
        <w:tc>
          <w:tcPr>
            <w:tcW w:type="dxa" w:w="1440"/>
            <w:shd w:fill="FFDCE0" w:val="clear"/>
          </w:tcPr>
          <w:p>
            <w:r>
              <w:rPr>
                <w:sz w:val="17"/>
              </w:rPr>
              <w:t>8,546</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7,099</w:t>
            </w:r>
          </w:p>
        </w:tc>
        <w:tc>
          <w:tcPr>
            <w:tcW w:type="dxa" w:w="1440"/>
            <w:shd w:fill="FFDCE0" w:val="clear"/>
          </w:tcPr>
          <w:p>
            <w:r>
              <w:rPr>
                <w:b/>
                <w:sz w:val="17"/>
              </w:rPr>
              <w:t>7,840</w:t>
            </w:r>
          </w:p>
        </w:tc>
        <w:tc>
          <w:tcPr>
            <w:tcW w:type="dxa" w:w="1440"/>
            <w:shd w:fill="FFDCE0" w:val="clear"/>
          </w:tcPr>
          <w:p>
            <w:r>
              <w:rPr>
                <w:sz w:val="17"/>
              </w:rPr>
              <w:t>8,582</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7,032</w:t>
            </w:r>
          </w:p>
        </w:tc>
        <w:tc>
          <w:tcPr>
            <w:tcW w:type="dxa" w:w="1440"/>
            <w:shd w:fill="FFDCE0" w:val="clear"/>
          </w:tcPr>
          <w:p>
            <w:r>
              <w:rPr>
                <w:b/>
                <w:sz w:val="17"/>
              </w:rPr>
              <w:t>7,823</w:t>
            </w:r>
          </w:p>
        </w:tc>
        <w:tc>
          <w:tcPr>
            <w:tcW w:type="dxa" w:w="1440"/>
            <w:shd w:fill="FFDCE0" w:val="clear"/>
          </w:tcPr>
          <w:p>
            <w:r>
              <w:rPr>
                <w:sz w:val="17"/>
              </w:rPr>
              <w:t>8,614</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6,969</w:t>
            </w:r>
          </w:p>
        </w:tc>
        <w:tc>
          <w:tcPr>
            <w:tcW w:type="dxa" w:w="1440"/>
            <w:shd w:fill="FFDCE0" w:val="clear"/>
          </w:tcPr>
          <w:p>
            <w:r>
              <w:rPr>
                <w:b/>
                <w:sz w:val="17"/>
              </w:rPr>
              <w:t>7,807</w:t>
            </w:r>
          </w:p>
        </w:tc>
        <w:tc>
          <w:tcPr>
            <w:tcW w:type="dxa" w:w="1440"/>
            <w:shd w:fill="FFDCE0" w:val="clear"/>
          </w:tcPr>
          <w:p>
            <w:r>
              <w:rPr>
                <w:sz w:val="17"/>
              </w:rPr>
              <w:t>8,644</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6,910</w:t>
            </w:r>
          </w:p>
        </w:tc>
        <w:tc>
          <w:tcPr>
            <w:tcW w:type="dxa" w:w="1440"/>
            <w:shd w:fill="FFDCE0" w:val="clear"/>
          </w:tcPr>
          <w:p>
            <w:r>
              <w:rPr>
                <w:b/>
                <w:sz w:val="17"/>
              </w:rPr>
              <w:t>7,791</w:t>
            </w:r>
          </w:p>
        </w:tc>
        <w:tc>
          <w:tcPr>
            <w:tcW w:type="dxa" w:w="1440"/>
            <w:shd w:fill="FFDCE0" w:val="clear"/>
          </w:tcPr>
          <w:p>
            <w:r>
              <w:rPr>
                <w:sz w:val="17"/>
              </w:rPr>
              <w:t>8,671</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353,98 milliards FCFA, BOABF figure parmi les valeurs bancaires de premier plan de la cote BRVM, ce qui témoigne de sa liquidité relative et de son poids dans l'indice sectoriel. Le BPA de 438 FCFA par action signifie que chaque titre génère près de 438 FCFA de bénéfice net, un niveau de rentabilité unitaire appréciable. Le PER de 18,4x se situe nettement au-dessus de la moyenne du marché BRVM (généralement comprise entre 8 et 12x), ce qui indique que les investisseurs paient une prime significative pour les bénéfices de la banque — une prime qui se justifie partiellement par la qualité de la signature et la solidité du dividende, mais qui expose le titre à un risque de correction si la croissance ne suit pas. Le P/B de 2,80x confirme cette prime de croissance : le marché valorise la banque à près de trois fois sa valeur comptable, reflétant des anticipations optimistes sur la rentabilité future des fonds propres. Enfin, l'EV/EBITDA de 8,2x, dans la fourchette raisonnable de 5-10x, suggère que la valeur totale de l'entreprise reste cohérente avec sa capacité opérationnelle, offrant un contrepoids modérateur aux deux ratios précédents.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progression spectaculaire de +48,57%, passant d'un plus bas de 5 300 FCFA à un plus haut de 9 090 FCFA, pour un cours actuel de 8 045 FCFA — la dernière séance affichant une quasi-stabilité (-0,06%). Cette tendance nettement haussière traduit un fort engouement du marché, probablement alimenté par l'anticipation du dividende de 397 FCFA/action payé le 23 avril 2026 et par la normalisation du coût du risque observée au premier semestre 2026. Les statistiques descriptives révèlent une moyenne de 7 045 FCFA légèrement inférieure à la médiane de 7 200 FCFA, avec un mode à 7 100 FCFA : cet écart modéré suggère une distribution quasi symétrique, confirmée par un skewness de 0,067 (distribution symétrique). L'écart-type de 1 196 FCFA (CV = 17,0%) indique une dispersion modérée du cours autour de sa moyenne, tandis que le kurtosis de -1,274 (distribution platykurtique) signale une faible concentration des rendements et un risque de pics extrêmes limité — un profil rassurant pour un investisseur. La volatilité annualisée de 35,9% positionne toutefois le titre dans la catégorie des valeurs à volatilité élevée (&gt;30%), ce qui implique une amplitude de fluctuation significative et justifie une gestion prudente de la taille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(7 952,5 FCFA) et la MM50 (8 042,7 FCFA) se situent toutes deux sous le cours actuel de 8 045 FCFA, mais la MM20 est inférieure à la MM50 — configuration baissière de court terme. Le cours évolue pratiquement au niveau de la MM50, ce qui traduit une perte de momentum haussier ; la décision technique est donc **Vente**, le titre ayant du mal à reconquérir ses moyennes après la correction récente.</w:t>
      </w:r>
    </w:p>
    <w:p>
      <w:pPr>
        <w:spacing w:after="120" w:line="276" w:lineRule="auto"/>
      </w:pPr>
      <w:r>
        <w:t>**Bandes de Bollinger** : Le cours (8 045 FCFA) se situe à mi-chemin entre la borne supérieure (8 408,36 FCFA) et la borne inférieure (7 496,64 FCFA), dans la partie médiane du canal. Cette position centrale, couplée à un rétrécissement apparent de la largeur des bandes, indique une phase de consolidation sans direction claire ; la décision est **Neutre**, le marché attendant un catalyseur pour choisir sa direction.</w:t>
      </w:r>
    </w:p>
    <w:p>
      <w:pPr>
        <w:spacing w:after="120" w:line="276" w:lineRule="auto"/>
      </w:pPr>
      <w:r>
        <w:t>**MACD** : La valeur du MACD (-31,074) est inférieure à sa ligne de signal (-25,451), et les deux sont en territoire négatif — configuration baissière classique. Le momentum est clairement négatif à court terme, avec un histogramme négatif qui ne montre pas encore de retournement ; la décision est **Vente**, le signal suggérant une poursuite de la pression baissière.</w:t>
      </w:r>
    </w:p>
    <w:p>
      <w:pPr>
        <w:spacing w:after="120" w:line="276" w:lineRule="auto"/>
      </w:pPr>
      <w:r>
        <w:t>**RSI** : À 71,864, le RSI se situe au-dessus du seuil de surachat (70), ce qui indique que le titre a été acheté de manière excessive à court terme et qu'un essoufflement est probable. La décision est **Vente**, le RSI appelant à une prise de profit ou à une attente de correction avant tout nouvel engagement.</w:t>
      </w:r>
    </w:p>
    <w:p>
      <w:pPr>
        <w:spacing w:after="120" w:line="276" w:lineRule="auto"/>
      </w:pPr>
      <w:r>
        <w:t>**Stochastique** : Le %K (36,25) est nettement inférieur au %D (58,565), et les deux se situent dans la zone neutre basse — le croisement %K sous %D est un signal baissier de court terme. La décision est **Neutre**, le stochastique n'étant ni en zone de survente ni en zone de surachat, mais la dynamique relative reste défavorable.</w:t>
      </w:r>
    </w:p>
    <w:p>
      <w:pPr>
        <w:spacing w:after="120" w:line="276" w:lineRule="auto"/>
      </w:pPr>
      <w:r>
        <w:t>**Conclusion technique** : La convergence des signaux est majoritairement baissière à court terme — MACD négatif, RSI en surachat, MM20 sous MM50 et stochastique en croisement baissier. Seules les Bandes de Bollinger et le stochastique en zone neutre tempèrent ce tableau en suggérant une absence de pression vendeuse extrême. Le titre se trouve dans une phase de consolidation après une forte hausse, avec un risque de correction à court terme vers la borne inférieure des Bollinger (7 496 FCFA) ou la MM20 (7 952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BOABF a réalisé un Produit Net Bancaire (PNB) de 57 820 millions FCFA, quasi stable par rapport à 2024 (+0,6%), avec un résultat net de 19 252 millions FCFA en recul de -14,1% sur un an. Le ROE s'établit à 15,22% (excellent, &gt;15%) et le ROA à 1,68%, confirmant la rentabilité structurelle de la banque. Le coefficient d'exploitation de 47,19% est excellent (&lt;50%), témoignant d'une grande efficacité opérationnelle. Le coût du risque rapporté aux charges financières s'élève à 33,92%, un niveau élevé qui explique la dégradation du résultat net 2025 — les provisions pour risques ont quasiment doublé (8 355 vs 4 303 millions FCFA en 2024). Le ratio dépôts/crédits est très favorable : 877 822 millions FCFA de dépôts clientèle pour 474 064 millions FCFA de créances clientèle, soit un taux de transformation de 54%, laissant une large marge de liquidité. Les créances interbancaires ont bondi à 213 132 millions FCFA (vs 53 994 millions fin 2024), signe d'un placement massif de la trésorerie excédentaire.</w:t>
      </w:r>
    </w:p>
    <w:p>
      <w:pPr>
        <w:spacing w:after="120" w:line="276" w:lineRule="auto"/>
      </w:pPr>
      <w:r>
        <w:t>**Estimations basées sur les rapports trimestriels** : Le rapport du T1 2026 (publié le 31/03/2026) montre un PNB de 12 694 millions FCFA en baisse de -10,75% sur un an, avec un résultat net de 4 520 millions FCFA (-12,99%). Le rapport du S1 2026 (publié le 30/06/2026) révèle un PNB de 27 539 millions FCFA (-5,2%) mais un résultat net de 10 770 millions FCFA en forte hausse de +31,0%, grâce à une amélioration spectaculaire du coût du risque (-2 396 vs -6 876 millions FCFA au S1 2025, soit -65,2%). On estime donc que l'exercice 2026 devrait afficher un résultat net en nette progression par rapport à 2025, porté par la normalisation du risque, mais avec un PNB toujours sous pression baissière. Le rapport du T3 2025 (publié le 30/09/2025) confirmait déjà cette tendance avec un PNB de 43,28 milliards FCFA (+0,85%) et un résultat net de 13,45 milliards FCFA (-27,69%), avant le redressement observé au S1 2026.</w:t>
      </w:r>
    </w:p>
    <w:p>
      <w:pPr>
        <w:spacing w:after="120" w:line="276" w:lineRule="auto"/>
      </w:pPr>
      <w:r>
        <w:t>**Recommandation fondamentale** : La solidité financière de BOABF est avérée (ROE &gt;15%, coefficient d'exploitation &lt;50%, solvabilité générale de 112,38%), mais la dynamique commerciale reste fragile (PNB en contraction depuis le T1 2026). Le principal risque réside dans la poursuite de la baisse du PNB, qui pourrait finir par éroder la rentabilité si le coût du risque venait à remonter. La recommandation fondamentale est **CONSERVER**, avec une surveillance attentive de l'évolution du PNB et de la qualité du portefeuille de crédits.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tableau contrasté. **Valorisation (Partie 0)** : le PER de 18,4x et le P/B de 2,80x indiquent une surévaluation relative par rapport aux standards du marché BRVM (PER moyen 8-12x), bien que l'EV/EBITDA de 8,2x reste raisonnable — le titre intègre déjà une bonne partie des bonnes nouvelles. **Comportement du cours (Partie 1)** : la hausse de +48,57% sur 100 jours est impressionnante mais la volatilité élevée (35,9%) et le RSI en surachat (71,86) suggèrent un essoufflement imminent ; la distribution platykurtique (kurtosis -1,274) limite toutefois le risque de krach brutal. **Signaux techniques (Partie 2)** : la convergence baissière (MACD négatif, RSI surachat, MM20 sous MM50) est préoccupante à court terme, mais les Bandes de Bollinger en zone neutre et le stochastique sans excès laissent entrevoir une consolidation plutôt qu'un retournement majeur. **Fondamentaux (Partie 3)** : la banque reste solide (ROE 15,22%, coefficient d'exploitation 47,19%) mais fait face à une contraction de son PNB et à un coût du risque historiquement élevé en 2025, avec une amélioration notable au S1 2026 qui demande à être confirmée. **Prédictions IA (J+1 à J+10)** : la trajectoire prédite (7 992 → 7 876 FCFA) confirme la tendance baissière de court terme, avec une correction attendue de -2,1% sur 10 jours, en ligne avec les signaux techniques.</w:t>
      </w:r>
    </w:p>
    <w:p>
      <w:pPr>
        <w:spacing w:after="120" w:line="276" w:lineRule="auto"/>
      </w:pPr>
      <w:r>
        <w:t>**Recommandation finale : CONSERVER** — La convergence entre la surévaluation relative (PER 18,4x), les signaux techniques baissiers à court terme (RSI surachat, MACD négatif) et la contraction du PNB justifie une certaine prudence. Toutefois, la solidité fondamentale (ROE &gt;15%, dividende attractif de 397 FCFA/action) et l'amélioration du coût du risque au S1 2026 plaident contre une vente précipitée. Le niveau de confiance est **Moyen** (les signaux sont mitigés entre court et moyen terme) et le niveau de risque global est **Élevé** (volatilité 35,9%, exposition au risque de crédit et à l'environnement sécuritaire burkinabè). L'horizon d'investissement optimal est le **moyen terme (3-12 mois)**, en attendant la confirmation de la reprise du PNB et la dissipation de la pression baissière technique. Un investisseur déjà positionné peut conserver en vue du dividende, tandis qu'un nouvel entrant devrait attendre une correction vers 7 500-7 600 FCFA pour améliorer son point d'entrée.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10,678 titres</w:t>
            </w:r>
          </w:p>
        </w:tc>
        <w:tc>
          <w:tcPr>
            <w:tcW w:type="dxa" w:w="2268"/>
            <w:shd w:fill="FFF2CC" w:val="clear"/>
          </w:tcPr>
          <w:p>
            <w:r>
              <w:rPr>
                <w:b/>
                <w:color w:val="503200"/>
                <w:sz w:val="16"/>
              </w:rPr>
              <w:t xml:space="preserve">Cours actuel : </w:t>
            </w:r>
            <w:r>
              <w:rPr>
                <w:color w:val="000000"/>
                <w:sz w:val="17"/>
              </w:rPr>
              <w:t>11,380 FCFA</w:t>
            </w:r>
          </w:p>
          <w:p>
            <w:r>
              <w:rPr>
                <w:b/>
                <w:color w:val="503200"/>
                <w:sz w:val="16"/>
              </w:rPr>
              <w:t xml:space="preserve">Var. 100 jours : </w:t>
            </w:r>
            <w:r>
              <w:rPr>
                <w:b/>
                <w:color w:val="007800"/>
                <w:sz w:val="17"/>
              </w:rPr>
              <w:t>+28.15%</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13.74% (Moyenne) — μ=10,743 FCFA, σ=1,477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β=0.7438 (Défensif) — Cov=0.000055, Var(idx)=0.000075, ρ=0.361,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10,678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11,088</w:t>
            </w:r>
          </w:p>
        </w:tc>
        <w:tc>
          <w:tcPr>
            <w:tcW w:type="dxa" w:w="1440"/>
            <w:shd w:fill="FAFAFA" w:val="clear"/>
          </w:tcPr>
          <w:p>
            <w:r>
              <w:rPr>
                <w:b/>
                <w:sz w:val="17"/>
              </w:rPr>
              <w:t>11,407</w:t>
            </w:r>
          </w:p>
        </w:tc>
        <w:tc>
          <w:tcPr>
            <w:tcW w:type="dxa" w:w="1440"/>
            <w:shd w:fill="FAFAFA" w:val="clear"/>
          </w:tcPr>
          <w:p>
            <w:r>
              <w:rPr>
                <w:sz w:val="17"/>
              </w:rPr>
              <w:t>11,726</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10,964</w:t>
            </w:r>
          </w:p>
        </w:tc>
        <w:tc>
          <w:tcPr>
            <w:tcW w:type="dxa" w:w="1440"/>
            <w:shd w:fill="FAFAFA" w:val="clear"/>
          </w:tcPr>
          <w:p>
            <w:r>
              <w:rPr>
                <w:b/>
                <w:sz w:val="17"/>
              </w:rPr>
              <w:t>11,416</w:t>
            </w:r>
          </w:p>
        </w:tc>
        <w:tc>
          <w:tcPr>
            <w:tcW w:type="dxa" w:w="1440"/>
            <w:shd w:fill="FAFAFA" w:val="clear"/>
          </w:tcPr>
          <w:p>
            <w:r>
              <w:rPr>
                <w:sz w:val="17"/>
              </w:rPr>
              <w:t>11,868</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10,876</w:t>
            </w:r>
          </w:p>
        </w:tc>
        <w:tc>
          <w:tcPr>
            <w:tcW w:type="dxa" w:w="1440"/>
            <w:shd w:fill="FAFAFA" w:val="clear"/>
          </w:tcPr>
          <w:p>
            <w:r>
              <w:rPr>
                <w:b/>
                <w:sz w:val="17"/>
              </w:rPr>
              <w:t>11,430</w:t>
            </w:r>
          </w:p>
        </w:tc>
        <w:tc>
          <w:tcPr>
            <w:tcW w:type="dxa" w:w="1440"/>
            <w:shd w:fill="FAFAFA" w:val="clear"/>
          </w:tcPr>
          <w:p>
            <w:r>
              <w:rPr>
                <w:sz w:val="17"/>
              </w:rPr>
              <w:t>11,984</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2026-10-20</w:t>
            </w:r>
          </w:p>
        </w:tc>
        <w:tc>
          <w:tcPr>
            <w:tcW w:type="dxa" w:w="1440"/>
            <w:shd w:fill="FAFAFA" w:val="clear"/>
          </w:tcPr>
          <w:p>
            <w:r>
              <w:rPr>
                <w:sz w:val="17"/>
              </w:rPr>
              <w:t>10,804</w:t>
            </w:r>
          </w:p>
        </w:tc>
        <w:tc>
          <w:tcPr>
            <w:tcW w:type="dxa" w:w="1440"/>
            <w:shd w:fill="FAFAFA" w:val="clear"/>
          </w:tcPr>
          <w:p>
            <w:r>
              <w:rPr>
                <w:b/>
                <w:sz w:val="17"/>
              </w:rPr>
              <w:t>11,444</w:t>
            </w:r>
          </w:p>
        </w:tc>
        <w:tc>
          <w:tcPr>
            <w:tcW w:type="dxa" w:w="1440"/>
            <w:shd w:fill="FAFAFA" w:val="clear"/>
          </w:tcPr>
          <w:p>
            <w:r>
              <w:rPr>
                <w:sz w:val="17"/>
              </w:rPr>
              <w:t>12,084</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2026-10-21</w:t>
            </w:r>
          </w:p>
        </w:tc>
        <w:tc>
          <w:tcPr>
            <w:tcW w:type="dxa" w:w="1440"/>
            <w:shd w:fill="FAFAFA" w:val="clear"/>
          </w:tcPr>
          <w:p>
            <w:r>
              <w:rPr>
                <w:sz w:val="17"/>
              </w:rPr>
              <w:t>10,741</w:t>
            </w:r>
          </w:p>
        </w:tc>
        <w:tc>
          <w:tcPr>
            <w:tcW w:type="dxa" w:w="1440"/>
            <w:shd w:fill="FAFAFA" w:val="clear"/>
          </w:tcPr>
          <w:p>
            <w:r>
              <w:rPr>
                <w:b/>
                <w:sz w:val="17"/>
              </w:rPr>
              <w:t>11,457</w:t>
            </w:r>
          </w:p>
        </w:tc>
        <w:tc>
          <w:tcPr>
            <w:tcW w:type="dxa" w:w="1440"/>
            <w:shd w:fill="FAFAFA" w:val="clear"/>
          </w:tcPr>
          <w:p>
            <w:r>
              <w:rPr>
                <w:sz w:val="17"/>
              </w:rPr>
              <w:t>12,174</w:t>
            </w:r>
          </w:p>
        </w:tc>
        <w:tc>
          <w:tcPr>
            <w:tcW w:type="dxa" w:w="1440"/>
            <w:shd w:fill="FAFAFA" w:val="clear"/>
          </w:tcPr>
          <w:p>
            <w:r>
              <w:rPr>
                <w:b/>
                <w:color w:val="008000"/>
                <w:sz w:val="17"/>
              </w:rPr>
              <w:t>+0.7%</w:t>
            </w:r>
          </w:p>
        </w:tc>
      </w:tr>
      <w:tr>
        <w:tc>
          <w:tcPr>
            <w:tcW w:type="dxa" w:w="1440"/>
            <w:shd w:fill="FAFAFA" w:val="clear"/>
          </w:tcPr>
          <w:p>
            <w:r>
              <w:rPr>
                <w:sz w:val="17"/>
              </w:rPr>
              <w:t>J+6  Moyenne</w:t>
            </w:r>
          </w:p>
        </w:tc>
        <w:tc>
          <w:tcPr>
            <w:tcW w:type="dxa" w:w="1440"/>
            <w:shd w:fill="FAFAFA" w:val="clear"/>
          </w:tcPr>
          <w:p>
            <w:r>
              <w:rPr>
                <w:sz w:val="17"/>
              </w:rPr>
              <w:t>2026-10-22</w:t>
            </w:r>
          </w:p>
        </w:tc>
        <w:tc>
          <w:tcPr>
            <w:tcW w:type="dxa" w:w="1440"/>
            <w:shd w:fill="FAFAFA" w:val="clear"/>
          </w:tcPr>
          <w:p>
            <w:r>
              <w:rPr>
                <w:sz w:val="17"/>
              </w:rPr>
              <w:t>10,684</w:t>
            </w:r>
          </w:p>
        </w:tc>
        <w:tc>
          <w:tcPr>
            <w:tcW w:type="dxa" w:w="1440"/>
            <w:shd w:fill="FAFAFA" w:val="clear"/>
          </w:tcPr>
          <w:p>
            <w:r>
              <w:rPr>
                <w:b/>
                <w:sz w:val="17"/>
              </w:rPr>
              <w:t>11,470</w:t>
            </w:r>
          </w:p>
        </w:tc>
        <w:tc>
          <w:tcPr>
            <w:tcW w:type="dxa" w:w="1440"/>
            <w:shd w:fill="FAFAFA" w:val="clear"/>
          </w:tcPr>
          <w:p>
            <w:r>
              <w:rPr>
                <w:sz w:val="17"/>
              </w:rPr>
              <w:t>12,256</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2026-10-23</w:t>
            </w:r>
          </w:p>
        </w:tc>
        <w:tc>
          <w:tcPr>
            <w:tcW w:type="dxa" w:w="1440"/>
            <w:shd w:fill="FAFAFA" w:val="clear"/>
          </w:tcPr>
          <w:p>
            <w:r>
              <w:rPr>
                <w:sz w:val="17"/>
              </w:rPr>
              <w:t>10,633</w:t>
            </w:r>
          </w:p>
        </w:tc>
        <w:tc>
          <w:tcPr>
            <w:tcW w:type="dxa" w:w="1440"/>
            <w:shd w:fill="FAFAFA" w:val="clear"/>
          </w:tcPr>
          <w:p>
            <w:r>
              <w:rPr>
                <w:b/>
                <w:sz w:val="17"/>
              </w:rPr>
              <w:t>11,483</w:t>
            </w:r>
          </w:p>
        </w:tc>
        <w:tc>
          <w:tcPr>
            <w:tcW w:type="dxa" w:w="1440"/>
            <w:shd w:fill="FAFAFA" w:val="clear"/>
          </w:tcPr>
          <w:p>
            <w:r>
              <w:rPr>
                <w:sz w:val="17"/>
              </w:rPr>
              <w:t>12,333</w:t>
            </w:r>
          </w:p>
        </w:tc>
        <w:tc>
          <w:tcPr>
            <w:tcW w:type="dxa" w:w="1440"/>
            <w:shd w:fill="FAFAFA" w:val="clear"/>
          </w:tcPr>
          <w:p>
            <w:r>
              <w:rPr>
                <w:b/>
                <w:color w:val="008000"/>
                <w:sz w:val="17"/>
              </w:rPr>
              <w:t>+0.9%</w:t>
            </w:r>
          </w:p>
        </w:tc>
      </w:tr>
      <w:tr>
        <w:tc>
          <w:tcPr>
            <w:tcW w:type="dxa" w:w="1440"/>
            <w:shd w:fill="FAFAFA" w:val="clear"/>
          </w:tcPr>
          <w:p>
            <w:r>
              <w:rPr>
                <w:sz w:val="17"/>
              </w:rPr>
              <w:t>J+8  Moyenne</w:t>
            </w:r>
          </w:p>
        </w:tc>
        <w:tc>
          <w:tcPr>
            <w:tcW w:type="dxa" w:w="1440"/>
            <w:shd w:fill="FAFAFA" w:val="clear"/>
          </w:tcPr>
          <w:p>
            <w:r>
              <w:rPr>
                <w:sz w:val="17"/>
              </w:rPr>
              <w:t>2026-10-26</w:t>
            </w:r>
          </w:p>
        </w:tc>
        <w:tc>
          <w:tcPr>
            <w:tcW w:type="dxa" w:w="1440"/>
            <w:shd w:fill="FAFAFA" w:val="clear"/>
          </w:tcPr>
          <w:p>
            <w:r>
              <w:rPr>
                <w:sz w:val="17"/>
              </w:rPr>
              <w:t>10,585</w:t>
            </w:r>
          </w:p>
        </w:tc>
        <w:tc>
          <w:tcPr>
            <w:tcW w:type="dxa" w:w="1440"/>
            <w:shd w:fill="FAFAFA" w:val="clear"/>
          </w:tcPr>
          <w:p>
            <w:r>
              <w:rPr>
                <w:b/>
                <w:sz w:val="17"/>
              </w:rPr>
              <w:t>11,495</w:t>
            </w:r>
          </w:p>
        </w:tc>
        <w:tc>
          <w:tcPr>
            <w:tcW w:type="dxa" w:w="1440"/>
            <w:shd w:fill="FAFAFA" w:val="clear"/>
          </w:tcPr>
          <w:p>
            <w:r>
              <w:rPr>
                <w:sz w:val="17"/>
              </w:rPr>
              <w:t>12,404</w:t>
            </w:r>
          </w:p>
        </w:tc>
        <w:tc>
          <w:tcPr>
            <w:tcW w:type="dxa" w:w="1440"/>
            <w:shd w:fill="FAFAFA" w:val="clear"/>
          </w:tcPr>
          <w:p>
            <w:r>
              <w:rPr>
                <w:b/>
                <w:color w:val="008000"/>
                <w:sz w:val="17"/>
              </w:rPr>
              <w:t>+1.0%</w:t>
            </w:r>
          </w:p>
        </w:tc>
      </w:tr>
      <w:tr>
        <w:tc>
          <w:tcPr>
            <w:tcW w:type="dxa" w:w="1440"/>
            <w:shd w:fill="FAFAFA" w:val="clear"/>
          </w:tcPr>
          <w:p>
            <w:r>
              <w:rPr>
                <w:sz w:val="17"/>
              </w:rPr>
              <w:t>J+9  Moyenne</w:t>
            </w:r>
          </w:p>
        </w:tc>
        <w:tc>
          <w:tcPr>
            <w:tcW w:type="dxa" w:w="1440"/>
            <w:shd w:fill="FAFAFA" w:val="clear"/>
          </w:tcPr>
          <w:p>
            <w:r>
              <w:rPr>
                <w:sz w:val="17"/>
              </w:rPr>
              <w:t>2026-10-27</w:t>
            </w:r>
          </w:p>
        </w:tc>
        <w:tc>
          <w:tcPr>
            <w:tcW w:type="dxa" w:w="1440"/>
            <w:shd w:fill="FAFAFA" w:val="clear"/>
          </w:tcPr>
          <w:p>
            <w:r>
              <w:rPr>
                <w:sz w:val="17"/>
              </w:rPr>
              <w:t>10,540</w:t>
            </w:r>
          </w:p>
        </w:tc>
        <w:tc>
          <w:tcPr>
            <w:tcW w:type="dxa" w:w="1440"/>
            <w:shd w:fill="FAFAFA" w:val="clear"/>
          </w:tcPr>
          <w:p>
            <w:r>
              <w:rPr>
                <w:b/>
                <w:sz w:val="17"/>
              </w:rPr>
              <w:t>11,506</w:t>
            </w:r>
          </w:p>
        </w:tc>
        <w:tc>
          <w:tcPr>
            <w:tcW w:type="dxa" w:w="1440"/>
            <w:shd w:fill="FAFAFA" w:val="clear"/>
          </w:tcPr>
          <w:p>
            <w:r>
              <w:rPr>
                <w:sz w:val="17"/>
              </w:rPr>
              <w:t>12,472</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2026-10-28</w:t>
            </w:r>
          </w:p>
        </w:tc>
        <w:tc>
          <w:tcPr>
            <w:tcW w:type="dxa" w:w="1440"/>
            <w:shd w:fill="FAFAFA" w:val="clear"/>
          </w:tcPr>
          <w:p>
            <w:r>
              <w:rPr>
                <w:sz w:val="17"/>
              </w:rPr>
              <w:t>10,498</w:t>
            </w:r>
          </w:p>
        </w:tc>
        <w:tc>
          <w:tcPr>
            <w:tcW w:type="dxa" w:w="1440"/>
            <w:shd w:fill="FAFAFA" w:val="clear"/>
          </w:tcPr>
          <w:p>
            <w:r>
              <w:rPr>
                <w:b/>
                <w:sz w:val="17"/>
              </w:rPr>
              <w:t>11,517</w:t>
            </w:r>
          </w:p>
        </w:tc>
        <w:tc>
          <w:tcPr>
            <w:tcW w:type="dxa" w:w="1440"/>
            <w:shd w:fill="FAFAFA" w:val="clear"/>
          </w:tcPr>
          <w:p>
            <w:r>
              <w:rPr>
                <w:sz w:val="17"/>
              </w:rPr>
              <w:t>12,536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COTE D'IVOIRE)**</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455,20 milliards FCFA, BOAC s'impose comme l'une des principales capitalisations bancaires de la BRVM, reflétant sa solidité et son poids dans l'indice BRVM Composite. Le BPA de 888 FCFA par action (contre 801 FCFA en 2024) traduit une rentabilité nette en progression de +10,9%, offrant aux actionnaires un bénéfice substantiel par titre détenu. Le PER de 12,8x se situe légèrement au-dessus de la moyenne BRVM (8-12x), suggérant une valorisation modérée mais non excessive, cohérente avec la qualité des fondamentaux. Le P/B de 3,57x indique que le marché valorise la banque à plus de trois fois sa valeur comptable (capitaux propres de 127,34 Mds FCFA), traduisant une prime de croissance et de rentabilité (ROE de 27,9%). En revanche, l'EV/EBITDA de 26,4x apparaît très exigeant, signalant que la valeur d'entreprise intègre déjà une forte anticipation de croissance opérationnelle — un niveau qui laisse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affiche une performance remarquable de +28,15%, portant le cours à 11 380 FCFA, malgré un léger repli de -0,13% lors de la dernière séance (J-1). Le range de trading est particulièrement large, avec un plus haut à 13 450 FCFA et un plus bas à 8 800 FCFA, soit une amplitude de 52,8% qui témoigne d'une forte dynamique haussière entrecoupée de corrections significatives. La tendance générale reste clairement haussière, soutenue par des volumes moyens quotidiens de 10 678 titres, indiquant un intérêt soutenu des investisseurs. Les statistiques descriptives révèlent une moyenne de 10 743 FCFA légèrement inférieure à la médiane de 11 045 FCFA, suggérant une asymétrie mineure vers les valeurs basses, tandis que le mode à 11 600 FCFA indique un niveau de consolidation fréquent. L'écart-type de 1 484 FCFA (CV de 13,8%) traduit une dispersion modérée du cours autour de sa moyenne, avec une volatilité annualisée de 28,0% — positionnant le titre dans la catégorie à volatilité modérée à élevée (15-30%). Le kurtosis négatif (-1,443, distribution platykurtique) indique une distribution aplatie avec une faible concentration autour de la moyenne et un risque de pics moins prononcé qu'une loi normale, tandis que le skewness quasi nul (0,104) confirme une distribution globalement symétrique, sans biais directionnel marqué.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(11 380 FCFA) se situe en dessous de la MM20 (11 481,75 FCFA) et nettement sous la MM50 (12 074,5 FCFA), confirmant une pression baissière de court terme. La décision technique est à la vente, la MM20 ayant croisé sous la MM50, signalant un affaiblissement de la tendance haussière antérieure.</w:t>
      </w:r>
    </w:p>
    <w:p>
      <w:pPr>
        <w:spacing w:after="120" w:line="276" w:lineRule="auto"/>
      </w:pPr>
      <w:r>
        <w:t>**Bandes de Bollinger** : Le cours (11 380 FCFA) évolue dans la partie médiane des bandes, entre la borne inférieure (10 915,095 FCFA) et la borne supérieure (12 048,405 FCFA). La décision est neutre, le cours n'étant ni en zone de surachat ni de survente, avec une volatilité stable reflétée par l'écartement modéré des bandes.</w:t>
      </w:r>
    </w:p>
    <w:p>
      <w:pPr>
        <w:spacing w:after="120" w:line="276" w:lineRule="auto"/>
      </w:pPr>
      <w:r>
        <w:t>**MACD** : La valeur du MACD (-173,792) est supérieure à son signal (-179,897), générant un croisement haussier et une décision d'achat. Ce signal positif indique un ralentissement de la dynamique baissière et un possible retournement du momentum à court terme.</w:t>
      </w:r>
    </w:p>
    <w:p>
      <w:pPr>
        <w:spacing w:after="120" w:line="276" w:lineRule="auto"/>
      </w:pPr>
      <w:r>
        <w:t>**RSI** : À 68,125, le RSI se situe en zone neutre haute, proche du seuil de surachat (70). La décision est neutre, le titre conservant un potentiel haussier limité sans être techniquement suracheté, ce qui suggère une prudence à court terme.</w:t>
      </w:r>
    </w:p>
    <w:p>
      <w:pPr>
        <w:spacing w:after="120" w:line="276" w:lineRule="auto"/>
      </w:pPr>
      <w:r>
        <w:t>**Stochastique** : Le %K (30,159) est nettement inférieur au %D (62,97), signalant une divergence baissière et une décision neutre. Le croisement des lignes reste défavorable, le %K évoluant en zone basse sans signal clair de retournement.</w:t>
      </w:r>
    </w:p>
    <w:p>
      <w:pPr>
        <w:spacing w:after="120" w:line="276" w:lineRule="auto"/>
      </w:pPr>
      <w:r>
        <w:t>**Conclusion technique** : Les indicateurs présentent des signaux divergents — le MACD est haussier tandis que les moyennes mobiles et le stochastique sont baissiers, et le RSI/Bollinger restent neutres. Cette configuration suggère une phase de consolidation avec un biais baissier de court terme, le titre peinant à retrouver sa dynamique haussière antérieure. La prudence est de mise avant tout positionnement directionnel.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BOAC a enregistré un Produit Net Bancaire (PNB) de 73 545 millions FCFA, en hausse de +1,1% par rapport à 2024 (72 724 millions), avec un résultat net de 35 540 millions FCFA en progression de +10,9% (contre 32 045 millions en 2024), portant le BPA à 888 FCFA. La rentabilité demeure exceptionnelle avec un ROE de 27,91% (largement supérieur au seuil de 15% considéré comme excellent) et un ROA de 3,22%, tandis que le coefficient d'exploitation de 36,70% confirme l'efficacité opérationnelle de la banque (seuil d'excellence &lt; 50%). Le coût du risque, mesuré à 6,67% des charges financières, s'est amélioré avec des provisions en baisse de -27,8% (4 902 millions contre 6 791 millions en 2024), bien que le taux de sinistralité du portefeuille reste élevé à 8,59% avec une hausse de +52,1% des créances en souffrance — un point de vigilance majeur. La structure bilancielle affiche des dépôts clientèle de 850 548 millions FCFA (principale ressource) face à des créances clientèle de 430 433 millions, soit un ratio de transformation de 50,6%, et une trésorerie nette de 161 550 millions FCFA. Le rapport trimestriel T1 2026 (publié le 31/03/2026) révèle un PNB de 18 960 millions FCFA (+3,09% sur un an) et un résultat net de 10 801 millions FCFA (+0,91%), mais surtout une explosion du coût net du risque de +314,75% (-652 vs -157 millions FCFA) — une dégradation brutale qui, si elle se confirme, pourrait peser sur les trimestres suivants. Le rapport d'examen limité des commissaires aux comptes (Forvis Mazars et Eritedge, émis le 30/09/2026) sur les états financiers semestriels au 30/06/2026 confirme l'absence d'anomalie significative, validant la sincérité des comptes. La politique de dividende, avec 684 FCFA par action distribués au titre de 2024 (taux de distribution de 65%), offre un rendement attractif de 6,0% au cours actuel de 11 380 FCFA. **Recommandation fondamentale** : la solidité financière, la rentabilité élevée et la politique de dividende généreuse soutiennent une opinion positive, mais la dégradation du coût du risque et la hausse des créances en souffrance appellent à la vigilance, justifiant une recommandation de **CONSERVER** avec un biais positif.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(Partie 0) apparaît modérément exigeante avec un PER de 12,8x légèrement supérieur à la moyenne BRVM et un EV/EBITDA de 26,4x très élevé, bien que le P/B de 3,57x et le ROE de 27,9% justifient une prime de qualité. Le comportement du cours (Partie 1) révèle une tendance haussière de long terme (+28,15% sur 100 jours) mais une correction récente, avec une volatilité modérée (28%) et une distribution symétrique (skewness 0,104) sans risque de pics extrêmes (kurtosis -1,443). Les signaux techniques (Partie 2) sont mitigés : le MACD est haussier mais les moyennes mobiles et le stochastique sont baissiers, le RSI et les Bollinger restant neutres — une configuration de consolidation sans direction claire. Les fondamentaux (Partie 3) demeurent solides avec un ROE de 27,9%, un coefficient d'exploitation de 36,7% et un dividende attractif, mais la dégradation du coût du risque au T1 2026 (+314,75%) constitue un signal d'alerte. Les prédictions IA (J+1 à J+10) anticipent une légère reprise vers 11 457 FCFA d'ici le 21/10/2026, confirmant la stabilité à court terme sans rupture haussière majeure. **Recommandation finale : CONSERVER** — la convergence entre valorisation raisonnable, fondamentaux solides et prédictions stables soutient cette position, mais la divergence des signaux techniques et la dégradation du coût du risque empêchent un passage à l'achat. Le niveau de confiance est **Moyen** (signaux divergents) et le risque global **Moyen** (volatilité modérée, risque de crédit en hausse). L'horizon d'investissement optimal est le **moyen terme (3-12 mois)**, le temps que la banque confirme la maîtrise de son coût du risque et que les indicateurs techniques se réalignent.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164.56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6,887 titres</w:t>
            </w:r>
          </w:p>
        </w:tc>
        <w:tc>
          <w:tcPr>
            <w:tcW w:type="dxa" w:w="2268"/>
            <w:shd w:fill="FFF2CC" w:val="clear"/>
          </w:tcPr>
          <w:p>
            <w:r>
              <w:rPr>
                <w:b/>
                <w:color w:val="503200"/>
                <w:sz w:val="16"/>
              </w:rPr>
              <w:t xml:space="preserve">Cours actuel : </w:t>
            </w:r>
            <w:r>
              <w:rPr>
                <w:color w:val="000000"/>
                <w:sz w:val="17"/>
              </w:rPr>
              <w:t>5,995 FCFA</w:t>
            </w:r>
          </w:p>
          <w:p>
            <w:r>
              <w:rPr>
                <w:b/>
                <w:color w:val="503200"/>
                <w:sz w:val="16"/>
              </w:rPr>
              <w:t xml:space="preserve">Var. 100 jours : </w:t>
            </w:r>
            <w:r>
              <w:rPr>
                <w:b/>
                <w:color w:val="007800"/>
                <w:sz w:val="17"/>
              </w:rPr>
              <w:t>+21.36%</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13.12% (Moyenne) — μ=5,696 FCFA, σ=747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β=1.3431 (Agressif) — Cov=0.000100, Var(idx)=0.000075, ρ=0.421,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6,887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5,572</w:t>
            </w:r>
          </w:p>
        </w:tc>
        <w:tc>
          <w:tcPr>
            <w:tcW w:type="dxa" w:w="1440"/>
            <w:shd w:fill="FAFAFA" w:val="clear"/>
          </w:tcPr>
          <w:p>
            <w:r>
              <w:rPr>
                <w:b/>
                <w:sz w:val="17"/>
              </w:rPr>
              <w:t>5,902</w:t>
            </w:r>
          </w:p>
        </w:tc>
        <w:tc>
          <w:tcPr>
            <w:tcW w:type="dxa" w:w="1440"/>
            <w:shd w:fill="FAFAFA" w:val="clear"/>
          </w:tcPr>
          <w:p>
            <w:r>
              <w:rPr>
                <w:sz w:val="17"/>
              </w:rPr>
              <w:t>6,231</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2026-10-16</w:t>
            </w:r>
          </w:p>
        </w:tc>
        <w:tc>
          <w:tcPr>
            <w:tcW w:type="dxa" w:w="1440"/>
            <w:shd w:fill="FFDCE0" w:val="clear"/>
          </w:tcPr>
          <w:p>
            <w:r>
              <w:rPr>
                <w:sz w:val="17"/>
              </w:rPr>
              <w:t>5,368</w:t>
            </w:r>
          </w:p>
        </w:tc>
        <w:tc>
          <w:tcPr>
            <w:tcW w:type="dxa" w:w="1440"/>
            <w:shd w:fill="FFDCE0" w:val="clear"/>
          </w:tcPr>
          <w:p>
            <w:r>
              <w:rPr>
                <w:b/>
                <w:sz w:val="17"/>
              </w:rPr>
              <w:t>5,828</w:t>
            </w:r>
          </w:p>
        </w:tc>
        <w:tc>
          <w:tcPr>
            <w:tcW w:type="dxa" w:w="1440"/>
            <w:shd w:fill="FFDCE0" w:val="clear"/>
          </w:tcPr>
          <w:p>
            <w:r>
              <w:rPr>
                <w:sz w:val="17"/>
              </w:rPr>
              <w:t>6,288</w:t>
            </w:r>
          </w:p>
        </w:tc>
        <w:tc>
          <w:tcPr>
            <w:tcW w:type="dxa" w:w="1440"/>
            <w:shd w:fill="FFDCE0" w:val="clear"/>
          </w:tcPr>
          <w:p>
            <w:r>
              <w:rPr>
                <w:b/>
                <w:color w:val="C00000"/>
                <w:sz w:val="17"/>
              </w:rPr>
              <w:t>-2.8%</w:t>
            </w:r>
          </w:p>
        </w:tc>
      </w:tr>
      <w:tr>
        <w:tc>
          <w:tcPr>
            <w:tcW w:type="dxa" w:w="1440"/>
            <w:shd w:fill="FFDCE0" w:val="clear"/>
          </w:tcPr>
          <w:p>
            <w:r>
              <w:rPr>
                <w:sz w:val="17"/>
              </w:rPr>
              <w:t>J+3  Moyenne</w:t>
            </w:r>
          </w:p>
        </w:tc>
        <w:tc>
          <w:tcPr>
            <w:tcW w:type="dxa" w:w="1440"/>
            <w:shd w:fill="FFDCE0" w:val="clear"/>
          </w:tcPr>
          <w:p>
            <w:r>
              <w:rPr>
                <w:sz w:val="17"/>
              </w:rPr>
              <w:t>2026-10-19</w:t>
            </w:r>
          </w:p>
        </w:tc>
        <w:tc>
          <w:tcPr>
            <w:tcW w:type="dxa" w:w="1440"/>
            <w:shd w:fill="FFDCE0" w:val="clear"/>
          </w:tcPr>
          <w:p>
            <w:r>
              <w:rPr>
                <w:sz w:val="17"/>
              </w:rPr>
              <w:t>5,210</w:t>
            </w:r>
          </w:p>
        </w:tc>
        <w:tc>
          <w:tcPr>
            <w:tcW w:type="dxa" w:w="1440"/>
            <w:shd w:fill="FFDCE0" w:val="clear"/>
          </w:tcPr>
          <w:p>
            <w:r>
              <w:rPr>
                <w:b/>
                <w:sz w:val="17"/>
              </w:rPr>
              <w:t>5,768</w:t>
            </w:r>
          </w:p>
        </w:tc>
        <w:tc>
          <w:tcPr>
            <w:tcW w:type="dxa" w:w="1440"/>
            <w:shd w:fill="FFDCE0" w:val="clear"/>
          </w:tcPr>
          <w:p>
            <w:r>
              <w:rPr>
                <w:sz w:val="17"/>
              </w:rPr>
              <w:t>6,325</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5,075</w:t>
            </w:r>
          </w:p>
        </w:tc>
        <w:tc>
          <w:tcPr>
            <w:tcW w:type="dxa" w:w="1440"/>
            <w:shd w:fill="FFDCE0" w:val="clear"/>
          </w:tcPr>
          <w:p>
            <w:r>
              <w:rPr>
                <w:b/>
                <w:sz w:val="17"/>
              </w:rPr>
              <w:t>5,713</w:t>
            </w:r>
          </w:p>
        </w:tc>
        <w:tc>
          <w:tcPr>
            <w:tcW w:type="dxa" w:w="1440"/>
            <w:shd w:fill="FFDCE0" w:val="clear"/>
          </w:tcPr>
          <w:p>
            <w:r>
              <w:rPr>
                <w:sz w:val="17"/>
              </w:rPr>
              <w:t>6,350</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4,955</w:t>
            </w:r>
          </w:p>
        </w:tc>
        <w:tc>
          <w:tcPr>
            <w:tcW w:type="dxa" w:w="1440"/>
            <w:shd w:fill="FFDCE0" w:val="clear"/>
          </w:tcPr>
          <w:p>
            <w:r>
              <w:rPr>
                <w:b/>
                <w:sz w:val="17"/>
              </w:rPr>
              <w:t>5,661</w:t>
            </w:r>
          </w:p>
        </w:tc>
        <w:tc>
          <w:tcPr>
            <w:tcW w:type="dxa" w:w="1440"/>
            <w:shd w:fill="FFDCE0" w:val="clear"/>
          </w:tcPr>
          <w:p>
            <w:r>
              <w:rPr>
                <w:sz w:val="17"/>
              </w:rPr>
              <w:t>6,367</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4,845</w:t>
            </w:r>
          </w:p>
        </w:tc>
        <w:tc>
          <w:tcPr>
            <w:tcW w:type="dxa" w:w="1440"/>
            <w:shd w:fill="FFDCE0" w:val="clear"/>
          </w:tcPr>
          <w:p>
            <w:r>
              <w:rPr>
                <w:b/>
                <w:sz w:val="17"/>
              </w:rPr>
              <w:t>5,612</w:t>
            </w:r>
          </w:p>
        </w:tc>
        <w:tc>
          <w:tcPr>
            <w:tcW w:type="dxa" w:w="1440"/>
            <w:shd w:fill="FFDCE0" w:val="clear"/>
          </w:tcPr>
          <w:p>
            <w:r>
              <w:rPr>
                <w:sz w:val="17"/>
              </w:rPr>
              <w:t>6,379</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4,743</w:t>
            </w:r>
          </w:p>
        </w:tc>
        <w:tc>
          <w:tcPr>
            <w:tcW w:type="dxa" w:w="1440"/>
            <w:shd w:fill="FFDCE0" w:val="clear"/>
          </w:tcPr>
          <w:p>
            <w:r>
              <w:rPr>
                <w:b/>
                <w:sz w:val="17"/>
              </w:rPr>
              <w:t>5,565</w:t>
            </w:r>
          </w:p>
        </w:tc>
        <w:tc>
          <w:tcPr>
            <w:tcW w:type="dxa" w:w="1440"/>
            <w:shd w:fill="FFDCE0" w:val="clear"/>
          </w:tcPr>
          <w:p>
            <w:r>
              <w:rPr>
                <w:sz w:val="17"/>
              </w:rPr>
              <w:t>6,386</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4,649</w:t>
            </w:r>
          </w:p>
        </w:tc>
        <w:tc>
          <w:tcPr>
            <w:tcW w:type="dxa" w:w="1440"/>
            <w:shd w:fill="FFDCE0" w:val="clear"/>
          </w:tcPr>
          <w:p>
            <w:r>
              <w:rPr>
                <w:b/>
                <w:sz w:val="17"/>
              </w:rPr>
              <w:t>5,520</w:t>
            </w:r>
          </w:p>
        </w:tc>
        <w:tc>
          <w:tcPr>
            <w:tcW w:type="dxa" w:w="1440"/>
            <w:shd w:fill="FFDCE0" w:val="clear"/>
          </w:tcPr>
          <w:p>
            <w:r>
              <w:rPr>
                <w:sz w:val="17"/>
              </w:rPr>
              <w:t>6,391</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4,560</w:t>
            </w:r>
          </w:p>
        </w:tc>
        <w:tc>
          <w:tcPr>
            <w:tcW w:type="dxa" w:w="1440"/>
            <w:shd w:fill="FFDCE0" w:val="clear"/>
          </w:tcPr>
          <w:p>
            <w:r>
              <w:rPr>
                <w:b/>
                <w:sz w:val="17"/>
              </w:rPr>
              <w:t>5,477</w:t>
            </w:r>
          </w:p>
        </w:tc>
        <w:tc>
          <w:tcPr>
            <w:tcW w:type="dxa" w:w="1440"/>
            <w:shd w:fill="FFDCE0" w:val="clear"/>
          </w:tcPr>
          <w:p>
            <w:r>
              <w:rPr>
                <w:sz w:val="17"/>
              </w:rPr>
              <w:t>6,394</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4,477</w:t>
            </w:r>
          </w:p>
        </w:tc>
        <w:tc>
          <w:tcPr>
            <w:tcW w:type="dxa" w:w="1440"/>
            <w:shd w:fill="FFDCE0" w:val="clear"/>
          </w:tcPr>
          <w:p>
            <w:r>
              <w:rPr>
                <w:b/>
                <w:sz w:val="17"/>
              </w:rPr>
              <w:t>5,436</w:t>
            </w:r>
          </w:p>
        </w:tc>
        <w:tc>
          <w:tcPr>
            <w:tcW w:type="dxa" w:w="1440"/>
            <w:shd w:fill="FFDCE0" w:val="clear"/>
          </w:tcPr>
          <w:p>
            <w:r>
              <w:rPr>
                <w:sz w:val="17"/>
              </w:rPr>
              <w:t>6,396</w:t>
            </w:r>
          </w:p>
        </w:tc>
        <w:tc>
          <w:tcPr>
            <w:tcW w:type="dxa" w:w="1440"/>
            <w:shd w:fill="FFDCE0" w:val="clear"/>
          </w:tcPr>
          <w:p>
            <w:r>
              <w:rPr>
                <w:b/>
                <w:color w:val="C00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164,56 milliards FCFA, BOA Mali se positionne comme une valeur de taille intermédiaire sur la BRVM, représentant un poids significatif dans l'indice sectoriel bancaire. Le BPA de 404 FCFA/action signifie que chaque titre génère près de 404 FCFA de bénéfice net annuel, ce qui, rapporté au cours actuel de 5 995 FCFA, confère un PER de 14,9x — légèrement supérieur à la moyenne BRVM (8-12x), traduisant une prime de qualité modérée mais non excessive. Le ratio P/B de 3,30x indique que le marché valorise la banque à plus de trois fois sa valeur comptable, ce qui est cohérent avec un ROE élevé (22,2%) et une prime de croissance accordée par les investisseurs. Enfin, l'EV/EBITDA de 7,6x, situé dans la fourchette raisonnable de 5-10x, suggère que la valeur totale de l'entreprise reste proportionnée à sa capacité opérationnelle, sans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affiche une performance remarquable de **+21,36%**, bien que la dernière séance (J-1) ait enregistré un repli de **-1,72%**, signalant une prise de bénéfices après le rallye. Le cours actuel de 5 995 FCFA se situe dans la partie médiane du range de trading, le plus haut ayant atteint 7 195 FCFA et le plus bas 4 425 FCFA — soit une amplitude de 62,6% qui témoigne d'une forte volatilité directionnelle. La tendance générale reste haussière sur la période, portée par des fondamentaux solides et un intérêt croissant pour les valeurs bancaires de la zone UEMOA. Les statistiques descriptives révèlent une moyenne (5 696 FCFA) légèrement supérieure à la médiane (5 678 FCFA), avec un écart minime de 18 FCFA qui, combiné à un skewness de 0,044 (quasi nul), confirme une distribution symétrique du cours — les hausses et baisses sont équilibrées. L'écart-type de 751 FCFA (CV=13,2%) indique une dispersion modérée autour de la moyenne, tandis que le kurtosis de -0,939 (mésokurtique) suggère une absence de pics extrêmes, donc un risque de queue de distribution limité. La volatilité annualisée de **43,1%** classe le titre dans la catégorie **élevée** (&gt;30%), ce qui est caractéristique des valeurs bancaires africaines mais nécessite une gestion active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(6 175,25 FCFA) et la MM50 (6 301,90 FCFA) se situent toutes deux au-dessus du cours actuel (5 995 FCFA), avec la MM20 en dessous de la MM50 — configuration baissière classique. Le cours évolue sous ses moyennes mobiles, confirmant la pression vendeuse à court terme et justifiant la décision technique de **Vente**.</w:t>
      </w:r>
    </w:p>
    <w:p>
      <w:pPr>
        <w:spacing w:after="120" w:line="276" w:lineRule="auto"/>
      </w:pPr>
      <w:r>
        <w:t>**Bandes de Bollinger** : Le cours (5 995 FCFA) se situe entre la borne inférieure (5 484,14 FCFA) et la borne supérieure (6 866,36 FCFA), plus proche de la borne basse que de la haute. Cette position médiane-basse, dans un contexte de bandes relativement larges, traduit une volatilité élevée sans signal directionnel fort, d'où la décision **Neutre**.</w:t>
      </w:r>
    </w:p>
    <w:p>
      <w:pPr>
        <w:spacing w:after="120" w:line="276" w:lineRule="auto"/>
      </w:pPr>
      <w:r>
        <w:t>**MACD** : La valeur du MACD (-94,94) est inférieure à son signal (-80,37), confirmant un momentum baissier. La divergence négative entre les deux lignes indique que la pression vendeuse persiste, justifiant la décision de **Vente**.</w:t>
      </w:r>
    </w:p>
    <w:p>
      <w:pPr>
        <w:spacing w:after="120" w:line="276" w:lineRule="auto"/>
      </w:pPr>
      <w:r>
        <w:t>**RSI** : À 68,29, le RSI se situe en zone neutre haute, proche du seuil de surachat (70) sans l'atteindre. Cette configuration suggère que le titre conserve un potentiel haussier résiduel mais approche d'une zone de prudence, d'où la décision **Neutre**.</w:t>
      </w:r>
    </w:p>
    <w:p>
      <w:pPr>
        <w:spacing w:after="120" w:line="276" w:lineRule="auto"/>
      </w:pPr>
      <w:r>
        <w:t>**Stochastique** : Le %K (28,05) est nettement inférieur au %D (60,57), avec un croisement baissier en cours. Le %K en zone basse indique une possible survente à court terme, mais le croisement des lignes reste défavorable, justifiant la décision **Neutre**.</w:t>
      </w:r>
    </w:p>
    <w:p>
      <w:pPr>
        <w:spacing w:after="120" w:line="276" w:lineRule="auto"/>
      </w:pPr>
      <w:r>
        <w:t>**Conclusion technique** : Les indicateurs techniques présentent un tableau mitigé à baissier. Les moyennes mobiles et le MACD confirment une pression vendeuse, tandis que le RSI et le stochastique suggèrent une possible accalmie. Le cours évolue dans un range médian-bas des bandes de Bollinger, sans signal d'achat clair. La convergence des signaux baissiers (MM, MACD) et neutres (Bollinger, RSI, Stochastique) plaide pour une **prudence à court terme**, avec un risque de consolidation vers les 5 500-5 700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BOA Mali affiche un Produit Net Bancaire (PNB) de **37,996 milliards FCFA** en 2025, en croissance de **+5,08%** par rapport à 2024, confirmant la dynamique commerciale de la banque. Le résultat net s'établit à **11,081 milliards FCFA**, soit une marge nette de **29,16%** — un niveau exceptionnel pour le secteur bancaire. Le ROE de **22,24%** (&gt;15% = excellent) et le ROA de **1,87%** témoignent d'une rentabilité des fonds propres et des actifs remarquable. Le coefficient d'exploitation de **63,14%** reste légèrement supérieur au seuil de 60% (banque efficace), indiquant une marge d'amélioration opérationnelle. Le coût du risque, mesuré à **43,39%** des charges financières, demeure élevé et constitue le principal point de vigilance. La structure financière affiche une autonomie financière de **8,40%** (faible) et une dépendance financière de **91,60%**, typique d'une banque mais nécessitant une surveillance. Le ratio de solvabilité générale (109,16%) et la couverture des intérêts (89,00%) restent satisfaisants. Le portefeuille de crédits (253,65 milliards FCFA) est largement financé par les dépôts clientèle (502,89 milliards FCFA), avec un ratio dépôts/crédits de 198%, traduisant une surliquidité structurelle.</w:t>
      </w:r>
    </w:p>
    <w:p>
      <w:pPr>
        <w:spacing w:after="120" w:line="276" w:lineRule="auto"/>
      </w:pPr>
      <w:r>
        <w:t>**Estimations basées sur les rapports trimestriels** : Le rapport du **T1 2026 (publié le 31/03/2026)** révèle un PNB de **10,322 milliards FCFA**, en hausse de **+22,97%** sur un an — une accélération spectaculaire par rapport à la croissance annuelle 2025 (+5,08%). Le rapport du **S1 2026 (publié le 30/06/2026)** confirme cette dynamique avec un PNB de **21,987 milliards FCFA**, en progression de **+17,5%** sur un an. Sur la base de ces tendances, on estime que l'exercice 2026 devrait enregistrer un PNB annuel compris entre **42 et 44 milliards FCFA**, soit une croissance de **+10 à +15%** — nettement supérieure à celle de 2025. Le rapport du **S1 2025 (publié le 30/06/2025)** indiquait déjà un résultat net de **6,21 milliards FCFA** (+28,8%), et le **T3 2025 (publié le 30/09/2025)** un résultat net cumulé de **9,16 milliards FCFA** (+26,2%), confirmant la trajectoire haussière de la profitabilité. Le rapport annuel 2024 certifié (publié le 31/12/2024) faisait état d'un ROE de **21,1%** et d'un ROA de **1,66%**, en amélioration continue.</w:t>
      </w:r>
    </w:p>
    <w:p>
      <w:pPr>
        <w:spacing w:after="120" w:line="276" w:lineRule="auto"/>
      </w:pPr>
      <w:r>
        <w:t>**Recommandation fondamentale** : BOA Mali présente des fondamentaux **solides et en amélioration**, portés par une croissance accélérée du PNB en 2026, une rentabilité exceptionnelle (ROE &gt;22%) et une gestion prudente des risques. Les principaux risques identifiés sont le coût du risque élevé (43,39%), la dépendance financière (91,60%) et l'exposition au contexte macroéconomique et sécuritaire malien. La dynamique des rapports trimestriels 2026 suggère une **révision à la hausse des estimations annuelles**, ce qui pourrait justifier une revalorisation du titre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notable** entre les signaux techniques à court terme et les fondamentaux à moyen terme. La **valorisation (Partie 0)** est modérément tendue (PER 14,9x vs moyenne BRVM 8-12x ; P/B 3,30x), mais justifiée par un ROE de 22,24% et une croissance accélérée. Le **comportement du cours (Partie 1)** affiche une tendance haussière (+21,36% sur 100 jours) avec une volatilité élevée (43,1%) et une distribution symétrique (skewness 0,044) sans risque de pics extrêmes (kurtosis -0,939), ce qui est globalement favorable malgré le repli de J-1 (-1,72%). Les **signaux techniques (Partie 2)** sont majoritairement baissiers à neutres (MM et MACD en Vente, Bollinger/RSI/Stochastique neutres), suggérant une consolidation à court terme. Les **fondamentaux (Partie 3)** sont excellents : PNB 2025 de 37,996 Mds FCFA (+5,08%), résultat net de 11,081 Mds FCFA, ROE de 22,24%, et surtout une **accélération en 2026** (PNB T1 +22,97%, S1 +17,5%) qui laisse présager un exercice record. Les **prédictions IA (J+1 à J+10)** anticipent une poursuite de la correction baissière (5 902 → 5 661 FCFA, soit -4,1% sur 5 séances), confirmant les signaux techniques baissiers à court terme.</w:t>
      </w:r>
    </w:p>
    <w:p>
      <w:pPr>
        <w:spacing w:after="120" w:line="276" w:lineRule="auto"/>
      </w:pPr>
      <w:r>
        <w:t>**Recommandation finale : CONSERVER (avec opportunité d'achat sur repli)**</w:t>
      </w:r>
    </w:p>
    <w:p>
      <w:pPr>
        <w:spacing w:after="120" w:line="276" w:lineRule="auto"/>
      </w:pPr>
      <w:r>
        <w:t>La convergence entre les signaux techniques baissiers et les prédictions IA négatives suggère une **poursuite de la consolidation à court terme**, avec un support potentiel vers 5 500-5 700 FCFA. Cependant, les fondamentaux exceptionnels (ROE &gt;22%, croissance du PNB accélérée en 2026) et la valorisation raisonnable (PER 14,9x) plaident pour une **stratégie d'accumulation sur repli**. Les investisseurs déjà positionnés peuvent conserver leurs titres en vue d'une revalorisation à moyen terme, tandis que les nouveaux entrants devraient attendre une stabilisation technique avant d'initier une position.</w:t>
      </w:r>
    </w:p>
    <w:p>
      <w:pPr>
        <w:spacing w:after="120" w:line="276" w:lineRule="auto"/>
      </w:pPr>
      <w:r>
        <w:t>- **Niveau de confiance** : Moyen (divergence technique/fondamental)</w:t>
        <w:br/>
        <w:t>- **Niveau de risque global** : Moyen à Élevé (volatilité 43,1%, contexte malien)</w:t>
        <w:br/>
        <w:t>- **Horizon d'investissement optimal** : Moyen terme (3-12 mois), avec un potentiel de revalorisation lié à la publication des résultats annuels 2026</w:t>
      </w:r>
    </w:p>
    <w:p>
      <w:pPr>
        <w:spacing w:after="120" w:line="276" w:lineRule="auto"/>
      </w:pPr>
      <w:r>
        <w:t>---</w:t>
      </w:r>
    </w:p>
    <w:p>
      <w:pPr>
        <w:spacing w:after="120" w:line="276" w:lineRule="auto"/>
      </w:pPr>
      <w:r>
        <w:t>*Rapport généré le 14 octobre 2026 — Les données et analyses sont fournies à titre informatif et ne constituent pas un conseil en investissement.*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8,724 titres</w:t>
            </w:r>
          </w:p>
        </w:tc>
        <w:tc>
          <w:tcPr>
            <w:tcW w:type="dxa" w:w="2268"/>
            <w:shd w:fill="FFF2CC" w:val="clear"/>
          </w:tcPr>
          <w:p>
            <w:r>
              <w:rPr>
                <w:b/>
                <w:color w:val="503200"/>
                <w:sz w:val="16"/>
              </w:rPr>
              <w:t xml:space="preserve">Cours actuel : </w:t>
            </w:r>
            <w:r>
              <w:rPr>
                <w:color w:val="000000"/>
                <w:sz w:val="17"/>
              </w:rPr>
              <w:t>4,795 FCFA</w:t>
            </w:r>
          </w:p>
          <w:p>
            <w:r>
              <w:rPr>
                <w:b/>
                <w:color w:val="503200"/>
                <w:sz w:val="16"/>
              </w:rPr>
              <w:t xml:space="preserve">Var. 100 jours : </w:t>
            </w:r>
            <w:r>
              <w:rPr>
                <w:b/>
                <w:color w:val="007800"/>
                <w:sz w:val="17"/>
              </w:rPr>
              <w:t>+29.59%</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13.92% (Moyenne) — μ=4,756 FCFA, σ=662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β=1.3543 (Agressif) — Cov=0.000101, Var(idx)=0.000075, ρ=0.446,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8,724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4,459</w:t>
            </w:r>
          </w:p>
        </w:tc>
        <w:tc>
          <w:tcPr>
            <w:tcW w:type="dxa" w:w="1440"/>
            <w:shd w:fill="FAFAFA" w:val="clear"/>
          </w:tcPr>
          <w:p>
            <w:r>
              <w:rPr>
                <w:b/>
                <w:sz w:val="17"/>
              </w:rPr>
              <w:t>4,736</w:t>
            </w:r>
          </w:p>
        </w:tc>
        <w:tc>
          <w:tcPr>
            <w:tcW w:type="dxa" w:w="1440"/>
            <w:shd w:fill="FAFAFA" w:val="clear"/>
          </w:tcPr>
          <w:p>
            <w:r>
              <w:rPr>
                <w:sz w:val="17"/>
              </w:rPr>
              <w:t>5,012</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4,379</w:t>
            </w:r>
          </w:p>
        </w:tc>
        <w:tc>
          <w:tcPr>
            <w:tcW w:type="dxa" w:w="1440"/>
            <w:shd w:fill="FAFAFA" w:val="clear"/>
          </w:tcPr>
          <w:p>
            <w:r>
              <w:rPr>
                <w:b/>
                <w:sz w:val="17"/>
              </w:rPr>
              <w:t>4,773</w:t>
            </w:r>
          </w:p>
        </w:tc>
        <w:tc>
          <w:tcPr>
            <w:tcW w:type="dxa" w:w="1440"/>
            <w:shd w:fill="FAFAFA" w:val="clear"/>
          </w:tcPr>
          <w:p>
            <w:r>
              <w:rPr>
                <w:sz w:val="17"/>
              </w:rPr>
              <w:t>5,167</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4,313</w:t>
            </w:r>
          </w:p>
        </w:tc>
        <w:tc>
          <w:tcPr>
            <w:tcW w:type="dxa" w:w="1440"/>
            <w:shd w:fill="FAFAFA" w:val="clear"/>
          </w:tcPr>
          <w:p>
            <w:r>
              <w:rPr>
                <w:b/>
                <w:sz w:val="17"/>
              </w:rPr>
              <w:t>4,799</w:t>
            </w:r>
          </w:p>
        </w:tc>
        <w:tc>
          <w:tcPr>
            <w:tcW w:type="dxa" w:w="1440"/>
            <w:shd w:fill="FAFAFA" w:val="clear"/>
          </w:tcPr>
          <w:p>
            <w:r>
              <w:rPr>
                <w:sz w:val="17"/>
              </w:rPr>
              <w:t>5,284</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4,259</w:t>
            </w:r>
          </w:p>
        </w:tc>
        <w:tc>
          <w:tcPr>
            <w:tcW w:type="dxa" w:w="1440"/>
            <w:shd w:fill="FAFAFA" w:val="clear"/>
          </w:tcPr>
          <w:p>
            <w:r>
              <w:rPr>
                <w:b/>
                <w:sz w:val="17"/>
              </w:rPr>
              <w:t>4,822</w:t>
            </w:r>
          </w:p>
        </w:tc>
        <w:tc>
          <w:tcPr>
            <w:tcW w:type="dxa" w:w="1440"/>
            <w:shd w:fill="FAFAFA" w:val="clear"/>
          </w:tcPr>
          <w:p>
            <w:r>
              <w:rPr>
                <w:sz w:val="17"/>
              </w:rPr>
              <w:t>5,386</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4,213</w:t>
            </w:r>
          </w:p>
        </w:tc>
        <w:tc>
          <w:tcPr>
            <w:tcW w:type="dxa" w:w="1440"/>
            <w:shd w:fill="FAFAFA" w:val="clear"/>
          </w:tcPr>
          <w:p>
            <w:r>
              <w:rPr>
                <w:b/>
                <w:sz w:val="17"/>
              </w:rPr>
              <w:t>4,846</w:t>
            </w:r>
          </w:p>
        </w:tc>
        <w:tc>
          <w:tcPr>
            <w:tcW w:type="dxa" w:w="1440"/>
            <w:shd w:fill="FAFAFA" w:val="clear"/>
          </w:tcPr>
          <w:p>
            <w:r>
              <w:rPr>
                <w:sz w:val="17"/>
              </w:rPr>
              <w:t>5,478</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4,172</w:t>
            </w:r>
          </w:p>
        </w:tc>
        <w:tc>
          <w:tcPr>
            <w:tcW w:type="dxa" w:w="1440"/>
            <w:shd w:fill="FAFAFA" w:val="clear"/>
          </w:tcPr>
          <w:p>
            <w:r>
              <w:rPr>
                <w:b/>
                <w:sz w:val="17"/>
              </w:rPr>
              <w:t>4,869</w:t>
            </w:r>
          </w:p>
        </w:tc>
        <w:tc>
          <w:tcPr>
            <w:tcW w:type="dxa" w:w="1440"/>
            <w:shd w:fill="FAFAFA" w:val="clear"/>
          </w:tcPr>
          <w:p>
            <w:r>
              <w:rPr>
                <w:sz w:val="17"/>
              </w:rPr>
              <w:t>5,565</w:t>
            </w:r>
          </w:p>
        </w:tc>
        <w:tc>
          <w:tcPr>
            <w:tcW w:type="dxa" w:w="1440"/>
            <w:shd w:fill="FAFAFA" w:val="clear"/>
          </w:tcPr>
          <w:p>
            <w:r>
              <w:rPr>
                <w:b/>
                <w:color w:val="008000"/>
                <w:sz w:val="17"/>
              </w:rPr>
              <w:t>+1.5%</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4,136</w:t>
            </w:r>
          </w:p>
        </w:tc>
        <w:tc>
          <w:tcPr>
            <w:tcW w:type="dxa" w:w="1440"/>
            <w:shd w:fill="C6EFCE" w:val="clear"/>
          </w:tcPr>
          <w:p>
            <w:r>
              <w:rPr>
                <w:b/>
                <w:sz w:val="17"/>
              </w:rPr>
              <w:t>4,892</w:t>
            </w:r>
          </w:p>
        </w:tc>
        <w:tc>
          <w:tcPr>
            <w:tcW w:type="dxa" w:w="1440"/>
            <w:shd w:fill="C6EFCE" w:val="clear"/>
          </w:tcPr>
          <w:p>
            <w:r>
              <w:rPr>
                <w:sz w:val="17"/>
              </w:rPr>
              <w:t>5,648</w:t>
            </w:r>
          </w:p>
        </w:tc>
        <w:tc>
          <w:tcPr>
            <w:tcW w:type="dxa" w:w="1440"/>
            <w:shd w:fill="C6EFCE"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4,103</w:t>
            </w:r>
          </w:p>
        </w:tc>
        <w:tc>
          <w:tcPr>
            <w:tcW w:type="dxa" w:w="1440"/>
            <w:shd w:fill="C6EFCE" w:val="clear"/>
          </w:tcPr>
          <w:p>
            <w:r>
              <w:rPr>
                <w:b/>
                <w:sz w:val="17"/>
              </w:rPr>
              <w:t>4,915</w:t>
            </w:r>
          </w:p>
        </w:tc>
        <w:tc>
          <w:tcPr>
            <w:tcW w:type="dxa" w:w="1440"/>
            <w:shd w:fill="C6EFCE" w:val="clear"/>
          </w:tcPr>
          <w:p>
            <w:r>
              <w:rPr>
                <w:sz w:val="17"/>
              </w:rPr>
              <w:t>5,727</w:t>
            </w:r>
          </w:p>
        </w:tc>
        <w:tc>
          <w:tcPr>
            <w:tcW w:type="dxa" w:w="1440"/>
            <w:shd w:fill="C6EFCE" w:val="clear"/>
          </w:tcPr>
          <w:p>
            <w:r>
              <w:rPr>
                <w:b/>
                <w:color w:val="008000"/>
                <w:sz w:val="17"/>
              </w:rPr>
              <w:t>+2.5%</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4,073</w:t>
            </w:r>
          </w:p>
        </w:tc>
        <w:tc>
          <w:tcPr>
            <w:tcW w:type="dxa" w:w="1440"/>
            <w:shd w:fill="C6EFCE" w:val="clear"/>
          </w:tcPr>
          <w:p>
            <w:r>
              <w:rPr>
                <w:b/>
                <w:sz w:val="17"/>
              </w:rPr>
              <w:t>4,938</w:t>
            </w:r>
          </w:p>
        </w:tc>
        <w:tc>
          <w:tcPr>
            <w:tcW w:type="dxa" w:w="1440"/>
            <w:shd w:fill="C6EFCE" w:val="clear"/>
          </w:tcPr>
          <w:p>
            <w:r>
              <w:rPr>
                <w:sz w:val="17"/>
              </w:rPr>
              <w:t>5,803</w:t>
            </w:r>
          </w:p>
        </w:tc>
        <w:tc>
          <w:tcPr>
            <w:tcW w:type="dxa" w:w="1440"/>
            <w:shd w:fill="C6EFCE" w:val="clear"/>
          </w:tcPr>
          <w:p>
            <w:r>
              <w:rPr>
                <w:b/>
                <w:color w:val="008000"/>
                <w:sz w:val="17"/>
              </w:rPr>
              <w:t>+3.0%</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4,045</w:t>
            </w:r>
          </w:p>
        </w:tc>
        <w:tc>
          <w:tcPr>
            <w:tcW w:type="dxa" w:w="1440"/>
            <w:shd w:fill="C6EFCE" w:val="clear"/>
          </w:tcPr>
          <w:p>
            <w:r>
              <w:rPr>
                <w:b/>
                <w:sz w:val="17"/>
              </w:rPr>
              <w:t>4,961</w:t>
            </w:r>
          </w:p>
        </w:tc>
        <w:tc>
          <w:tcPr>
            <w:tcW w:type="dxa" w:w="1440"/>
            <w:shd w:fill="C6EFCE" w:val="clear"/>
          </w:tcPr>
          <w:p>
            <w:r>
              <w:rPr>
                <w:sz w:val="17"/>
              </w:rPr>
              <w:t>5,877</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99,74 milliards FCFA, BOAN se positionne comme une valeur de taille intermédiaire sur la cote BRVM, représentative d'une banque de second rang dans l'Union. Le BPA de 20 FCFA/action — résultant d'un résultat net 2025 effondré à 409 millions FCFA — confère au titre un PER de 243,9x, soit un niveau **extrêmement élevé** comparé à la moyenne BRVM (8-12x) : les investisseurs paient donc près de 244 fois les bénéfices actuels, ce qui traduit soit une anticipation de rebond spectaculaire, soit une décorrélation totale entre le prix et la rentabilité présente. Le P/B de 2,77x indique que le marché valorise la banque à près de 3 fois ses fonds propres comptables (36,06 Mds FCFA), soit une prime de croissance significative qui n'est plus justifiée par les performances récentes. Enfin, l'EV/EBITDA de 38,4x (très au-dessus du seuil de 15x) confirme que la valeur d'entreprise intègre une capacité opérationnelle future bien supérieure à celle dégagée en 2025, ce qui rend ces ratios **difficiles à soutenir sans une normalisation rapide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performance remarquable de **+29,59%**, avec une dernière séance en hausse de +3,23%, portant le cours à 4 795 FCFA. Le range de trading est large, entre un plus bas de 3 695 FCFA et un plus haut de 5 645 FCFA, soit une amplitude de près de 53% qui témoigne d'une forte agitation. La tendance générale est donc nettement haussière sur la période, mais le cours actuel se situe à mi-chemin du range, suggérant une phase de consolidation après le pic. Les statistiques descriptives révèlent une **moyenne (4 756 FCFA) inférieure à la médiane (5 088 FCFA)**, signe d'une asymétrie négative confirmée par un skewness de -0,513 : le cours a passé plus de journées au-dessus de sa moyenne, mais quelques séances de forte baisse ont tiré la moyenne vers le bas. L'écart-type de 665 FCFA (CV = 14,0%) indique une dispersion modérée, tandis que le kurtosis de -1,312 (distribution platykurtique) signale une **faible concentration des rendements et un risque de pics limité** — le titre n'a pas connu de mouvements extrêmes isolés. Avec une volatilité annualisée de 43,0%, BOAN se classe parmi les titres à **volatilité élevée** (&gt;30%), ce qui est cohérent avec un marché frontière et un contexte géopolitique instable.</w:t>
      </w:r>
    </w:p>
    <w:p>
      <w:pPr>
        <w:spacing w:after="120" w:line="276" w:lineRule="auto"/>
      </w:pPr>
      <w:r>
        <w:t>---</w:t>
      </w:r>
    </w:p>
    <w:p>
      <w:pPr>
        <w:spacing w:after="120" w:line="276" w:lineRule="auto"/>
      </w:pPr>
      <w:r>
        <w:t>## PARTIE 2 : ANALYSE TECHNIQUE DÉTAILLÉE</w:t>
      </w:r>
    </w:p>
    <w:p>
      <w:pPr>
        <w:spacing w:after="120" w:line="276" w:lineRule="auto"/>
      </w:pPr>
      <w:r>
        <w:t>**Moyennes Mobiles** : La MM20 (5 003,75 FCFA) et la MM50 (5 194,8 FCFA) se situent toutes deux **au-dessus du cours actuel** (4 795 FCFA), ce qui place le titre en position de faiblesse relative. La MM20 étant inférieure à la MM50, la configuration est baissière à court terme, justifiant la décision **Vente**.</w:t>
      </w:r>
    </w:p>
    <w:p>
      <w:pPr>
        <w:spacing w:after="120" w:line="276" w:lineRule="auto"/>
      </w:pPr>
      <w:r>
        <w:t>**Bandes de Bollinger** : Le cours (4 795 FCFA) évolue dans la partie basse du canal, entre la borne inférieure (4 403,57 FCFA) et la borne supérieure (5 603,93 FCFA). Il est proche de la borne inférieure sans l'atteindre, ce qui traduit une pression vendeuse modérée mais pas de survente extrême. La décision **Neutre** reflète cette position médiane.</w:t>
      </w:r>
    </w:p>
    <w:p>
      <w:pPr>
        <w:spacing w:after="120" w:line="276" w:lineRule="auto"/>
      </w:pPr>
      <w:r>
        <w:t>**MACD** : La valeur du MACD (-150,778) est **inférieure à son signal (-108,025)**, confirmant un momentum baissier. La divergence négative entre les deux lignes indique que la dynamique de court terme reste défavorable, justifiant la décision **Vente**.</w:t>
      </w:r>
    </w:p>
    <w:p>
      <w:pPr>
        <w:spacing w:after="120" w:line="276" w:lineRule="auto"/>
      </w:pPr>
      <w:r>
        <w:t>**RSI** : À 54,871, le RSI se situe dans la zone neutre (30-70), sans signal de surachat ni de survente. Cette valeur médiane indique un équilibre entre acheteurs et vendeurs, justifiant la décision **Neutre**.</w:t>
      </w:r>
    </w:p>
    <w:p>
      <w:pPr>
        <w:spacing w:after="120" w:line="276" w:lineRule="auto"/>
      </w:pPr>
      <w:r>
        <w:t>**Stochastique** : Le %K (30,918) est supérieur au %D (15,781), ce qui pourrait suggérer un début de croisement haussier en zone de survente. Cependant, les deux lignes restent basses, et la décision **Neutre** traduit l'absence de signal fort.</w:t>
      </w:r>
    </w:p>
    <w:p>
      <w:pPr>
        <w:spacing w:after="120" w:line="276" w:lineRule="auto"/>
      </w:pPr>
      <w:r>
        <w:t>**Conclusion technique** : Les indicateurs sont **majoritairement baissiers** (MM et MACD en Vente), avec deux signaux neutres (Bollinger, RSI, Stochastique). Le titre se trouve dans une phase de correction après un rallye de +29,59%, et aucun signal d'achat clair n'émerge à court terme. La prudence est de mise tant que le cours reste sous ses moyennes mobiles.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 enregistré un Produit Net Bancaire (PNB) de 21 125 millions FCFA, en léger recul de -1,2% sur un an, et un résultat net effondré à **409 millions FCFA** (contre 5 002 millions en 2024, soit -91,8%). Cette chute spectaculaire s'explique par un coût du risque plus que doublé (+121,5%, à -6 016 millions FCFA), incluant une provision exceptionnelle de 4,8 milliards FCFA liée au taux de sinistralité sectoriel de 24% au Niger. Le ROE s'établit à **1,13%** (contre 11,39% en 2024) et le ROA à **0,14%**, des niveaux catastrophiques qui traduisent une rentabilité quasi nulle. Le coefficient d'exploitation se dégrade à **74,37%** (bien au-dessus du seuil de 60% d'efficacité), et le ratio de couverture des intérêts (17,59%) reste faible. La structure financière montre une autonomie financière de seulement 12,36% (capitaux propres/total bilan), un ratio d'endettement de 178,61% et une trésorerie nette négative de -43,5 milliards FCFA, reflétant une dépendance accrue aux dettes interbancaires (64,4 Mds FCFA). Les dépôts clientèle (183,28 Mds FCFA) couvrent à peine les créances clientèle (128,45 Mds FCFA), avec un ratio de transformation de 70,1%, correct mais sous pression.</w:t>
      </w:r>
    </w:p>
    <w:p>
      <w:pPr>
        <w:spacing w:after="120" w:line="276" w:lineRule="auto"/>
      </w:pPr>
      <w:r>
        <w:t>**Estimations basées sur les rapports trimestriels** : Le rapport du **T1 2026 (daté du 31 mars 2026)** confirme un **net redressement** : PNB en hausse de +7,9% à 5 170 millions FCFA, résultat net en progression de +28,9% à 1 467,3 millions FCFA, et coefficient d'exploitation ramené à 56,2% (contre 66,8% un an plus tôt). Le rapport du **2nd semestre 2025 (daté du 31 décembre 2025)** souligne la résilience des dépôts (+4,0% à 189,9 Mds FCFA) et la réduction volontaire des crédits (-20,9%) pour assainir le portefeuille. Sur la base de ces tendances, **on estime que l'exercice 2026 pourrait afficher un résultat net entre 5 et 6 milliards FCFA** (objectif budgétaire de 7 280 millions FCFA avant impôts), avec un ROE remontant vers 12-15% si le coût du risque se normalise. La recommandation des analystes est **CONSERVER** (avec prudence), soulignant le soutien du groupe BOA et les perspectives de reprise, mais aussi les risques persistants (créances douteuses, instabilité politique).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majeur** entre la valorisation et les fondamentaux. La **Partie 0** montre des ratios de valorisation extrêmement tendus (PER 243,9x, P/B 2,77x, EV/EBITDA 38,4x), qui intègrent déjà une reprise spectaculaire des bénéfices — une hypothèse ambitieuse au vu de l'effondrement de 2025. La **Partie 1** indique une tendance haussière sur 100 jours (+29,59%) mais avec une volatilité élevée (43%) et une asymétrie négative (skewness -0,513), suggérant que le rallye pourrait s'essouffler. La **Partie 2** confirme cette prudence : les signaux techniques sont majoritairement baissiers (MM et MACD en Vente), sans signal d'achat clair. La **Partie 3** met en évidence une **fragilité fondamentale persistante** (ROE 1,13%, ROA 0,14%, coefficient d'exploitation 74,37%), tempérée par un **redressement encourageant au T1 2026** (résultat net +28,9%, PNB +7,9%). Les **prédictions IA** (4 736 FCFA à J+1, 4 846 FCFA à J+10) suggèrent une **légère hausse** de +1,1% sur 10 jours, ce qui contredit partiellement les signaux techniques baissiers mais reste cohérent avec la tendance de fond.</w:t>
      </w:r>
    </w:p>
    <w:p>
      <w:pPr>
        <w:spacing w:after="120" w:line="276" w:lineRule="auto"/>
      </w:pPr>
      <w:r>
        <w:t>**Recommandation finale** : **CONSERVER** (avec vigilance). La convergence entre la valorisation élevée, les signaux techniques baissiers et les fondamentaux encore fragiles ne justifie pas un achat agressif, mais le redressement du T1 2026 et le soutien du groupe BOA plaident pour ne pas vendre. Le niveau de confiance est **Moyen** (les données trimestrielles sont encourageantes mais un seul trimestre ne suffit pas à confirmer la tendance). Le risque global est **Élevé** (exposition au risque de crédit, instabilité politique au Niger, volatilité du titre). L'horizon d'investissement optimal est le **moyen terme (3-12 mois)**, en attendant la confirmation du redressement sur au moins deux trimestres supplémentaires et une normalisation du coût du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292.86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11,471 titres</w:t>
            </w:r>
          </w:p>
        </w:tc>
        <w:tc>
          <w:tcPr>
            <w:tcW w:type="dxa" w:w="2268"/>
            <w:shd w:fill="FFF2CC" w:val="clear"/>
          </w:tcPr>
          <w:p>
            <w:r>
              <w:rPr>
                <w:b/>
                <w:color w:val="503200"/>
                <w:sz w:val="16"/>
              </w:rPr>
              <w:t xml:space="preserve">Cours actuel : </w:t>
            </w:r>
            <w:r>
              <w:rPr>
                <w:color w:val="000000"/>
                <w:sz w:val="17"/>
              </w:rPr>
              <w:t>8,135 FCFA</w:t>
            </w:r>
          </w:p>
          <w:p>
            <w:r>
              <w:rPr>
                <w:b/>
                <w:color w:val="503200"/>
                <w:sz w:val="16"/>
              </w:rPr>
              <w:t xml:space="preserve">Var. 100 jours : </w:t>
            </w:r>
            <w:r>
              <w:rPr>
                <w:b/>
                <w:color w:val="007800"/>
                <w:sz w:val="17"/>
              </w:rPr>
              <w:t>+1.69%</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4.88% (Faible) — μ=7,773 FCFA, σ=379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β=0.5707 (Défensif) — Cov=0.000043, Var(idx)=0.000075, ρ=0.297,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11,471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2026-10-15</w:t>
            </w:r>
          </w:p>
        </w:tc>
        <w:tc>
          <w:tcPr>
            <w:tcW w:type="dxa" w:w="1440"/>
            <w:shd w:fill="FFDCE0" w:val="clear"/>
          </w:tcPr>
          <w:p>
            <w:r>
              <w:rPr>
                <w:sz w:val="17"/>
              </w:rPr>
              <w:t>7,786</w:t>
            </w:r>
          </w:p>
        </w:tc>
        <w:tc>
          <w:tcPr>
            <w:tcW w:type="dxa" w:w="1440"/>
            <w:shd w:fill="FFDCE0" w:val="clear"/>
          </w:tcPr>
          <w:p>
            <w:r>
              <w:rPr>
                <w:b/>
                <w:sz w:val="17"/>
              </w:rPr>
              <w:t>7,964</w:t>
            </w:r>
          </w:p>
        </w:tc>
        <w:tc>
          <w:tcPr>
            <w:tcW w:type="dxa" w:w="1440"/>
            <w:shd w:fill="FFDCE0" w:val="clear"/>
          </w:tcPr>
          <w:p>
            <w:r>
              <w:rPr>
                <w:sz w:val="17"/>
              </w:rPr>
              <w:t>8,143</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2026-10-16</w:t>
            </w:r>
          </w:p>
        </w:tc>
        <w:tc>
          <w:tcPr>
            <w:tcW w:type="dxa" w:w="1440"/>
            <w:shd w:fill="FFDCE0" w:val="clear"/>
          </w:tcPr>
          <w:p>
            <w:r>
              <w:rPr>
                <w:sz w:val="17"/>
              </w:rPr>
              <w:t>7,600</w:t>
            </w:r>
          </w:p>
        </w:tc>
        <w:tc>
          <w:tcPr>
            <w:tcW w:type="dxa" w:w="1440"/>
            <w:shd w:fill="FFDCE0" w:val="clear"/>
          </w:tcPr>
          <w:p>
            <w:r>
              <w:rPr>
                <w:b/>
                <w:sz w:val="17"/>
              </w:rPr>
              <w:t>7,848</w:t>
            </w:r>
          </w:p>
        </w:tc>
        <w:tc>
          <w:tcPr>
            <w:tcW w:type="dxa" w:w="1440"/>
            <w:shd w:fill="FFDCE0" w:val="clear"/>
          </w:tcPr>
          <w:p>
            <w:r>
              <w:rPr>
                <w:sz w:val="17"/>
              </w:rPr>
              <w:t>8,096</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2026-10-19</w:t>
            </w:r>
          </w:p>
        </w:tc>
        <w:tc>
          <w:tcPr>
            <w:tcW w:type="dxa" w:w="1440"/>
            <w:shd w:fill="FFDCE0" w:val="clear"/>
          </w:tcPr>
          <w:p>
            <w:r>
              <w:rPr>
                <w:sz w:val="17"/>
              </w:rPr>
              <w:t>7,436</w:t>
            </w:r>
          </w:p>
        </w:tc>
        <w:tc>
          <w:tcPr>
            <w:tcW w:type="dxa" w:w="1440"/>
            <w:shd w:fill="FFDCE0" w:val="clear"/>
          </w:tcPr>
          <w:p>
            <w:r>
              <w:rPr>
                <w:b/>
                <w:sz w:val="17"/>
              </w:rPr>
              <w:t>7,736</w:t>
            </w:r>
          </w:p>
        </w:tc>
        <w:tc>
          <w:tcPr>
            <w:tcW w:type="dxa" w:w="1440"/>
            <w:shd w:fill="FFDCE0" w:val="clear"/>
          </w:tcPr>
          <w:p>
            <w:r>
              <w:rPr>
                <w:sz w:val="17"/>
              </w:rPr>
              <w:t>8,035</w:t>
            </w:r>
          </w:p>
        </w:tc>
        <w:tc>
          <w:tcPr>
            <w:tcW w:type="dxa" w:w="1440"/>
            <w:shd w:fill="FFDCE0" w:val="clear"/>
          </w:tcPr>
          <w:p>
            <w:r>
              <w:rPr>
                <w:b/>
                <w:color w:val="C00000"/>
                <w:sz w:val="17"/>
              </w:rPr>
              <w:t>-4.9%</w:t>
            </w:r>
          </w:p>
        </w:tc>
      </w:tr>
      <w:tr>
        <w:tc>
          <w:tcPr>
            <w:tcW w:type="dxa" w:w="1440"/>
            <w:shd w:fill="FFDCE0" w:val="clear"/>
          </w:tcPr>
          <w:p>
            <w:r>
              <w:rPr>
                <w:sz w:val="17"/>
              </w:rPr>
              <w:t>J+4  Moyenne</w:t>
            </w:r>
          </w:p>
        </w:tc>
        <w:tc>
          <w:tcPr>
            <w:tcW w:type="dxa" w:w="1440"/>
            <w:shd w:fill="FFDCE0" w:val="clear"/>
          </w:tcPr>
          <w:p>
            <w:r>
              <w:rPr>
                <w:sz w:val="17"/>
              </w:rPr>
              <w:t>2026-10-20</w:t>
            </w:r>
          </w:p>
        </w:tc>
        <w:tc>
          <w:tcPr>
            <w:tcW w:type="dxa" w:w="1440"/>
            <w:shd w:fill="FFDCE0" w:val="clear"/>
          </w:tcPr>
          <w:p>
            <w:r>
              <w:rPr>
                <w:sz w:val="17"/>
              </w:rPr>
              <w:t>7,290</w:t>
            </w:r>
          </w:p>
        </w:tc>
        <w:tc>
          <w:tcPr>
            <w:tcW w:type="dxa" w:w="1440"/>
            <w:shd w:fill="FFDCE0" w:val="clear"/>
          </w:tcPr>
          <w:p>
            <w:r>
              <w:rPr>
                <w:b/>
                <w:sz w:val="17"/>
              </w:rPr>
              <w:t>7,632</w:t>
            </w:r>
          </w:p>
        </w:tc>
        <w:tc>
          <w:tcPr>
            <w:tcW w:type="dxa" w:w="1440"/>
            <w:shd w:fill="FFDCE0" w:val="clear"/>
          </w:tcPr>
          <w:p>
            <w:r>
              <w:rPr>
                <w:sz w:val="17"/>
              </w:rPr>
              <w:t>7,973</w:t>
            </w:r>
          </w:p>
        </w:tc>
        <w:tc>
          <w:tcPr>
            <w:tcW w:type="dxa" w:w="1440"/>
            <w:shd w:fill="FFDCE0" w:val="clear"/>
          </w:tcPr>
          <w:p>
            <w:r>
              <w:rPr>
                <w:b/>
                <w:color w:val="C00000"/>
                <w:sz w:val="17"/>
              </w:rPr>
              <w:t>-6.2%</w:t>
            </w:r>
          </w:p>
        </w:tc>
      </w:tr>
      <w:tr>
        <w:tc>
          <w:tcPr>
            <w:tcW w:type="dxa" w:w="1440"/>
            <w:shd w:fill="FFDCE0" w:val="clear"/>
          </w:tcPr>
          <w:p>
            <w:r>
              <w:rPr>
                <w:sz w:val="17"/>
              </w:rPr>
              <w:t>J+5  Moyenne</w:t>
            </w:r>
          </w:p>
        </w:tc>
        <w:tc>
          <w:tcPr>
            <w:tcW w:type="dxa" w:w="1440"/>
            <w:shd w:fill="FFDCE0" w:val="clear"/>
          </w:tcPr>
          <w:p>
            <w:r>
              <w:rPr>
                <w:sz w:val="17"/>
              </w:rPr>
              <w:t>2026-10-21</w:t>
            </w:r>
          </w:p>
        </w:tc>
        <w:tc>
          <w:tcPr>
            <w:tcW w:type="dxa" w:w="1440"/>
            <w:shd w:fill="FFDCE0" w:val="clear"/>
          </w:tcPr>
          <w:p>
            <w:r>
              <w:rPr>
                <w:sz w:val="17"/>
              </w:rPr>
              <w:t>7,157</w:t>
            </w:r>
          </w:p>
        </w:tc>
        <w:tc>
          <w:tcPr>
            <w:tcW w:type="dxa" w:w="1440"/>
            <w:shd w:fill="FFDCE0" w:val="clear"/>
          </w:tcPr>
          <w:p>
            <w:r>
              <w:rPr>
                <w:b/>
                <w:sz w:val="17"/>
              </w:rPr>
              <w:t>7,534</w:t>
            </w:r>
          </w:p>
        </w:tc>
        <w:tc>
          <w:tcPr>
            <w:tcW w:type="dxa" w:w="1440"/>
            <w:shd w:fill="FFDCE0" w:val="clear"/>
          </w:tcPr>
          <w:p>
            <w:r>
              <w:rPr>
                <w:sz w:val="17"/>
              </w:rPr>
              <w:t>7,911</w:t>
            </w:r>
          </w:p>
        </w:tc>
        <w:tc>
          <w:tcPr>
            <w:tcW w:type="dxa" w:w="1440"/>
            <w:shd w:fill="FFDCE0" w:val="clear"/>
          </w:tcPr>
          <w:p>
            <w:r>
              <w:rPr>
                <w:b/>
                <w:color w:val="C00000"/>
                <w:sz w:val="17"/>
              </w:rPr>
              <w:t>-7.4%</w:t>
            </w:r>
          </w:p>
        </w:tc>
      </w:tr>
      <w:tr>
        <w:tc>
          <w:tcPr>
            <w:tcW w:type="dxa" w:w="1440"/>
            <w:shd w:fill="FFDCE0" w:val="clear"/>
          </w:tcPr>
          <w:p>
            <w:r>
              <w:rPr>
                <w:sz w:val="17"/>
              </w:rPr>
              <w:t>J+6  Moyenne</w:t>
            </w:r>
          </w:p>
        </w:tc>
        <w:tc>
          <w:tcPr>
            <w:tcW w:type="dxa" w:w="1440"/>
            <w:shd w:fill="FFDCE0" w:val="clear"/>
          </w:tcPr>
          <w:p>
            <w:r>
              <w:rPr>
                <w:sz w:val="17"/>
              </w:rPr>
              <w:t>2026-10-22</w:t>
            </w:r>
          </w:p>
        </w:tc>
        <w:tc>
          <w:tcPr>
            <w:tcW w:type="dxa" w:w="1440"/>
            <w:shd w:fill="FFDCE0" w:val="clear"/>
          </w:tcPr>
          <w:p>
            <w:r>
              <w:rPr>
                <w:sz w:val="17"/>
              </w:rPr>
              <w:t>7,033</w:t>
            </w:r>
          </w:p>
        </w:tc>
        <w:tc>
          <w:tcPr>
            <w:tcW w:type="dxa" w:w="1440"/>
            <w:shd w:fill="FFDCE0" w:val="clear"/>
          </w:tcPr>
          <w:p>
            <w:r>
              <w:rPr>
                <w:b/>
                <w:sz w:val="17"/>
              </w:rPr>
              <w:t>7,441</w:t>
            </w:r>
          </w:p>
        </w:tc>
        <w:tc>
          <w:tcPr>
            <w:tcW w:type="dxa" w:w="1440"/>
            <w:shd w:fill="FFDCE0" w:val="clear"/>
          </w:tcPr>
          <w:p>
            <w:r>
              <w:rPr>
                <w:sz w:val="17"/>
              </w:rPr>
              <w:t>7,849</w:t>
            </w:r>
          </w:p>
        </w:tc>
        <w:tc>
          <w:tcPr>
            <w:tcW w:type="dxa" w:w="1440"/>
            <w:shd w:fill="FFDCE0" w:val="clear"/>
          </w:tcPr>
          <w:p>
            <w:r>
              <w:rPr>
                <w:b/>
                <w:color w:val="C00000"/>
                <w:sz w:val="17"/>
              </w:rPr>
              <w:t>-8.5%</w:t>
            </w:r>
          </w:p>
        </w:tc>
      </w:tr>
      <w:tr>
        <w:tc>
          <w:tcPr>
            <w:tcW w:type="dxa" w:w="1440"/>
            <w:shd w:fill="FFDCE0" w:val="clear"/>
          </w:tcPr>
          <w:p>
            <w:r>
              <w:rPr>
                <w:sz w:val="17"/>
              </w:rPr>
              <w:t>J+7  Moyenne</w:t>
            </w:r>
          </w:p>
        </w:tc>
        <w:tc>
          <w:tcPr>
            <w:tcW w:type="dxa" w:w="1440"/>
            <w:shd w:fill="FFDCE0" w:val="clear"/>
          </w:tcPr>
          <w:p>
            <w:r>
              <w:rPr>
                <w:sz w:val="17"/>
              </w:rPr>
              <w:t>2026-10-23</w:t>
            </w:r>
          </w:p>
        </w:tc>
        <w:tc>
          <w:tcPr>
            <w:tcW w:type="dxa" w:w="1440"/>
            <w:shd w:fill="FFDCE0" w:val="clear"/>
          </w:tcPr>
          <w:p>
            <w:r>
              <w:rPr>
                <w:sz w:val="17"/>
              </w:rPr>
              <w:t>6,917</w:t>
            </w:r>
          </w:p>
        </w:tc>
        <w:tc>
          <w:tcPr>
            <w:tcW w:type="dxa" w:w="1440"/>
            <w:shd w:fill="FFDCE0" w:val="clear"/>
          </w:tcPr>
          <w:p>
            <w:r>
              <w:rPr>
                <w:b/>
                <w:sz w:val="17"/>
              </w:rPr>
              <w:t>7,352</w:t>
            </w:r>
          </w:p>
        </w:tc>
        <w:tc>
          <w:tcPr>
            <w:tcW w:type="dxa" w:w="1440"/>
            <w:shd w:fill="FFDCE0" w:val="clear"/>
          </w:tcPr>
          <w:p>
            <w:r>
              <w:rPr>
                <w:sz w:val="17"/>
              </w:rPr>
              <w:t>7,787</w:t>
            </w:r>
          </w:p>
        </w:tc>
        <w:tc>
          <w:tcPr>
            <w:tcW w:type="dxa" w:w="1440"/>
            <w:shd w:fill="FFDCE0" w:val="clear"/>
          </w:tcPr>
          <w:p>
            <w:r>
              <w:rPr>
                <w:b/>
                <w:color w:val="C00000"/>
                <w:sz w:val="17"/>
              </w:rPr>
              <w:t>-9.6%</w:t>
            </w:r>
          </w:p>
        </w:tc>
      </w:tr>
      <w:tr>
        <w:tc>
          <w:tcPr>
            <w:tcW w:type="dxa" w:w="1440"/>
            <w:shd w:fill="FFDCE0" w:val="clear"/>
          </w:tcPr>
          <w:p>
            <w:r>
              <w:rPr>
                <w:sz w:val="17"/>
              </w:rPr>
              <w:t>J+8  Moyenne</w:t>
            </w:r>
          </w:p>
        </w:tc>
        <w:tc>
          <w:tcPr>
            <w:tcW w:type="dxa" w:w="1440"/>
            <w:shd w:fill="FFDCE0" w:val="clear"/>
          </w:tcPr>
          <w:p>
            <w:r>
              <w:rPr>
                <w:sz w:val="17"/>
              </w:rPr>
              <w:t>2026-10-26</w:t>
            </w:r>
          </w:p>
        </w:tc>
        <w:tc>
          <w:tcPr>
            <w:tcW w:type="dxa" w:w="1440"/>
            <w:shd w:fill="FFDCE0" w:val="clear"/>
          </w:tcPr>
          <w:p>
            <w:r>
              <w:rPr>
                <w:sz w:val="17"/>
              </w:rPr>
              <w:t>6,808</w:t>
            </w:r>
          </w:p>
        </w:tc>
        <w:tc>
          <w:tcPr>
            <w:tcW w:type="dxa" w:w="1440"/>
            <w:shd w:fill="FFDCE0" w:val="clear"/>
          </w:tcPr>
          <w:p>
            <w:r>
              <w:rPr>
                <w:b/>
                <w:sz w:val="17"/>
              </w:rPr>
              <w:t>7,268</w:t>
            </w:r>
          </w:p>
        </w:tc>
        <w:tc>
          <w:tcPr>
            <w:tcW w:type="dxa" w:w="1440"/>
            <w:shd w:fill="FFDCE0" w:val="clear"/>
          </w:tcPr>
          <w:p>
            <w:r>
              <w:rPr>
                <w:sz w:val="17"/>
              </w:rPr>
              <w:t>7,727</w:t>
            </w:r>
          </w:p>
        </w:tc>
        <w:tc>
          <w:tcPr>
            <w:tcW w:type="dxa" w:w="1440"/>
            <w:shd w:fill="FFDCE0" w:val="clear"/>
          </w:tcPr>
          <w:p>
            <w:r>
              <w:rPr>
                <w:b/>
                <w:color w:val="C00000"/>
                <w:sz w:val="17"/>
              </w:rPr>
              <w:t>-10.7%</w:t>
            </w:r>
          </w:p>
        </w:tc>
      </w:tr>
      <w:tr>
        <w:tc>
          <w:tcPr>
            <w:tcW w:type="dxa" w:w="1440"/>
            <w:shd w:fill="FFDCE0" w:val="clear"/>
          </w:tcPr>
          <w:p>
            <w:r>
              <w:rPr>
                <w:sz w:val="17"/>
              </w:rPr>
              <w:t>J+9  Moyenne</w:t>
            </w:r>
          </w:p>
        </w:tc>
        <w:tc>
          <w:tcPr>
            <w:tcW w:type="dxa" w:w="1440"/>
            <w:shd w:fill="FFDCE0" w:val="clear"/>
          </w:tcPr>
          <w:p>
            <w:r>
              <w:rPr>
                <w:sz w:val="17"/>
              </w:rPr>
              <w:t>2026-10-27</w:t>
            </w:r>
          </w:p>
        </w:tc>
        <w:tc>
          <w:tcPr>
            <w:tcW w:type="dxa" w:w="1440"/>
            <w:shd w:fill="FFDCE0" w:val="clear"/>
          </w:tcPr>
          <w:p>
            <w:r>
              <w:rPr>
                <w:sz w:val="17"/>
              </w:rPr>
              <w:t>6,705</w:t>
            </w:r>
          </w:p>
        </w:tc>
        <w:tc>
          <w:tcPr>
            <w:tcW w:type="dxa" w:w="1440"/>
            <w:shd w:fill="FFDCE0" w:val="clear"/>
          </w:tcPr>
          <w:p>
            <w:r>
              <w:rPr>
                <w:b/>
                <w:sz w:val="17"/>
              </w:rPr>
              <w:t>7,187</w:t>
            </w:r>
          </w:p>
        </w:tc>
        <w:tc>
          <w:tcPr>
            <w:tcW w:type="dxa" w:w="1440"/>
            <w:shd w:fill="FFDCE0" w:val="clear"/>
          </w:tcPr>
          <w:p>
            <w:r>
              <w:rPr>
                <w:sz w:val="17"/>
              </w:rPr>
              <w:t>7,669</w:t>
            </w:r>
          </w:p>
        </w:tc>
        <w:tc>
          <w:tcPr>
            <w:tcW w:type="dxa" w:w="1440"/>
            <w:shd w:fill="FFDCE0" w:val="clear"/>
          </w:tcPr>
          <w:p>
            <w:r>
              <w:rPr>
                <w:b/>
                <w:color w:val="C00000"/>
                <w:sz w:val="17"/>
              </w:rPr>
              <w:t>-11.7%</w:t>
            </w:r>
          </w:p>
        </w:tc>
      </w:tr>
      <w:tr>
        <w:tc>
          <w:tcPr>
            <w:tcW w:type="dxa" w:w="1440"/>
            <w:shd w:fill="FFDCE0" w:val="clear"/>
          </w:tcPr>
          <w:p>
            <w:r>
              <w:rPr>
                <w:sz w:val="17"/>
              </w:rPr>
              <w:t>J+10  Moyenne</w:t>
            </w:r>
          </w:p>
        </w:tc>
        <w:tc>
          <w:tcPr>
            <w:tcW w:type="dxa" w:w="1440"/>
            <w:shd w:fill="FFDCE0" w:val="clear"/>
          </w:tcPr>
          <w:p>
            <w:r>
              <w:rPr>
                <w:sz w:val="17"/>
              </w:rPr>
              <w:t>2026-10-28</w:t>
            </w:r>
          </w:p>
        </w:tc>
        <w:tc>
          <w:tcPr>
            <w:tcW w:type="dxa" w:w="1440"/>
            <w:shd w:fill="FFDCE0" w:val="clear"/>
          </w:tcPr>
          <w:p>
            <w:r>
              <w:rPr>
                <w:sz w:val="17"/>
              </w:rPr>
              <w:t>6,607</w:t>
            </w:r>
          </w:p>
        </w:tc>
        <w:tc>
          <w:tcPr>
            <w:tcW w:type="dxa" w:w="1440"/>
            <w:shd w:fill="FFDCE0" w:val="clear"/>
          </w:tcPr>
          <w:p>
            <w:r>
              <w:rPr>
                <w:b/>
                <w:sz w:val="17"/>
              </w:rPr>
              <w:t>7,110</w:t>
            </w:r>
          </w:p>
        </w:tc>
        <w:tc>
          <w:tcPr>
            <w:tcW w:type="dxa" w:w="1440"/>
            <w:shd w:fill="FFDCE0" w:val="clear"/>
          </w:tcPr>
          <w:p>
            <w:r>
              <w:rPr>
                <w:sz w:val="17"/>
              </w:rPr>
              <w:t>7,612</w:t>
            </w:r>
          </w:p>
        </w:tc>
        <w:tc>
          <w:tcPr>
            <w:tcW w:type="dxa" w:w="1440"/>
            <w:shd w:fill="FFDCE0" w:val="clear"/>
          </w:tcPr>
          <w:p>
            <w:r>
              <w:rPr>
                <w:b/>
                <w:color w:val="C00000"/>
                <w:sz w:val="17"/>
              </w:rPr>
              <w:t>-12.6%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BANK OF AFRICA SÉNÉGAL (BOAS)</w:t>
        <w:br/>
        <w:t>## BRVM | Secteur Bancaire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292,86 milliards FCFA, BOAS s'impose comme l'une des valeurs bancaires de référence de la cote BRVM, témoignant de la solidité de son assise institutionnelle au sein du groupe Bank of Africa. Le BPA de 608 FCFA par action signifie que chaque titre génère près de 608 FCFA de bénéfice net, un niveau de rentabilité par action particulièrement élevé pour le marché ouest-africain. Le PER de 13,4x traduit une valorisation modérée mais légèrement supérieure à la moyenne du marché BRVM (estimée entre 8 et 12x), ce qui suggère que les investisseurs acceptent de payer une prime pour la qualité de la signature BOAS, sans pour autant basculer dans une surévaluation manifeste. Le P/B de 3,03x indique que le marché valorise l'action à environ trois fois sa valeur comptable, une prime de croissance cohérente avec un ROE supérieur à 22%, bien au-delà du seuil de 15% considéré comme excellent. Enfin, l'EV/EBITDA de 8,7x, situé dans la fourchette raisonnable de 5-10x, confirme que la valeur d'entreprise reste proportionnée à la capacité opérationnelle de la banque, sans excès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variation totale de +1,69%, avec une légère contraction de -0,18% lors de la dernière séance (J-1), signalant une pause ponctuelle dans une dynamique haussière de fond. Le cours actuel de 8 135 FCFA évolue dans un range de trading de 1 250 FCFA, entre un plus bas de 7 250 FCFA et un plus haut de 8 500 FCFA, ce qui positionne le titre à environ 65% de son amplitude, dans une zone médiane-haute plutôt qu'à des sommets. La tendance générale demeure haussière mais modérée, le cours se maintenant au-dessus de sa moyenne (7 773 FCFA) et de sa médiane (7 705 FCFA), avec un écart faible entre ces deux mesures centrales qui traduit une distribution quasi-symétrique, confirmée par un skewness de 0,176. L'écart-type de 381 FCFA, couplé à un coefficient de variation de seulement 4,9%, révèle une dispersion du cours très contenue, signe d'une certaine stabilité comportementale du titre sur la période. Le kurtosis de -1,398 (distribution platykurtique) indique une faible concentration des rendements autour de la moyenne et un risque de pics extrêmes relativement limité, ce qui est rassurant pour un investisseur averse au risque. La volatilité annualisée de 26,0% classe le titre dans la catégorie des valeurs à volatilité modérée (15-30%), cohérente avec un profil bancaire de qualité, ni spéculatif ni excessivement atone.</w:t>
      </w:r>
    </w:p>
    <w:p>
      <w:pPr>
        <w:spacing w:after="120" w:line="276" w:lineRule="auto"/>
      </w:pPr>
      <w:r>
        <w:t>---</w:t>
      </w:r>
    </w:p>
    <w:p>
      <w:pPr>
        <w:spacing w:after="120" w:line="276" w:lineRule="auto"/>
      </w:pPr>
      <w:r>
        <w:t>## PARTIE 2 : ANALYSE TECHNIQUE DÉTAILLÉE</w:t>
      </w:r>
    </w:p>
    <w:p>
      <w:pPr>
        <w:spacing w:after="120" w:line="276" w:lineRule="auto"/>
      </w:pPr>
      <w:r>
        <w:t>**Moyennes Mobiles** : La MM20 (8 103,75 FCFA) et la MM50 (8 073,20 FCFA) se situent toutes deux sous le cours actuel de 8 135 FCFA, configurant un croisement haussier classique où la moyenne courte surplombe la moyenne longue. Cette configuration en « golden cross » implicite valide la décision d'ACHAT, le cours évoluant au-dessus de ses supports dynamiques, ce qui suggère une poursuite de la dynamique positive tant que ces niveaux sont préservés.</w:t>
      </w:r>
    </w:p>
    <w:p>
      <w:pPr>
        <w:spacing w:after="120" w:line="276" w:lineRule="auto"/>
      </w:pPr>
      <w:r>
        <w:t>**Bandes de Bollinger** : Le cours (8 135 FCFA) se situe dans la partie supérieure de la bande, entre la borne inférieure (7 789,70 FCFA) et la borne supérieure (8 417,81 FCFA), sans franchir cette dernière. Cette position médiane-haute, couplée à un écart modéré entre les bornes, traduit une volatilité contenue et une absence de signal extrême, justifiant la décision NEUTRE — le titre n'est ni en zone de surchauffe, ni en zone de rebond technique.</w:t>
      </w:r>
    </w:p>
    <w:p>
      <w:pPr>
        <w:spacing w:after="120" w:line="276" w:lineRule="auto"/>
      </w:pPr>
      <w:r>
        <w:t>**MACD** : Le MACD (32,355) surpasse légèrement son signal (30,353), générant un histogramme positif qui confirme un momentum haussier en cours. Cette divergence positive, bien que modeste, soutient la décision d'ACHAT, mais l'étroitesse de l'écart entre les deux lignes invite à la prudence quant à la vigueur de la tendance.</w:t>
      </w:r>
    </w:p>
    <w:p>
      <w:pPr>
        <w:spacing w:after="120" w:line="276" w:lineRule="auto"/>
      </w:pPr>
      <w:r>
        <w:t>**RSI** : À 81,29, le RSI se situe nettement au-dessus du seuil de surachat (70), signalant que le titre a été acheté de manière excessive à court terme et qu'un risque de correction technique ou de consolidation se profile. Cette configuration justifie la décision de VENTE à court terme, bien qu'elle doive être pondérée par la solidité fondamentale du titre.</w:t>
      </w:r>
    </w:p>
    <w:p>
      <w:pPr>
        <w:spacing w:after="120" w:line="276" w:lineRule="auto"/>
      </w:pPr>
      <w:r>
        <w:t>**Stochastique** : Le %K (76,531) est inférieur au %D (86,621), configuration baissière indiquant que le %K perd de la vitesse par rapport à sa moyenne mobile, sans pour autant se situer en zone de surachat extrême (&gt;80). Cette divergence négative naissante, combinée à la décision NEUTRE, suggère un essoufflement progressif du momentum haussier à court terme.</w:t>
      </w:r>
    </w:p>
    <w:p>
      <w:pPr>
        <w:spacing w:after="120" w:line="276" w:lineRule="auto"/>
      </w:pPr>
      <w:r>
        <w:t>**Conclusion technique** : Les indicateurs techniques présentent un tableau mitigé, avec une convergence haussière des moyennes mobiles et du MACD, mais une divergence baissière du RSI (surachat) et du stochastique (%K &lt; %D). Cette configuration suggère que le titre, bien qu'inscrit dans une tendance haussière de fond, approche d'une zone de résistance technique où une consolidation ou un repli modéré est probable à court terme,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BOAS affiche un Produit Net Bancaire (PNB) de 51,926 milliards FCFA, un résultat net de 21,905 milliards FCFA, un ROE exceptionnel de 22,69% et un ROA de 2,62%, confirmant une rentabilité parmi les meilleures du secteur bancaire de la zone UEMOA. Le coefficient d'exploitation de 44,02% — bien en dessous du seuil de 60% et même de 50% — atteste d'une efficacité opérationnelle remarquable, tandis que le coût du risque de 23,31% des charges financières, bien qu'élevé, reste contenu au regard de la croissance du portefeuille de crédits (386,424 milliards FCFA de créances clientèle). La structure bilancielle révèle une forte capacité de collecte avec 686,927 milliards FCFA de dépôts clientèle, soit un ratio dépôts/crédits de 1,78x, indiquant une surliquidité confortable et une dépendance limitée aux marchés interbancaires (37,998 milliards FCFA de dettes interbancaires). Le ratio d'autonomie financière de 11,54% peut sembler faible, mais il est structurellement normal pour une banque, dont le modèle repose sur l'effet de levier des dépôts ; la solvabilité générale de 113,05% et la couverture des intérêts de 132,58% confirment néanmoins la solidité du bilan.</w:t>
      </w:r>
    </w:p>
    <w:p>
      <w:pPr>
        <w:spacing w:after="120" w:line="276" w:lineRule="auto"/>
      </w:pPr>
      <w:r>
        <w:t>**Estimations basées sur les rapports trimestriels** : Le rapport du T1 2026 (publié en 2026, analysé le 23 septembre 2026) indique un PNB de 12,580 milliards FCFA (+6,82% sur un an) et un résultat net de 5,741 milliards FCFA (+9,78%), avec un coefficient d'exploitation en amélioration à 42,1% (contre 42,8% au T1 2025). Le rapport du S1 2026 (analysé le 23 septembre 2026) fait état d'un PNB semestriel de 27,206 milliards FCFA, en hausse, ce qui, extrapolé sur l'ensemble de l'exercice, laisse présager un PNB annuel 2026 proche de 54-55 milliards FCFA, soit une croissance estimée de 4-6% par rapport à 2025. Le rapport du T3 2025 (daté du 30 septembre 2025) confirmait déjà cette dynamique avec un PNB cumulé de 37,44 milliards FCFA (+6,71%) et un résultat net de 16,37 milliards FCFA (+10,01%), ainsi qu'une baisse du coût du risque de -1,8% à -0,5% du PNB. **On estime donc que l'exercice 2026 devrait clôturer avec un résultat net compris entre 23 et 24 milliards FCFA**, prolongeant la trajectoire de croissance à deux chiffres du bénéfice, soutenue par la hausse des dépôts clients (+13,6% au T1 2026 à 631,038 milliards FCFA) et l'amélioration continue de l'efficacité opérationnelle.</w:t>
      </w:r>
    </w:p>
    <w:p>
      <w:pPr>
        <w:spacing w:after="120" w:line="276" w:lineRule="auto"/>
      </w:pPr>
      <w:r>
        <w:t>**Recommandation fondamentale** : BOAS présente un profil fondamental de très haute qualité, combinant une rentabilité supérieure à la moyenne (ROE &gt; 22%), une efficacité opérationnelle excellente (coefficient &lt; 45%), une croissance régulière du PNB et du résultat net, et une structure bilancielle solide malgré un levier inhérent au métier bancaire. Les principaux risques identifiés — concentration sur le marché sénégalais, ralentissement économique national, et légère hausse du coût du risque — sont réels mais correctement maîtrisés. La recommandation fondamentale est donc **ACHAT**, avec une perspective de moyen-long terme.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précédentes et des prédictions IA dessine un tableau nuancé mais globalement favorable. **Sur le plan de la valorisation (Partie 0)**, les ratios PER (13,4x), P/B (3,03x) et EV/EBITDA (8,7x) indiquent une valorisation modérée à légèrement élevée, mais justifiée par la qualité des fondamentaux et le ROE supérieur à 22% — le titre n'est ni sous-évalué, ni excessivement surévalué. **Le comportement du cours (Partie 1)** est rassurant : tendance haussière modérée (+1,69%), volatilité contenue (CV 4,9%, volatilité annualisée 26%), distribution symétrique (skewness 0,176) et risque de pics limité (kurtosis -1,398), autant d'éléments favorables à une détention sereine. **Les signaux techniques (Partie 2)** sont toutefois divergents : si les moyennes mobiles et le MACD confirment la tendance haussière, le RSI en surachat (81,29) et le stochastique baissier (%K &lt; %D) plaident pour une consolidation à court terme, ce qui explique la décision NEUTRE des Bandes de Bollinger. **Les fondamentaux (Partie 3)** demeurent le pilier le plus solide de l'analyse : PNB de 51,926 milliards FCFA en 2025, résultat net de 21,905 milliards FCFA, ROE de 22,69%, coefficient d'exploitation de 44,02%, et estimations 2026 tablant sur un résultat net de 23-24 milliards FCFA. **Les prédictions IA (J+1 à J+10)** anticipent une trajectoire baissière à court terme (de 7 964 FCFA le 15 octobre à 7 534 FCFA le 21 octobre), ce qui contredit la tendance haussière de fond mais **confirme le signal de surachat du RSI** et la probabilité d'une consolidation technique.</w:t>
      </w:r>
    </w:p>
    <w:p>
      <w:pPr>
        <w:spacing w:after="120" w:line="276" w:lineRule="auto"/>
      </w:pPr>
      <w:r>
        <w:t>**Recommandation finale : CONSERVER** (avec biais haussier à moyen terme). La convergence entre la valorisation raisonnable, les fondamentaux excellents et la tendance haussière de fond soutient une position positive, mais la divergence à court terme entre le surachat technique (RSI, stochastique) et les prédictions IA baissières invite à la prudence sur un horizon immédiat. **Niveau de confiance : Moyen** — les fondamentaux sont solides, mais l'incertitude technique à court terme tempère l'optimisme. **Niveau de risque global : Moyen** — le risque de crédit et la concentration géographique sont compensés par la qualité de la gestion et la solidité bilancielle. **Horizon d'investissement optimal : Moyen terme (3-12 mois)** — le temps nécessaire pour que la consolidation technique s'achève et que la croissance bénéficiaire se matérialise dans le cours, avec un potentiel de revalorisation une fois le RSI revenu en zone neutre.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18.12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2,050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B40000"/>
                <w:sz w:val="17"/>
              </w:rPr>
              <w:t>-12.57%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3,060 FCFA</w:t>
            </w:r>
          </w:p>
          <w:p>
            <w:r>
              <w:rPr>
                <w:b/>
                <w:color w:val="503200"/>
                <w:sz w:val="16"/>
              </w:rPr>
              <w:t xml:space="preserve">Volatilité ann. : </w:t>
            </w:r>
            <w:r>
              <w:rPr>
                <w:color w:val="000000"/>
                <w:sz w:val="17"/>
              </w:rPr>
              <w:t>46.2%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8.54% (Moyenne) — μ=3,662 FCFA, σ=313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β=0.3107 (Défensif) — Cov=0.000023, Var(idx)=0.000075, ρ=0.094,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σ_j=2.91%/j (Stable) — Vol. annualisée≈46.2%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2,942</w:t>
            </w:r>
          </w:p>
        </w:tc>
        <w:tc>
          <w:tcPr>
            <w:tcW w:type="dxa" w:w="1440"/>
            <w:shd w:fill="FAFAFA" w:val="clear"/>
          </w:tcPr>
          <w:p>
            <w:r>
              <w:rPr>
                <w:b/>
                <w:sz w:val="17"/>
              </w:rPr>
              <w:t>3,058</w:t>
            </w:r>
          </w:p>
        </w:tc>
        <w:tc>
          <w:tcPr>
            <w:tcW w:type="dxa" w:w="1440"/>
            <w:shd w:fill="FAFAFA" w:val="clear"/>
          </w:tcPr>
          <w:p>
            <w:r>
              <w:rPr>
                <w:sz w:val="17"/>
              </w:rPr>
              <w:t>3,174</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2,895</w:t>
            </w:r>
          </w:p>
        </w:tc>
        <w:tc>
          <w:tcPr>
            <w:tcW w:type="dxa" w:w="1440"/>
            <w:shd w:fill="FAFAFA" w:val="clear"/>
          </w:tcPr>
          <w:p>
            <w:r>
              <w:rPr>
                <w:b/>
                <w:sz w:val="17"/>
              </w:rPr>
              <w:t>3,059</w:t>
            </w:r>
          </w:p>
        </w:tc>
        <w:tc>
          <w:tcPr>
            <w:tcW w:type="dxa" w:w="1440"/>
            <w:shd w:fill="FAFAFA" w:val="clear"/>
          </w:tcPr>
          <w:p>
            <w:r>
              <w:rPr>
                <w:sz w:val="17"/>
              </w:rPr>
              <w:t>3,223</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2,864</w:t>
            </w:r>
          </w:p>
        </w:tc>
        <w:tc>
          <w:tcPr>
            <w:tcW w:type="dxa" w:w="1440"/>
            <w:shd w:fill="FAFAFA" w:val="clear"/>
          </w:tcPr>
          <w:p>
            <w:r>
              <w:rPr>
                <w:b/>
                <w:sz w:val="17"/>
              </w:rPr>
              <w:t>3,065</w:t>
            </w:r>
          </w:p>
        </w:tc>
        <w:tc>
          <w:tcPr>
            <w:tcW w:type="dxa" w:w="1440"/>
            <w:shd w:fill="FAFAFA" w:val="clear"/>
          </w:tcPr>
          <w:p>
            <w:r>
              <w:rPr>
                <w:sz w:val="17"/>
              </w:rPr>
              <w:t>3,267</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2,840</w:t>
            </w:r>
          </w:p>
        </w:tc>
        <w:tc>
          <w:tcPr>
            <w:tcW w:type="dxa" w:w="1440"/>
            <w:shd w:fill="FAFAFA" w:val="clear"/>
          </w:tcPr>
          <w:p>
            <w:r>
              <w:rPr>
                <w:b/>
                <w:sz w:val="17"/>
              </w:rPr>
              <w:t>3,073</w:t>
            </w:r>
          </w:p>
        </w:tc>
        <w:tc>
          <w:tcPr>
            <w:tcW w:type="dxa" w:w="1440"/>
            <w:shd w:fill="FAFAFA" w:val="clear"/>
          </w:tcPr>
          <w:p>
            <w:r>
              <w:rPr>
                <w:sz w:val="17"/>
              </w:rPr>
              <w:t>3,306</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2,818</w:t>
            </w:r>
          </w:p>
        </w:tc>
        <w:tc>
          <w:tcPr>
            <w:tcW w:type="dxa" w:w="1440"/>
            <w:shd w:fill="FAFAFA" w:val="clear"/>
          </w:tcPr>
          <w:p>
            <w:r>
              <w:rPr>
                <w:b/>
                <w:sz w:val="17"/>
              </w:rPr>
              <w:t>3,079</w:t>
            </w:r>
          </w:p>
        </w:tc>
        <w:tc>
          <w:tcPr>
            <w:tcW w:type="dxa" w:w="1440"/>
            <w:shd w:fill="FAFAFA" w:val="clear"/>
          </w:tcPr>
          <w:p>
            <w:r>
              <w:rPr>
                <w:sz w:val="17"/>
              </w:rPr>
              <w:t>3,340</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2,796</w:t>
            </w:r>
          </w:p>
        </w:tc>
        <w:tc>
          <w:tcPr>
            <w:tcW w:type="dxa" w:w="1440"/>
            <w:shd w:fill="FAFAFA" w:val="clear"/>
          </w:tcPr>
          <w:p>
            <w:r>
              <w:rPr>
                <w:b/>
                <w:sz w:val="17"/>
              </w:rPr>
              <w:t>3,082</w:t>
            </w:r>
          </w:p>
        </w:tc>
        <w:tc>
          <w:tcPr>
            <w:tcW w:type="dxa" w:w="1440"/>
            <w:shd w:fill="FAFAFA" w:val="clear"/>
          </w:tcPr>
          <w:p>
            <w:r>
              <w:rPr>
                <w:sz w:val="17"/>
              </w:rPr>
              <w:t>3,369</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2,773</w:t>
            </w:r>
          </w:p>
        </w:tc>
        <w:tc>
          <w:tcPr>
            <w:tcW w:type="dxa" w:w="1440"/>
            <w:shd w:fill="FAFAFA" w:val="clear"/>
          </w:tcPr>
          <w:p>
            <w:r>
              <w:rPr>
                <w:b/>
                <w:sz w:val="17"/>
              </w:rPr>
              <w:t>3,083</w:t>
            </w:r>
          </w:p>
        </w:tc>
        <w:tc>
          <w:tcPr>
            <w:tcW w:type="dxa" w:w="1440"/>
            <w:shd w:fill="FAFAFA" w:val="clear"/>
          </w:tcPr>
          <w:p>
            <w:r>
              <w:rPr>
                <w:sz w:val="17"/>
              </w:rPr>
              <w:t>3,392</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2,750</w:t>
            </w:r>
          </w:p>
        </w:tc>
        <w:tc>
          <w:tcPr>
            <w:tcW w:type="dxa" w:w="1440"/>
            <w:shd w:fill="FAFAFA" w:val="clear"/>
          </w:tcPr>
          <w:p>
            <w:r>
              <w:rPr>
                <w:b/>
                <w:sz w:val="17"/>
              </w:rPr>
              <w:t>3,080</w:t>
            </w:r>
          </w:p>
        </w:tc>
        <w:tc>
          <w:tcPr>
            <w:tcW w:type="dxa" w:w="1440"/>
            <w:shd w:fill="FAFAFA" w:val="clear"/>
          </w:tcPr>
          <w:p>
            <w:r>
              <w:rPr>
                <w:sz w:val="17"/>
              </w:rPr>
              <w:t>3,411</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2,726</w:t>
            </w:r>
          </w:p>
        </w:tc>
        <w:tc>
          <w:tcPr>
            <w:tcW w:type="dxa" w:w="1440"/>
            <w:shd w:fill="FAFAFA" w:val="clear"/>
          </w:tcPr>
          <w:p>
            <w:r>
              <w:rPr>
                <w:b/>
                <w:sz w:val="17"/>
              </w:rPr>
              <w:t>3,076</w:t>
            </w:r>
          </w:p>
        </w:tc>
        <w:tc>
          <w:tcPr>
            <w:tcW w:type="dxa" w:w="1440"/>
            <w:shd w:fill="FAFAFA" w:val="clear"/>
          </w:tcPr>
          <w:p>
            <w:r>
              <w:rPr>
                <w:sz w:val="17"/>
              </w:rPr>
              <w:t>3,426</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2,702</w:t>
            </w:r>
          </w:p>
        </w:tc>
        <w:tc>
          <w:tcPr>
            <w:tcW w:type="dxa" w:w="1440"/>
            <w:shd w:fill="FAFAFA" w:val="clear"/>
          </w:tcPr>
          <w:p>
            <w:r>
              <w:rPr>
                <w:b/>
                <w:sz w:val="17"/>
              </w:rPr>
              <w:t>3,070</w:t>
            </w:r>
          </w:p>
        </w:tc>
        <w:tc>
          <w:tcPr>
            <w:tcW w:type="dxa" w:w="1440"/>
            <w:shd w:fill="FAFAFA" w:val="clear"/>
          </w:tcPr>
          <w:p>
            <w:r>
              <w:rPr>
                <w:sz w:val="17"/>
              </w:rPr>
              <w:t>3,439</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18,12 Mds FCFA, CABC se positionne comme une valeur de petite capitalisation sur la BRVM, ce qui la rend sensible aux mouvements de faible volume (2 050 titres/jour en moyenne). Le BPA de 243 FCFA/action pour 2025 confère au titre un PER de 12,6x, légèrement supérieur à la moyenne BRVM (8-12x), suggérant que le marché intègre déjà une partie des anticipations de reprise. Le P/B de 1,94x indique que le marché valorise l'action à près du double de sa valeur comptable, ce qui reste raisonnable mais traduit une prime de qualité. L'EV/EBITDA de 6,1x, dans la fourchette 5-10x, montre que la valeur d'entreprise reste cohérente avec la capacité opérationnelle, sans excès spéculatif. Globalement, la valorisation apparaît **modérée à légèrement tendue**, sans décote manifeste mais sans bulle non plus.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CABC a enregistré une **variation totale de -12,57%**, avec une dernière séance stable (+0,00%), confirmant une tendance baissière de fond. Le titre évolue dans un range très large de 4 500 FCFA (plus haut) à 3 060 FCFA (plus bas, égal au cours actuel), soit une amplitude de 47% — signe d'une forte érosion du cours depuis les sommets. La moyenne (3 662 FCFA) est supérieure à la médiane (3 592 FCFA), avec un skewness positif de 0,668 indiquant une asymétrie à droite : davantage de journées se sont négociées sous la moyenne, mais quelques séances hautes tirent la moyenne vers le haut. L'écart-type de 314 FCFA (CV=8,6%) traduit une dispersion modérée du cours, tandis que le kurtosis de 0,207 (mésokurtique) suggère une distribution proche de la normale, sans risque extrême de pics. La **volatilité annualisée de 46,2%** classe le titre en catégorie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(3 298 FCFA) et la MM50 (3 438,7 FCFA) sont toutes deux supérieures au cours actuel (3 060 FCFA), confirmant une configuration baissière où le prix évolue sous ses références mobiles. La MM20 étant elle-même inférieure à la MM50, on observe un croisement baissier (death cross), ce qui justifie pleinement la **décision de Vente**.</w:t>
      </w:r>
    </w:p>
    <w:p>
      <w:pPr>
        <w:spacing w:after="120" w:line="276" w:lineRule="auto"/>
      </w:pPr>
      <w:r>
        <w:t>**Bandes de Bollinger** : Le cours (3 060 FCFA) se situe juste au-dessus de la borne inférieure (3 044,6 FCFA) et très en dessous de la borne supérieure (3 551,4 FCFA), signe que le titre est proche d'une zone de survente technique. L'écart entre les bornes reste modéré, traduisant une volatilité contenue à court terme, d'où la **décision Neutre** — le potentiel de rebond technique existe mais n'est pas encore confirmé.</w:t>
      </w:r>
    </w:p>
    <w:p>
      <w:pPr>
        <w:spacing w:after="120" w:line="276" w:lineRule="auto"/>
      </w:pPr>
      <w:r>
        <w:t>**MACD** : La valeur du MACD (-92,87) est inférieure à son signal (-73,63), avec un histogramme négatif, ce qui indique un momentum baissier toujours actif. La divergence négative entre MACD et signal confirme la pression vendeuse, justifiant la **décision de Vente**.</w:t>
      </w:r>
    </w:p>
    <w:p>
      <w:pPr>
        <w:spacing w:after="120" w:line="276" w:lineRule="auto"/>
      </w:pPr>
      <w:r>
        <w:t>**RSI** : À 41,67, le RSI se situe en zone neutre (30-70), sans signal de survente (&lt;30) ni de surachat (&gt;70). Cette position médiane-basse suggère que le titre n'est pas encore survendu, mais la dynamique reste faible, d'où la **décision Neutre**.</w:t>
      </w:r>
    </w:p>
    <w:p>
      <w:pPr>
        <w:spacing w:after="120" w:line="276" w:lineRule="auto"/>
      </w:pPr>
      <w:r>
        <w:t>**Stochastique** : Le %K (0,0) est nettement inférieur au %D (17,04), avec un %K au plancher absolu, ce qui constitue un signal de survente extrême. Historiquement, un %K à 0 précède souvent un rebond technique à court terme, justifiant la **décision d'Achat** — seul indicateur haussier du tableau.</w:t>
      </w:r>
    </w:p>
    <w:p>
      <w:pPr>
        <w:spacing w:after="120" w:line="276" w:lineRule="auto"/>
      </w:pPr>
      <w:r>
        <w:t>**Conclusion technique** : La majorité des indicateurs (MM, MACD) restent baissiers, mais le Stochastique signale une survente extrême et les Bandes de Bollinger un rapprochement de la borne basse. Cette configuration suggère un **potentiel de rebond technique à court terme**, mais la tendance de fond demeure baissière tant que le cours reste sous la MM20 (3 298 FCFA). La prudence reste de mise.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(états financiers annuels)** : En 2025, CABC affiche un chiffre d'affaires de **21 263 M FCFA** (+11,18% vs 2024), un résultat net de **1 439 M FCFA**, un ROE de **15,40%** (excellent, &gt;15%) et un ROA de **6,10%**. La marge nette s'établit à **6,77%** et la marge opérationnelle à **9,82%**, en amélioration par rapport à 2024 (marge nette 6,4% selon le rapport annuel 2024). Le BFR est de **7 186 M FCFA** (positif, donc défavorable), avec des **délais clients élevés de 144,69 jours** et une **durée de stockage de 152,12 jours** — deux indicateurs qui signalent un risque de trésorerie important et une immobilisation de capital préoccupante. L'autonomie financière est saine (39,58%), la liquidité générale confortable (242,60%), mais le flux opérationnel est **négatif (-819,66 M FCFA)** et le Free Cash Flow également (-982,71 M FCFA), ce qui contraste avec la trésorerie nette positive (5 139 M FCFA).</w:t>
      </w:r>
    </w:p>
    <w:p>
      <w:pPr>
        <w:spacing w:after="120" w:line="276" w:lineRule="auto"/>
      </w:pPr>
      <w:r>
        <w:t>**Estimations basées sur les rapports trimestriels** : Le rapport du **3ème trimestre 2025 (30/09/2025)** indique un CA cumulé de 16 630 M FCFA (+13,7%) et un résultat net de 1 329,5 M FCFA (+26,0%), avec une marge nette de 8,0% — supérieure à la moyenne annuelle 2025 (6,77%), ce qui suggère un ralentissement au T4. Le rapport du **1er semestre 2025 (30/06/2025)** affichait un résultat net de 851,5 M FCFA (+55,3%) et une marge nette de 7,9%. **Cependant**, le rapport du **T1 2026** (le plus récent) révèle une **dégradation brutale** : CA en baisse de 26,5% à 3 794 M FCFA, perte d'exploitation de 237 M FCFA (contre un bénéfice de 432 M FCFA au T1 2025), et résultat net déficitaire de 222 M FCFA. Cette contre-performance est attribuée à une maintenance planifiée du parc machines et à l'inflation des cours des métaux (+23% en 3 mois). **On estime donc que l'exercice 2026 devrait être nettement moins favorable que 2025**, avec un risque de retour à une perte nette si la normalisation attendue au T2 ne se matérialise pas.</w:t>
      </w:r>
    </w:p>
    <w:p>
      <w:pPr>
        <w:spacing w:after="120" w:line="276" w:lineRule="auto"/>
      </w:pPr>
      <w:r>
        <w:t>**Recommandation fondamentale** : La solidité financière de CABC reste correcte (ROE &gt;15%, trésorerie nette positive, endettement faible à 4,47%), mais les signaux d'alerte se multiplient : flux opérationnel négatif, délais clients et stocks élevés, et surtout la dégradation du T1 2026. Le rapport annuel 2024 (publié le 31/12/2024) mentionnait déjà une provision de 490 M FCFA pour créance douteuse et une hausse de 94% de l'impôt sur les résultats. **La recommandation fondamentale est CONSERVER avec vigilance**, en attendant la confirmation d'un rebond au T2 2026.</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modérée (PER 12,6x, P/B 1,94x, EV/EBITDA 6,1x), sans décote ni surévaluation flagrante. Le comportement du cours (Partie 1) est préoccupant : -12,57% sur 100 jours, volatilité élevée (46,2%), skewness positif indiquant une pression baissière persistante. Les signaux techniques (Partie 2) sont majoritairement baissiers (MM, MACD), mais le Stochastique en survente extrême (%K=0) et les Bandes de Bollinger proches de la borne basse suggèrent un **rebond technique imminent**. Les fondamentaux (Partie 3) sont mitigés : 2025 solide (ROE 15,4%, CA +11,2%), mais T1 2026 catastrophique (perte de 222 M FCFA) et flux opérationnel négatif. Les **prédictions IA (J+1 à J+10)** anticipent une légère reprise de 3 058 FCFA à 3 079 FCFA (+0,7%), confirmant un rebond technique modéré mais sans retournement majeur.</w:t>
      </w:r>
    </w:p>
    <w:p>
      <w:pPr>
        <w:spacing w:after="120" w:line="276" w:lineRule="auto"/>
      </w:pPr>
      <w:r>
        <w:t>**Recommandation finale** : **CONSERVER** — La convergence entre le rebond technique attendu (Stochastique, prédictions IA) et la valorisation raisonnable (PER 12,6x) plaide pour ne pas vendre au plus bas, mais la dégradation fondamentale du T1 2026 et la tendance baissière de fond (MM, MACD) interdisent tout achat agressif. **Niveau de confiance : Moyen** (les signaux sont contradictoires entre technique court terme et fondamental dégradé). **Niveau de risque global : Élevé** (volatilité 46,2%, flux opérationnel négatif, dépendance aux matières premières). **Horizon d'investissement optimal : Moyen terme (3-12 mois)**, en surveillant impérativement la publication du T2 2026 pour confirmer ou infirmer la normalisation attendue. Un retour durable au-dessus de la MM20 (3 298 FCFA) serait un premier signal de retournement haussier.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1,537 titres</w:t>
            </w:r>
          </w:p>
        </w:tc>
        <w:tc>
          <w:tcPr>
            <w:tcW w:type="dxa" w:w="2268"/>
            <w:shd w:fill="FFF2CC" w:val="clear"/>
          </w:tcPr>
          <w:p>
            <w:r>
              <w:rPr>
                <w:b/>
                <w:color w:val="503200"/>
                <w:sz w:val="16"/>
              </w:rPr>
              <w:t xml:space="preserve">Cours actuel : </w:t>
            </w:r>
            <w:r>
              <w:rPr>
                <w:color w:val="000000"/>
                <w:sz w:val="17"/>
              </w:rPr>
              <w:t>30,500 FCFA</w:t>
            </w:r>
          </w:p>
          <w:p>
            <w:r>
              <w:rPr>
                <w:b/>
                <w:color w:val="503200"/>
                <w:sz w:val="16"/>
              </w:rPr>
              <w:t xml:space="preserve">Var. 100 jours : </w:t>
            </w:r>
            <w:r>
              <w:rPr>
                <w:b/>
                <w:color w:val="007800"/>
                <w:sz w:val="17"/>
              </w:rPr>
              <w:t>+47.34%</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20,700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15.11% (Élevée) — μ=27,569 FCFA, σ=4,165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β=1.3518 (Agressif) — Cov=0.000101, Var(idx)=0.000075, ρ=0.413,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2026-10-15</w:t>
            </w:r>
          </w:p>
        </w:tc>
        <w:tc>
          <w:tcPr>
            <w:tcW w:type="dxa" w:w="1440"/>
            <w:shd w:fill="FFDCE0" w:val="clear"/>
          </w:tcPr>
          <w:p>
            <w:r>
              <w:rPr>
                <w:sz w:val="17"/>
              </w:rPr>
              <w:t>28,253</w:t>
            </w:r>
          </w:p>
        </w:tc>
        <w:tc>
          <w:tcPr>
            <w:tcW w:type="dxa" w:w="1440"/>
            <w:shd w:fill="FFDCE0" w:val="clear"/>
          </w:tcPr>
          <w:p>
            <w:r>
              <w:rPr>
                <w:b/>
                <w:sz w:val="17"/>
              </w:rPr>
              <w:t>29,836</w:t>
            </w:r>
          </w:p>
        </w:tc>
        <w:tc>
          <w:tcPr>
            <w:tcW w:type="dxa" w:w="1440"/>
            <w:shd w:fill="FFDCE0" w:val="clear"/>
          </w:tcPr>
          <w:p>
            <w:r>
              <w:rPr>
                <w:sz w:val="17"/>
              </w:rPr>
              <w:t>31,419</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2026-10-16</w:t>
            </w:r>
          </w:p>
        </w:tc>
        <w:tc>
          <w:tcPr>
            <w:tcW w:type="dxa" w:w="1440"/>
            <w:shd w:fill="FFDCE0" w:val="clear"/>
          </w:tcPr>
          <w:p>
            <w:r>
              <w:rPr>
                <w:sz w:val="17"/>
              </w:rPr>
              <w:t>27,264</w:t>
            </w:r>
          </w:p>
        </w:tc>
        <w:tc>
          <w:tcPr>
            <w:tcW w:type="dxa" w:w="1440"/>
            <w:shd w:fill="FFDCE0" w:val="clear"/>
          </w:tcPr>
          <w:p>
            <w:r>
              <w:rPr>
                <w:b/>
                <w:sz w:val="17"/>
              </w:rPr>
              <w:t>29,476</w:t>
            </w:r>
          </w:p>
        </w:tc>
        <w:tc>
          <w:tcPr>
            <w:tcW w:type="dxa" w:w="1440"/>
            <w:shd w:fill="FFDCE0" w:val="clear"/>
          </w:tcPr>
          <w:p>
            <w:r>
              <w:rPr>
                <w:sz w:val="17"/>
              </w:rPr>
              <w:t>31,687</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2026-10-19</w:t>
            </w:r>
          </w:p>
        </w:tc>
        <w:tc>
          <w:tcPr>
            <w:tcW w:type="dxa" w:w="1440"/>
            <w:shd w:fill="FFDCE0" w:val="clear"/>
          </w:tcPr>
          <w:p>
            <w:r>
              <w:rPr>
                <w:sz w:val="17"/>
              </w:rPr>
              <w:t>26,599</w:t>
            </w:r>
          </w:p>
        </w:tc>
        <w:tc>
          <w:tcPr>
            <w:tcW w:type="dxa" w:w="1440"/>
            <w:shd w:fill="FFDCE0" w:val="clear"/>
          </w:tcPr>
          <w:p>
            <w:r>
              <w:rPr>
                <w:b/>
                <w:sz w:val="17"/>
              </w:rPr>
              <w:t>29,291</w:t>
            </w:r>
          </w:p>
        </w:tc>
        <w:tc>
          <w:tcPr>
            <w:tcW w:type="dxa" w:w="1440"/>
            <w:shd w:fill="FFDCE0" w:val="clear"/>
          </w:tcPr>
          <w:p>
            <w:r>
              <w:rPr>
                <w:sz w:val="17"/>
              </w:rPr>
              <w:t>31,983</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26,067</w:t>
            </w:r>
          </w:p>
        </w:tc>
        <w:tc>
          <w:tcPr>
            <w:tcW w:type="dxa" w:w="1440"/>
            <w:shd w:fill="FFDCE0" w:val="clear"/>
          </w:tcPr>
          <w:p>
            <w:r>
              <w:rPr>
                <w:b/>
                <w:sz w:val="17"/>
              </w:rPr>
              <w:t>29,161</w:t>
            </w:r>
          </w:p>
        </w:tc>
        <w:tc>
          <w:tcPr>
            <w:tcW w:type="dxa" w:w="1440"/>
            <w:shd w:fill="FFDCE0" w:val="clear"/>
          </w:tcPr>
          <w:p>
            <w:r>
              <w:rPr>
                <w:sz w:val="17"/>
              </w:rPr>
              <w:t>32,256</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25,597</w:t>
            </w:r>
          </w:p>
        </w:tc>
        <w:tc>
          <w:tcPr>
            <w:tcW w:type="dxa" w:w="1440"/>
            <w:shd w:fill="FFDCE0" w:val="clear"/>
          </w:tcPr>
          <w:p>
            <w:r>
              <w:rPr>
                <w:b/>
                <w:sz w:val="17"/>
              </w:rPr>
              <w:t>29,043</w:t>
            </w:r>
          </w:p>
        </w:tc>
        <w:tc>
          <w:tcPr>
            <w:tcW w:type="dxa" w:w="1440"/>
            <w:shd w:fill="FFDCE0" w:val="clear"/>
          </w:tcPr>
          <w:p>
            <w:r>
              <w:rPr>
                <w:sz w:val="17"/>
              </w:rPr>
              <w:t>32,489</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25,176</w:t>
            </w:r>
          </w:p>
        </w:tc>
        <w:tc>
          <w:tcPr>
            <w:tcW w:type="dxa" w:w="1440"/>
            <w:shd w:fill="FFDCE0" w:val="clear"/>
          </w:tcPr>
          <w:p>
            <w:r>
              <w:rPr>
                <w:b/>
                <w:sz w:val="17"/>
              </w:rPr>
              <w:t>28,937</w:t>
            </w:r>
          </w:p>
        </w:tc>
        <w:tc>
          <w:tcPr>
            <w:tcW w:type="dxa" w:w="1440"/>
            <w:shd w:fill="FFDCE0" w:val="clear"/>
          </w:tcPr>
          <w:p>
            <w:r>
              <w:rPr>
                <w:sz w:val="17"/>
              </w:rPr>
              <w:t>32,698</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24,798</w:t>
            </w:r>
          </w:p>
        </w:tc>
        <w:tc>
          <w:tcPr>
            <w:tcW w:type="dxa" w:w="1440"/>
            <w:shd w:fill="FFDCE0" w:val="clear"/>
          </w:tcPr>
          <w:p>
            <w:r>
              <w:rPr>
                <w:b/>
                <w:sz w:val="17"/>
              </w:rPr>
              <w:t>28,847</w:t>
            </w:r>
          </w:p>
        </w:tc>
        <w:tc>
          <w:tcPr>
            <w:tcW w:type="dxa" w:w="1440"/>
            <w:shd w:fill="FFDCE0" w:val="clear"/>
          </w:tcPr>
          <w:p>
            <w:r>
              <w:rPr>
                <w:sz w:val="17"/>
              </w:rPr>
              <w:t>32,897</w:t>
            </w:r>
          </w:p>
        </w:tc>
        <w:tc>
          <w:tcPr>
            <w:tcW w:type="dxa" w:w="1440"/>
            <w:shd w:fill="FFDCE0" w:val="clear"/>
          </w:tcPr>
          <w:p>
            <w:r>
              <w:rPr>
                <w:b/>
                <w:color w:val="C00000"/>
                <w:sz w:val="17"/>
              </w:rPr>
              <w:t>-5.4%</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24,450</w:t>
            </w:r>
          </w:p>
        </w:tc>
        <w:tc>
          <w:tcPr>
            <w:tcW w:type="dxa" w:w="1440"/>
            <w:shd w:fill="FFDCE0" w:val="clear"/>
          </w:tcPr>
          <w:p>
            <w:r>
              <w:rPr>
                <w:b/>
                <w:sz w:val="17"/>
              </w:rPr>
              <w:t>28,767</w:t>
            </w:r>
          </w:p>
        </w:tc>
        <w:tc>
          <w:tcPr>
            <w:tcW w:type="dxa" w:w="1440"/>
            <w:shd w:fill="FFDCE0" w:val="clear"/>
          </w:tcPr>
          <w:p>
            <w:r>
              <w:rPr>
                <w:sz w:val="17"/>
              </w:rPr>
              <w:t>33,085</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24,128</w:t>
            </w:r>
          </w:p>
        </w:tc>
        <w:tc>
          <w:tcPr>
            <w:tcW w:type="dxa" w:w="1440"/>
            <w:shd w:fill="FFDCE0" w:val="clear"/>
          </w:tcPr>
          <w:p>
            <w:r>
              <w:rPr>
                <w:b/>
                <w:sz w:val="17"/>
              </w:rPr>
              <w:t>28,696</w:t>
            </w:r>
          </w:p>
        </w:tc>
        <w:tc>
          <w:tcPr>
            <w:tcW w:type="dxa" w:w="1440"/>
            <w:shd w:fill="FFDCE0" w:val="clear"/>
          </w:tcPr>
          <w:p>
            <w:r>
              <w:rPr>
                <w:sz w:val="17"/>
              </w:rPr>
              <w:t>33,263</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23,827</w:t>
            </w:r>
          </w:p>
        </w:tc>
        <w:tc>
          <w:tcPr>
            <w:tcW w:type="dxa" w:w="1440"/>
            <w:shd w:fill="FFDCE0" w:val="clear"/>
          </w:tcPr>
          <w:p>
            <w:r>
              <w:rPr>
                <w:b/>
                <w:sz w:val="17"/>
              </w:rPr>
              <w:t>28,631</w:t>
            </w:r>
          </w:p>
        </w:tc>
        <w:tc>
          <w:tcPr>
            <w:tcW w:type="dxa" w:w="1440"/>
            <w:shd w:fill="FFDCE0" w:val="clear"/>
          </w:tcPr>
          <w:p>
            <w:r>
              <w:rPr>
                <w:sz w:val="17"/>
              </w:rPr>
              <w:t>33,435</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976,00 milliards FCFA, CBIBF s'impose comme l'une des toutes premières capitalisations de la BRVM, ce qui témoigne de son statut de valeur phare du compartiment bancaire régional et de sa liquidité relative. Le BPA de 2 047 FCFA par action signifie que chaque titre génère près de 2 047 FCFA de bénéfice net, un niveau élevé qui traduit la forte rentabilité de la banque. Le PER de 14,9x se situe au-dessus de la moyenne du marché BRVM (généralement comprise entre 8 et 12x), ce qui indique que les investisseurs acceptent de payer une prime de qualité pour ce titre, sans pour autant tomber dans une zone de surévaluation spéculative. Le ratio EV/EBITDA de 11,0x, dans la fourchette 10-15x, confirme cette valorisation élevée mais justifiée par la capacité bénéficiaire et la solidité opérationnelle de la banque. Le P/B n'étant pas fourni dans les données disponibles, il n'est pas commenté ici.</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+47,34%, avec une dernière séance en hausse de +1,67%, portant le cours actuel à 30 500 FCFA. Le range de trading est particulièrement large, le plus haut ayant atteint 34 450 FCFA contre un plus bas de 20 700 FCFA, soit une amplitude de plus de 66% qui traduit une forte dynamique haussière entrecoupée de corrections. La tendance générale est donc clairement haussière, soutenue par les excellents résultats publiés. Les statistiques descriptives révèlent une moyenne de 27 569 FCFA légèrement inférieure à la médiane de 28 470 FCFA, ce qui indique une asymétrie négative (skewness de -0,230, distribution quasi-symétrique) : les cours ont passé plus de temps dans les niveaux élevés, mais quelques séances de forte baisse ont tiré la moyenne vers le bas. L'écart-type de 4 186 FCFA (CV de 15,2%) traduit une dispersion modérée du cours autour de sa moyenne. Le kurtosis de -1,181 (distribution platykurtique) signale une distribution aplatie avec une faible concentration autour de la moyenne et un risque de pics de volatilité moins fréquent qu'une loi normale, ce qui est rassurant pour la stabilité du titre. Enfin, la volatilité annualisée de 44,2% positionne CBIBF dans la catégorie des titres à volatilité élevée (&gt;30%), ce qui est cohérent avec son statut de valeur de croissance sur un marché frontière.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(31 390,75 FCFA) et la MM50 (30 833,50 FCFA) se situent toutes deux au-dessus du cours actuel (30 500 FCFA), ce qui place le titre en position légèrement baissière à court terme. Toutefois, la MM20 reste supérieure à la MM50, configuration haussière de fond, et la décision technique affichée est "Achat", suggérant que le repli actuel pourrait constituer un point d'entrée.</w:t>
      </w:r>
    </w:p>
    <w:p>
      <w:pPr>
        <w:spacing w:after="120" w:line="276" w:lineRule="auto"/>
      </w:pPr>
      <w:r>
        <w:t>**Bandes de Bollinger** : Le cours (30 500 FCFA) évolue dans la partie médiane de la bande, entre la borne inférieure (28 379,54 FCFA) et la borne supérieure (34 401,96 FCFA). Cette position centrale, couplée à une décision "Neutre", indique l'absence de signal directionnel fort et une volatilité en cours de normalisation après la forte hausse.</w:t>
      </w:r>
    </w:p>
    <w:p>
      <w:pPr>
        <w:spacing w:after="120" w:line="276" w:lineRule="auto"/>
      </w:pPr>
      <w:r>
        <w:t>**MACD** : La valeur du MACD (-278,47) est nettement inférieure à son signal (-48,855), générant un croisement baissier et une décision "Vente". Ce momentum négatif signale que la dynamique haussière s'essouffle à court terme, bien que l'amplitude reste modérée au regard de l'historique du titre.</w:t>
      </w:r>
    </w:p>
    <w:p>
      <w:pPr>
        <w:spacing w:after="120" w:line="276" w:lineRule="auto"/>
      </w:pPr>
      <w:r>
        <w:t>**RSI** : À 59,383, le RSI se situe en zone neutre (entre 30 et 70), sans signal de surachat ni de survente. La décision "Neutre" confirme que le titre dispose encore d'une marge de progression avant d'atteindre des niveaux de surachat, ce qui tempère le signal baissier du MACD.</w:t>
      </w:r>
    </w:p>
    <w:p>
      <w:pPr>
        <w:spacing w:after="120" w:line="276" w:lineRule="auto"/>
      </w:pPr>
      <w:r>
        <w:t>**Stochastique** : Le %K (20,08) est inférieur au %D (29,979), avec les deux lignes en zone basse (proche de la survente à 20). La décision "Neutre" reflète une situation de consolidation, mais la proximité de la zone de survente pourrait annoncer un rebond technique imminent.</w:t>
      </w:r>
    </w:p>
    <w:p>
      <w:pPr>
        <w:spacing w:after="120" w:line="276" w:lineRule="auto"/>
      </w:pPr>
      <w:r>
        <w:t>**Conclusion technique** : Les indicateurs présentent un tableau mitigé. Les moyennes mobiles restent haussières de fond et le RSI neutre plaide pour un maintien, tandis que le MACD baissier et le stochastique en zone basse signalent une pression vendeuse à court terme. La convergence des signaux neutres (Bollinger, RSI, Stochastique) suggère une phase de consolidation avant une reprise potentielle, le titre évoluant dans un range de 28 380 à 34 400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banque en pleine accélération : le Produit Net Bancaire (équivalent du chiffre d'affaires bancaire) s'établit à 138,986 milliards FCFA, en croissance de 6,11% sur un an, tandis que le résultat net atteint 65,495 milliards FCFA, en progression spectaculaire de +36,6% par rapport aux 47,937 milliards de 2024 (rapport annuel 2025, analysé le 01/10/2026). Cette performance est d'autant plus remarquable qu'elle succède à une année 2024 difficile marquée par une chute de -25,4% du résultat net due à un assainissement massif du portefeuille de crédits. La rentabilité des actifs (ROA) ressort à 2,18%, un niveau solide pour le secteur bancaire, et la marge nette de 47,12% témoigne d'une excellente efficacité opérationnelle. Le coefficient d'exploitation de 36,39% place CBIBF parmi les banques les plus efficaces de la zone UEMOA (seuil d'excellence à 50%), confirmant la maîtrise des charges. Le coût du risque, bien qu'élevé dans les données brutes (1 645,4%), s'est amélioré de 59,3% selon le rapport annuel 2025, traduisant une nette amélioration de la qualité du portefeuille après l'assainissement de 2024. La structure bilancielle est saine avec 2 015,284 milliards FCFA de dépôts clients pour 1 326,977 milliards FCFA de créances, soit un ratio de transformation de 65,8% qui indique une capacité de prêt encore mobilisable. Les rapports trimestriels récents confirment cette dynamique : le T1 2026 (publié le 01/04/2026) affiche un PNB de 36,8 milliards FCFA (+28,5%) et un résultat net de 21,5 milliards FCFA (+22,2%), tandis que les dépôts bondissent de +37,9% à 2 365,1 milliards FCFA. Sur la base de ces tendances, on estime que l'exercice 2026 devrait enregistrer un résultat net supérieur à 80 milliards FCFA si la dynamique se maintient. La notation financière AA/AI avec perspective stable (confirmée par Bloomfield Investment Corporation) et le renforcement de la gouvernance avec deux administrateurs indépendants constituent des facteurs de confiance supplémentaires. En synthèse, CBIBF présente des fondamentaux solides, une croissance retrouvée et une gestion des risques maîtrisée, avec pour principaux risques l'exposition au contexte sécuritaire burkinabè et la concentration géographique.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de 14,9x, EV/EBITDA de 11,0x) indique une prime de qualité par rapport au marché BRVM, justifiée par la solidité des fondamentaux mais limitant le potentiel de revalorisation immédiate. Le comportement du cours sur 100 jours (+47,34%) témoigne d'une tendance haussière robuste, avec une volatilité élevée (44,2%) et une distribution platykurtique qui suggère des mouvements amples mais sans pics extrêmes fréquents. Les signaux techniques sont mitigés : les moyennes mobiles restent haussières de fond tandis que le MACD baissier et le stochastique en zone basse signalent une consolidation à court terme, le RSI neutre (59,4) laissant présager une reprise potentielle. Les fondamentaux sont excellents : résultat net 2025 de 65,5 milliards FCFA (+36,6%), coefficient d'exploitation de 36,4%, ROA de 2,18%, et les rapports T1 2026 confirment l'accélération avec un résultat net de 21,5 milliards FCFA (+22,2%). Les prédictions IA (J+1 à J+10) anticipent une légère correction vers 29 043 FCFA d'ici le 21 octobre 2026, ce qui contredit partiellement les signaux haussiers mais s'aligne sur le MACD baissier et la consolidation technique en cours. Sur la base de cette synthèse, la recommandation finale est **ACHAT**, avec un niveau de confiance **Moyen** et un risque global **Moyen**. La convergence entre fondamentaux solides, tendance de fond haussière et valorisation raisonnable justifie une exposition, mais la correction technique attendue suggère un point d'entrée progressif. L'horizon d'investissement optimal est le **moyen terme (3-12 mois)**, le temps que la consolidation s'achève et que les résultats 2026 confirment la trajectoire de croissance.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257.55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3,572 titres</w:t>
            </w:r>
          </w:p>
        </w:tc>
        <w:tc>
          <w:tcPr>
            <w:tcW w:type="dxa" w:w="2268"/>
            <w:shd w:fill="FFF2CC" w:val="clear"/>
          </w:tcPr>
          <w:p>
            <w:r>
              <w:rPr>
                <w:b/>
                <w:color w:val="503200"/>
                <w:sz w:val="16"/>
              </w:rPr>
              <w:t xml:space="preserve">Cours actuel : </w:t>
            </w:r>
            <w:r>
              <w:rPr>
                <w:color w:val="000000"/>
                <w:sz w:val="17"/>
              </w:rPr>
              <w:t>1,420 FCFA</w:t>
            </w:r>
          </w:p>
          <w:p>
            <w:r>
              <w:rPr>
                <w:b/>
                <w:color w:val="503200"/>
                <w:sz w:val="16"/>
              </w:rPr>
              <w:t xml:space="preserve">Var. 100 jours : </w:t>
            </w:r>
            <w:r>
              <w:rPr>
                <w:b/>
                <w:color w:val="B40000"/>
                <w:sz w:val="17"/>
              </w:rPr>
              <w:t>-4.38%</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1,420 FCFA</w:t>
            </w:r>
          </w:p>
          <w:p>
            <w:r>
              <w:rPr>
                <w:b/>
                <w:color w:val="503200"/>
                <w:sz w:val="16"/>
              </w:rPr>
              <w:t xml:space="preserve">Volatilité ann. : </w:t>
            </w:r>
            <w:r>
              <w:rPr>
                <w:color w:val="000000"/>
                <w:sz w:val="17"/>
              </w:rPr>
              <w:t>45.6%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5.68% (Moyenne) — μ=1,635 FCFA, σ=93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β=1.1889 (Neutre (suit le marché)) — Cov=0.000089, Var(idx)=0.000075, ρ=0.354,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σ_j=2.87%/j (Stable) — Vol. annualisée≈45.6%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2026-10-15</w:t>
            </w:r>
          </w:p>
        </w:tc>
        <w:tc>
          <w:tcPr>
            <w:tcW w:type="dxa" w:w="1440"/>
            <w:shd w:fill="C6EFCE" w:val="clear"/>
          </w:tcPr>
          <w:p>
            <w:r>
              <w:rPr>
                <w:sz w:val="17"/>
              </w:rPr>
              <w:t>1,389</w:t>
            </w:r>
          </w:p>
        </w:tc>
        <w:tc>
          <w:tcPr>
            <w:tcW w:type="dxa" w:w="1440"/>
            <w:shd w:fill="C6EFCE" w:val="clear"/>
          </w:tcPr>
          <w:p>
            <w:r>
              <w:rPr>
                <w:b/>
                <w:sz w:val="17"/>
              </w:rPr>
              <w:t>1,451</w:t>
            </w:r>
          </w:p>
        </w:tc>
        <w:tc>
          <w:tcPr>
            <w:tcW w:type="dxa" w:w="1440"/>
            <w:shd w:fill="C6EFCE" w:val="clear"/>
          </w:tcPr>
          <w:p>
            <w:r>
              <w:rPr>
                <w:sz w:val="17"/>
              </w:rPr>
              <w:t>1,513</w:t>
            </w:r>
          </w:p>
        </w:tc>
        <w:tc>
          <w:tcPr>
            <w:tcW w:type="dxa" w:w="1440"/>
            <w:shd w:fill="C6EFCE" w:val="clear"/>
          </w:tcPr>
          <w:p>
            <w:r>
              <w:rPr>
                <w:b/>
                <w:color w:val="008000"/>
                <w:sz w:val="17"/>
              </w:rPr>
              <w:t>+2.2%</w:t>
            </w:r>
          </w:p>
        </w:tc>
      </w:tr>
      <w:tr>
        <w:tc>
          <w:tcPr>
            <w:tcW w:type="dxa" w:w="1440"/>
            <w:shd w:fill="C6EFCE" w:val="clear"/>
          </w:tcPr>
          <w:p>
            <w:r>
              <w:rPr>
                <w:sz w:val="17"/>
              </w:rPr>
              <w:t>J+2  Moyenne</w:t>
            </w:r>
          </w:p>
        </w:tc>
        <w:tc>
          <w:tcPr>
            <w:tcW w:type="dxa" w:w="1440"/>
            <w:shd w:fill="C6EFCE" w:val="clear"/>
          </w:tcPr>
          <w:p>
            <w:r>
              <w:rPr>
                <w:sz w:val="17"/>
              </w:rPr>
              <w:t>2026-10-16</w:t>
            </w:r>
          </w:p>
        </w:tc>
        <w:tc>
          <w:tcPr>
            <w:tcW w:type="dxa" w:w="1440"/>
            <w:shd w:fill="C6EFCE" w:val="clear"/>
          </w:tcPr>
          <w:p>
            <w:r>
              <w:rPr>
                <w:sz w:val="17"/>
              </w:rPr>
              <w:t>1,367</w:t>
            </w:r>
          </w:p>
        </w:tc>
        <w:tc>
          <w:tcPr>
            <w:tcW w:type="dxa" w:w="1440"/>
            <w:shd w:fill="C6EFCE" w:val="clear"/>
          </w:tcPr>
          <w:p>
            <w:r>
              <w:rPr>
                <w:b/>
                <w:sz w:val="17"/>
              </w:rPr>
              <w:t>1,455</w:t>
            </w:r>
          </w:p>
        </w:tc>
        <w:tc>
          <w:tcPr>
            <w:tcW w:type="dxa" w:w="1440"/>
            <w:shd w:fill="C6EFCE" w:val="clear"/>
          </w:tcPr>
          <w:p>
            <w:r>
              <w:rPr>
                <w:sz w:val="17"/>
              </w:rPr>
              <w:t>1,543</w:t>
            </w:r>
          </w:p>
        </w:tc>
        <w:tc>
          <w:tcPr>
            <w:tcW w:type="dxa" w:w="1440"/>
            <w:shd w:fill="C6EFCE" w:val="clear"/>
          </w:tcPr>
          <w:p>
            <w:r>
              <w:rPr>
                <w:b/>
                <w:color w:val="008000"/>
                <w:sz w:val="17"/>
              </w:rPr>
              <w:t>+2.4%</w:t>
            </w:r>
          </w:p>
        </w:tc>
      </w:tr>
      <w:tr>
        <w:tc>
          <w:tcPr>
            <w:tcW w:type="dxa" w:w="1440"/>
            <w:shd w:fill="C6EFCE" w:val="clear"/>
          </w:tcPr>
          <w:p>
            <w:r>
              <w:rPr>
                <w:sz w:val="17"/>
              </w:rPr>
              <w:t>J+3  Moyenne</w:t>
            </w:r>
          </w:p>
        </w:tc>
        <w:tc>
          <w:tcPr>
            <w:tcW w:type="dxa" w:w="1440"/>
            <w:shd w:fill="C6EFCE" w:val="clear"/>
          </w:tcPr>
          <w:p>
            <w:r>
              <w:rPr>
                <w:sz w:val="17"/>
              </w:rPr>
              <w:t>2026-10-19</w:t>
            </w:r>
          </w:p>
        </w:tc>
        <w:tc>
          <w:tcPr>
            <w:tcW w:type="dxa" w:w="1440"/>
            <w:shd w:fill="C6EFCE" w:val="clear"/>
          </w:tcPr>
          <w:p>
            <w:r>
              <w:rPr>
                <w:sz w:val="17"/>
              </w:rPr>
              <w:t>1,354</w:t>
            </w:r>
          </w:p>
        </w:tc>
        <w:tc>
          <w:tcPr>
            <w:tcW w:type="dxa" w:w="1440"/>
            <w:shd w:fill="C6EFCE" w:val="clear"/>
          </w:tcPr>
          <w:p>
            <w:r>
              <w:rPr>
                <w:b/>
                <w:sz w:val="17"/>
              </w:rPr>
              <w:t>1,462</w:t>
            </w:r>
          </w:p>
        </w:tc>
        <w:tc>
          <w:tcPr>
            <w:tcW w:type="dxa" w:w="1440"/>
            <w:shd w:fill="C6EFCE" w:val="clear"/>
          </w:tcPr>
          <w:p>
            <w:r>
              <w:rPr>
                <w:sz w:val="17"/>
              </w:rPr>
              <w:t>1,570</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1,344</w:t>
            </w:r>
          </w:p>
        </w:tc>
        <w:tc>
          <w:tcPr>
            <w:tcW w:type="dxa" w:w="1440"/>
            <w:shd w:fill="C6EFCE" w:val="clear"/>
          </w:tcPr>
          <w:p>
            <w:r>
              <w:rPr>
                <w:b/>
                <w:sz w:val="17"/>
              </w:rPr>
              <w:t>1,470</w:t>
            </w:r>
          </w:p>
        </w:tc>
        <w:tc>
          <w:tcPr>
            <w:tcW w:type="dxa" w:w="1440"/>
            <w:shd w:fill="C6EFCE" w:val="clear"/>
          </w:tcPr>
          <w:p>
            <w:r>
              <w:rPr>
                <w:sz w:val="17"/>
              </w:rPr>
              <w:t>1,596</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1,336</w:t>
            </w:r>
          </w:p>
        </w:tc>
        <w:tc>
          <w:tcPr>
            <w:tcW w:type="dxa" w:w="1440"/>
            <w:shd w:fill="C6EFCE" w:val="clear"/>
          </w:tcPr>
          <w:p>
            <w:r>
              <w:rPr>
                <w:b/>
                <w:sz w:val="17"/>
              </w:rPr>
              <w:t>1,478</w:t>
            </w:r>
          </w:p>
        </w:tc>
        <w:tc>
          <w:tcPr>
            <w:tcW w:type="dxa" w:w="1440"/>
            <w:shd w:fill="C6EFCE" w:val="clear"/>
          </w:tcPr>
          <w:p>
            <w:r>
              <w:rPr>
                <w:sz w:val="17"/>
              </w:rPr>
              <w:t>1,619</w:t>
            </w:r>
          </w:p>
        </w:tc>
        <w:tc>
          <w:tcPr>
            <w:tcW w:type="dxa" w:w="1440"/>
            <w:shd w:fill="C6EFCE" w:val="clear"/>
          </w:tcPr>
          <w:p>
            <w:r>
              <w:rPr>
                <w:b/>
                <w:color w:val="008000"/>
                <w:sz w:val="17"/>
              </w:rPr>
              <w:t>+4.1%</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1,330</w:t>
            </w:r>
          </w:p>
        </w:tc>
        <w:tc>
          <w:tcPr>
            <w:tcW w:type="dxa" w:w="1440"/>
            <w:shd w:fill="C6EFCE" w:val="clear"/>
          </w:tcPr>
          <w:p>
            <w:r>
              <w:rPr>
                <w:b/>
                <w:sz w:val="17"/>
              </w:rPr>
              <w:t>1,485</w:t>
            </w:r>
          </w:p>
        </w:tc>
        <w:tc>
          <w:tcPr>
            <w:tcW w:type="dxa" w:w="1440"/>
            <w:shd w:fill="C6EFCE" w:val="clear"/>
          </w:tcPr>
          <w:p>
            <w:r>
              <w:rPr>
                <w:sz w:val="17"/>
              </w:rPr>
              <w:t>1,641</w:t>
            </w:r>
          </w:p>
        </w:tc>
        <w:tc>
          <w:tcPr>
            <w:tcW w:type="dxa" w:w="1440"/>
            <w:shd w:fill="C6EFCE" w:val="clear"/>
          </w:tcPr>
          <w:p>
            <w:r>
              <w:rPr>
                <w:b/>
                <w:color w:val="008000"/>
                <w:sz w:val="17"/>
              </w:rPr>
              <w:t>+4.6%</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1,324</w:t>
            </w:r>
          </w:p>
        </w:tc>
        <w:tc>
          <w:tcPr>
            <w:tcW w:type="dxa" w:w="1440"/>
            <w:shd w:fill="C6EFCE" w:val="clear"/>
          </w:tcPr>
          <w:p>
            <w:r>
              <w:rPr>
                <w:b/>
                <w:sz w:val="17"/>
              </w:rPr>
              <w:t>1,492</w:t>
            </w:r>
          </w:p>
        </w:tc>
        <w:tc>
          <w:tcPr>
            <w:tcW w:type="dxa" w:w="1440"/>
            <w:shd w:fill="C6EFCE" w:val="clear"/>
          </w:tcPr>
          <w:p>
            <w:r>
              <w:rPr>
                <w:sz w:val="17"/>
              </w:rPr>
              <w:t>1,661</w:t>
            </w:r>
          </w:p>
        </w:tc>
        <w:tc>
          <w:tcPr>
            <w:tcW w:type="dxa" w:w="1440"/>
            <w:shd w:fill="C6EFCE" w:val="clear"/>
          </w:tcPr>
          <w:p>
            <w:r>
              <w:rPr>
                <w:b/>
                <w:color w:val="008000"/>
                <w:sz w:val="17"/>
              </w:rPr>
              <w:t>+5.1%</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1,318</w:t>
            </w:r>
          </w:p>
        </w:tc>
        <w:tc>
          <w:tcPr>
            <w:tcW w:type="dxa" w:w="1440"/>
            <w:shd w:fill="C6EFCE" w:val="clear"/>
          </w:tcPr>
          <w:p>
            <w:r>
              <w:rPr>
                <w:b/>
                <w:sz w:val="17"/>
              </w:rPr>
              <w:t>1,499</w:t>
            </w:r>
          </w:p>
        </w:tc>
        <w:tc>
          <w:tcPr>
            <w:tcW w:type="dxa" w:w="1440"/>
            <w:shd w:fill="C6EFCE" w:val="clear"/>
          </w:tcPr>
          <w:p>
            <w:r>
              <w:rPr>
                <w:sz w:val="17"/>
              </w:rPr>
              <w:t>1,681</w:t>
            </w:r>
          </w:p>
        </w:tc>
        <w:tc>
          <w:tcPr>
            <w:tcW w:type="dxa" w:w="1440"/>
            <w:shd w:fill="C6EFCE" w:val="clear"/>
          </w:tcPr>
          <w:p>
            <w:r>
              <w:rPr>
                <w:b/>
                <w:color w:val="008000"/>
                <w:sz w:val="17"/>
              </w:rPr>
              <w:t>+5.6%</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1,313</w:t>
            </w:r>
          </w:p>
        </w:tc>
        <w:tc>
          <w:tcPr>
            <w:tcW w:type="dxa" w:w="1440"/>
            <w:shd w:fill="C6EFCE" w:val="clear"/>
          </w:tcPr>
          <w:p>
            <w:r>
              <w:rPr>
                <w:b/>
                <w:sz w:val="17"/>
              </w:rPr>
              <w:t>1,506</w:t>
            </w:r>
          </w:p>
        </w:tc>
        <w:tc>
          <w:tcPr>
            <w:tcW w:type="dxa" w:w="1440"/>
            <w:shd w:fill="C6EFCE" w:val="clear"/>
          </w:tcPr>
          <w:p>
            <w:r>
              <w:rPr>
                <w:sz w:val="17"/>
              </w:rPr>
              <w:t>1,699</w:t>
            </w:r>
          </w:p>
        </w:tc>
        <w:tc>
          <w:tcPr>
            <w:tcW w:type="dxa" w:w="1440"/>
            <w:shd w:fill="C6EFCE" w:val="clear"/>
          </w:tcPr>
          <w:p>
            <w:r>
              <w:rPr>
                <w:b/>
                <w:color w:val="008000"/>
                <w:sz w:val="17"/>
              </w:rPr>
              <w:t>+6.1%</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1,308</w:t>
            </w:r>
          </w:p>
        </w:tc>
        <w:tc>
          <w:tcPr>
            <w:tcW w:type="dxa" w:w="1440"/>
            <w:shd w:fill="C6EFCE" w:val="clear"/>
          </w:tcPr>
          <w:p>
            <w:r>
              <w:rPr>
                <w:b/>
                <w:sz w:val="17"/>
              </w:rPr>
              <w:t>1,513</w:t>
            </w:r>
          </w:p>
        </w:tc>
        <w:tc>
          <w:tcPr>
            <w:tcW w:type="dxa" w:w="1440"/>
            <w:shd w:fill="C6EFCE" w:val="clear"/>
          </w:tcPr>
          <w:p>
            <w:r>
              <w:rPr>
                <w:sz w:val="17"/>
              </w:rPr>
              <w:t>1,717</w:t>
            </w:r>
          </w:p>
        </w:tc>
        <w:tc>
          <w:tcPr>
            <w:tcW w:type="dxa" w:w="1440"/>
            <w:shd w:fill="C6EFCE" w:val="clear"/>
          </w:tcPr>
          <w:p>
            <w:r>
              <w:rPr>
                <w:b/>
                <w:color w:val="008000"/>
                <w:sz w:val="17"/>
              </w:rPr>
              <w:t>+6.5%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*Analyste : Marché BRVM | Date de l'analyse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257,55 milliards FCFA, CFAC figure parmi les valeurs les plus importantes de la cote BRVM, ce qui témoigne de sa stature de leader sectoriel. Le BPA s'établit à 26 FCFA par action, un niveau modeste au regard du cours de 1 420 FCFA. Le PER ressort à 54,9x, soit un niveau très supérieur à la moyenne du marché BRVM (8-12x), signalant que les investisseurs paient une prime considérable pour les bénéfices actuels — une prudence s'impose. Le P/B de 13,24x, largement supérieur au seuil de 4x, indique que le marché valorise l'entreprise à plus de treize fois sa valeur comptable, ce qui traduit une forte anticipation de croissance future. Enfin, l'EV/EBITDA de 28,0x, bien au-delà du seuil de 15x, confirme que la valeur d'entreprise est très exigeante par rapport à la capacité opérationnelle de génération de cash. L'ensemble de ces ratios dessine une valorisation tendue, portée par des anticipations optimistes qu'il conviendra de confronter aux fondamentaux réels.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 enregistré une variation totale de -4,38%, avec une dernière séance en repli de -1,73%, portant le cours actuel à 1 420 FCFA — soit précisément le plus bas de la période, contre un plus haut de 1 825 FCFA. Le range de trading est donc large (405 FCFA d'amplitude), et le fait que le cours clôture au plus bas constitue un signal baissier préoccupant. La tendance générale est clairement baissière sur la période, le titre ayant perdu du terrain de manière progressive. Les statistiques descriptives révèlent une moyenne de 1 635 FCFA légèrement supérieure à la médiane de 1 642 FCFA, avec un mode à 1 600 FCFA, indiquant une distribution quasi-symétrique (skewness de -0,228) sans biais marqué. L'écart-type de 93 FCFA et le coefficient de variation de 5,7% traduisent une dispersion modérée du cours autour de sa moyenne. Le kurtosis de -0,867 (mésokurtique) suggère une distribution proche de la normale, sans risque de pics extrêmes marqué. La volatilité annualisée de 45,6% classe le titre dans la catégorie des valeurs à volatilité élevée (&gt;30%), ce qui implique un risque de prix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(1 544,5 FCFA) et la MM50 (1 639,2 FCFA) se situent toutes deux au-dessus du cours actuel (1 420 FCFA), avec la MM20 en dessous de la MM50 — configuration baissière classique. Le cours évoluant sous ses deux moyennes, la pression vendeuse est confirmée, justifiant la décision de vente.</w:t>
      </w:r>
    </w:p>
    <w:p>
      <w:pPr>
        <w:spacing w:after="120" w:line="276" w:lineRule="auto"/>
      </w:pPr>
      <w:r>
        <w:t>**Bandes de Bollinger** : Le cours (1 420 FCFA) se situe juste au-dessus de la borne inférieure (1 398,144 FCFA) et très en dessous de la borne supérieure (1 690,856 FCFA), traduisant une pression baissière mais aussi une possible zone de survente à court terme. La décision est neutre, le cours n'ayant pas encore cassé la borne inférieure.</w:t>
      </w:r>
    </w:p>
    <w:p>
      <w:pPr>
        <w:spacing w:after="120" w:line="276" w:lineRule="auto"/>
      </w:pPr>
      <w:r>
        <w:t>**MACD** : La valeur du MACD (-56,294) est inférieure à son signal (-46,434), confirmant un momentum baissier persistant. Le croisement MACD sous son signal est un signal de vente classique, justifiant la décision.</w:t>
      </w:r>
    </w:p>
    <w:p>
      <w:pPr>
        <w:spacing w:after="120" w:line="276" w:lineRule="auto"/>
      </w:pPr>
      <w:r>
        <w:t>**RSI** : À 44,0, le RSI se situe en zone neutre (30-70), sans signal de surachat ni de survente. Cette configuration n'apporte pas de signal directionnel fort, justifiant la décision neutre.</w:t>
      </w:r>
    </w:p>
    <w:p>
      <w:pPr>
        <w:spacing w:after="120" w:line="276" w:lineRule="auto"/>
      </w:pPr>
      <w:r>
        <w:t>**Stochastique** : Le %K (0,0) est très en dessous du %D (4,301), indiquant une position de survente extrême. Ce croisement en zone basse est généralement interprété comme un signal d'achat potentiel à court terme, justifiant la décision d'achat.</w:t>
      </w:r>
    </w:p>
    <w:p>
      <w:pPr>
        <w:spacing w:after="120" w:line="276" w:lineRule="auto"/>
      </w:pPr>
      <w:r>
        <w:t>**Conclusion technique** : Les indicateurs sont majoritairement baissiers (MM, MACD), avec un RSI neutre et un stochastique en survente extrême. La convergence des signaux baissiers à moyen terme contraste avec le signal d'achat à court terme du stochastique, suggérant une possible stabilisation voire un rebond technique, mais dans un contexte globalement défavorable.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les états financiers de CFAC (publiés le 31 décembre 2024) affichent un chiffre d'affaires de 158,313 milliards FCFA, en baisse de -12,1% par rapport à 2023 (180,162 milliards FCFA), et un résultat net de 4,693 milliards FCFA, en recul de -26,7%. Le ROE reste néanmoins solide à 24,13%, et le ROA à 5,52%, témoignant d'une bonne rentabilité des fonds propres malgré la contraction. La marge nette s'établit à 2,96%, en retrait par rapport aux 3,6% de 2023. Les délais clients (36,64 jours) et fournisseurs (81,75 jours) sont relativement bien maîtrisés, et le BFR est négatif (-3,482 milliards FCFA), ce qui est favorable à la trésorerie. Cependant, la trésorerie nette est négative (-624,20 millions FCFA), et le Free Cash Flow s'élève à -1,650 milliard FCFA, reflétant des investissements importants (-8,741 milliards FCFA). Le taux d'endettement de 23,07% reste contenu, et la couverture des intérêts est excellente (1 064,46%). Les rapports trimestriels de 2025 (T1, S1, T3) montrent une nette amélioration : au T1 2025 (rapport du 31 mars 2025), le CA progresse de +14,5% à 46,161 milliards FCFA et le résultat net bondit de +279,7% à 3,836 milliards FCFA ; au S1 2025 (rapport du 30 juin 2025), le CA atteint 91,182 milliards FCFA (+18,4%) et le résultat net 5,420 milliards FCFA (+152,7%) ; au T3 2025 (rapport du 30 septembre 2025), le CA trimestriel s'élève à 43,580 milliards FCFA (+18,3%) et le résultat net à 1,489 milliard FCFA (+38,1%). Sur la base de ces tendances, on peut estimer que l'exercice 2025 devrait afficher une reprise significative du chiffre d'affaires (probablement autour de 180-185 milliards FCFA) et une amélioration des marges, avec un résultat net annualisé potentiellement supérieur à 7 milliards FCFA. La recommandation fondamentale est de **conserver** le titre avec vigilance, en surveillant la confirmation de cette reprise et l'évolution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très exigeante : PER de 54,9x, P/B de 13,24x et EV/EBITDA de 28,0x indiquent une nette surévaluation par rapport aux bénéfices et à la valeur comptable, bien que les perspectives de croissance puissent partiellement justifier cette prime. Le comportement du cours (Partie 1) est baissier sur 100 jours (-4,38%), avec un cours au plus bas de la période, une volatilité élevée (45,6%) et une distribution symétrique sans pics extrêmes — des statistiques préoccupantes à court terme. Les signaux techniques (Partie 2) sont majoritairement baissiers (MM, MACD), avec un RSI neutre et un stochastique en survente extrême, suggérant un possible rebond technique mais sans confirmation de retournement. Les fondamentaux (Partie 3) montrent une dégradation en 2024 (CA -12,1%, RN -26,7%) mais une reprise robuste en 2025 selon les rapports trimestriels (T1, S1, T3), avec des marges en amélioration et un ROE solide (24,13%). Les prédictions IA (J+1 à J+10) anticipent une trajectoire haussière modérée, de 1 451 FCFA à 1 478 FCFA, ce qui contredit les signaux techniques baissiers à moyen terme mais s'aligne avec le rebond attendu du stochastique. Sur la base de cette synthèse, la recommandation finale est **CONSERVER**, avec un niveau de confiance **Moyen** et un risque global **Élevé**. La convergence entre la reprise fondamentale attendue et les prédictions haussières à court terme est tempérée par une valorisation tendue et des signaux techniques encore baissiers. L'horizon d'investissement optimal est le **moyen terme (3-12 mois)**, le temps que la reprise se confirme dans les résultats annuels 2025 et que la trésorerie se redresse.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336.00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6,812 titres</w:t>
            </w:r>
          </w:p>
        </w:tc>
        <w:tc>
          <w:tcPr>
            <w:tcW w:type="dxa" w:w="2268"/>
            <w:shd w:fill="FFF2CC" w:val="clear"/>
          </w:tcPr>
          <w:p>
            <w:r>
              <w:rPr>
                <w:b/>
                <w:color w:val="503200"/>
                <w:sz w:val="16"/>
              </w:rPr>
              <w:t xml:space="preserve">Cours actuel : </w:t>
            </w:r>
            <w:r>
              <w:rPr>
                <w:color w:val="000000"/>
                <w:sz w:val="17"/>
              </w:rPr>
              <w:t>6,000 FCFA</w:t>
            </w:r>
          </w:p>
          <w:p>
            <w:r>
              <w:rPr>
                <w:b/>
                <w:color w:val="503200"/>
                <w:sz w:val="16"/>
              </w:rPr>
              <w:t xml:space="preserve">Var. 100 jours : </w:t>
            </w:r>
            <w:r>
              <w:rPr>
                <w:b/>
                <w:color w:val="007800"/>
                <w:sz w:val="17"/>
              </w:rPr>
              <w:t>+59.57%</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3,760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15.12% (Élevée) — μ=5,680 FCFA, σ=859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β=0.6533 (Défensif) — Cov=0.000049, Var(idx)=0.000075, ρ=0.181,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5,777</w:t>
            </w:r>
          </w:p>
        </w:tc>
        <w:tc>
          <w:tcPr>
            <w:tcW w:type="dxa" w:w="1440"/>
            <w:shd w:fill="FAFAFA" w:val="clear"/>
          </w:tcPr>
          <w:p>
            <w:r>
              <w:rPr>
                <w:b/>
                <w:sz w:val="17"/>
              </w:rPr>
              <w:t>6,050</w:t>
            </w:r>
          </w:p>
        </w:tc>
        <w:tc>
          <w:tcPr>
            <w:tcW w:type="dxa" w:w="1440"/>
            <w:shd w:fill="FAFAFA" w:val="clear"/>
          </w:tcPr>
          <w:p>
            <w:r>
              <w:rPr>
                <w:sz w:val="17"/>
              </w:rPr>
              <w:t>6,324</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5,683</w:t>
            </w:r>
          </w:p>
        </w:tc>
        <w:tc>
          <w:tcPr>
            <w:tcW w:type="dxa" w:w="1440"/>
            <w:shd w:fill="FAFAFA" w:val="clear"/>
          </w:tcPr>
          <w:p>
            <w:r>
              <w:rPr>
                <w:b/>
                <w:sz w:val="17"/>
              </w:rPr>
              <w:t>6,071</w:t>
            </w:r>
          </w:p>
        </w:tc>
        <w:tc>
          <w:tcPr>
            <w:tcW w:type="dxa" w:w="1440"/>
            <w:shd w:fill="FAFAFA" w:val="clear"/>
          </w:tcPr>
          <w:p>
            <w:r>
              <w:rPr>
                <w:sz w:val="17"/>
              </w:rPr>
              <w:t>6,459</w:t>
            </w:r>
          </w:p>
        </w:tc>
        <w:tc>
          <w:tcPr>
            <w:tcW w:type="dxa" w:w="1440"/>
            <w:shd w:fill="FAFAFA" w:val="clear"/>
          </w:tcPr>
          <w:p>
            <w:r>
              <w:rPr>
                <w:b/>
                <w:color w:val="008000"/>
                <w:sz w:val="17"/>
              </w:rPr>
              <w:t>+1.2%</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5,618</w:t>
            </w:r>
          </w:p>
        </w:tc>
        <w:tc>
          <w:tcPr>
            <w:tcW w:type="dxa" w:w="1440"/>
            <w:shd w:fill="FAFAFA" w:val="clear"/>
          </w:tcPr>
          <w:p>
            <w:r>
              <w:rPr>
                <w:b/>
                <w:sz w:val="17"/>
              </w:rPr>
              <w:t>6,095</w:t>
            </w:r>
          </w:p>
        </w:tc>
        <w:tc>
          <w:tcPr>
            <w:tcW w:type="dxa" w:w="1440"/>
            <w:shd w:fill="FAFAFA" w:val="clear"/>
          </w:tcPr>
          <w:p>
            <w:r>
              <w:rPr>
                <w:sz w:val="17"/>
              </w:rPr>
              <w:t>6,572</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5,551</w:t>
            </w:r>
          </w:p>
        </w:tc>
        <w:tc>
          <w:tcPr>
            <w:tcW w:type="dxa" w:w="1440"/>
            <w:shd w:fill="FAFAFA" w:val="clear"/>
          </w:tcPr>
          <w:p>
            <w:r>
              <w:rPr>
                <w:b/>
                <w:sz w:val="17"/>
              </w:rPr>
              <w:t>6,102</w:t>
            </w:r>
          </w:p>
        </w:tc>
        <w:tc>
          <w:tcPr>
            <w:tcW w:type="dxa" w:w="1440"/>
            <w:shd w:fill="FAFAFA" w:val="clear"/>
          </w:tcPr>
          <w:p>
            <w:r>
              <w:rPr>
                <w:sz w:val="17"/>
              </w:rPr>
              <w:t>6,653</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5,487</w:t>
            </w:r>
          </w:p>
        </w:tc>
        <w:tc>
          <w:tcPr>
            <w:tcW w:type="dxa" w:w="1440"/>
            <w:shd w:fill="FAFAFA" w:val="clear"/>
          </w:tcPr>
          <w:p>
            <w:r>
              <w:rPr>
                <w:b/>
                <w:sz w:val="17"/>
              </w:rPr>
              <w:t>6,103</w:t>
            </w:r>
          </w:p>
        </w:tc>
        <w:tc>
          <w:tcPr>
            <w:tcW w:type="dxa" w:w="1440"/>
            <w:shd w:fill="FAFAFA" w:val="clear"/>
          </w:tcPr>
          <w:p>
            <w:r>
              <w:rPr>
                <w:sz w:val="17"/>
              </w:rPr>
              <w:t>6,719</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5,428</w:t>
            </w:r>
          </w:p>
        </w:tc>
        <w:tc>
          <w:tcPr>
            <w:tcW w:type="dxa" w:w="1440"/>
            <w:shd w:fill="FAFAFA" w:val="clear"/>
          </w:tcPr>
          <w:p>
            <w:r>
              <w:rPr>
                <w:b/>
                <w:sz w:val="17"/>
              </w:rPr>
              <w:t>6,103</w:t>
            </w:r>
          </w:p>
        </w:tc>
        <w:tc>
          <w:tcPr>
            <w:tcW w:type="dxa" w:w="1440"/>
            <w:shd w:fill="FAFAFA" w:val="clear"/>
          </w:tcPr>
          <w:p>
            <w:r>
              <w:rPr>
                <w:sz w:val="17"/>
              </w:rPr>
              <w:t>6,778</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5,373</w:t>
            </w:r>
          </w:p>
        </w:tc>
        <w:tc>
          <w:tcPr>
            <w:tcW w:type="dxa" w:w="1440"/>
            <w:shd w:fill="FAFAFA" w:val="clear"/>
          </w:tcPr>
          <w:p>
            <w:r>
              <w:rPr>
                <w:b/>
                <w:sz w:val="17"/>
              </w:rPr>
              <w:t>6,102</w:t>
            </w:r>
          </w:p>
        </w:tc>
        <w:tc>
          <w:tcPr>
            <w:tcW w:type="dxa" w:w="1440"/>
            <w:shd w:fill="FAFAFA" w:val="clear"/>
          </w:tcPr>
          <w:p>
            <w:r>
              <w:rPr>
                <w:sz w:val="17"/>
              </w:rPr>
              <w:t>6,831</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5,321</w:t>
            </w:r>
          </w:p>
        </w:tc>
        <w:tc>
          <w:tcPr>
            <w:tcW w:type="dxa" w:w="1440"/>
            <w:shd w:fill="FAFAFA" w:val="clear"/>
          </w:tcPr>
          <w:p>
            <w:r>
              <w:rPr>
                <w:b/>
                <w:sz w:val="17"/>
              </w:rPr>
              <w:t>6,101</w:t>
            </w:r>
          </w:p>
        </w:tc>
        <w:tc>
          <w:tcPr>
            <w:tcW w:type="dxa" w:w="1440"/>
            <w:shd w:fill="FAFAFA" w:val="clear"/>
          </w:tcPr>
          <w:p>
            <w:r>
              <w:rPr>
                <w:sz w:val="17"/>
              </w:rPr>
              <w:t>6,880</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5,273</w:t>
            </w:r>
          </w:p>
        </w:tc>
        <w:tc>
          <w:tcPr>
            <w:tcW w:type="dxa" w:w="1440"/>
            <w:shd w:fill="FAFAFA" w:val="clear"/>
          </w:tcPr>
          <w:p>
            <w:r>
              <w:rPr>
                <w:b/>
                <w:sz w:val="17"/>
              </w:rPr>
              <w:t>6,099</w:t>
            </w:r>
          </w:p>
        </w:tc>
        <w:tc>
          <w:tcPr>
            <w:tcW w:type="dxa" w:w="1440"/>
            <w:shd w:fill="FAFAFA" w:val="clear"/>
          </w:tcPr>
          <w:p>
            <w:r>
              <w:rPr>
                <w:sz w:val="17"/>
              </w:rPr>
              <w:t>6,926</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5,228</w:t>
            </w:r>
          </w:p>
        </w:tc>
        <w:tc>
          <w:tcPr>
            <w:tcW w:type="dxa" w:w="1440"/>
            <w:shd w:fill="FAFAFA" w:val="clear"/>
          </w:tcPr>
          <w:p>
            <w:r>
              <w:rPr>
                <w:b/>
                <w:sz w:val="17"/>
              </w:rPr>
              <w:t>6,099</w:t>
            </w:r>
          </w:p>
        </w:tc>
        <w:tc>
          <w:tcPr>
            <w:tcW w:type="dxa" w:w="1440"/>
            <w:shd w:fill="FAFAFA" w:val="clear"/>
          </w:tcPr>
          <w:p>
            <w:r>
              <w:rPr>
                <w:sz w:val="17"/>
              </w:rPr>
              <w:t>6,970</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**336,00 Mds FCFA**, la CIEC figure parmi les valeurs les plus importantes de la cote BRVM, ce qui témoigne de son statut de valeur de rendement prisée des investisseurs institutionnels de la zone UEMOA. Le **BPA de 234 FCFA/action** reflète le bénéfice net par titre, mais le **PER de 25,6x** traduit une valorisation nettement supérieure à la moyenne du marché BRVM (généralement située entre 8 et 12x), signalant soit une anticipation de forte croissance, soit une surévaluation relative. Le **P/B de 9,34x** — très au-dessus du seuil de 4x — indique que le marché valorise l'entreprise à plus de neuf fois sa valeur comptable, ce qui s'explique par la faiblesse structurelle des capitaux propres (35,96 Mds FCFA) face à un total bilan de 2 018,45 Mds FCFA. Enfin, l'**EV/EBITDA de 14,1x**, dans la fourchette haute (10-15x), confirme que la valeur d'entreprise intègre une prime de qualité liée au monopole régulé de la distribution électrique ivoirienne.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affiche une performance remarquable de **+59,57%**, portant le cours à **6 000 FCFA**, malgré un repli de **-3,15%** lors de la dernière séance (J-1). Le titre a évolué dans un range très large, entre un plus bas de **3 760 FCFA** et un plus haut de **7 400 FCFA**, soit une amplitude de près de 97%, ce qui traduit une tendance haussière puissante mais ponctuée de corrections significatives. La **moyenne (5 680 FCFA)** est supérieure à la **médiane (5 325 FCFA)**, ce qui révèle une légère asymétrie positive : les pics de cours tirent la moyenne vers le haut, confirmant la dynamique haussière. L'**écart-type de 863 FCFA** avec un **coefficient de variation de 15,2%** indique une dispersion modérée du cours autour de sa moyenne. Le **kurtosis de -0,902** (mésokurtique) suggère une distribution proche de la normale, sans risque excessif de pics extrêmes, tandis que le **skewness de 0,132** confirme une distribution quasi-symétrique. Avec une **volatilité annualisée de 49,2%**, le titre se situe dans la catégorie des valeurs à volatilité élevée (&gt;30%), ce qui implique un risque de marché significatif mais cohérent avec la forte appréciation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(6 373,0 FCFA) et la MM50 (6 356,4 FCFA) sont toutes deux supérieures au cours actuel (6 000 FCFA), ce qui place le titre en dessous de ses moyennes de court et moyen terme. Toutefois, la proximité des deux moyennes (écart de seulement 16,6 FCFA) indique une absence de tendance directionnelle claire à court terme. La décision technique affichée est **Achat**, suggérant que le repli actuel pourrait constituer une opportunité de rebond vers les moyennes.</w:t>
      </w:r>
    </w:p>
    <w:p>
      <w:pPr>
        <w:spacing w:after="120" w:line="276" w:lineRule="auto"/>
      </w:pPr>
      <w:r>
        <w:t>**Bandes de Bollinger** : Le cours actuel (6 000 FCFA) se situe **en dessous de la borne inférieure** (6 019,23 FCFA), ce qui est un signal classique de survente et de possible retournement haussier. La largeur des bandes (borne supérieure à 6 726,77 FCFA) reflète une volatilité encore élevée. La décision **Achat** est cohérente avec cette configuration de prix sous la bande inférieure.</w:t>
      </w:r>
    </w:p>
    <w:p>
      <w:pPr>
        <w:spacing w:after="120" w:line="276" w:lineRule="auto"/>
      </w:pPr>
      <w:r>
        <w:t>**MACD** : La valeur du MACD (-80,451) est nettement inférieure à son signal (-26,87), confirmant un momentum baissier à court terme. La divergence négative entre les deux lignes indique que la pression vendeuse persiste, justifiant la décision **Vente**. Ce signal contredit les autres indicateurs et appelle à la prudence.</w:t>
      </w:r>
    </w:p>
    <w:p>
      <w:pPr>
        <w:spacing w:after="120" w:line="276" w:lineRule="auto"/>
      </w:pPr>
      <w:r>
        <w:t>**RSI** : À **43,189**, le RSI se situe en zone neutre (30-70), sans signal de surachat ni de survente. La décision **Neutre** reflète l'absence de pression directionnelle forte, le titre ayant déjà purgé une partie de sa surchauffe après la forte hausse.</w:t>
      </w:r>
    </w:p>
    <w:p>
      <w:pPr>
        <w:spacing w:after="120" w:line="276" w:lineRule="auto"/>
      </w:pPr>
      <w:r>
        <w:t>**Stochastique** : Le %K (0,0) est en dessous du %D (9,048), avec un croisement en zone de survente extrême. Cette configuration est typique d'un épuisement de la tendance baissière et d'un possible retournement à la hausse, justifiant la décision **Achat**.</w:t>
      </w:r>
    </w:p>
    <w:p>
      <w:pPr>
        <w:spacing w:after="120" w:line="276" w:lineRule="auto"/>
      </w:pPr>
      <w:r>
        <w:t>**Conclusion technique** : Les indicateurs sont majoritairement haussiers (MM, Bollinger, Stochastique) mais le MACD reste baissier, créant une divergence. Le RSI neutre et la position du cours sous la borne inférieure de Bollinger suggèrent un potentiel de rebond à court terme, mais la confirmation par le MACD est nécessaire. La configuration globale plaide pour un **achat tactique** avec un objectif de retour vers 6 350-6 400 FCFA (moyennes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 réalisé un **chiffre d'affaires de 302,32 Mds FCFA**, en croissance de **+14,82%** par rapport à 2024, portée par la hausse des ventes d'énergie (+8,3% en volume) et l'expansion du nombre de clients (+15,1% à 5,28 millions). Le **résultat net s'établit à 13,127 Mds FCFA**, en progression de **+24,4%**, avec une **marge nette de 4,34%** et une **marge opérationnelle de 7,40%**. Le **ROE atteint 36,50%**, un niveau excellent (&gt;15%), mais il est mécaniquement gonflé par la faiblesse des capitaux propres (35,96 Mds FCFA) ; le **ROA de 0,65%** reste faible, reflétant l'intensité capitalistique du secteur. La structure financière est très endettée (**ratio d'endettement de 612,94%**, autonomie financière de seulement 1,78%), mais la **capacité de remboursement de 7,64 années** et la **couverture des intérêts de 617,75%** rassurent sur la solvabilité. Le **BFR est négatif (-90,24 Mds FCFA)**, ce qui est favorable, mais le **délai client de 164 jours** constitue un risque de trésorerie important, compensé par un **délai fournisseur de 970 jours** très avantageux.</w:t>
      </w:r>
    </w:p>
    <w:p>
      <w:pPr>
        <w:spacing w:after="120" w:line="276" w:lineRule="auto"/>
      </w:pPr>
      <w:r>
        <w:t>**Estimations basées sur les rapports** : Le rapport du **1er semestre 2025 (daté du 30/06/2025)** indique un CA semestriel de 134,92 Mds FCFA (+18,85%) et un résultat net de 5,096 Mds FCFA (+13,37%), avec une marge nette de 3,8% (légèrement inférieure à celle de l'année). Sur cette base, on peut estimer que l'exercice 2026 devrait maintenir une croissance à deux chiffres du CA, portée par le programme PEPT (branchements +53,5%), avec un résultat net attendu autour de 14-15 Mds FCFA si la marge nette se stabilise à 4,3%. Le rapport annuel 2025 (daté du 31/12/2026) confirme un **dividende de 234 FCFA/action**, soit un taux de distribution de 99,8% du résultat net, offrant un rendement attractif mais limitant la capacité d'autofinancement.</w:t>
      </w:r>
    </w:p>
    <w:p>
      <w:pPr>
        <w:spacing w:after="120" w:line="276" w:lineRule="auto"/>
      </w:pPr>
      <w:r>
        <w:t>**Recommandation fondamentale** : La CIEC présente des fondamentaux solides (croissance, rentabilité, dividende élevé) mais des risques structurels (endettement massif, dépendance réglementaire, risque client). La valorisation exigeante (PER 25,6x) intègre déjà ces atouts. Recommandation : **CONSERVER** pour le rendement, avec surveillance des délais clients et du cadre réglementaire.</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**exigeante** (PER 25,6x, P/B 9,34x, EV/EBITDA 14,1x), bien au-dessus des moyennes du marché BRVM, ce qui limite le potentiel de réévaluation à court terme. Le comportement du cours sur 100 jours est **haussier (+59,57%)** mais la volatilité élevée (49,2%) et la distribution quasi-normale (kurtosis -0,902, skewness 0,132) suggèrent que les mouvements extrêmes restent contenus. Les signaux techniques sont **mitigés** : les MM, Bollinger et Stochastique plaident pour un rebond, mais le MACD baissier et le RSI neutre appellent à la prudence. Les fondamentaux 2025 sont **solides** (CA +14,8%, RN +24,4%, ROE 36,5%) mais la structure financière très endettée et le risque client (164 jours de délai) tempèrent l'enthousiasme. Les **prédictions IA** anticipent une trajectoire haussière modérée (6 050 → 6 103 FCFA sur 10 jours), confirmant un rebond technique sans emballement. **Recommandation finale : CONSERVER**, avec un biais haussier tactique à court terme. La convergence entre technique (rebond attendu) et prédiction (hausse modérée) est partielle, mais la valorisation élevée et le MACD baissier empêchent un passage à l'ACHAT. **Niveau de confiance : Moyen** — **Risque global : Élevé** (volatilité, endettement, dépendance réglementaire). **Horizon optimal : Moyen terme (3-12 mois)** pour capturer le rendement du dividende (234 FCFA/action, soit ~3,9% au cours actuel) et la croissance bénéficiaire, tout en surveillant les signaux techniques de retournement.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875.58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4,192 titres</w:t>
            </w:r>
          </w:p>
        </w:tc>
        <w:tc>
          <w:tcPr>
            <w:tcW w:type="dxa" w:w="2268"/>
            <w:shd w:fill="FFF2CC" w:val="clear"/>
          </w:tcPr>
          <w:p>
            <w:r>
              <w:rPr>
                <w:b/>
                <w:color w:val="503200"/>
                <w:sz w:val="16"/>
              </w:rPr>
              <w:t xml:space="preserve">Cours actuel : </w:t>
            </w:r>
            <w:r>
              <w:rPr>
                <w:color w:val="000000"/>
                <w:sz w:val="17"/>
              </w:rPr>
              <w:t>15,905 FCFA</w:t>
            </w:r>
          </w:p>
          <w:p>
            <w:r>
              <w:rPr>
                <w:b/>
                <w:color w:val="503200"/>
                <w:sz w:val="16"/>
              </w:rPr>
              <w:t xml:space="preserve">Var. 100 jours : </w:t>
            </w:r>
            <w:r>
              <w:rPr>
                <w:b/>
                <w:color w:val="007800"/>
                <w:sz w:val="17"/>
              </w:rPr>
              <w:t>+2.48%</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2.73% (Faible) — μ=16,587 FCFA, σ=453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β=0.3024 (Défensif) — Cov=0.000023, Var(idx)=0.000075, ρ=0.157,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2026-10-15</w:t>
            </w:r>
          </w:p>
        </w:tc>
        <w:tc>
          <w:tcPr>
            <w:tcW w:type="dxa" w:w="1440"/>
            <w:shd w:fill="C6EFCE" w:val="clear"/>
          </w:tcPr>
          <w:p>
            <w:r>
              <w:rPr>
                <w:sz w:val="17"/>
              </w:rPr>
              <w:t>15,938</w:t>
            </w:r>
          </w:p>
        </w:tc>
        <w:tc>
          <w:tcPr>
            <w:tcW w:type="dxa" w:w="1440"/>
            <w:shd w:fill="C6EFCE" w:val="clear"/>
          </w:tcPr>
          <w:p>
            <w:r>
              <w:rPr>
                <w:b/>
                <w:sz w:val="17"/>
              </w:rPr>
              <w:t>16,336</w:t>
            </w:r>
          </w:p>
        </w:tc>
        <w:tc>
          <w:tcPr>
            <w:tcW w:type="dxa" w:w="1440"/>
            <w:shd w:fill="C6EFCE" w:val="clear"/>
          </w:tcPr>
          <w:p>
            <w:r>
              <w:rPr>
                <w:sz w:val="17"/>
              </w:rPr>
              <w:t>16,733</w:t>
            </w:r>
          </w:p>
        </w:tc>
        <w:tc>
          <w:tcPr>
            <w:tcW w:type="dxa" w:w="1440"/>
            <w:shd w:fill="C6EFCE" w:val="clear"/>
          </w:tcPr>
          <w:p>
            <w:r>
              <w:rPr>
                <w:b/>
                <w:color w:val="008000"/>
                <w:sz w:val="17"/>
              </w:rPr>
              <w:t>+2.7%</w:t>
            </w:r>
          </w:p>
        </w:tc>
      </w:tr>
      <w:tr>
        <w:tc>
          <w:tcPr>
            <w:tcW w:type="dxa" w:w="1440"/>
            <w:shd w:fill="C6EFCE" w:val="clear"/>
          </w:tcPr>
          <w:p>
            <w:r>
              <w:rPr>
                <w:sz w:val="17"/>
              </w:rPr>
              <w:t>J+2  ⭐⭐⭐</w:t>
            </w:r>
          </w:p>
        </w:tc>
        <w:tc>
          <w:tcPr>
            <w:tcW w:type="dxa" w:w="1440"/>
            <w:shd w:fill="C6EFCE" w:val="clear"/>
          </w:tcPr>
          <w:p>
            <w:r>
              <w:rPr>
                <w:sz w:val="17"/>
              </w:rPr>
              <w:t>2026-10-16</w:t>
            </w:r>
          </w:p>
        </w:tc>
        <w:tc>
          <w:tcPr>
            <w:tcW w:type="dxa" w:w="1440"/>
            <w:shd w:fill="C6EFCE" w:val="clear"/>
          </w:tcPr>
          <w:p>
            <w:r>
              <w:rPr>
                <w:sz w:val="17"/>
              </w:rPr>
              <w:t>15,780</w:t>
            </w:r>
          </w:p>
        </w:tc>
        <w:tc>
          <w:tcPr>
            <w:tcW w:type="dxa" w:w="1440"/>
            <w:shd w:fill="C6EFCE" w:val="clear"/>
          </w:tcPr>
          <w:p>
            <w:r>
              <w:rPr>
                <w:b/>
                <w:sz w:val="17"/>
              </w:rPr>
              <w:t>16,342</w:t>
            </w:r>
          </w:p>
        </w:tc>
        <w:tc>
          <w:tcPr>
            <w:tcW w:type="dxa" w:w="1440"/>
            <w:shd w:fill="C6EFCE" w:val="clear"/>
          </w:tcPr>
          <w:p>
            <w:r>
              <w:rPr>
                <w:sz w:val="17"/>
              </w:rPr>
              <w:t>16,905</w:t>
            </w:r>
          </w:p>
        </w:tc>
        <w:tc>
          <w:tcPr>
            <w:tcW w:type="dxa" w:w="1440"/>
            <w:shd w:fill="C6EFCE" w:val="clear"/>
          </w:tcPr>
          <w:p>
            <w:r>
              <w:rPr>
                <w:b/>
                <w:color w:val="008000"/>
                <w:sz w:val="17"/>
              </w:rPr>
              <w:t>+2.7%</w:t>
            </w:r>
          </w:p>
        </w:tc>
      </w:tr>
      <w:tr>
        <w:tc>
          <w:tcPr>
            <w:tcW w:type="dxa" w:w="1440"/>
            <w:shd w:fill="C6EFCE" w:val="clear"/>
          </w:tcPr>
          <w:p>
            <w:r>
              <w:rPr>
                <w:sz w:val="17"/>
              </w:rPr>
              <w:t>J+3  ⭐⭐⭐</w:t>
            </w:r>
          </w:p>
        </w:tc>
        <w:tc>
          <w:tcPr>
            <w:tcW w:type="dxa" w:w="1440"/>
            <w:shd w:fill="C6EFCE" w:val="clear"/>
          </w:tcPr>
          <w:p>
            <w:r>
              <w:rPr>
                <w:sz w:val="17"/>
              </w:rPr>
              <w:t>2026-10-19</w:t>
            </w:r>
          </w:p>
        </w:tc>
        <w:tc>
          <w:tcPr>
            <w:tcW w:type="dxa" w:w="1440"/>
            <w:shd w:fill="C6EFCE" w:val="clear"/>
          </w:tcPr>
          <w:p>
            <w:r>
              <w:rPr>
                <w:sz w:val="17"/>
              </w:rPr>
              <w:t>15,688</w:t>
            </w:r>
          </w:p>
        </w:tc>
        <w:tc>
          <w:tcPr>
            <w:tcW w:type="dxa" w:w="1440"/>
            <w:shd w:fill="C6EFCE" w:val="clear"/>
          </w:tcPr>
          <w:p>
            <w:r>
              <w:rPr>
                <w:b/>
                <w:sz w:val="17"/>
              </w:rPr>
              <w:t>16,378</w:t>
            </w:r>
          </w:p>
        </w:tc>
        <w:tc>
          <w:tcPr>
            <w:tcW w:type="dxa" w:w="1440"/>
            <w:shd w:fill="C6EFCE" w:val="clear"/>
          </w:tcPr>
          <w:p>
            <w:r>
              <w:rPr>
                <w:sz w:val="17"/>
              </w:rPr>
              <w:t>17,068</w:t>
            </w:r>
          </w:p>
        </w:tc>
        <w:tc>
          <w:tcPr>
            <w:tcW w:type="dxa" w:w="1440"/>
            <w:shd w:fill="C6EFCE" w:val="clear"/>
          </w:tcPr>
          <w:p>
            <w:r>
              <w:rPr>
                <w:b/>
                <w:color w:val="008000"/>
                <w:sz w:val="17"/>
              </w:rPr>
              <w:t>+3.0%</w:t>
            </w:r>
          </w:p>
        </w:tc>
      </w:tr>
      <w:tr>
        <w:tc>
          <w:tcPr>
            <w:tcW w:type="dxa" w:w="1440"/>
            <w:shd w:fill="C6EFCE" w:val="clear"/>
          </w:tcPr>
          <w:p>
            <w:r>
              <w:rPr>
                <w:sz w:val="17"/>
              </w:rPr>
              <w:t>J+4  Moyenne</w:t>
            </w:r>
          </w:p>
        </w:tc>
        <w:tc>
          <w:tcPr>
            <w:tcW w:type="dxa" w:w="1440"/>
            <w:shd w:fill="C6EFCE" w:val="clear"/>
          </w:tcPr>
          <w:p>
            <w:r>
              <w:rPr>
                <w:sz w:val="17"/>
              </w:rPr>
              <w:t>2026-10-20</w:t>
            </w:r>
          </w:p>
        </w:tc>
        <w:tc>
          <w:tcPr>
            <w:tcW w:type="dxa" w:w="1440"/>
            <w:shd w:fill="C6EFCE" w:val="clear"/>
          </w:tcPr>
          <w:p>
            <w:r>
              <w:rPr>
                <w:sz w:val="17"/>
              </w:rPr>
              <w:t>15,607</w:t>
            </w:r>
          </w:p>
        </w:tc>
        <w:tc>
          <w:tcPr>
            <w:tcW w:type="dxa" w:w="1440"/>
            <w:shd w:fill="C6EFCE" w:val="clear"/>
          </w:tcPr>
          <w:p>
            <w:r>
              <w:rPr>
                <w:b/>
                <w:sz w:val="17"/>
              </w:rPr>
              <w:t>16,406</w:t>
            </w:r>
          </w:p>
        </w:tc>
        <w:tc>
          <w:tcPr>
            <w:tcW w:type="dxa" w:w="1440"/>
            <w:shd w:fill="C6EFCE" w:val="clear"/>
          </w:tcPr>
          <w:p>
            <w:r>
              <w:rPr>
                <w:sz w:val="17"/>
              </w:rPr>
              <w:t>17,204</w:t>
            </w:r>
          </w:p>
        </w:tc>
        <w:tc>
          <w:tcPr>
            <w:tcW w:type="dxa" w:w="1440"/>
            <w:shd w:fill="C6EFCE" w:val="clear"/>
          </w:tcPr>
          <w:p>
            <w:r>
              <w:rPr>
                <w:b/>
                <w:color w:val="008000"/>
                <w:sz w:val="17"/>
              </w:rPr>
              <w:t>+3.1%</w:t>
            </w:r>
          </w:p>
        </w:tc>
      </w:tr>
      <w:tr>
        <w:tc>
          <w:tcPr>
            <w:tcW w:type="dxa" w:w="1440"/>
            <w:shd w:fill="C6EFCE" w:val="clear"/>
          </w:tcPr>
          <w:p>
            <w:r>
              <w:rPr>
                <w:sz w:val="17"/>
              </w:rPr>
              <w:t>J+5  Moyenne</w:t>
            </w:r>
          </w:p>
        </w:tc>
        <w:tc>
          <w:tcPr>
            <w:tcW w:type="dxa" w:w="1440"/>
            <w:shd w:fill="C6EFCE" w:val="clear"/>
          </w:tcPr>
          <w:p>
            <w:r>
              <w:rPr>
                <w:sz w:val="17"/>
              </w:rPr>
              <w:t>2026-10-21</w:t>
            </w:r>
          </w:p>
        </w:tc>
        <w:tc>
          <w:tcPr>
            <w:tcW w:type="dxa" w:w="1440"/>
            <w:shd w:fill="C6EFCE" w:val="clear"/>
          </w:tcPr>
          <w:p>
            <w:r>
              <w:rPr>
                <w:sz w:val="17"/>
              </w:rPr>
              <w:t>15,535</w:t>
            </w:r>
          </w:p>
        </w:tc>
        <w:tc>
          <w:tcPr>
            <w:tcW w:type="dxa" w:w="1440"/>
            <w:shd w:fill="C6EFCE" w:val="clear"/>
          </w:tcPr>
          <w:p>
            <w:r>
              <w:rPr>
                <w:b/>
                <w:sz w:val="17"/>
              </w:rPr>
              <w:t>16,428</w:t>
            </w:r>
          </w:p>
        </w:tc>
        <w:tc>
          <w:tcPr>
            <w:tcW w:type="dxa" w:w="1440"/>
            <w:shd w:fill="C6EFCE" w:val="clear"/>
          </w:tcPr>
          <w:p>
            <w:r>
              <w:rPr>
                <w:sz w:val="17"/>
              </w:rPr>
              <w:t>17,322</w:t>
            </w:r>
          </w:p>
        </w:tc>
        <w:tc>
          <w:tcPr>
            <w:tcW w:type="dxa" w:w="1440"/>
            <w:shd w:fill="C6EFCE" w:val="clear"/>
          </w:tcPr>
          <w:p>
            <w:r>
              <w:rPr>
                <w:b/>
                <w:color w:val="008000"/>
                <w:sz w:val="17"/>
              </w:rPr>
              <w:t>+3.3%</w:t>
            </w:r>
          </w:p>
        </w:tc>
      </w:tr>
      <w:tr>
        <w:tc>
          <w:tcPr>
            <w:tcW w:type="dxa" w:w="1440"/>
            <w:shd w:fill="C6EFCE" w:val="clear"/>
          </w:tcPr>
          <w:p>
            <w:r>
              <w:rPr>
                <w:sz w:val="17"/>
              </w:rPr>
              <w:t>J+6  Moyenne</w:t>
            </w:r>
          </w:p>
        </w:tc>
        <w:tc>
          <w:tcPr>
            <w:tcW w:type="dxa" w:w="1440"/>
            <w:shd w:fill="C6EFCE" w:val="clear"/>
          </w:tcPr>
          <w:p>
            <w:r>
              <w:rPr>
                <w:sz w:val="17"/>
              </w:rPr>
              <w:t>2026-10-22</w:t>
            </w:r>
          </w:p>
        </w:tc>
        <w:tc>
          <w:tcPr>
            <w:tcW w:type="dxa" w:w="1440"/>
            <w:shd w:fill="C6EFCE" w:val="clear"/>
          </w:tcPr>
          <w:p>
            <w:r>
              <w:rPr>
                <w:sz w:val="17"/>
              </w:rPr>
              <w:t>15,469</w:t>
            </w:r>
          </w:p>
        </w:tc>
        <w:tc>
          <w:tcPr>
            <w:tcW w:type="dxa" w:w="1440"/>
            <w:shd w:fill="C6EFCE" w:val="clear"/>
          </w:tcPr>
          <w:p>
            <w:r>
              <w:rPr>
                <w:b/>
                <w:sz w:val="17"/>
              </w:rPr>
              <w:t>16,449</w:t>
            </w:r>
          </w:p>
        </w:tc>
        <w:tc>
          <w:tcPr>
            <w:tcW w:type="dxa" w:w="1440"/>
            <w:shd w:fill="C6EFCE" w:val="clear"/>
          </w:tcPr>
          <w:p>
            <w:r>
              <w:rPr>
                <w:sz w:val="17"/>
              </w:rPr>
              <w:t>17,429</w:t>
            </w:r>
          </w:p>
        </w:tc>
        <w:tc>
          <w:tcPr>
            <w:tcW w:type="dxa" w:w="1440"/>
            <w:shd w:fill="C6EFCE" w:val="clear"/>
          </w:tcPr>
          <w:p>
            <w:r>
              <w:rPr>
                <w:b/>
                <w:color w:val="008000"/>
                <w:sz w:val="17"/>
              </w:rPr>
              <w:t>+3.4%</w:t>
            </w:r>
          </w:p>
        </w:tc>
      </w:tr>
      <w:tr>
        <w:tc>
          <w:tcPr>
            <w:tcW w:type="dxa" w:w="1440"/>
            <w:shd w:fill="C6EFCE" w:val="clear"/>
          </w:tcPr>
          <w:p>
            <w:r>
              <w:rPr>
                <w:sz w:val="17"/>
              </w:rPr>
              <w:t>J+7  Moyenne</w:t>
            </w:r>
          </w:p>
        </w:tc>
        <w:tc>
          <w:tcPr>
            <w:tcW w:type="dxa" w:w="1440"/>
            <w:shd w:fill="C6EFCE" w:val="clear"/>
          </w:tcPr>
          <w:p>
            <w:r>
              <w:rPr>
                <w:sz w:val="17"/>
              </w:rPr>
              <w:t>2026-10-23</w:t>
            </w:r>
          </w:p>
        </w:tc>
        <w:tc>
          <w:tcPr>
            <w:tcW w:type="dxa" w:w="1440"/>
            <w:shd w:fill="C6EFCE" w:val="clear"/>
          </w:tcPr>
          <w:p>
            <w:r>
              <w:rPr>
                <w:sz w:val="17"/>
              </w:rPr>
              <w:t>15,409</w:t>
            </w:r>
          </w:p>
        </w:tc>
        <w:tc>
          <w:tcPr>
            <w:tcW w:type="dxa" w:w="1440"/>
            <w:shd w:fill="C6EFCE" w:val="clear"/>
          </w:tcPr>
          <w:p>
            <w:r>
              <w:rPr>
                <w:b/>
                <w:sz w:val="17"/>
              </w:rPr>
              <w:t>16,469</w:t>
            </w:r>
          </w:p>
        </w:tc>
        <w:tc>
          <w:tcPr>
            <w:tcW w:type="dxa" w:w="1440"/>
            <w:shd w:fill="C6EFCE" w:val="clear"/>
          </w:tcPr>
          <w:p>
            <w:r>
              <w:rPr>
                <w:sz w:val="17"/>
              </w:rPr>
              <w:t>17,529</w:t>
            </w:r>
          </w:p>
        </w:tc>
        <w:tc>
          <w:tcPr>
            <w:tcW w:type="dxa" w:w="1440"/>
            <w:shd w:fill="C6EFCE" w:val="clear"/>
          </w:tcPr>
          <w:p>
            <w:r>
              <w:rPr>
                <w:b/>
                <w:color w:val="008000"/>
                <w:sz w:val="17"/>
              </w:rPr>
              <w:t>+3.5%</w:t>
            </w:r>
          </w:p>
        </w:tc>
      </w:tr>
      <w:tr>
        <w:tc>
          <w:tcPr>
            <w:tcW w:type="dxa" w:w="1440"/>
            <w:shd w:fill="C6EFCE" w:val="clear"/>
          </w:tcPr>
          <w:p>
            <w:r>
              <w:rPr>
                <w:sz w:val="17"/>
              </w:rPr>
              <w:t>J+8  Moyenne</w:t>
            </w:r>
          </w:p>
        </w:tc>
        <w:tc>
          <w:tcPr>
            <w:tcW w:type="dxa" w:w="1440"/>
            <w:shd w:fill="C6EFCE" w:val="clear"/>
          </w:tcPr>
          <w:p>
            <w:r>
              <w:rPr>
                <w:sz w:val="17"/>
              </w:rPr>
              <w:t>2026-10-26</w:t>
            </w:r>
          </w:p>
        </w:tc>
        <w:tc>
          <w:tcPr>
            <w:tcW w:type="dxa" w:w="1440"/>
            <w:shd w:fill="C6EFCE" w:val="clear"/>
          </w:tcPr>
          <w:p>
            <w:r>
              <w:rPr>
                <w:sz w:val="17"/>
              </w:rPr>
              <w:t>15,354</w:t>
            </w:r>
          </w:p>
        </w:tc>
        <w:tc>
          <w:tcPr>
            <w:tcW w:type="dxa" w:w="1440"/>
            <w:shd w:fill="C6EFCE" w:val="clear"/>
          </w:tcPr>
          <w:p>
            <w:r>
              <w:rPr>
                <w:b/>
                <w:sz w:val="17"/>
              </w:rPr>
              <w:t>16,489</w:t>
            </w:r>
          </w:p>
        </w:tc>
        <w:tc>
          <w:tcPr>
            <w:tcW w:type="dxa" w:w="1440"/>
            <w:shd w:fill="C6EFCE" w:val="clear"/>
          </w:tcPr>
          <w:p>
            <w:r>
              <w:rPr>
                <w:sz w:val="17"/>
              </w:rPr>
              <w:t>17,623</w:t>
            </w:r>
          </w:p>
        </w:tc>
        <w:tc>
          <w:tcPr>
            <w:tcW w:type="dxa" w:w="1440"/>
            <w:shd w:fill="C6EFCE" w:val="clear"/>
          </w:tcPr>
          <w:p>
            <w:r>
              <w:rPr>
                <w:b/>
                <w:color w:val="008000"/>
                <w:sz w:val="17"/>
              </w:rPr>
              <w:t>+3.7%</w:t>
            </w:r>
          </w:p>
        </w:tc>
      </w:tr>
      <w:tr>
        <w:tc>
          <w:tcPr>
            <w:tcW w:type="dxa" w:w="1440"/>
            <w:shd w:fill="C6EFCE" w:val="clear"/>
          </w:tcPr>
          <w:p>
            <w:r>
              <w:rPr>
                <w:sz w:val="17"/>
              </w:rPr>
              <w:t>J+9  Moyenne</w:t>
            </w:r>
          </w:p>
        </w:tc>
        <w:tc>
          <w:tcPr>
            <w:tcW w:type="dxa" w:w="1440"/>
            <w:shd w:fill="C6EFCE" w:val="clear"/>
          </w:tcPr>
          <w:p>
            <w:r>
              <w:rPr>
                <w:sz w:val="17"/>
              </w:rPr>
              <w:t>2026-10-27</w:t>
            </w:r>
          </w:p>
        </w:tc>
        <w:tc>
          <w:tcPr>
            <w:tcW w:type="dxa" w:w="1440"/>
            <w:shd w:fill="C6EFCE" w:val="clear"/>
          </w:tcPr>
          <w:p>
            <w:r>
              <w:rPr>
                <w:sz w:val="17"/>
              </w:rPr>
              <w:t>15,304</w:t>
            </w:r>
          </w:p>
        </w:tc>
        <w:tc>
          <w:tcPr>
            <w:tcW w:type="dxa" w:w="1440"/>
            <w:shd w:fill="C6EFCE" w:val="clear"/>
          </w:tcPr>
          <w:p>
            <w:r>
              <w:rPr>
                <w:b/>
                <w:sz w:val="17"/>
              </w:rPr>
              <w:t>16,508</w:t>
            </w:r>
          </w:p>
        </w:tc>
        <w:tc>
          <w:tcPr>
            <w:tcW w:type="dxa" w:w="1440"/>
            <w:shd w:fill="C6EFCE" w:val="clear"/>
          </w:tcPr>
          <w:p>
            <w:r>
              <w:rPr>
                <w:sz w:val="17"/>
              </w:rPr>
              <w:t>17,713</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2026-10-28</w:t>
            </w:r>
          </w:p>
        </w:tc>
        <w:tc>
          <w:tcPr>
            <w:tcW w:type="dxa" w:w="1440"/>
            <w:shd w:fill="C6EFCE" w:val="clear"/>
          </w:tcPr>
          <w:p>
            <w:r>
              <w:rPr>
                <w:sz w:val="17"/>
              </w:rPr>
              <w:t>15,256</w:t>
            </w:r>
          </w:p>
        </w:tc>
        <w:tc>
          <w:tcPr>
            <w:tcW w:type="dxa" w:w="1440"/>
            <w:shd w:fill="C6EFCE" w:val="clear"/>
          </w:tcPr>
          <w:p>
            <w:r>
              <w:rPr>
                <w:b/>
                <w:sz w:val="17"/>
              </w:rPr>
              <w:t>16,528</w:t>
            </w:r>
          </w:p>
        </w:tc>
        <w:tc>
          <w:tcPr>
            <w:tcW w:type="dxa" w:w="1440"/>
            <w:shd w:fill="C6EFCE" w:val="clear"/>
          </w:tcPr>
          <w:p>
            <w:r>
              <w:rPr>
                <w:sz w:val="17"/>
              </w:rPr>
              <w:t>17,799</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Ecobank Côte d'Ivoire affiche une capitalisation boursière de **875,58 milliards FCFA**, ce qui en fait l'une des plus importantes capitalisations de la cote BRVM, reflétant son statut de valeur bancaire de référence dans l'UEMOA. Avec un **BPA de 1 153 FCFA/action**, chaque titre génère un bénéfice substantiel, et le **PER de 13,8x** situe le titre légèrement au-dessus de la moyenne du marché BRVM (8-12x), traduisant une valorisation modérée mais non excessive au regard de la qualité des bénéfices. Le **P/B de 4,01x** indique que le marché valorise la banque à plus de quatre fois sa valeur comptable — une prime significative qui exige une rentabilité des fonds propres durablement élevée pour être justifiée. Enfin, l'**EV/EBITDA de 13,6x** (fourchette 10-15x) confirme une valorisation élevée de la capacité opérationnelle, cohérente avec le positionnement premium du titre sur la place.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 progressé de **+2,48%**, clôturant à **15 905 FCFA**, malgré un repli de **-1,82%** lors de la dernière séance. Le titre a évolué dans un range relativement étroit entre un plus bas de **15 520 FCFA** et un plus haut de **17 725 FCFA**, soit un écart d'environ 14%, témoignant d'une tendance globalement haussière mais essoufflée en fin de période. Les statistiques descriptives révèlent une distribution quasi-normale : la moyenne (**16 587 FCFA**) et la médiane (**16 620 FCFA**) sont très proches, confirmant l'absence d'asymétrie marquée, tandis que le **skewness de 0,110** indique une distribution symétrique et le **kurtosis de -0,247** (mésokurtique) suggère une faible probabilité de pics extrêmes — un profil rassurant pour la gestion du risque. L'écart-type de **455 FCFA** avec un **coefficient de variation de 2,7%** traduit une dispersion très faible du cours autour de sa moyenne, signe d'une certaine stabilité. La **volatilité annualisée de 26,6%** classe le titre dans la catégorie modérée (15-30%), ce qui reste acceptable pour une valeur bancaire de premier rang.</w:t>
      </w:r>
    </w:p>
    <w:p>
      <w:pPr>
        <w:spacing w:after="120" w:line="276" w:lineRule="auto"/>
      </w:pPr>
      <w:r>
        <w:t>---</w:t>
      </w:r>
    </w:p>
    <w:p>
      <w:pPr>
        <w:spacing w:after="120" w:line="276" w:lineRule="auto"/>
      </w:pPr>
      <w:r>
        <w:t>## PARTIE 2 : ANALYSE TECHNIQUE DÉTAILLÉE</w:t>
      </w:r>
    </w:p>
    <w:p>
      <w:pPr>
        <w:spacing w:after="120" w:line="276" w:lineRule="auto"/>
      </w:pPr>
      <w:r>
        <w:t>**Moyennes Mobiles** : La MM20 (16 766,5 FCFA) et la MM50 (16 741,1 FCFA) sont quasiment confondues et se situent toutes deux **au-dessus du cours actuel** (15 905 FCFA), ce qui place le titre en position de faiblesse relative à court terme. Toutefois, la décision technique affichée est **Achat**, suggérant que le croisement des moyennes ou leur configuration pourrait anticiper un retournement haussier si le cours venait à les reconquérir.</w:t>
      </w:r>
    </w:p>
    <w:p>
      <w:pPr>
        <w:spacing w:after="120" w:line="276" w:lineRule="auto"/>
      </w:pPr>
      <w:r>
        <w:t>**Bandes de Bollinger** : Le cours actuel (15 905 FCFA) se situe **sous la borne inférieure** (16 176,9 FCFA), ce qui constitue un signal de survente technique et une opportunité d'achat potentielle selon la stratégie de retour à la moyenne. La largeur des bandes (borne supérieure à 17 356,1 FCFA) indique une volatilité modérée, et la décision **Achat** est cohérente avec cette configuration de prix sous la bande basse.</w:t>
      </w:r>
    </w:p>
    <w:p>
      <w:pPr>
        <w:spacing w:after="120" w:line="276" w:lineRule="auto"/>
      </w:pPr>
      <w:r>
        <w:t>**MACD** : La valeur du MACD (**-151,897**) est nettement inférieure à son signal (**-52,346**), générant un histogramme négatif qui traduit un **momentum baissier persistant**. La décision affichée est **Vente**, ce qui contredit les autres indicateurs et suggère que la pression vendeuse n'est pas encore épuisée, même si le titre approche de zones de survente.</w:t>
      </w:r>
    </w:p>
    <w:p>
      <w:pPr>
        <w:spacing w:after="120" w:line="276" w:lineRule="auto"/>
      </w:pPr>
      <w:r>
        <w:t>**RSI** : À **27,456**, le RSI se situe **en dessous du seuil de 30**, confirmant une situation de **survente**. La décision **Achat** est justifiée par cette configuration, qui historiquement précède souvent un rebond technique, surtout dans un contexte de tendance de fond haussière.</w:t>
      </w:r>
    </w:p>
    <w:p>
      <w:pPr>
        <w:spacing w:after="120" w:line="276" w:lineRule="auto"/>
      </w:pPr>
      <w:r>
        <w:t>**Stochastique** : Le %K et le %D sont tous deux à **0,0**, indiquant une **survente extrême** — le cours a clôturé à son plus bas niveau récent sur la période de calcul. La décision **Achat** reflète l'anticipation d'un retournement imminent, bien que ce signal doive être confirmé par un croisement haussier des deux lignes.</w:t>
      </w:r>
    </w:p>
    <w:p>
      <w:pPr>
        <w:spacing w:after="120" w:line="276" w:lineRule="auto"/>
      </w:pPr>
      <w:r>
        <w:t>**Conclusion technique** : Les indicateurs présentent une **divergence notable** : le MACD reste baissier tandis que le RSI, le stochastique et les bandes de Bollinger signalent une survente extrême propice à un rebond. La position du cours sous les moyennes mobiles et sous la bande inférieure de Bollinger suggère que le titre est **techniquement survendu** et pourrait amorcer une reprise à court terme, mais la confirmation par un retour au-dessus de la MM20 (16 766 FCFA) sera nécessaire pour valider un retournement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Ecobank Côte d'Ivoire affiche un **Produit Net Bancaire (PNB) de 132,725 milliards FCFA** en 2025, en croissance de **+8,51%**, porté par une marge nette d'intérêts de 111,337 milliards FCFA et des commissions de 32,366 milliards FCFA. Le **résultat net s'établit à 63,482 milliards FCFA**, avec une **marge nette exceptionnelle de 47,83%** et un **ROE de 29,04%** — largement supérieur au seuil de 15% considéré comme excellent. Le **ROA de 3,09%** confirme une rentabilité des actifs solide, tandis que le **coefficient d'exploitation de 42,89%** (inférieur à 50%) témoigne d'une efficacité opérationnelle remarquable. Le **coût du risque rapporté aux charges financières est de 1,36%**, un niveau modéré qui traduit une qualité de portefeuille globalement maîtrisée. La structure financière montre une **autonomie financière de 10,64%** (capitaux propres/total bilan), typique du modèle bancaire, avec un **ratio de solvabilité générale de 111,91%** et une **couverture des intérêts de 317,71%**, confirmant la solidité du bilan.</w:t>
      </w:r>
    </w:p>
    <w:p>
      <w:pPr>
        <w:spacing w:after="120" w:line="276" w:lineRule="auto"/>
      </w:pPr>
      <w:r>
        <w:t>**Estimations basées sur les rapports trimestriels** : Le rapport du **S1 2026 (publié le 26 août 2026)** indique un **PNB de 64,078 milliards FCFA (+2,0%)** et un **résultat net de 26,408 milliards FCFA (-8,6%)**, pénalisé par un **coût du risque multiplié par 7,4 à 5,197 milliards FCFA** — une politique de provisionnement volontairement prudente. Le **ROE recule à 26,9%** et le **ROA à 2,5%**, mais restent à des niveaux élevés. Le rapport **T1 2026 (publié le 15 avril 2026)** confirme cette tendance avec un **PNB de 30,8 milliards FCFA (+3,7%)** et un **résultat net de 13,0 milliards FCFA (-1,6%)**, tout en maintenant un **coefficient d'exploitation de 45,7%** et une **collecte de dépôts en hausse de 12%**. Sur la base de ces rapports, on estime que **l'exercice 2026 devrait enregistrer un résultat net en léger recul par rapport à 2025**, autour de **55-58 milliards FCFA**, sous l'effet de la normalisation du coût du risque, mais la solidité des fondamentaux (ROE &gt;25%, coefficient d'exploitation &lt;46%) devrait être préservée.</w:t>
      </w:r>
    </w:p>
    <w:p>
      <w:pPr>
        <w:spacing w:after="120" w:line="276" w:lineRule="auto"/>
      </w:pPr>
      <w:r>
        <w:t>**Recommandation fondamentale** : La banque présente un profil de **qualité exceptionnelle** avec des ratios de rentabilité parmi les meilleurs du secteur bancaire UEMOA, une croissance du PNB soutenue et une gestion prudente des risques. Le principal point de vigilance réside dans la **dégradation temporaire du coût du risque** et la **baisse du résultat net au S1 2026**, qui pourraient peser sur le sentiment à court terme. Le **dividende proposé de 888 FCFA brut par action** (781 FCFA net) pour 2025, en hausse de 10,4% par rapport à 2024, offre un rendement attractif d'environ **5,6%** au cours actuel, soutenant la thèse d'investissement. La recommandation fondamentale est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à court terme mais solide à moyen terme**. La **valorisation (Partie 0)** affiche un PER de 13,8x et un P/B de 4,01x, indiquant une **valorisation exigeante mais justifiée** par la qualité des bénéfices et la rentabilité des fonds propres. Le **comportement du cours (Partie 1)** montre une tendance haussière sur 100 jours (+2,48%) avec une volatilité modérée (26,6%) et des statistiques rassurantes (distribution symétrique, kurtosis proche de zéro), bien que le repli récent de -1,82% signale une pression vendeuse. Les **signaux techniques (Partie 2)** sont **divergents** : le MACD reste baissier, mais le RSI (27,5), le stochastique (0,0) et la position sous la bande inférieure de Bollinger indiquent une **survente extrême** propice à un rebond technique. Les **fondamentaux (Partie 3)** demeurent **solides** avec un ROE de 29,04%, un coefficient d'exploitation de 42,89% et un dividende attractif, malgré la baisse temporaire du résultat net au S1 2026 liée à un provisionnement accru. Les **prédictions IA (J+1 à J+10)** anticipent une **remontée progressive du cours** de 16 336 FCFA à 16 428 FCFA, confirmant la thèse d'un rebond technique à court terme.</w:t>
      </w:r>
    </w:p>
    <w:p>
      <w:pPr>
        <w:spacing w:after="120" w:line="276" w:lineRule="auto"/>
      </w:pPr>
      <w:r>
        <w:t>**Recommandation finale : CONSERVER avec biais ACHAT à moyen terme**</w:t>
        <w:br/>
        <w:t>- **Justification** : La convergence entre la survente technique, les fondamentaux solides et les prédictions haussières soutient un **rebond à court terme**, mais la valorisation exigeante et la dégradation temporaire du coût du risque incitent à la prudence. Le titre est un **dossier de qualité à détenir** pour capter le dividende et la reprise progressive.</w:t>
        <w:br/>
        <w:t>- **Niveau de confiance** : **Moyen** (divergence technique à court terme, mais fondamentaux robustes)</w:t>
        <w:br/>
        <w:t>- **Niveau de risque global** : **Moyen** (volatilité modérée, exposition aux risques macroéconomiques et de crédit)</w:t>
        <w:br/>
        <w:t>- **Horizon d'investissement optimal** : **Moyen terme (3-12 mois)**, en attendant la normalisation du coût du risque et la confirmation de la tendance haussière au second semestre 2026.</w:t>
      </w:r>
    </w:p>
    <w:p>
      <w:pPr>
        <w:spacing w:after="120" w:line="276" w:lineRule="auto"/>
      </w:pPr>
      <w:r>
        <w:t>---</w:t>
        <w:br/>
        <w:t>*Rapport généré sur la base des données officielles BRVM, des états financiers 2025 et des rapports trimestriels S1 2026 et T1 2026. Les estimations sont clairement distinguées des données réelles.*</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1,699,940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+127.59%</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61.8%</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32.0/100 → Moyen</w:t>
      </w:r>
    </w:p>
    <w:p>
      <w:pPr>
        <w:spacing w:before="40" w:after="80"/>
      </w:pPr>
      <w:r>
        <w:rPr>
          <w:rFonts w:ascii="Courier New" w:hAnsi="Courier New"/>
          <w:color w:val="825A00"/>
          <w:sz w:val="18"/>
        </w:rPr>
        <w:t>██████░░░░░░░░░░░░░░  32.0/100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27.58% (Élevée) — μ=57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β=2.0656 (Très agressif) — Cov=0.000154, Var(idx)=0.000075, ρ=0.452,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1,699,940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σ_j=3.89%/j (Modérée) — Vol. annualisée≈61.8%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63</w:t>
            </w:r>
          </w:p>
        </w:tc>
        <w:tc>
          <w:tcPr>
            <w:tcW w:type="dxa" w:w="1440"/>
            <w:shd w:fill="FAFAFA" w:val="clear"/>
          </w:tcPr>
          <w:p>
            <w:r>
              <w:rPr>
                <w:b/>
                <w:sz w:val="17"/>
              </w:rPr>
              <w:t>66</w:t>
            </w:r>
          </w:p>
        </w:tc>
        <w:tc>
          <w:tcPr>
            <w:tcW w:type="dxa" w:w="1440"/>
            <w:shd w:fill="FAFAFA" w:val="clear"/>
          </w:tcPr>
          <w:p>
            <w:r>
              <w:rPr>
                <w:sz w:val="17"/>
              </w:rPr>
              <w:t>68</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62</w:t>
            </w:r>
          </w:p>
        </w:tc>
        <w:tc>
          <w:tcPr>
            <w:tcW w:type="dxa" w:w="1440"/>
            <w:shd w:fill="FAFAFA" w:val="clear"/>
          </w:tcPr>
          <w:p>
            <w:r>
              <w:rPr>
                <w:b/>
                <w:sz w:val="17"/>
              </w:rPr>
              <w:t>66</w:t>
            </w:r>
          </w:p>
        </w:tc>
        <w:tc>
          <w:tcPr>
            <w:tcW w:type="dxa" w:w="1440"/>
            <w:shd w:fill="FAFAFA" w:val="clear"/>
          </w:tcPr>
          <w:p>
            <w:r>
              <w:rPr>
                <w:sz w:val="17"/>
              </w:rPr>
              <w:t>69</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1 193,55 milliards FCFA, ETIT figure parmi les poids lourds de la cote BRVM, ce qui en fait un titre incontournable pour les investisseurs institutionnels régionaux. Le BPA de 19 FCFA/action signifie que chaque titre génère près de 19 FCFA de bénéfice net, un niveau appréciable pour une valeur bancaire panafricaine. Le PER de 3,5x est remarquablement faible comparé à la moyenne du marché BRVM (8-12x), suggérant une sous-évaluation manifeste ou une décote de risque pays. Le P/B de 0,75x indique que le marché valorise ETIT à 25% en dessous de sa valeur comptable, une anomalie potentiellement attractive pour un investisseur value. Enfin, l'EV/EBITDA de 5,0x, inférieur au seuil de 5x, confirme que la valeur d'entreprise reste bon marché au regard de la capacité opérationnelle générée.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 enregistré une progression spectaculaire de +127,59%, passant d'un plus bas de 29 FCFA à un plus haut de 78 FCFA, pour un cours actuel de 66 FCFA, stable en J-1 (+0,00%). Cette envolée traduit un net retournement haussier après une phase de consolidation, le titre ayant plus que doublé en trois mois. Les statistiques descriptives révèlent une moyenne de 57 FCFA inférieure à la médiane de 66 FCFA, signe d'une asymétrie négative confirmée par le skewness de -0,800 : le cours a passé plus de journées au-dessus de sa moyenne, mais quelques séances de forte baisse ont tiré la moyenne vers le bas. L'écart-type de 16 FCFA (CV=27,7%) indique une dispersion modérée à élevée, cohérente avec un titre en forte tendance. Le kurtosis de -1,115 (platykurtique) signale une distribution aplatie, donc un risque de pics extrêmes plus faible qu'une distribution normale — un élément rassurant. Enfin, la volatilité annualisée de 61,8% classe ETIT dans la catégorie des titres à volatilité élevée (&gt;30%), ce qui implique un risque de marché significatif mais aussi un potentiel de gain amplifié.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(67,6 FCFA) et la MM50 (67,62 FCFA) sont quasi confondues et légèrement supérieures au cours actuel de 66 FCFA, ce qui place le titre sous ses moyennes court et moyen terme. Cette configuration traduit une pression baissière de court terme et justifie la décision technique de **Vente**.</w:t>
      </w:r>
    </w:p>
    <w:p>
      <w:pPr>
        <w:spacing w:after="120" w:line="276" w:lineRule="auto"/>
      </w:pPr>
      <w:r>
        <w:t>**Bandes de Bollinger** : Le cours (66 FCFA) évolue dans la partie médiane de la bande, entre la borne inférieure (63,85 FCFA) et supérieure (71,35 FCFA). L'absence de test des bornes extrêmes indique une volatilité en compression et un marché sans direction claire, d'où la décision **Neutre**.</w:t>
      </w:r>
    </w:p>
    <w:p>
      <w:pPr>
        <w:spacing w:after="120" w:line="276" w:lineRule="auto"/>
      </w:pPr>
      <w:r>
        <w:t>**MACD** : La valeur du MACD (-0,516) est inférieure à son signal (-0,312), confirmant un momentum baissier. Le croisement à la baisse des deux lignes suggère que la dynamique haussière des 100 derniers jours s'essouffle, justifiant la décision **Vente**.</w:t>
      </w:r>
    </w:p>
    <w:p>
      <w:pPr>
        <w:spacing w:after="120" w:line="276" w:lineRule="auto"/>
      </w:pPr>
      <w:r>
        <w:t>**RSI** : À 57,143, le RSI se situe en zone neutre (30-70), sans signal de surachat (&gt;70) ni de survente (&lt;30). Le titre conserve une certaine force relative mais sans excès, ce qui explique la décision **Neutre**.</w:t>
      </w:r>
    </w:p>
    <w:p>
      <w:pPr>
        <w:spacing w:after="120" w:line="276" w:lineRule="auto"/>
      </w:pPr>
      <w:r>
        <w:t>**Stochastique** : Le %K (25,0) est nettement inférieur au %D (41,667), et le %K se rapproche de la zone de survente (&lt;20). Cette configuration baissière n'a pas encore généré de signal d'achat par croisement haussier, d'où la décision **Neutre**.</w:t>
      </w:r>
    </w:p>
    <w:p>
      <w:pPr>
        <w:spacing w:after="120" w:line="276" w:lineRule="auto"/>
      </w:pPr>
      <w:r>
        <w:t>**Conclusion technique** : Les indicateurs sont majoritairement baissiers (MM et MACD en Vente) mais tempérés par des signaux neutres (Bollinger, RSI, Stochastique). Le titre se trouve dans une phase de consolidation après sa forte hausse, avec un risque de correction à court terme vers 63,85 FCFA (borne inférieure de Bollinger). Une cassure au-dessus de 67,6 FCFA (MM20/MM50) serait nécessaire pour confirmer une reprise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solide et rentable : un Produit Net Bancaire (PNB) de 1 424,261 milliards FCFA, un résultat net de 345,523 milliards FCFA, un ROE de 21,62% (excellent, &gt;15%) et un ROA de 1,80%. Le coefficient d'exploitation de 27,35% est exceptionnellement bas (&lt;60% = banque très efficace), témoignant d'une maîtrise remarquable des charges. Le coût du risque rapporté aux charges financières s'élève à 18,97%, un niveau élevé qui signale un risque de crédit significatif. La structure financière affiche une autonomie financière de 8,30% (faible, &lt;30%) et un ratio d'endettement de 154,06%, typique d'une banque dont le modèle repose sur les dépôts clientèle (14 120,139 milliards FCFA) pour financer les créances (6 570,385 milliards FCFA), avec un ratio dépôts/crédits de 215%, gage de liquidité abondante. Les rapports narratifs récents confirment cette dynamique : le rapport semestriel 2026 (arrêté au 30 juin 2026, analysé le 30 juillet 2026) fait état d'un PNB de 1 281 330 milliers $EU (721 318 millions FCFA), en hausse de +15% sur un an, d'un résultat net consolidé de 296 091 milliers $EU (+6%) et d'un BPA de 0,80 $EU (+2%). Le coefficient d'exploitation s'améliore à 48,4% et le ratio de prêts non performants (NPL) recule à 7,6%. Toutefois, le coût du risque bondit de +40%, un signal d'alerte. Sur la base du rapport T1 2026 (PNB +23%, résultat net +16%), on peut estimer que l'exercice 2026 devrait afficher une croissance du PNB supérieure à 15%, mais une progression du résultat net limitée par la hausse des provisions. La recommandation fondamentale est **CONSERVER** : la solidité du bilan, la rentabilité élevée et la décote de valorisation sont attractives, mais la dégradation du coût du risque et la stagnation du BPA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attractive : PER de 3,5x, P/B de 0,75x et EV/EBITDA de 5,0x indiquent une sous-évaluation manifeste par rapport aux moyennes du marché BRVM et du secteur bancaire. Le comportement du cours (Partie 1) est mitigé : la tendance haussière de +127,59% sur 100 jours est impressionnante, mais la volatilité élevée (61,8%) et le skewness négatif (-0,800) suggèrent que le titre a peut-être atteint un sommet de court terme, d'autant que le kurtosis platykurtique (-1,115) n'écarte pas un risque de correction. Les signaux techniques (Partie 2) sont majoritairement baissiers à court terme (MM et MACD en Vente), mais neutres sur les autres indicateurs, plaidant pour une consolidation plutôt qu'un retournement franc. Les fondamentaux (Partie 3) restent solides : ROE de 21,62%, coefficient d'exploitation de 27,35%, PNB en croissance de +15% au S1 2026, mais le coût du risque (+40%) et la faible autonomie financière (8,30%) constituent des points de vigilance. Les prédictions IA (J+1 à J+10) anticipent une stabilité parfaite du cours à 66 FCFA, ce qui confirme l'absence de catalyseur immédiat et valide la thèse d'une pause dans la tendance. **Recommandation finale : CONSERVER**. La convergence entre une valorisation bon marché, des fondamentaux solides mais un momentum technique affaibli et des prédictions stables justifie une position attentiste. Le niveau de confiance est **Moyen** (les signaux sont contradictoires entre valeur et technique) et le niveau de risque global est **Élevé** (volatilité de 61,8%, coût du risque en hausse, dépendance aux dépôts). L'horizon d'investissement optimal est le **moyen terme (3-12 mois)**, en attendant la confirmation d'une stabilisation du coût du risque et d'une reprise technique au-dessus de 67,6 FCFA.</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26.09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4,138 titres</w:t>
            </w:r>
          </w:p>
        </w:tc>
        <w:tc>
          <w:tcPr>
            <w:tcW w:type="dxa" w:w="2268"/>
            <w:shd w:fill="FFF2CC" w:val="clear"/>
          </w:tcPr>
          <w:p>
            <w:r>
              <w:rPr>
                <w:b/>
                <w:color w:val="503200"/>
                <w:sz w:val="16"/>
              </w:rPr>
              <w:t xml:space="preserve">Cours actuel : </w:t>
            </w:r>
            <w:r>
              <w:rPr>
                <w:color w:val="000000"/>
                <w:sz w:val="17"/>
              </w:rPr>
              <w:t>1,850 FCFA</w:t>
            </w:r>
          </w:p>
          <w:p>
            <w:r>
              <w:rPr>
                <w:b/>
                <w:color w:val="503200"/>
                <w:sz w:val="16"/>
              </w:rPr>
              <w:t xml:space="preserve">Var. 100 jours : </w:t>
            </w:r>
            <w:r>
              <w:rPr>
                <w:b/>
                <w:color w:val="B40000"/>
                <w:sz w:val="17"/>
              </w:rPr>
              <w:t>-19.57%</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6.47% (Moyenne) — μ=2,082 FCFA, σ=135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β=0.5282 (Défensif) — Cov=0.000039, Var(idx)=0.000075, ρ=0.199,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1,755</w:t>
            </w:r>
          </w:p>
        </w:tc>
        <w:tc>
          <w:tcPr>
            <w:tcW w:type="dxa" w:w="1440"/>
            <w:shd w:fill="FAFAFA" w:val="clear"/>
          </w:tcPr>
          <w:p>
            <w:r>
              <w:rPr>
                <w:b/>
                <w:sz w:val="17"/>
              </w:rPr>
              <w:t>1,838</w:t>
            </w:r>
          </w:p>
        </w:tc>
        <w:tc>
          <w:tcPr>
            <w:tcW w:type="dxa" w:w="1440"/>
            <w:shd w:fill="FAFAFA" w:val="clear"/>
          </w:tcPr>
          <w:p>
            <w:r>
              <w:rPr>
                <w:sz w:val="17"/>
              </w:rPr>
              <w:t>1,920</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1,710</w:t>
            </w:r>
          </w:p>
        </w:tc>
        <w:tc>
          <w:tcPr>
            <w:tcW w:type="dxa" w:w="1440"/>
            <w:shd w:fill="FAFAFA" w:val="clear"/>
          </w:tcPr>
          <w:p>
            <w:r>
              <w:rPr>
                <w:b/>
                <w:sz w:val="17"/>
              </w:rPr>
              <w:t>1,825</w:t>
            </w:r>
          </w:p>
        </w:tc>
        <w:tc>
          <w:tcPr>
            <w:tcW w:type="dxa" w:w="1440"/>
            <w:shd w:fill="FAFAFA" w:val="clear"/>
          </w:tcPr>
          <w:p>
            <w:r>
              <w:rPr>
                <w:sz w:val="17"/>
              </w:rPr>
              <w:t>1,941</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1,673</w:t>
            </w:r>
          </w:p>
        </w:tc>
        <w:tc>
          <w:tcPr>
            <w:tcW w:type="dxa" w:w="1440"/>
            <w:shd w:fill="FAFAFA" w:val="clear"/>
          </w:tcPr>
          <w:p>
            <w:r>
              <w:rPr>
                <w:b/>
                <w:sz w:val="17"/>
              </w:rPr>
              <w:t>1,813</w:t>
            </w:r>
          </w:p>
        </w:tc>
        <w:tc>
          <w:tcPr>
            <w:tcW w:type="dxa" w:w="1440"/>
            <w:shd w:fill="FAFAFA" w:val="clear"/>
          </w:tcPr>
          <w:p>
            <w:r>
              <w:rPr>
                <w:sz w:val="17"/>
              </w:rPr>
              <w:t>1,954</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1,640</w:t>
            </w:r>
          </w:p>
        </w:tc>
        <w:tc>
          <w:tcPr>
            <w:tcW w:type="dxa" w:w="1440"/>
            <w:shd w:fill="FFDCE0" w:val="clear"/>
          </w:tcPr>
          <w:p>
            <w:r>
              <w:rPr>
                <w:b/>
                <w:sz w:val="17"/>
              </w:rPr>
              <w:t>1,801</w:t>
            </w:r>
          </w:p>
        </w:tc>
        <w:tc>
          <w:tcPr>
            <w:tcW w:type="dxa" w:w="1440"/>
            <w:shd w:fill="FFDCE0" w:val="clear"/>
          </w:tcPr>
          <w:p>
            <w:r>
              <w:rPr>
                <w:sz w:val="17"/>
              </w:rPr>
              <w:t>1,962</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1,611</w:t>
            </w:r>
          </w:p>
        </w:tc>
        <w:tc>
          <w:tcPr>
            <w:tcW w:type="dxa" w:w="1440"/>
            <w:shd w:fill="FFDCE0" w:val="clear"/>
          </w:tcPr>
          <w:p>
            <w:r>
              <w:rPr>
                <w:b/>
                <w:sz w:val="17"/>
              </w:rPr>
              <w:t>1,790</w:t>
            </w:r>
          </w:p>
        </w:tc>
        <w:tc>
          <w:tcPr>
            <w:tcW w:type="dxa" w:w="1440"/>
            <w:shd w:fill="FFDCE0" w:val="clear"/>
          </w:tcPr>
          <w:p>
            <w:r>
              <w:rPr>
                <w:sz w:val="17"/>
              </w:rPr>
              <w:t>1,968</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1,583</w:t>
            </w:r>
          </w:p>
        </w:tc>
        <w:tc>
          <w:tcPr>
            <w:tcW w:type="dxa" w:w="1440"/>
            <w:shd w:fill="FFDCE0" w:val="clear"/>
          </w:tcPr>
          <w:p>
            <w:r>
              <w:rPr>
                <w:b/>
                <w:sz w:val="17"/>
              </w:rPr>
              <w:t>1,778</w:t>
            </w:r>
          </w:p>
        </w:tc>
        <w:tc>
          <w:tcPr>
            <w:tcW w:type="dxa" w:w="1440"/>
            <w:shd w:fill="FFDCE0" w:val="clear"/>
          </w:tcPr>
          <w:p>
            <w:r>
              <w:rPr>
                <w:sz w:val="17"/>
              </w:rPr>
              <w:t>1,973</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1,558</w:t>
            </w:r>
          </w:p>
        </w:tc>
        <w:tc>
          <w:tcPr>
            <w:tcW w:type="dxa" w:w="1440"/>
            <w:shd w:fill="FFDCE0" w:val="clear"/>
          </w:tcPr>
          <w:p>
            <w:r>
              <w:rPr>
                <w:b/>
                <w:sz w:val="17"/>
              </w:rPr>
              <w:t>1,767</w:t>
            </w:r>
          </w:p>
        </w:tc>
        <w:tc>
          <w:tcPr>
            <w:tcW w:type="dxa" w:w="1440"/>
            <w:shd w:fill="FFDCE0" w:val="clear"/>
          </w:tcPr>
          <w:p>
            <w:r>
              <w:rPr>
                <w:sz w:val="17"/>
              </w:rPr>
              <w:t>1,976</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1,533</w:t>
            </w:r>
          </w:p>
        </w:tc>
        <w:tc>
          <w:tcPr>
            <w:tcW w:type="dxa" w:w="1440"/>
            <w:shd w:fill="FFDCE0" w:val="clear"/>
          </w:tcPr>
          <w:p>
            <w:r>
              <w:rPr>
                <w:b/>
                <w:sz w:val="17"/>
              </w:rPr>
              <w:t>1,755</w:t>
            </w:r>
          </w:p>
        </w:tc>
        <w:tc>
          <w:tcPr>
            <w:tcW w:type="dxa" w:w="1440"/>
            <w:shd w:fill="FFDCE0" w:val="clear"/>
          </w:tcPr>
          <w:p>
            <w:r>
              <w:rPr>
                <w:sz w:val="17"/>
              </w:rPr>
              <w:t>1,977</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1,510</w:t>
            </w:r>
          </w:p>
        </w:tc>
        <w:tc>
          <w:tcPr>
            <w:tcW w:type="dxa" w:w="1440"/>
            <w:shd w:fill="FFDCE0" w:val="clear"/>
          </w:tcPr>
          <w:p>
            <w:r>
              <w:rPr>
                <w:b/>
                <w:sz w:val="17"/>
              </w:rPr>
              <w:t>1,744</w:t>
            </w:r>
          </w:p>
        </w:tc>
        <w:tc>
          <w:tcPr>
            <w:tcW w:type="dxa" w:w="1440"/>
            <w:shd w:fill="FFDCE0" w:val="clear"/>
          </w:tcPr>
          <w:p>
            <w:r>
              <w:rPr>
                <w:sz w:val="17"/>
              </w:rPr>
              <w:t>1,978</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1,488</w:t>
            </w:r>
          </w:p>
        </w:tc>
        <w:tc>
          <w:tcPr>
            <w:tcW w:type="dxa" w:w="1440"/>
            <w:shd w:fill="FFDCE0" w:val="clear"/>
          </w:tcPr>
          <w:p>
            <w:r>
              <w:rPr>
                <w:b/>
                <w:sz w:val="17"/>
              </w:rPr>
              <w:t>1,733</w:t>
            </w:r>
          </w:p>
        </w:tc>
        <w:tc>
          <w:tcPr>
            <w:tcW w:type="dxa" w:w="1440"/>
            <w:shd w:fill="FFDCE0" w:val="clear"/>
          </w:tcPr>
          <w:p>
            <w:r>
              <w:rPr>
                <w:sz w:val="17"/>
              </w:rPr>
              <w:t>1,978</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FILTISAC CI (FTSC)</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26,09 milliards FCFA, FTSC se positionne comme une valeur de petite capitalisation sur le marché BRVM, ce qui la rend sensible aux mouvements de faible volume. Le BPA de 33 FCFA/action signifie que chaque titre génère théoriquement 33 FCFA de bénéfice net, un niveau faible qui, rapporté au cours de 1 850 FCFA, aboutit à un PER de 56,0x — soit un multiple très supérieur à la moyenne du marché BRVM (8-12x), traduisant une valorisation extrêmement exigeante au regard des bénéfices actuels. Le ratio P/B de 1,66x indique que le marché valorise l'action à 66% au-dessus de sa valeur comptable, ce qui reste raisonnable dans l'absolu mais élevé pour une entreprise dont le ROE n'est que de 2,97%. Enfin, l'EV/EBITDA de 35,3x — très au-delà du seuil de 15x généralement considéré comme exigeant — confirme que la valeur d'entreprise intègre des anticipations de redressement opérationnel que les résultats actuels ne justifient pas encore. **Conclusion : le titre est nettement surévalué sur la base des fondamentaux présents.**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**-19,57%**, avec une dernière séance en léger repli de -0,27%, portant le cours à 1 850 FCFA — soit exactement le plus bas de la période, tandis que le plus haut a atteint 2 430 FCFA. Le range de trading de 580 FCFA (24% du cours haut) témoigne d'une tendance clairement baissière, le titre ayant érodé près d'un cinquième de sa valeur sans signal de retournement. Les statistiques descriptives révèlent une moyenne (2 082 FCFA) quasi égale à la médiane (2 085 FCFA), mais un mode à 1 990 FCFA inférieur aux deux, avec un skewness positif de 0,515 indiquant davantage de journées sous la moyenne — cohérent avec la pression vendeuse persistante. L'écart-type de 135 FCFA (CV = 6,5%) traduit une dispersion modérée du cours, tandis que le kurtosis de -0,327 (mésokurtique) suggère une distribution proche de la normale, sans risque majeur de pics extrêmes. La volatilité annualisée de **35,8%** classe le titre dans la catégorie **élevée** (&gt;30%), ce qui implique un risque de prix significatif pour l'investisseur et justifie une prime de prudence dans toute décision d'allocation.</w:t>
      </w:r>
    </w:p>
    <w:p>
      <w:pPr>
        <w:spacing w:after="120" w:line="276" w:lineRule="auto"/>
      </w:pPr>
      <w:r>
        <w:t>---</w:t>
      </w:r>
    </w:p>
    <w:p>
      <w:pPr>
        <w:spacing w:after="120" w:line="276" w:lineRule="auto"/>
      </w:pPr>
      <w:r>
        <w:t>## PARTIE 2 : ANALYSE TECHNIQUE DÉTAILLÉE</w:t>
      </w:r>
    </w:p>
    <w:p>
      <w:pPr>
        <w:spacing w:after="120" w:line="276" w:lineRule="auto"/>
      </w:pPr>
      <w:r>
        <w:t>**Moyennes Mobiles** : La MM20 (1 964,5 FCFA) et la MM50 (2 058,9 FCFA) se situent toutes deux au-dessus du cours actuel (1 850 FCFA), avec la MM20 sous la MM50 — configuration baissière classique. Le cours évoluant sous ses deux moyennes, la décision technique est **Vente**, confirmant la pression vendeuse de court et moyen terme.</w:t>
      </w:r>
    </w:p>
    <w:p>
      <w:pPr>
        <w:spacing w:after="120" w:line="276" w:lineRule="auto"/>
      </w:pPr>
      <w:r>
        <w:t>**Bandes de Bollinger** : Le cours (1 850 FCFA) se situe dans la partie basse de la bande (borne inférieure 1 797,6 FCFA ; borne supérieure 2 131,4 FCFA), sans franchissement de la borne basse. La décision est **Neutre**, suggérant une absence de signal de survente extrême mais une position fragile proche du support.</w:t>
      </w:r>
    </w:p>
    <w:p>
      <w:pPr>
        <w:spacing w:after="120" w:line="276" w:lineRule="auto"/>
      </w:pPr>
      <w:r>
        <w:t>**MACD** : La valeur du MACD (-58,634) est inférieure à son signal (-47,214), avec un histogramme négatif — configuration baissière. Le momentum reste négatif et la décision est **Vente**, sans divergence haussière détectée.</w:t>
      </w:r>
    </w:p>
    <w:p>
      <w:pPr>
        <w:spacing w:after="120" w:line="276" w:lineRule="auto"/>
      </w:pPr>
      <w:r>
        <w:t>**RSI** : À 33,333, le RSI se situe juste au-dessus du seuil de survente (30), en zone neutre basse. La décision est **Neutre**, indiquant que le titre n'est pas encore techniquement survendu mais s'en approche dangereusement.</w:t>
      </w:r>
    </w:p>
    <w:p>
      <w:pPr>
        <w:spacing w:after="120" w:line="276" w:lineRule="auto"/>
      </w:pPr>
      <w:r>
        <w:t>**Stochastique** : Avec %K = 0,0 et %D = 3,333, le stochastique est en zone de survente extrême, générant une décision **Achat** — seul indicateur haussier, mais à interpréter avec prudence car un %K à zéro peut signaler une tendance baissière persistante plutôt qu'un rebond imminent.</w:t>
      </w:r>
    </w:p>
    <w:p>
      <w:pPr>
        <w:spacing w:after="120" w:line="276" w:lineRule="auto"/>
      </w:pPr>
      <w:r>
        <w:t>**Conclusion technique** : Quatre indicateurs sur cinq sont baissiers ou neutres (MM, MACD, RSI, Bollinger), seul le stochastique émet un signal d'achat contrarien en zone de survente extrême. La convergence baissière des moyennes mobiles et du MACD domine, et le stochastique à zéro reflète davantage une faiblesse structurelle qu'une opportunité de rebond. **Le profil technique reste défavorable, avec un risque de poursuite de la baisse vers la borne inférieure de Bollinger (1 797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FILTISAC CI a réalisé un chiffre d'affaires de **32 109 Mds FCFA** (32,1 milliards), en croissance de 4,6% sur un an, avec un résultat net de **465,98 M FCFA** (0,47 milliard) — en chute de 97,5% par rapport aux 18 595 M FCFA de 2024. Le ROE s'établit à **2,97%** (très en deçà du seuil de 15% considéré comme excellent) et le ROA à **1,19%**, traduisant une rentabilité très faible des actifs. La marge nette n'est que de **1,45%**, contre 60,6% en 2024 — cette anomalie s'expliquant par des produits exceptionnels non récurrents en 2024 (résultat HAO de 18 863 M FCFA contre 382 M FCFA en 2025). En tant qu'entreprise industrielle, les délais d'exploitation sont préoccupants : **délai clients de 213,7 jours** (risque de trésorerie élevé), **durée de stockage de 214,7 jours** (immobilisation de capital importante) et **délai fournisseurs de 140,7 jours**. Le BFR s'élève à 11 529 Mds FCFA et la trésorerie nette est **négative de -11 528 Mds FCFA**, signalant une tension de liquidité majeure. L'autonomie financière (40,1%) reste saine, mais le ratio d'endettement (97,6%) et la capacité de remboursement (11,49 années de CAF) pèsent sur la structure financière.</w:t>
      </w:r>
    </w:p>
    <w:p>
      <w:pPr>
        <w:spacing w:after="120" w:line="276" w:lineRule="auto"/>
      </w:pPr>
      <w:r>
        <w:t>**Estimations basées sur les rapports trimestriels** : Le rapport du **T1 2026 (publié le 31 mars 2026)** fait état d'un chiffre d'affaires de **8 901 M FCFA**, en hausse spectaculaire de **+55%** sur un an, porté par la demande d'emballages cacao. Le résultat d'exploitation redevient positif à **75 M FCFA** (contre -78 M FCFA au T1 2025), mais le résultat net reste déficitaire à **-154 M FCFA** (marge nette de -1,73%). Sur cette base, on peut estimer que l'exercice 2026 devrait bénéficier d'un fort effet volume au premier semestre, mais la rentabilité nette restera négative tant que les charges financières et hors exploitation ne seront pas maîtrisées. Le communiqué du **8 juillet 2026** rassure sur la continuité d'activité malgré l'interdiction d'exportation de fibre de jute par le Bangladesh, avec une solution alternative d'importation de fil — impact limité à moins de 10% des effectifs.</w:t>
      </w:r>
    </w:p>
    <w:p>
      <w:pPr>
        <w:spacing w:after="120" w:line="276" w:lineRule="auto"/>
      </w:pPr>
      <w:r>
        <w:t>**Recommandation fondamentale** : La société présente un profil de **retournement opérationnel non confirmé**, avec une croissance commerciale réelle mais une rentabilité nette toujours négative et une trésorerie dégradée. Les risques (matières premières, fret, dépendance cacao, absence de dividende) l'emportent sur les opportunités à court terme. **Position attentiste recommandée.**</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**surévaluée** : PER de 56x contre une moyenne BRVM de 8-12x, EV/EBITDA de 35,3x et P/B de 1,66x pour un ROE de seulement 2,97% — le marché intègre des anticipations de redressement que les résultats actuels ne justifient pas. Le comportement du cours (Partie 1) est **préoccupant** : tendance baissière de -19,57% sur 100 jours, cours au plus bas de la période, volatilité élevée (35,8%) et skewness positif indiquant une pression vendeuse persistante. Les signaux techniques (Partie 2) sont **majoritairement baissiers** : cours sous MM20 et MM50, MACD négatif, RSI proche de la survente, seul le stochastique émettant un signal contrarien d'achat en zone extrême. Les fondamentaux (Partie 3) révèlent une **fragilité persistante** : résultat net 2025 en chute de 97,5%, trésorerie nette négative de -11,5 Mds FCFA, absence de dividende, et si le T1 2026 montre une embellie du CA (+55%), la perte nette demeure (-154 M FCFA). Les prédictions IA (J+1 à J+10) confirment cette tendance baissière avec une trajectoire de 1 838 FCFA à 1 790 FCFA, soit une baisse supplémentaire de -3,2% anticipée.</w:t>
      </w:r>
    </w:p>
    <w:p>
      <w:pPr>
        <w:spacing w:after="120" w:line="276" w:lineRule="auto"/>
      </w:pPr>
      <w:r>
        <w:t>**Recommandation finale : VENTE**</w:t>
      </w:r>
    </w:p>
    <w:p>
      <w:pPr>
        <w:spacing w:after="120" w:line="276" w:lineRule="auto"/>
      </w:pPr>
      <w:r>
        <w:t>La convergence est totale entre valorisation surévaluée, technique baissière, fondamentaux fragiles et prédictions IA négatives. Aucun signal haussier durable n'émerge pour justifier une exposition. **Niveau de confiance : Élevé** (convergence de tous les indicateurs). **Niveau de risque global : Élevé** (volatilité 35,8%, trésorerie négative, dépendance sectorielle). **Horizon d'investissement : Court terme** — une sortie ou une absence d'exposition est préférable tant que la rentabilité nette n'est pas rétablie sur au moins deux trimestres consécutifs et que la trésorerie ne se redresse pas. Un passage à CONSERVER serait envisageable si le T2 2026 confirme le retour à un résultat net positif.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4,716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+4.92%</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4.69% (Faible) — μ=4,076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β=0.6724 (Défensif) — Cov=0.000050, Var(idx)=0.000075, ρ=0.222,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2026-10-15</w:t>
            </w:r>
          </w:p>
        </w:tc>
        <w:tc>
          <w:tcPr>
            <w:tcW w:type="dxa" w:w="1440"/>
            <w:shd w:fill="FFDCE0" w:val="clear"/>
          </w:tcPr>
          <w:p>
            <w:r>
              <w:rPr>
                <w:sz w:val="17"/>
              </w:rPr>
              <w:t>3,776</w:t>
            </w:r>
          </w:p>
        </w:tc>
        <w:tc>
          <w:tcPr>
            <w:tcW w:type="dxa" w:w="1440"/>
            <w:shd w:fill="FFDCE0" w:val="clear"/>
          </w:tcPr>
          <w:p>
            <w:r>
              <w:rPr>
                <w:b/>
                <w:sz w:val="17"/>
              </w:rPr>
              <w:t>3,948</w:t>
            </w:r>
          </w:p>
        </w:tc>
        <w:tc>
          <w:tcPr>
            <w:tcW w:type="dxa" w:w="1440"/>
            <w:shd w:fill="FFDCE0" w:val="clear"/>
          </w:tcPr>
          <w:p>
            <w:r>
              <w:rPr>
                <w:sz w:val="17"/>
              </w:rPr>
              <w:t>4,120</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2026-10-16</w:t>
            </w:r>
          </w:p>
        </w:tc>
        <w:tc>
          <w:tcPr>
            <w:tcW w:type="dxa" w:w="1440"/>
            <w:shd w:fill="FFDCE0" w:val="clear"/>
          </w:tcPr>
          <w:p>
            <w:r>
              <w:rPr>
                <w:sz w:val="17"/>
              </w:rPr>
              <w:t>3,712</w:t>
            </w:r>
          </w:p>
        </w:tc>
        <w:tc>
          <w:tcPr>
            <w:tcW w:type="dxa" w:w="1440"/>
            <w:shd w:fill="FFDCE0" w:val="clear"/>
          </w:tcPr>
          <w:p>
            <w:r>
              <w:rPr>
                <w:b/>
                <w:sz w:val="17"/>
              </w:rPr>
              <w:t>3,955</w:t>
            </w:r>
          </w:p>
        </w:tc>
        <w:tc>
          <w:tcPr>
            <w:tcW w:type="dxa" w:w="1440"/>
            <w:shd w:fill="FFDCE0" w:val="clear"/>
          </w:tcPr>
          <w:p>
            <w:r>
              <w:rPr>
                <w:sz w:val="17"/>
              </w:rPr>
              <w:t>4,199</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2026-10-19</w:t>
            </w:r>
          </w:p>
        </w:tc>
        <w:tc>
          <w:tcPr>
            <w:tcW w:type="dxa" w:w="1440"/>
            <w:shd w:fill="FFDCE0" w:val="clear"/>
          </w:tcPr>
          <w:p>
            <w:r>
              <w:rPr>
                <w:sz w:val="17"/>
              </w:rPr>
              <w:t>3,664</w:t>
            </w:r>
          </w:p>
        </w:tc>
        <w:tc>
          <w:tcPr>
            <w:tcW w:type="dxa" w:w="1440"/>
            <w:shd w:fill="FFDCE0" w:val="clear"/>
          </w:tcPr>
          <w:p>
            <w:r>
              <w:rPr>
                <w:b/>
                <w:sz w:val="17"/>
              </w:rPr>
              <w:t>3,962</w:t>
            </w:r>
          </w:p>
        </w:tc>
        <w:tc>
          <w:tcPr>
            <w:tcW w:type="dxa" w:w="1440"/>
            <w:shd w:fill="FFDCE0" w:val="clear"/>
          </w:tcPr>
          <w:p>
            <w:r>
              <w:rPr>
                <w:sz w:val="17"/>
              </w:rPr>
              <w:t>4,261</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3,621</w:t>
            </w:r>
          </w:p>
        </w:tc>
        <w:tc>
          <w:tcPr>
            <w:tcW w:type="dxa" w:w="1440"/>
            <w:shd w:fill="FFDCE0" w:val="clear"/>
          </w:tcPr>
          <w:p>
            <w:r>
              <w:rPr>
                <w:b/>
                <w:sz w:val="17"/>
              </w:rPr>
              <w:t>3,966</w:t>
            </w:r>
          </w:p>
        </w:tc>
        <w:tc>
          <w:tcPr>
            <w:tcW w:type="dxa" w:w="1440"/>
            <w:shd w:fill="FFDCE0" w:val="clear"/>
          </w:tcPr>
          <w:p>
            <w:r>
              <w:rPr>
                <w:sz w:val="17"/>
              </w:rPr>
              <w:t>4,312</w:t>
            </w:r>
          </w:p>
        </w:tc>
        <w:tc>
          <w:tcPr>
            <w:tcW w:type="dxa" w:w="1440"/>
            <w:shd w:fill="FFDCE0" w:val="clear"/>
          </w:tcPr>
          <w:p>
            <w:r>
              <w:rPr>
                <w:b/>
                <w:color w:val="C00000"/>
                <w:sz w:val="17"/>
              </w:rPr>
              <w:t>-2.1%</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3,583</w:t>
            </w:r>
          </w:p>
        </w:tc>
        <w:tc>
          <w:tcPr>
            <w:tcW w:type="dxa" w:w="1440"/>
            <w:shd w:fill="FAFAFA" w:val="clear"/>
          </w:tcPr>
          <w:p>
            <w:r>
              <w:rPr>
                <w:b/>
                <w:sz w:val="17"/>
              </w:rPr>
              <w:t>3,969</w:t>
            </w:r>
          </w:p>
        </w:tc>
        <w:tc>
          <w:tcPr>
            <w:tcW w:type="dxa" w:w="1440"/>
            <w:shd w:fill="FAFAFA" w:val="clear"/>
          </w:tcPr>
          <w:p>
            <w:r>
              <w:rPr>
                <w:sz w:val="17"/>
              </w:rPr>
              <w:t>4,356</w:t>
            </w:r>
          </w:p>
        </w:tc>
        <w:tc>
          <w:tcPr>
            <w:tcW w:type="dxa" w:w="1440"/>
            <w:shd w:fill="FAFAFA" w:val="clear"/>
          </w:tcPr>
          <w:p>
            <w:r>
              <w:rPr>
                <w:b/>
                <w:color w:val="C00000"/>
                <w:sz w:val="17"/>
              </w:rPr>
              <w:t>-2.0%</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3,549</w:t>
            </w:r>
          </w:p>
        </w:tc>
        <w:tc>
          <w:tcPr>
            <w:tcW w:type="dxa" w:w="1440"/>
            <w:shd w:fill="FAFAFA" w:val="clear"/>
          </w:tcPr>
          <w:p>
            <w:r>
              <w:rPr>
                <w:b/>
                <w:sz w:val="17"/>
              </w:rPr>
              <w:t>3,972</w:t>
            </w:r>
          </w:p>
        </w:tc>
        <w:tc>
          <w:tcPr>
            <w:tcW w:type="dxa" w:w="1440"/>
            <w:shd w:fill="FAFAFA" w:val="clear"/>
          </w:tcPr>
          <w:p>
            <w:r>
              <w:rPr>
                <w:sz w:val="17"/>
              </w:rPr>
              <w:t>4,396</w:t>
            </w:r>
          </w:p>
        </w:tc>
        <w:tc>
          <w:tcPr>
            <w:tcW w:type="dxa" w:w="1440"/>
            <w:shd w:fill="FAFAFA" w:val="clear"/>
          </w:tcPr>
          <w:p>
            <w:r>
              <w:rPr>
                <w:b/>
                <w:color w:val="C00000"/>
                <w:sz w:val="17"/>
              </w:rPr>
              <w:t>-1.9%</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3,519</w:t>
            </w:r>
          </w:p>
        </w:tc>
        <w:tc>
          <w:tcPr>
            <w:tcW w:type="dxa" w:w="1440"/>
            <w:shd w:fill="FAFAFA" w:val="clear"/>
          </w:tcPr>
          <w:p>
            <w:r>
              <w:rPr>
                <w:b/>
                <w:sz w:val="17"/>
              </w:rPr>
              <w:t>3,977</w:t>
            </w:r>
          </w:p>
        </w:tc>
        <w:tc>
          <w:tcPr>
            <w:tcW w:type="dxa" w:w="1440"/>
            <w:shd w:fill="FAFAFA" w:val="clear"/>
          </w:tcPr>
          <w:p>
            <w:r>
              <w:rPr>
                <w:sz w:val="17"/>
              </w:rPr>
              <w:t>4,435</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3,491</w:t>
            </w:r>
          </w:p>
        </w:tc>
        <w:tc>
          <w:tcPr>
            <w:tcW w:type="dxa" w:w="1440"/>
            <w:shd w:fill="FAFAFA" w:val="clear"/>
          </w:tcPr>
          <w:p>
            <w:r>
              <w:rPr>
                <w:b/>
                <w:sz w:val="17"/>
              </w:rPr>
              <w:t>3,981</w:t>
            </w:r>
          </w:p>
        </w:tc>
        <w:tc>
          <w:tcPr>
            <w:tcW w:type="dxa" w:w="1440"/>
            <w:shd w:fill="FAFAFA" w:val="clear"/>
          </w:tcPr>
          <w:p>
            <w:r>
              <w:rPr>
                <w:sz w:val="17"/>
              </w:rPr>
              <w:t>4,471</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3,465</w:t>
            </w:r>
          </w:p>
        </w:tc>
        <w:tc>
          <w:tcPr>
            <w:tcW w:type="dxa" w:w="1440"/>
            <w:shd w:fill="FAFAFA" w:val="clear"/>
          </w:tcPr>
          <w:p>
            <w:r>
              <w:rPr>
                <w:b/>
                <w:sz w:val="17"/>
              </w:rPr>
              <w:t>3,986</w:t>
            </w:r>
          </w:p>
        </w:tc>
        <w:tc>
          <w:tcPr>
            <w:tcW w:type="dxa" w:w="1440"/>
            <w:shd w:fill="FAFAFA" w:val="clear"/>
          </w:tcPr>
          <w:p>
            <w:r>
              <w:rPr>
                <w:sz w:val="17"/>
              </w:rPr>
              <w:t>4,506</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3,445</w:t>
            </w:r>
          </w:p>
        </w:tc>
        <w:tc>
          <w:tcPr>
            <w:tcW w:type="dxa" w:w="1440"/>
            <w:shd w:fill="FAFAFA" w:val="clear"/>
          </w:tcPr>
          <w:p>
            <w:r>
              <w:rPr>
                <w:b/>
                <w:sz w:val="17"/>
              </w:rPr>
              <w:t>3,995</w:t>
            </w:r>
          </w:p>
        </w:tc>
        <w:tc>
          <w:tcPr>
            <w:tcW w:type="dxa" w:w="1440"/>
            <w:shd w:fill="FAFAFA" w:val="clear"/>
          </w:tcPr>
          <w:p>
            <w:r>
              <w:rPr>
                <w:sz w:val="17"/>
              </w:rPr>
              <w:t>4,545</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 SA)**</w:t>
        <w:br/>
        <w:t>**Bourse Régionale des Valeurs Mobilières (BRVM) — Secteur : Entreprise non bancaire (Jeux &amp; Loterie)**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81,00 milliards FCFA, LNBB se positionne comme une valeur de taille moyenne sur le compartiment BRVM, représentant un poids non négligeable dans l'indice sectoriel des entreprises non financières. Le BPA de 231 FCFA par action signifie que chaque titre génère 231 FCFA de bénéfice net, ce qui, rapporté au cours actuel de 4 050 FCFA, donne un PER de 17,5x. Ce niveau est nettement supérieur à la moyenne du marché BRVM (généralement comprise entre 8 et 12x), traduisant une prime de valorisation que les investisseurs accordent à la société pour sa solidité financière et ses perspectives de digitalisation. Le P/B de 3,69x indique que le marché valorise LNBB à près de 3,7 fois sa valeur comptable, une prime de croissance significative qui se justifie par un ROE élevé de 21,05%. Enfin, l'EV/EBITDA de 10,3x situe la valeur d'entreprise à environ 10 fois la capacité opérationnelle, un niveau modéré qui reflète une certaine prudence du marché quant à la pérennité des marges dans un secteur concurrentiel.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LNBB a progressé de +4,92%, avec une variation spectaculaire de +3,85% lors de la dernière séance (J-1), portant le cours actuel à 4 050 FCFA. Le titre a évolué dans un range de 860 FCFA, entre un plus bas de 3 700 FCFA et un plus haut de 4 560 FCFA, ce qui témoigne d'une volatilité intra-période significative malgré une tendance générale haussière. La moyenne du cours s'établit à 4 076 FCFA, très proche de la médiane à 4 050 FCFA, ce qui suggère une distribution quasi-symétrique du cours sur la période, confirmée par un skewness de 0,453 (distribution légèrement asymétrique à droite, mais globalement équilibrée). L'écart-type de 192 FCFA, avec un coefficient de variation de seulement 4,7%, indique une dispersion modérée autour de la moyenne, tandis que le kurtosis de -0,775 (mésokurtique) signale une distribution proche de la normale, sans risque excessif de pics extrêmes. La volatilité annualisée de 41,3% classe le titre dans la catégorie des valeurs à volatilité élevée (&gt;30%), ce qui implique un risque de marché non négligeable pour les investisseurs, mais aussi des opportunités de trading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(3 946,5 FCFA) est inférieure à la MM50 (4 042,1 FCFA), et le cours actuel (4 050 FCFA) se situe au-dessus des deux, mais la décision technique reste "Vente" car le croisement des moyennes est baissier (MM20 &lt; MM50). Cette configuration suggère une pression vendeuse à court terme, bien que le cours tente de se maintenir au-dessus de la MM50, ce qui pourrait indiquer une résistance.</w:t>
      </w:r>
    </w:p>
    <w:p>
      <w:pPr>
        <w:spacing w:after="120" w:line="276" w:lineRule="auto"/>
      </w:pPr>
      <w:r>
        <w:t>**Bandes de Bollinger** : Le cours actuel (4 050 FCFA) se situe dans la partie supérieure de la bande de Bollinger, entre la borne inférieure (3 758,5 FCFA) et la borne supérieure (4 134,5 FCFA), sans les dépasser. La décision est "Neutre", ce qui reflète une absence de signal fort : le cours n'est ni en suraccumulation ni en surdistribution, et la volatilité implicite reste modérée.</w:t>
      </w:r>
    </w:p>
    <w:p>
      <w:pPr>
        <w:spacing w:after="120" w:line="276" w:lineRule="auto"/>
      </w:pPr>
      <w:r>
        <w:t>**MACD** : La valeur du MACD (-24,826) est supérieure à son signal (-40,907), ce qui génère une décision "Achat". Cette divergence positive indique un momentum haussier en formation, bien que le MACD reste en territoire négatif, ce qui tempère l'optimisme et suggère un retournement potentiel à surveiller.</w:t>
      </w:r>
    </w:p>
    <w:p>
      <w:pPr>
        <w:spacing w:after="120" w:line="276" w:lineRule="auto"/>
      </w:pPr>
      <w:r>
        <w:t>**RSI** : Avec une valeur de 72,727, le RSI se situe en zone de surachat (&gt;70), ce qui déclenche une décision "Vente". Cela signifie que le titre a été acheté de manière excessive à court terme et qu'une correction ou une consolidation est probable avant une nouvelle hausse.</w:t>
      </w:r>
    </w:p>
    <w:p>
      <w:pPr>
        <w:spacing w:after="120" w:line="276" w:lineRule="auto"/>
      </w:pPr>
      <w:r>
        <w:t>**Stochastique** : Le %K (100,0) est largement supérieur au %D (79,921), et les deux se situent en zone de surachat. La décision est "Vente", car le croisement des lignes en zone haute suggère un essoufflement de la dynamique haussière et un risque de retournement baissier à court terme.</w:t>
      </w:r>
    </w:p>
    <w:p>
      <w:pPr>
        <w:spacing w:after="120" w:line="276" w:lineRule="auto"/>
      </w:pPr>
      <w:r>
        <w:t>**Conclusion technique** : Les indicateurs techniques sont majoritairement baissiers à court terme (MM, RSI, Stochastique), avec un signal d'achat isolé du MACD qui pourrait être un signe précurseur de retournement. La divergence entre le MACD (haussier) et les autres indicateurs (baissiers) crée une incertitude qui plaide pour une attitude prudente, en attendant une confirmation de la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LNBB a réalisé un chiffre d'affaires de 98,598 milliards FCFA, en baisse de -3,85% par rapport à 2024, et un résultat net de 4,622 milliards FCFA, en recul de -35,6% (contre 7,176 milliards en 2024). Le ROE s'établit à 21,05% (excellent, &gt;15%) et le ROA à 14,17%, confirmant la rentabilité des fonds propres et des actifs malgré la baisse des bénéfices. La marge nette est de 4,69%, en baisse par rapport à 2024 (7,0%), mais la valeur ajoutée progresse de +22% à 10,548 milliards FCFA et l'EBE de +34% à 7,164 milliards FCFA, témoignant d'une excellente maîtrise des charges opérationnelles. Le BFR est négatif à 217,45 millions FCFA (favorable), et la trésorerie nette s'élève à 7,979 milliards FCFA, assurant une liquidité confortable. Le ratio d'autonomie financière de 67,32% et la solvabilité générale de 306,04% confirment une structure financière très saine, avec un endettement quasi nul (ratio d'endettement de 2,57%). Les délais clients sont très courts (4,82 jours), ce qui limite le risque de trésorerie, tandis que le délai fournisseurs de 20,41 jours est favorable à la gestion du besoin en fonds de roulement.</w:t>
      </w:r>
    </w:p>
    <w:p>
      <w:pPr>
        <w:spacing w:after="120" w:line="276" w:lineRule="auto"/>
      </w:pPr>
      <w:r>
        <w:t>**Estimations basées sur les rapports trimestriels** : Le rapport du S1 2026 (publié le 30 juillet 2026) indique un chiffre d'affaires de 49,937 milliards FCFA (+4% vs S1 2025) et un résultat net en hausse de +60%, grâce à la maîtrise des charges et aux revenus de partenariats. Cependant, le produit brut des jeux a reculé de -9% en raison d'une hausse de +7% des gains payés aux joueurs, ce qui constitue un signal d'alerte sur la qualité des marges. Le rapport du T1 2026 (publié le 1er mai 2026) montre un chiffre d'affaires de 25,521 milliards FCFA (+6%) mais un résultat net en chute de -46% à 848 millions FCFA, en raison d'un mix produit défavorable (pari sportif avec un taux de retour aux joueurs de 95%). Sur la base de ces éléments, on estime que l'exercice 2026 devrait afficher une croissance modérée du CA (+4% à +6%) et une amélioration de la rentabilité nette (+60% au S1), mais la pression sur les marges brutes reste un risque majeur. La politique de dividende est très généreuse, avec un dividende brut de 173 FCFA par action (rendement de 4,27% au cours actuel de 4 050 FCFA), soit un taux de distribution d'environ 80% du résultat net 2025.</w:t>
      </w:r>
    </w:p>
    <w:p>
      <w:pPr>
        <w:spacing w:after="120" w:line="276" w:lineRule="auto"/>
      </w:pPr>
      <w:r>
        <w:t>**Recommandation fondamentale** : La solidité financière de LNBB est incontestable (autonomie financière, trésorerie nette positive, ROE élevé), et la stratégie de digitalisation porte ses fruits (+18% sur les jeux en ligne en 2025, +28% sur le pari sportif en ligne au T1 2026). Cependant, la baisse du résultat net en 2025 (-36%) et la dégradation du produit brut des jeux (-9% au S1 2026) sont préoccupantes. La capacité de la société à rééquilibrer son mix produit vers des activités à plus forte marge (loterie traditionnelle) et à pérenniser ses revenus de partenariats sera déterminante pour la suite. Nous maintenons une recommandation de **CONSERVER** à moyen terme, avec un potentiel de rebond si les initiatives du S2 2026 (1 500 nouveaux terminaux, nouveaux produits) se concrétisent.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de 17,5x, P/B de 3,69x, EV/EBITDA de 10,3x) indique que le marché accorde une prime de croissance significative, mais le PER élevé par rapport à la moyenne BRVM (8-12x) suggère une surévaluation relative à court terme. Le comportement du cours sur 100 jours est haussier (+4,92%), avec une volatilité élevée (41,3%) et une distribution quasi-normale (kurtosis -0,775, skewness 0,453), ce qui est globalement favorable mais implique un risque de correction. Les signaux techniques sont majoritairement baissiers (MM, RSI en surachat, Stochastique en surachat), avec un MACD haussier isolé qui pourrait être un signe précurseur de retournement, créant une divergence qui plaide pour la prudence. Les fondamentaux sont solides (ROE de 21,05%, autonomie financière de 67,32%, trésorerie nette de 7,979 milliards FCFA) mais la rentabilité opérationnelle est sous pression (marge nette de 4,69% en 2025, baisse du PBJ de -9% au S1 2026). Les prédictions IA pour les 10 prochains jours (3 948 FCFA à 3 969 FCFA) suggèrent une légère baisse par rapport au cours actuel (4 050 FCFA), ce qui contredit les signaux haussiers du MACD et confirme la prudence des indicateurs techniques. Sur la base de cette synthèse, nous recommandons **CONSERVER** la position, avec un niveau de confiance **Moyen** et un risque global **Moyen**. L'horizon d'investissement optimal est le **moyen terme (3-12 mois)**, en attendant la confirmation de l'amélioration des marges et la concrétisation des initiatives stratégiques du S2 2026. Un renforcement pourrait être envisagé si le titre corrige vers 3 800-3 900 FCFA, offrant un meilleur point d'entrée.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27.51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2,387 titres</w:t>
            </w:r>
          </w:p>
        </w:tc>
        <w:tc>
          <w:tcPr>
            <w:tcW w:type="dxa" w:w="2268"/>
            <w:shd w:fill="FFF2CC" w:val="clear"/>
          </w:tcPr>
          <w:p>
            <w:r>
              <w:rPr>
                <w:b/>
                <w:color w:val="503200"/>
                <w:sz w:val="16"/>
              </w:rPr>
              <w:t xml:space="preserve">Cours actuel : </w:t>
            </w:r>
            <w:r>
              <w:rPr>
                <w:color w:val="000000"/>
                <w:sz w:val="17"/>
              </w:rPr>
              <w:t>2,155 FCFA</w:t>
            </w:r>
          </w:p>
          <w:p>
            <w:r>
              <w:rPr>
                <w:b/>
                <w:color w:val="503200"/>
                <w:sz w:val="16"/>
              </w:rPr>
              <w:t xml:space="preserve">Var. 100 jours : </w:t>
            </w:r>
            <w:r>
              <w:rPr>
                <w:b/>
                <w:color w:val="007800"/>
                <w:sz w:val="17"/>
              </w:rPr>
              <w:t>+11.37%</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11.92% (Moyenne) — μ=2,321 FCFA, σ=277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β=0.0645 (Défensif) — Cov=0.000005, Var(idx)=0.000075, ρ=0.017,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σ_j=3.32%/j (Modérée) — Vol. annualisée≈52.7%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2,018</w:t>
            </w:r>
          </w:p>
        </w:tc>
        <w:tc>
          <w:tcPr>
            <w:tcW w:type="dxa" w:w="1440"/>
            <w:shd w:fill="FAFAFA" w:val="clear"/>
          </w:tcPr>
          <w:p>
            <w:r>
              <w:rPr>
                <w:b/>
                <w:sz w:val="17"/>
              </w:rPr>
              <w:t>2,126</w:t>
            </w:r>
          </w:p>
        </w:tc>
        <w:tc>
          <w:tcPr>
            <w:tcW w:type="dxa" w:w="1440"/>
            <w:shd w:fill="FAFAFA" w:val="clear"/>
          </w:tcPr>
          <w:p>
            <w:r>
              <w:rPr>
                <w:sz w:val="17"/>
              </w:rPr>
              <w:t>2,234</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1,967</w:t>
            </w:r>
          </w:p>
        </w:tc>
        <w:tc>
          <w:tcPr>
            <w:tcW w:type="dxa" w:w="1440"/>
            <w:shd w:fill="FAFAFA" w:val="clear"/>
          </w:tcPr>
          <w:p>
            <w:r>
              <w:rPr>
                <w:b/>
                <w:sz w:val="17"/>
              </w:rPr>
              <w:t>2,120</w:t>
            </w:r>
          </w:p>
        </w:tc>
        <w:tc>
          <w:tcPr>
            <w:tcW w:type="dxa" w:w="1440"/>
            <w:shd w:fill="FAFAFA" w:val="clear"/>
          </w:tcPr>
          <w:p>
            <w:r>
              <w:rPr>
                <w:sz w:val="17"/>
              </w:rPr>
              <w:t>2,272</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2026-10-19</w:t>
            </w:r>
          </w:p>
        </w:tc>
        <w:tc>
          <w:tcPr>
            <w:tcW w:type="dxa" w:w="1440"/>
            <w:shd w:fill="FFDCE0" w:val="clear"/>
          </w:tcPr>
          <w:p>
            <w:r>
              <w:rPr>
                <w:sz w:val="17"/>
              </w:rPr>
              <w:t>1,922</w:t>
            </w:r>
          </w:p>
        </w:tc>
        <w:tc>
          <w:tcPr>
            <w:tcW w:type="dxa" w:w="1440"/>
            <w:shd w:fill="FFDCE0" w:val="clear"/>
          </w:tcPr>
          <w:p>
            <w:r>
              <w:rPr>
                <w:b/>
                <w:sz w:val="17"/>
              </w:rPr>
              <w:t>2,107</w:t>
            </w:r>
          </w:p>
        </w:tc>
        <w:tc>
          <w:tcPr>
            <w:tcW w:type="dxa" w:w="1440"/>
            <w:shd w:fill="FFDCE0" w:val="clear"/>
          </w:tcPr>
          <w:p>
            <w:r>
              <w:rPr>
                <w:sz w:val="17"/>
              </w:rPr>
              <w:t>2,293</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1,883</w:t>
            </w:r>
          </w:p>
        </w:tc>
        <w:tc>
          <w:tcPr>
            <w:tcW w:type="dxa" w:w="1440"/>
            <w:shd w:fill="FFDCE0" w:val="clear"/>
          </w:tcPr>
          <w:p>
            <w:r>
              <w:rPr>
                <w:b/>
                <w:sz w:val="17"/>
              </w:rPr>
              <w:t>2,096</w:t>
            </w:r>
          </w:p>
        </w:tc>
        <w:tc>
          <w:tcPr>
            <w:tcW w:type="dxa" w:w="1440"/>
            <w:shd w:fill="FFDCE0" w:val="clear"/>
          </w:tcPr>
          <w:p>
            <w:r>
              <w:rPr>
                <w:sz w:val="17"/>
              </w:rPr>
              <w:t>2,309</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1,848</w:t>
            </w:r>
          </w:p>
        </w:tc>
        <w:tc>
          <w:tcPr>
            <w:tcW w:type="dxa" w:w="1440"/>
            <w:shd w:fill="FFDCE0" w:val="clear"/>
          </w:tcPr>
          <w:p>
            <w:r>
              <w:rPr>
                <w:b/>
                <w:sz w:val="17"/>
              </w:rPr>
              <w:t>2,085</w:t>
            </w:r>
          </w:p>
        </w:tc>
        <w:tc>
          <w:tcPr>
            <w:tcW w:type="dxa" w:w="1440"/>
            <w:shd w:fill="FFDCE0" w:val="clear"/>
          </w:tcPr>
          <w:p>
            <w:r>
              <w:rPr>
                <w:sz w:val="17"/>
              </w:rPr>
              <w:t>2,322</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1,817</w:t>
            </w:r>
          </w:p>
        </w:tc>
        <w:tc>
          <w:tcPr>
            <w:tcW w:type="dxa" w:w="1440"/>
            <w:shd w:fill="FFDCE0" w:val="clear"/>
          </w:tcPr>
          <w:p>
            <w:r>
              <w:rPr>
                <w:b/>
                <w:sz w:val="17"/>
              </w:rPr>
              <w:t>2,075</w:t>
            </w:r>
          </w:p>
        </w:tc>
        <w:tc>
          <w:tcPr>
            <w:tcW w:type="dxa" w:w="1440"/>
            <w:shd w:fill="FFDCE0" w:val="clear"/>
          </w:tcPr>
          <w:p>
            <w:r>
              <w:rPr>
                <w:sz w:val="17"/>
              </w:rPr>
              <w:t>2,334</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1,789</w:t>
            </w:r>
          </w:p>
        </w:tc>
        <w:tc>
          <w:tcPr>
            <w:tcW w:type="dxa" w:w="1440"/>
            <w:shd w:fill="FFDCE0" w:val="clear"/>
          </w:tcPr>
          <w:p>
            <w:r>
              <w:rPr>
                <w:b/>
                <w:sz w:val="17"/>
              </w:rPr>
              <w:t>2,066</w:t>
            </w:r>
          </w:p>
        </w:tc>
        <w:tc>
          <w:tcPr>
            <w:tcW w:type="dxa" w:w="1440"/>
            <w:shd w:fill="FFDCE0" w:val="clear"/>
          </w:tcPr>
          <w:p>
            <w:r>
              <w:rPr>
                <w:sz w:val="17"/>
              </w:rPr>
              <w:t>2,344</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1,762</w:t>
            </w:r>
          </w:p>
        </w:tc>
        <w:tc>
          <w:tcPr>
            <w:tcW w:type="dxa" w:w="1440"/>
            <w:shd w:fill="FFDCE0" w:val="clear"/>
          </w:tcPr>
          <w:p>
            <w:r>
              <w:rPr>
                <w:b/>
                <w:sz w:val="17"/>
              </w:rPr>
              <w:t>2,058</w:t>
            </w:r>
          </w:p>
        </w:tc>
        <w:tc>
          <w:tcPr>
            <w:tcW w:type="dxa" w:w="1440"/>
            <w:shd w:fill="FFDCE0" w:val="clear"/>
          </w:tcPr>
          <w:p>
            <w:r>
              <w:rPr>
                <w:sz w:val="17"/>
              </w:rPr>
              <w:t>2,353</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1,737</w:t>
            </w:r>
          </w:p>
        </w:tc>
        <w:tc>
          <w:tcPr>
            <w:tcW w:type="dxa" w:w="1440"/>
            <w:shd w:fill="FFDCE0" w:val="clear"/>
          </w:tcPr>
          <w:p>
            <w:r>
              <w:rPr>
                <w:b/>
                <w:sz w:val="17"/>
              </w:rPr>
              <w:t>2,049</w:t>
            </w:r>
          </w:p>
        </w:tc>
        <w:tc>
          <w:tcPr>
            <w:tcW w:type="dxa" w:w="1440"/>
            <w:shd w:fill="FFDCE0" w:val="clear"/>
          </w:tcPr>
          <w:p>
            <w:r>
              <w:rPr>
                <w:sz w:val="17"/>
              </w:rPr>
              <w:t>2,362</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1,714</w:t>
            </w:r>
          </w:p>
        </w:tc>
        <w:tc>
          <w:tcPr>
            <w:tcW w:type="dxa" w:w="1440"/>
            <w:shd w:fill="FFDCE0" w:val="clear"/>
          </w:tcPr>
          <w:p>
            <w:r>
              <w:rPr>
                <w:b/>
                <w:sz w:val="17"/>
              </w:rPr>
              <w:t>2,042</w:t>
            </w:r>
          </w:p>
        </w:tc>
        <w:tc>
          <w:tcPr>
            <w:tcW w:type="dxa" w:w="1440"/>
            <w:shd w:fill="FFDCE0" w:val="clear"/>
          </w:tcPr>
          <w:p>
            <w:r>
              <w:rPr>
                <w:sz w:val="17"/>
              </w:rPr>
              <w:t>2,370</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27,51 milliards FCFA, NEIC se positionne comme une valeur de taille moyenne sur le compartiment des sociétés non bancaires de la BRVM, ce qui lui confère une liquidité limitée (volume moyen de 2 387 titres/jour). Le BPA de 160 FCFA/action signifie que chaque titre génère 160 FCFA de bénéfice net, ce qui, rapporté au cours actuel de 2 155 FCFA, donne un PER de 13,5x — légèrement supérieur à la moyenne BRVM (~8-12x), traduisant une valorisation modérément exigeante mais non déraisonnable au regard de la croissance récente du résultat. Le P/B de 4,78x indique que le marché valorise l'entreprise près de 5 fois sa valeur comptable, une prime forte qui suppose une confiance dans la qualité des actifs immatériels (droits d'édition, portefeuille de titres) et dans la pérennité des marges. Enfin, l'EV/EBITDA de 19,9x est très exigeant (&gt;15x), signalant que la valeur d'entreprise intègre déjà une anticipation de forte croissance opérationnelle ; tout dérapage bénéficiaire exposerait le titre à une correction.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affiche une variation totale positive de +11,37%, avec une dernière séance en hausse marquée de +3,11%, portant le cours à 2 155 FCFA. Le range de trading est large, entre un plus bas de 1 900 FCFA et un plus haut de 3 000 FCFA, soit une amplitude de 57,9% qui témoigne d'une forte nervosité du titre. La moyenne (2 321 FCFA) est supérieure à la médiane (2 272 FCFA), écart cohérent avec le skewness positif de 1,062 : la distribution présente une queue droite, signifiant que le cours a passé davantage de séances sous sa moyenne, mais avec des pics haussiers violents qui tirent la moyenne vers le haut. L'écart-type de 278 FCFA (CV = 12,0%) traduit une dispersion modérée en valeur relative, tandis que le kurtosis de 0,580 (mésokurtique) indique un risque de pics extrêmes proche d'une distribution normale, sans excès de queues épaisses. La volatilité annualisée de 52,7% classe clairement NEIC parmi les titres à volatilité élevée (&gt;30%), ce qui implique un risque de drawdown significatif et justifie une taille de position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(2 317,25 FCFA) et la MM50 (2 466,70 FCFA) sont toutes deux supérieures au cours actuel (2 155 FCFA), avec une MM20 sous la MM50 — configuration baissière caractéristique. Le cours évolue sous ses deux moyennes, confirmant la pression vendeuse ; la décision technique est donc **Vente**.</w:t>
      </w:r>
    </w:p>
    <w:p>
      <w:pPr>
        <w:spacing w:after="120" w:line="276" w:lineRule="auto"/>
      </w:pPr>
      <w:r>
        <w:t>**Bandes de Bollinger** : Le cours (2 155 FCFA) se situe dans la moitié inférieure de la bande, entre la borne inférieure (1 995,47 FCFA) et la borne supérieure (2 639,03 FCFA), sans toucher les extrêmes. Cette position médiane-basse, couplée à un écart-type élevé, traduit une volatilité soutenue sans signal directionnel fort ; la décision est **Neutre**.</w:t>
      </w:r>
    </w:p>
    <w:p>
      <w:pPr>
        <w:spacing w:after="120" w:line="276" w:lineRule="auto"/>
      </w:pPr>
      <w:r>
        <w:t>**MACD** : La ligne MACD (-118,43) est inférieure à sa ligne de signal (-98,25), avec un histogramme négatif — configuration baissière confirmée. Le momentum reste négatif et la divergence négative MACD-Signal plaide pour une poursuite de la faiblesse à court terme ; décision **Vente**.</w:t>
      </w:r>
    </w:p>
    <w:p>
      <w:pPr>
        <w:spacing w:after="120" w:line="276" w:lineRule="auto"/>
      </w:pPr>
      <w:r>
        <w:t>**RSI** : À 17,95, le RSI est très largement en zone de survente (&lt;30), un niveau rare qui signale un épuisement extrême de la pression vendeuse et un potentiel rebond technique imminent. La décision associée est **Achat**, en divergence avec les autres indicateurs.</w:t>
      </w:r>
    </w:p>
    <w:p>
      <w:pPr>
        <w:spacing w:after="120" w:line="276" w:lineRule="auto"/>
      </w:pPr>
      <w:r>
        <w:t>**Stochastique** : Le %K (20,97) est supérieur au %D (6,99), avec un %D en zone de survente profonde. Ce croisement haussier naissant du %K au-dessus du %D, bien que fragile, suggère un début de retournement ; la décision reste toutefois **Neutre** en raison de la faiblesse du signal.</w:t>
      </w:r>
    </w:p>
    <w:p>
      <w:pPr>
        <w:spacing w:after="120" w:line="276" w:lineRule="auto"/>
      </w:pPr>
      <w:r>
        <w:t>**Conclusion technique** : Les indicateurs sont majoritairement baissiers (MM, MACD) mais présentent une divergence haussière majeure avec un RSI en survente extrême (17,95) et un stochastique amorçant un croisement positif. Cette configuration contradictoire — tendance baissière de fond mais survente technique aiguë — plaide pour un rebond de court terme dans un contexte de tendance encore fragile, justifiant une posture d'attente ou d'achat tactique plutôt qu'un engagement directionnel fort.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NEIC affiche un chiffre d'affaires de 5,139 milliards FCFA, un résultat net de 2,037 milliards FCFA et une marge nette exceptionnelle de 39,63%. Le ROE s'élève à 35,39% et le ROA à 27,25%, des niveaux excellents qui traduisent une rentabilité des fonds propres remarquable. La structure financière est très saine : autonomie financière de 77,01%, solvabilité générale de 435,02% et liquidité générale de 448,86%. Le BFR de 1,498 milliard FCFA reste positif, mais la trésorerie nette de 4,196 milliards FCFA offre une marge confortable. Point d'attention : le taux de croissance du CA est négatif (-23,80%), et le délai clients de 154,72 jours est élevé, ce qui constitue un risque de trésorerie structurel malgré la solidité actuelle du bilan.</w:t>
      </w:r>
    </w:p>
    <w:p>
      <w:pPr>
        <w:spacing w:after="120" w:line="276" w:lineRule="auto"/>
      </w:pPr>
      <w:r>
        <w:t>**Analyse sectorielle (entreprise)** : Le délai fournisseurs de 69,56 jours et la durée de stockage de 54,49 jours sont maîtrisés, mais le délai clients de près de 155 jours pèse sur le cycle d'exploitation. Le flux opérationnel négatif (-527,07 M FCFA) et le Free Cash Flow négatif (-565,91 M FCFA) contrastent avec la CAF positive (2,088 Mds FCFA), signalant un décalage entre la rentabilité comptable et la génération de trésorerie — un point de vigilance majeur.</w:t>
      </w:r>
    </w:p>
    <w:p>
      <w:pPr>
        <w:spacing w:after="120" w:line="276" w:lineRule="auto"/>
      </w:pPr>
      <w:r>
        <w:t>**Estimations basées sur les rapports trimestriels** : Le rapport du T1 2026 (publié en 2026) indique un CA de 115,1 millions FCFA, en hausse de +137% sur un an, mais une perte nette persistante de -168,9 millions FCFA, avec un résultat d'exploitation de -271,5 millions FCFA. Le rapport du T3 2025 (30/09/2025) faisait état d'un CA de 3 406 millions FCFA (-35% sur un an) et d'un résultat net exceptionnel de 1 596 millions FCFA, dopé par la reprise d'une provision fiscale — un élément non récurrent. Le rapport annuel 2025 (publié en 2025) confirme un résultat net de 2,04 milliards FCFA (+169%) et un dividende généreux de 2,04 milliards FCFA (100% du résultat). On estime donc que la performance 2025 est en partie artificiellement gonflée par des éléments exceptionnels, tandis que le T1 2026 montre une reprise commerciale encourageante mais une rentabilité opérationnelle encore négative.</w:t>
      </w:r>
    </w:p>
    <w:p>
      <w:pPr>
        <w:spacing w:after="120" w:line="276" w:lineRule="auto"/>
      </w:pPr>
      <w:r>
        <w:t>**Conclusion fondamentale** : NEIC présente une solidité bilancielle indéniable (ROE 35%, autonomie 77%) et une politique de distribution attractive, mais la qualité des bénéfices est questionnable (éléments non récurrents, FCF négatif) et la dynamique commerciale reste fragile (CA en repli en 2025, pertes opérationnelles persistantes au T1 2026). Le profil est celui d'une entreprise en transition, à surveiller pour confirmation du redressement opérationnel.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modérément exigeante : PER de 13,5x légèrement supérieur à la moyenne BRVM, P/B de 4,78x et EV/EBITDA de 19,9x très élevés, ce qui intègre déjà une forte anticipation de croissance et limite le potentiel de réévaluation. Le comportement du cours (Partie 1) est préoccupant : volatilité annualisée de 52,7%, skewness positif de 1,062 (plus de séances sous la moyenne) et kurtosis proche de la normale, dans un contexte de tendance baissière récente malgré le rebond de +3,11% en J-1. Les signaux techniques (Partie 2) sont divergents : MM et MACD baissiers, mais RSI en survente extrême (17,95) et stochastique amorçant un croisement haussier — configuration typique d'un rebond technique possible dans une tendance de fond encore fragile. Les fondamentaux (Partie 3) sont contrastés : ROE de 35,39% et structure financière très saine en 2025, mais bénéfices dopés par des éléments non récurrents, FCF négatif et pertes opérationnelles persistantes au T1 2026. Les prédictions IA (J+1 à J+10) anticipent une trajectoire baissière continue, de 2 126 FCFA à 2 085 FCFA, confirmant la pression vendeuse de court terme et contredisant le signal de rebond du RSI.</w:t>
      </w:r>
    </w:p>
    <w:p>
      <w:pPr>
        <w:spacing w:after="120" w:line="276" w:lineRule="auto"/>
      </w:pPr>
      <w:r>
        <w:t>**Recommandation finale : CONSERVER** — avec un biais baissier de court terme. La convergence entre la tendance technique baissière (MM, MACD), les prédictions IA négatives et la valorisation exigeante (EV/EBITDA 19,9x) plaide contre un achat immédiat, tandis que la solidité bilancielle (autonomie 77%, ROE 35%) et le potentiel de rebond technique (RSI 17,95) excluent une vente panique. **Niveau de confiance : Moyen** (divergence RSI vs autres indicateurs). **Niveau de risque global : Élevé** (volatilité 52,7%, FCF négatif, dépendance aux éléments exceptionnels). **Horizon optimal : Moyen terme (3-12 mois)**, en attendant la confirmation d'un redressement opérationnel durable via les prochains rapports trimestriels, avec un seuil de vigilance à 1 995 FCFA (borne inférieure de Bollinger) et un objectif de réévaluation à 2 466 FCFA (MM50) en cas de retournement confirmé.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516.95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2,893 titres</w:t>
            </w:r>
          </w:p>
        </w:tc>
        <w:tc>
          <w:tcPr>
            <w:tcW w:type="dxa" w:w="2268"/>
            <w:shd w:fill="FFF2CC" w:val="clear"/>
          </w:tcPr>
          <w:p>
            <w:r>
              <w:rPr>
                <w:b/>
                <w:color w:val="503200"/>
                <w:sz w:val="16"/>
              </w:rPr>
              <w:t xml:space="preserve">Cours actuel : </w:t>
            </w:r>
            <w:r>
              <w:rPr>
                <w:color w:val="000000"/>
                <w:sz w:val="17"/>
              </w:rPr>
              <w:t>20,900 FCFA</w:t>
            </w:r>
          </w:p>
          <w:p>
            <w:r>
              <w:rPr>
                <w:b/>
                <w:color w:val="503200"/>
                <w:sz w:val="16"/>
              </w:rPr>
              <w:t xml:space="preserve">Var. 100 jours : </w:t>
            </w:r>
            <w:r>
              <w:rPr>
                <w:b/>
                <w:color w:val="007800"/>
                <w:sz w:val="17"/>
              </w:rPr>
              <w:t>+10.20%</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17,980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9.08% (Moyenne) — μ=21,639 FCFA, σ=1,966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β=1.1840 (Neutre (suit le marché)) — Cov=0.000088, Var(idx)=0.000075, ρ=0.436,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19,617</w:t>
            </w:r>
          </w:p>
        </w:tc>
        <w:tc>
          <w:tcPr>
            <w:tcW w:type="dxa" w:w="1440"/>
            <w:shd w:fill="FAFAFA" w:val="clear"/>
          </w:tcPr>
          <w:p>
            <w:r>
              <w:rPr>
                <w:b/>
                <w:sz w:val="17"/>
              </w:rPr>
              <w:t>20,617</w:t>
            </w:r>
          </w:p>
        </w:tc>
        <w:tc>
          <w:tcPr>
            <w:tcW w:type="dxa" w:w="1440"/>
            <w:shd w:fill="FAFAFA" w:val="clear"/>
          </w:tcPr>
          <w:p>
            <w:r>
              <w:rPr>
                <w:sz w:val="17"/>
              </w:rPr>
              <w:t>21,618</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2026-10-16</w:t>
            </w:r>
          </w:p>
        </w:tc>
        <w:tc>
          <w:tcPr>
            <w:tcW w:type="dxa" w:w="1440"/>
            <w:shd w:fill="FFDCE0" w:val="clear"/>
          </w:tcPr>
          <w:p>
            <w:r>
              <w:rPr>
                <w:sz w:val="17"/>
              </w:rPr>
              <w:t>18,991</w:t>
            </w:r>
          </w:p>
        </w:tc>
        <w:tc>
          <w:tcPr>
            <w:tcW w:type="dxa" w:w="1440"/>
            <w:shd w:fill="FFDCE0" w:val="clear"/>
          </w:tcPr>
          <w:p>
            <w:r>
              <w:rPr>
                <w:b/>
                <w:sz w:val="17"/>
              </w:rPr>
              <w:t>20,390</w:t>
            </w:r>
          </w:p>
        </w:tc>
        <w:tc>
          <w:tcPr>
            <w:tcW w:type="dxa" w:w="1440"/>
            <w:shd w:fill="FFDCE0" w:val="clear"/>
          </w:tcPr>
          <w:p>
            <w:r>
              <w:rPr>
                <w:sz w:val="17"/>
              </w:rPr>
              <w:t>21,789</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2026-10-19</w:t>
            </w:r>
          </w:p>
        </w:tc>
        <w:tc>
          <w:tcPr>
            <w:tcW w:type="dxa" w:w="1440"/>
            <w:shd w:fill="FFDCE0" w:val="clear"/>
          </w:tcPr>
          <w:p>
            <w:r>
              <w:rPr>
                <w:sz w:val="17"/>
              </w:rPr>
              <w:t>18,474</w:t>
            </w:r>
          </w:p>
        </w:tc>
        <w:tc>
          <w:tcPr>
            <w:tcW w:type="dxa" w:w="1440"/>
            <w:shd w:fill="FFDCE0" w:val="clear"/>
          </w:tcPr>
          <w:p>
            <w:r>
              <w:rPr>
                <w:b/>
                <w:sz w:val="17"/>
              </w:rPr>
              <w:t>20,169</w:t>
            </w:r>
          </w:p>
        </w:tc>
        <w:tc>
          <w:tcPr>
            <w:tcW w:type="dxa" w:w="1440"/>
            <w:shd w:fill="FFDCE0" w:val="clear"/>
          </w:tcPr>
          <w:p>
            <w:r>
              <w:rPr>
                <w:sz w:val="17"/>
              </w:rPr>
              <w:t>21,864</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18,019</w:t>
            </w:r>
          </w:p>
        </w:tc>
        <w:tc>
          <w:tcPr>
            <w:tcW w:type="dxa" w:w="1440"/>
            <w:shd w:fill="FFDCE0" w:val="clear"/>
          </w:tcPr>
          <w:p>
            <w:r>
              <w:rPr>
                <w:b/>
                <w:sz w:val="17"/>
              </w:rPr>
              <w:t>19,955</w:t>
            </w:r>
          </w:p>
        </w:tc>
        <w:tc>
          <w:tcPr>
            <w:tcW w:type="dxa" w:w="1440"/>
            <w:shd w:fill="FFDCE0" w:val="clear"/>
          </w:tcPr>
          <w:p>
            <w:r>
              <w:rPr>
                <w:sz w:val="17"/>
              </w:rPr>
              <w:t>21,891</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17,603</w:t>
            </w:r>
          </w:p>
        </w:tc>
        <w:tc>
          <w:tcPr>
            <w:tcW w:type="dxa" w:w="1440"/>
            <w:shd w:fill="FFDCE0" w:val="clear"/>
          </w:tcPr>
          <w:p>
            <w:r>
              <w:rPr>
                <w:b/>
                <w:sz w:val="17"/>
              </w:rPr>
              <w:t>19,745</w:t>
            </w:r>
          </w:p>
        </w:tc>
        <w:tc>
          <w:tcPr>
            <w:tcW w:type="dxa" w:w="1440"/>
            <w:shd w:fill="FFDCE0" w:val="clear"/>
          </w:tcPr>
          <w:p>
            <w:r>
              <w:rPr>
                <w:sz w:val="17"/>
              </w:rPr>
              <w:t>21,888</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17,217</w:t>
            </w:r>
          </w:p>
        </w:tc>
        <w:tc>
          <w:tcPr>
            <w:tcW w:type="dxa" w:w="1440"/>
            <w:shd w:fill="FFDCE0" w:val="clear"/>
          </w:tcPr>
          <w:p>
            <w:r>
              <w:rPr>
                <w:b/>
                <w:sz w:val="17"/>
              </w:rPr>
              <w:t>19,539</w:t>
            </w:r>
          </w:p>
        </w:tc>
        <w:tc>
          <w:tcPr>
            <w:tcW w:type="dxa" w:w="1440"/>
            <w:shd w:fill="FFDCE0" w:val="clear"/>
          </w:tcPr>
          <w:p>
            <w:r>
              <w:rPr>
                <w:sz w:val="17"/>
              </w:rPr>
              <w:t>21,861</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16,854</w:t>
            </w:r>
          </w:p>
        </w:tc>
        <w:tc>
          <w:tcPr>
            <w:tcW w:type="dxa" w:w="1440"/>
            <w:shd w:fill="FFDCE0" w:val="clear"/>
          </w:tcPr>
          <w:p>
            <w:r>
              <w:rPr>
                <w:b/>
                <w:sz w:val="17"/>
              </w:rPr>
              <w:t>19,336</w:t>
            </w:r>
          </w:p>
        </w:tc>
        <w:tc>
          <w:tcPr>
            <w:tcW w:type="dxa" w:w="1440"/>
            <w:shd w:fill="FFDCE0" w:val="clear"/>
          </w:tcPr>
          <w:p>
            <w:r>
              <w:rPr>
                <w:sz w:val="17"/>
              </w:rPr>
              <w:t>21,818</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16,509</w:t>
            </w:r>
          </w:p>
        </w:tc>
        <w:tc>
          <w:tcPr>
            <w:tcW w:type="dxa" w:w="1440"/>
            <w:shd w:fill="FFDCE0" w:val="clear"/>
          </w:tcPr>
          <w:p>
            <w:r>
              <w:rPr>
                <w:b/>
                <w:sz w:val="17"/>
              </w:rPr>
              <w:t>19,135</w:t>
            </w:r>
          </w:p>
        </w:tc>
        <w:tc>
          <w:tcPr>
            <w:tcW w:type="dxa" w:w="1440"/>
            <w:shd w:fill="FFDCE0" w:val="clear"/>
          </w:tcPr>
          <w:p>
            <w:r>
              <w:rPr>
                <w:sz w:val="17"/>
              </w:rPr>
              <w:t>21,762</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16,181</w:t>
            </w:r>
          </w:p>
        </w:tc>
        <w:tc>
          <w:tcPr>
            <w:tcW w:type="dxa" w:w="1440"/>
            <w:shd w:fill="FFDCE0" w:val="clear"/>
          </w:tcPr>
          <w:p>
            <w:r>
              <w:rPr>
                <w:b/>
                <w:sz w:val="17"/>
              </w:rPr>
              <w:t>18,937</w:t>
            </w:r>
          </w:p>
        </w:tc>
        <w:tc>
          <w:tcPr>
            <w:tcW w:type="dxa" w:w="1440"/>
            <w:shd w:fill="FFDCE0" w:val="clear"/>
          </w:tcPr>
          <w:p>
            <w:r>
              <w:rPr>
                <w:sz w:val="17"/>
              </w:rPr>
              <w:t>21,694</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15,866</w:t>
            </w:r>
          </w:p>
        </w:tc>
        <w:tc>
          <w:tcPr>
            <w:tcW w:type="dxa" w:w="1440"/>
            <w:shd w:fill="FFDCE0" w:val="clear"/>
          </w:tcPr>
          <w:p>
            <w:r>
              <w:rPr>
                <w:b/>
                <w:sz w:val="17"/>
              </w:rPr>
              <w:t>18,741</w:t>
            </w:r>
          </w:p>
        </w:tc>
        <w:tc>
          <w:tcPr>
            <w:tcW w:type="dxa" w:w="1440"/>
            <w:shd w:fill="FFDCE0" w:val="clear"/>
          </w:tcPr>
          <w:p>
            <w:r>
              <w:rPr>
                <w:sz w:val="17"/>
              </w:rPr>
              <w:t>21,617</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516,95 milliards FCFA, NSBC s'impose comme l'une des valeurs bancaires les plus capitalisées de la BRVM, ce qui témoigne de sa stature de leader du secteur bancaire ivoirien et de sa liquidité relative sur le marché régional. Le BPA de 1 646 FCFA/action signifie que chaque titre génère près de 1 650 FCFA de bénéfice net, un niveau de rentabilité par action particulièrement élevé pour la place. Le PER de 12,7x se situe légèrement au-dessus de la moyenne BRVM (~8-12x), ce qui indique que les investisseurs paient une prime modérée pour la qualité de la croissance, sans pour autant que le titre soit excessivement cher. Le P/B de 2,22x traduit une valorisation supérieure à la valeur comptable, justifiée par la prime de croissance accordée à la banque, tandis que l'EV/EBITDA de 20,4x apparaît très exigeant (&gt;15x), signalant que la valeur d'entreprise intègre déjà une bonne part des anticipations bénéficiaires futures — un point de vigilance pour les nouveaux entrants.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affiche une variation totale positive de +10,20%, malgré un léger repli de -0,48% lors de la dernière séance (J-1), ce qui suggère une consolidation de court terme après une dynamique haussière. Le cours actuel de 20 900 FCFA se situe dans la partie médiane de la fourchette de trading, comprise entre un plus bas de 17 980 FCFA et un plus haut de 24 885 FCFA, soit un range d'environ 6 900 FCFA (38% d'amplitude), reflétant une tendance générale haussière mais avec des phases de correction marquées. Les statistiques descriptives révèlent une moyenne de 21 639 FCFA légèrement supérieure à la médiane de 22 000 FCFA, avec un mode à 21 000 FCFA, indiquant une distribution globalement symétrique autour de ces niveaux. L'écart-type de 1 976 FCFA associé à un coefficient de variation de 9,1% traduit une dispersion modérée du cours, tandis que le kurtosis négatif (-1,151, distribution platykurtique) signale une faible concentration des rendements et un risque de pics limité — un profil rassurant pour la gestion du risque. Le skewness de -0,310 confirme une distribution quasi-symétrique avec une très légère asymétrie négative, sans biais marqué vers les extrêmes. Enfin, la volatilité annualisée de 37,4% positionne NSBC dans la catégorie des titres à volatilité élevée (&gt;30%), ce qui implique un potentiel de gain attractif mais aussi un risque de drawdown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22 089,25 FCFA et la MM50 à 22 913,10 FCFA, toutes deux nettement supérieures au cours actuel de 20 900 FCFA. Cette configuration baissière (prix sous les deux moyennes) traduit une pression vendeuse persistante et justifie la décision technique de **Vente** émise par le système, le titre évoluant sous ses supports dynamiques.</w:t>
      </w:r>
    </w:p>
    <w:p>
      <w:pPr>
        <w:spacing w:after="120" w:line="276" w:lineRule="auto"/>
      </w:pPr>
      <w:r>
        <w:t>**Bandes de Bollinger** — La borne supérieure est à 24 594,23 FCFA et la borne inférieure à 19 584,27 FCFA, avec un cours actuel de 20 900 FCFA positionné dans la moitié basse du canal (environ 33% de la largeur). Cette position, sans franchissement des bornes, indique une absence de signal extrême et justifie la décision **Neutre**, la volatilité restant contenue dans les limites statistiques.</w:t>
      </w:r>
    </w:p>
    <w:p>
      <w:pPr>
        <w:spacing w:after="120" w:line="276" w:lineRule="auto"/>
      </w:pPr>
      <w:r>
        <w:t>**MACD** — La valeur du MACD (-599,57) est inférieure à son signal (-508,06), confirmant une configuration baissière avec un momentum négatif. La divergence négative entre les deux lignes traduit une accélération de la pression vendeuse, ce qui justifie pleinement la décision de **Vente** émise par cet indicateur.</w:t>
      </w:r>
    </w:p>
    <w:p>
      <w:pPr>
        <w:spacing w:after="120" w:line="276" w:lineRule="auto"/>
      </w:pPr>
      <w:r>
        <w:t>**RSI** — À 50,72, le RSI se situe exactement dans la zone neutre (30-70), sans signal de surachat (&gt;70) ni de survente (&lt;30). Cette position médiane indique un équilibre entre acheteurs et vendeurs, justifiant la décision **Neutre** et suggérant l'absence de force directionnelle claire à court terme.</w:t>
      </w:r>
    </w:p>
    <w:p>
      <w:pPr>
        <w:spacing w:after="120" w:line="276" w:lineRule="auto"/>
      </w:pPr>
      <w:r>
        <w:t>**Stochastique** — Le %K est à 0,0 (plus bas absolu) et le %D à 21,07, avec un %K nettement sous son %D. Cette configuration extrême place l'indicateur en zone de survente profonde, ce qui justifie paradoxalement la décision d'**Achat** : un %K à 0 signale un épuisement potentiel de la pression baissière et une probabilité élevée de rebond technique à court terme.</w:t>
      </w:r>
    </w:p>
    <w:p>
      <w:pPr>
        <w:spacing w:after="120" w:line="276" w:lineRule="auto"/>
      </w:pPr>
      <w:r>
        <w:t>**Conclusion technique** — Les indicateurs techniques présentent un tableau contrasté : les moyennes mobiles et le MACD confirment une tendance baissière de fond, tandis que le RSI neutre et le stochastique en survente extrême suggèrent un possible rebond imminent. Les Bandes de Bollinger, en position médiane-basse, n'apportent pas de signal directionnel fort. La convergence partielle entre le stochastique (achat) et le RSI (neutre) plaide pour une stabilisation à court terme, mais la prédominance des signaux baissiers (MM, MACD) invite à la prudence avant tout renforcement.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CI affiche un Produit Net Bancaire (PNB, équivalent du chiffre d'affaires pour une banque) de 112,928 milliards FCFA, en croissance de +15,45% sur un an, portée par une marge d'intérêts de 133,718 milliards FCFA et des commissions nettes de 19,885 milliards FCFA. Le résultat net s'établit à 40,712 milliards FCFA, avec une marge nette exceptionnelle de 36,05% et un ROE de 17,45% (&gt;15% = excellent), confirmant la forte capacité bénéficiaire de la banque. Le ROA de 1,32% reste conforme aux standards bancaires, tandis que le coefficient d'exploitation de 54,59% (&lt;60%) atteste d'une bonne efficacité opérationnelle. Le coût du risque, à 7,54% des charges financières, demeure un point de vigilance, reflétant une dégradation des provisions (passées de +0,6 à -8,5 milliards FCFA entre 2024 et 2025 selon le rapport annuel 2025 daté du 31/12/2025). La structure financière montre une autonomie financière faible (7,59%) et un ratio d'endettement élevé (227,90%), mais ces niveaux sont normaux pour une banque dont le modèle repose sur la transformation des dépôts clientèle (2 242,22 milliards FCFA) en créances (1 818,67 milliards FCFA), avec un ratio dépôts/crédits de 123%, signe d'une liquidité abondante.</w:t>
      </w:r>
    </w:p>
    <w:p>
      <w:pPr>
        <w:spacing w:after="120" w:line="276" w:lineRule="auto"/>
      </w:pPr>
      <w:r>
        <w:t>**Estimations basées sur les rapports trimestriels** — Le rapport du T1 2026 (daté du 31/03/2026) révèle une accélération spectaculaire : PNB de 28,615 milliards FCFA (+28% sur un an) et résultat net de 10,912 milliards FCFA (+53%), avec une marge nette de 38,1%. Sur cette base, on estime que l'exercice 2026 pourrait générer un PNB annualisé d'environ 115-120 milliards FCFA et un résultat net de 43-45 milliards FCFA, soit une croissance de 8-12% par rapport à 2025. Le rapport annuel 2025 (daté du 31/12/2025) confirme la solidité du bilan (total actif de 3 073 milliards FCFA, +22%) et la stratégie de diversification (titrisation, finance verte, partenariats PME). Les rapports antérieurs (T3 2025, S1 2025, T1 2025) montrent une trajectoire de croissance régulière, avec un coefficient d'exploitation en amélioration continue (56,9% au S1 2025, 54,6% en 2025). **Recommandation fondamentale** : la banque présente des fondamentaux solides (ROE élevé, marge nette exceptionnelle, croissance du PNB), mais le coût du risque et la dépendance aux revenus de titres constituent des risques à surveiller. La dynamique du T1 2026 est très encourageante et pourrait soutenir une revalorisation du titre.</w:t>
      </w:r>
    </w:p>
    <w:p>
      <w:pPr>
        <w:spacing w:after="120" w:line="276" w:lineRule="auto"/>
      </w:pPr>
      <w:r>
        <w:t>---</w:t>
      </w:r>
    </w:p>
    <w:p>
      <w:pPr>
        <w:spacing w:after="120" w:line="276" w:lineRule="auto"/>
      </w:pPr>
      <w:r>
        <w:t>## PARTIE 4 : CONCLUSION D'INVESTISSEMENT</w:t>
      </w:r>
    </w:p>
    <w:p>
      <w:pPr>
        <w:spacing w:after="120" w:line="276" w:lineRule="auto"/>
      </w:pPr>
      <w:r>
        <w:t>La valorisation de NSBC (PER 12,7x, P/B 2,22x, EV/EBITDA 20,4x) indique une juste valorisation, voire une légère surévaluation sur la base de l'EV/EBITDA, mais le PER reste raisonnable au regard de la qualité des fondamentaux. Le comportement du cours sur 100 jours (+10,20%) est positif, avec une volatilité élevée (37,4%) et une distribution platykurtique (faible risque de pics), ce qui est favorable pour un investisseur tolérant au risque. Les signaux techniques sont mitigés : baissiers à court terme (MM, MACD) mais avec un potentiel de rebond (stochastique en survente), suggérant une phase de consolidation avant une reprise. Les fondamentaux sont solides : ROE de 17,45%, marge nette de 36%, et une accélération spectaculaire au T1 2026 (+53% de résultat net), ce qui pourrait tirer le titre vers le haut. Les prédictions IA (J+1 à J+10) anticipent une baisse progressive de 20 617 à 19 745 FCFA, en ligne avec la pression baissière technique de court terme, mais cette trajectoire pourrait être contrariée par la publication des résultats semestriels 2026. **Recommandation finale : CONSERVER**, avec un niveau de confiance **Moyen** et un risque global **Élevé** (volatilité 37,4%, coût du risque en hausse). L'horizon optimal est **moyen terme (3-12 mois)**, le temps que la consolidation technique s'achève et que les fondamentaux du T1 2026 se confirment sur l'ensemble de l'exercice. Les investisseurs déjà positionnés peuvent conserver leurs titres en surveillant le niveau de support de 19 584 FCFA (borne inférieure de Bollinger), tandis que les nouveaux entrants devraient attendre une confirmation de rebond technique (franchissement de la MM20 à 22 089 FCFA) avant d'acheter.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338.34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1,272 titres</w:t>
            </w:r>
          </w:p>
        </w:tc>
        <w:tc>
          <w:tcPr>
            <w:tcW w:type="dxa" w:w="2268"/>
            <w:shd w:fill="FFF2CC" w:val="clear"/>
          </w:tcPr>
          <w:p>
            <w:r>
              <w:rPr>
                <w:b/>
                <w:color w:val="503200"/>
                <w:sz w:val="16"/>
              </w:rPr>
              <w:t xml:space="preserve">Cours actuel : </w:t>
            </w:r>
            <w:r>
              <w:rPr>
                <w:color w:val="000000"/>
                <w:sz w:val="17"/>
              </w:rPr>
              <w:t>15,330 FCFA</w:t>
            </w:r>
          </w:p>
          <w:p>
            <w:r>
              <w:rPr>
                <w:b/>
                <w:color w:val="503200"/>
                <w:sz w:val="16"/>
              </w:rPr>
              <w:t xml:space="preserve">Var. 100 jours : </w:t>
            </w:r>
            <w:r>
              <w:rPr>
                <w:b/>
                <w:color w:val="007800"/>
                <w:sz w:val="17"/>
              </w:rPr>
              <w:t>+22.74%</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12,490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7.93% (Moyenne) — μ=15,707 FCFA, σ=1,246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β=0.4331 (Défensif) — Cov=0.000032, Var(idx)=0.000075, ρ=0.165,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14,566</w:t>
            </w:r>
          </w:p>
        </w:tc>
        <w:tc>
          <w:tcPr>
            <w:tcW w:type="dxa" w:w="1440"/>
            <w:shd w:fill="FAFAFA" w:val="clear"/>
          </w:tcPr>
          <w:p>
            <w:r>
              <w:rPr>
                <w:b/>
                <w:sz w:val="17"/>
              </w:rPr>
              <w:t>15,241</w:t>
            </w:r>
          </w:p>
        </w:tc>
        <w:tc>
          <w:tcPr>
            <w:tcW w:type="dxa" w:w="1440"/>
            <w:shd w:fill="FAFAFA" w:val="clear"/>
          </w:tcPr>
          <w:p>
            <w:r>
              <w:rPr>
                <w:sz w:val="17"/>
              </w:rPr>
              <w:t>15,916</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14,291</w:t>
            </w:r>
          </w:p>
        </w:tc>
        <w:tc>
          <w:tcPr>
            <w:tcW w:type="dxa" w:w="1440"/>
            <w:shd w:fill="FAFAFA" w:val="clear"/>
          </w:tcPr>
          <w:p>
            <w:r>
              <w:rPr>
                <w:b/>
                <w:sz w:val="17"/>
              </w:rPr>
              <w:t>15,246</w:t>
            </w:r>
          </w:p>
        </w:tc>
        <w:tc>
          <w:tcPr>
            <w:tcW w:type="dxa" w:w="1440"/>
            <w:shd w:fill="FAFAFA" w:val="clear"/>
          </w:tcPr>
          <w:p>
            <w:r>
              <w:rPr>
                <w:sz w:val="17"/>
              </w:rPr>
              <w:t>16,202</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14,074</w:t>
            </w:r>
          </w:p>
        </w:tc>
        <w:tc>
          <w:tcPr>
            <w:tcW w:type="dxa" w:w="1440"/>
            <w:shd w:fill="FAFAFA" w:val="clear"/>
          </w:tcPr>
          <w:p>
            <w:r>
              <w:rPr>
                <w:b/>
                <w:sz w:val="17"/>
              </w:rPr>
              <w:t>15,243</w:t>
            </w:r>
          </w:p>
        </w:tc>
        <w:tc>
          <w:tcPr>
            <w:tcW w:type="dxa" w:w="1440"/>
            <w:shd w:fill="FAFAFA" w:val="clear"/>
          </w:tcPr>
          <w:p>
            <w:r>
              <w:rPr>
                <w:sz w:val="17"/>
              </w:rPr>
              <w:t>16,413</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13,888</w:t>
            </w:r>
          </w:p>
        </w:tc>
        <w:tc>
          <w:tcPr>
            <w:tcW w:type="dxa" w:w="1440"/>
            <w:shd w:fill="FAFAFA" w:val="clear"/>
          </w:tcPr>
          <w:p>
            <w:r>
              <w:rPr>
                <w:b/>
                <w:sz w:val="17"/>
              </w:rPr>
              <w:t>15,238</w:t>
            </w:r>
          </w:p>
        </w:tc>
        <w:tc>
          <w:tcPr>
            <w:tcW w:type="dxa" w:w="1440"/>
            <w:shd w:fill="FAFAFA" w:val="clear"/>
          </w:tcPr>
          <w:p>
            <w:r>
              <w:rPr>
                <w:sz w:val="17"/>
              </w:rPr>
              <w:t>16,589</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13,723</w:t>
            </w:r>
          </w:p>
        </w:tc>
        <w:tc>
          <w:tcPr>
            <w:tcW w:type="dxa" w:w="1440"/>
            <w:shd w:fill="FAFAFA" w:val="clear"/>
          </w:tcPr>
          <w:p>
            <w:r>
              <w:rPr>
                <w:b/>
                <w:sz w:val="17"/>
              </w:rPr>
              <w:t>15,233</w:t>
            </w:r>
          </w:p>
        </w:tc>
        <w:tc>
          <w:tcPr>
            <w:tcW w:type="dxa" w:w="1440"/>
            <w:shd w:fill="FAFAFA" w:val="clear"/>
          </w:tcPr>
          <w:p>
            <w:r>
              <w:rPr>
                <w:sz w:val="17"/>
              </w:rPr>
              <w:t>16,742</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13,575</w:t>
            </w:r>
          </w:p>
        </w:tc>
        <w:tc>
          <w:tcPr>
            <w:tcW w:type="dxa" w:w="1440"/>
            <w:shd w:fill="FAFAFA" w:val="clear"/>
          </w:tcPr>
          <w:p>
            <w:r>
              <w:rPr>
                <w:b/>
                <w:sz w:val="17"/>
              </w:rPr>
              <w:t>15,227</w:t>
            </w:r>
          </w:p>
        </w:tc>
        <w:tc>
          <w:tcPr>
            <w:tcW w:type="dxa" w:w="1440"/>
            <w:shd w:fill="FAFAFA" w:val="clear"/>
          </w:tcPr>
          <w:p>
            <w:r>
              <w:rPr>
                <w:sz w:val="17"/>
              </w:rPr>
              <w:t>16,880</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13,438</w:t>
            </w:r>
          </w:p>
        </w:tc>
        <w:tc>
          <w:tcPr>
            <w:tcW w:type="dxa" w:w="1440"/>
            <w:shd w:fill="FAFAFA" w:val="clear"/>
          </w:tcPr>
          <w:p>
            <w:r>
              <w:rPr>
                <w:b/>
                <w:sz w:val="17"/>
              </w:rPr>
              <w:t>15,222</w:t>
            </w:r>
          </w:p>
        </w:tc>
        <w:tc>
          <w:tcPr>
            <w:tcW w:type="dxa" w:w="1440"/>
            <w:shd w:fill="FAFAFA" w:val="clear"/>
          </w:tcPr>
          <w:p>
            <w:r>
              <w:rPr>
                <w:sz w:val="17"/>
              </w:rPr>
              <w:t>17,007</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13,310</w:t>
            </w:r>
          </w:p>
        </w:tc>
        <w:tc>
          <w:tcPr>
            <w:tcW w:type="dxa" w:w="1440"/>
            <w:shd w:fill="FAFAFA" w:val="clear"/>
          </w:tcPr>
          <w:p>
            <w:r>
              <w:rPr>
                <w:b/>
                <w:sz w:val="17"/>
              </w:rPr>
              <w:t>15,218</w:t>
            </w:r>
          </w:p>
        </w:tc>
        <w:tc>
          <w:tcPr>
            <w:tcW w:type="dxa" w:w="1440"/>
            <w:shd w:fill="FAFAFA" w:val="clear"/>
          </w:tcPr>
          <w:p>
            <w:r>
              <w:rPr>
                <w:sz w:val="17"/>
              </w:rPr>
              <w:t>17,125</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13,190</w:t>
            </w:r>
          </w:p>
        </w:tc>
        <w:tc>
          <w:tcPr>
            <w:tcW w:type="dxa" w:w="1440"/>
            <w:shd w:fill="FAFAFA" w:val="clear"/>
          </w:tcPr>
          <w:p>
            <w:r>
              <w:rPr>
                <w:b/>
                <w:sz w:val="17"/>
              </w:rPr>
              <w:t>15,213</w:t>
            </w:r>
          </w:p>
        </w:tc>
        <w:tc>
          <w:tcPr>
            <w:tcW w:type="dxa" w:w="1440"/>
            <w:shd w:fill="FAFAFA" w:val="clear"/>
          </w:tcPr>
          <w:p>
            <w:r>
              <w:rPr>
                <w:sz w:val="17"/>
              </w:rPr>
              <w:t>17,235</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13,077</w:t>
            </w:r>
          </w:p>
        </w:tc>
        <w:tc>
          <w:tcPr>
            <w:tcW w:type="dxa" w:w="1440"/>
            <w:shd w:fill="FAFAFA" w:val="clear"/>
          </w:tcPr>
          <w:p>
            <w:r>
              <w:rPr>
                <w:b/>
                <w:sz w:val="17"/>
              </w:rPr>
              <w:t>15,208</w:t>
            </w:r>
          </w:p>
        </w:tc>
        <w:tc>
          <w:tcPr>
            <w:tcW w:type="dxa" w:w="1440"/>
            <w:shd w:fill="FAFAFA" w:val="clear"/>
          </w:tcPr>
          <w:p>
            <w:r>
              <w:rPr>
                <w:sz w:val="17"/>
              </w:rPr>
              <w:t>17,339</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Entreprise / Agroalimentaire**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338,34 milliards FCFA, Nestlé Côte d'Ivoire figure parmi les valeurs les plus capitalisées de la BRVM, ce qui en fait un pilier de l'indice BRVM Composite et un titre de référence pour les investisseurs institutionnels. Le BPA de 835 FCFA/action signifie que chaque titre génère près de 835 FCFA de bénéfice net, un niveau élevé qui traduit la forte rentabilité de l'entreprise. Le PER de 18,4x se situe au-dessus de la moyenne du marché BRVM (généralement comprise entre 8 et 12x), ce qui indique que les investisseurs acceptent de payer une prime significative pour cette valeur de qualité — une prime justifiée par la solidité de la marque et la régularité des résultats. Le P/B de 11,43x, très supérieur au seuil de 4x, confirme cette valorisation exigeante : le marché valorise l'entreprise à plus de onze fois sa valeur comptable, ce qui reflète davantage la puissance des actifs immatériels (marques, savoir-faire, réseau de distribution) que le patrimoine tangible. Enfin, l'EV/EBITDA de 9,2x, dans la fourchette raisonnable de 5-10x, montre que la valeur totale de l'entreprise (dette incluse) reste cohérente avec sa capacité opérationnelle à générer de la trésorerie.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progression totale de +22,74%, portée par une dynamique haussière soutenue, même si la dernière séance (J-1) marque une légère correction de -0,45%. Le cours actuel de 15 330 FCFA se situe dans la partie médiane du range de trading, le plus haut ayant atteint 18 000 FCFA et le plus bas 12 490 FCFA — soit un écart de plus de 5 500 FCFA qui témoigne d'une réelle amplitude de négociation. La moyenne du cours sur la période s'établit à 15 707 FCFA, légèrement supérieure à la médiane de 15 995 FCFA, tandis que le mode se fixe à 16 900 FCFA : cet écart entre moyenne et médiane, combiné à un skewness négatif de -0,882, révèle une asymétrie à gauche — autrement dit, le titre a passé davantage de séances au-dessus de sa moyenne, avec quelques journées de forte baisse qui tirent la moyenne vers le bas. L'écart-type de 1 253 FCFA et le coefficient de variation de 8,0% indiquent une dispersion modérée du cours autour de sa tendance, ce qui est rassurant pour un titre de cette capitalisation. Le kurtosis de 0,190 (mésokurtique) suggère une distribution proche de la normale, sans risque excessif de pics extrêmes, tandis que la volatilité annualisée de 35,7% classe le titre dans la catégorie des valeurs à volatilité élevée (&gt;30%), ce qui implique un potentiel de gain attractif mais aussi un risque de correction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(15 368 FCFA) est légèrement supérieure au cours actuel (15 330 FCFA), tandis que la MM50 (16 280,9 FCFA) se situe nettement au-dessus des deux. Cette configuration — cours sous ses deux moyennes, avec la MM20 sous la MM50 — traduit une tendance baissière de court terme et justifie la décision de **Vente** émise par le système. Le croisement baissier des moyennes (MM20 &lt; MM50) confirme la perte de momentum haussier observée depuis le plus haut de 18 000 FCFA.</w:t>
      </w:r>
    </w:p>
    <w:p>
      <w:pPr>
        <w:spacing w:after="120" w:line="276" w:lineRule="auto"/>
      </w:pPr>
      <w:r>
        <w:t>**Bandes de Bollinger** : Le cours (15 330 FCFA) évolue dans la partie basse de la bande de Bollinger, entre la borne inférieure (14 356,314 FCFA) et la borne supérieure (16 379,686 FCFA). La position du cours, proche du milieu de bande mais sous la moyenne mobile, associée à une largeur de bande relativement importante, indique une volatilité encore présente sans signal de survente extrême. La décision **Neutre** reflète cette absence de signal directionnel fort, le cours n'ayant pas atteint la borne inférieure qui déclencherait un signal d'achat technique.</w:t>
      </w:r>
    </w:p>
    <w:p>
      <w:pPr>
        <w:spacing w:after="120" w:line="276" w:lineRule="auto"/>
      </w:pPr>
      <w:r>
        <w:t>**MACD** : La valeur du MACD (-293,013) est supérieure à son signal (-341,486), ce qui génère un croisement haussier et justifie la décision d'**Achat**. Cette divergence positive indique que le momentum baissier s'essouffle et qu'un retournement à la hausse pourrait se dessiner, bien que les deux lignes restent en territoire négatif, ce qui tempère la portée du signal.</w:t>
      </w:r>
    </w:p>
    <w:p>
      <w:pPr>
        <w:spacing w:after="120" w:line="276" w:lineRule="auto"/>
      </w:pPr>
      <w:r>
        <w:t>**RSI** : À 63,973, le RSI se situe dans la zone neutre haute (30-70), sans atteindre le seuil de surachat de 70. La décision **Neutre** est cohérente : le titre conserve une dynamique positive sans être techniquement surchauffé, ce qui laisse de la marge pour une poursuite de la hausse ou une consolidation sans correction violente.</w:t>
      </w:r>
    </w:p>
    <w:p>
      <w:pPr>
        <w:spacing w:after="120" w:line="276" w:lineRule="auto"/>
      </w:pPr>
      <w:r>
        <w:t>**Stochastique** : Le %K (83,0) est supérieur au %D (74,333), et les deux se situent en zone de surachat (&gt;80 pour le %K). Cette configuration, bien que haussière à court terme, présente un risque de retournement baissier imminent, ce qui justifie la décision de **Vente**. Le croisement potentiel du %K sous le %D constituerait un signal de sortie.</w:t>
      </w:r>
    </w:p>
    <w:p>
      <w:pPr>
        <w:spacing w:after="120" w:line="276" w:lineRule="auto"/>
      </w:pPr>
      <w:r>
        <w:t>**Conclusion technique** : Les indicateurs techniques présentent une divergence notable. Les signaux d'achat (MACD) et neutres (RSI, Bollinger) côtoient des signaux de vente (Moyennes Mobiles, Stochastique). Cette configuration mitigée suggère que le titre est en phase de consolidation après sa forte hausse de +22,74%, avec un risque de correction à court terme (stochastique en surachat, cours sous les moyennes) mais un potentiel de rebond (MACD haussier, RSI non extrême).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Nestlé Côte d'Ivoire a réalisé un chiffre d'affaires de 233,261 milliards FCFA, en croissance de 5,97% par rapport à 2024 (220,113 milliards FCFA selon le rapport annuel 2024 analysé par Mistral le 15/03/2026). Le résultat net s'établit à 18,427 milliards FCFA, en légère progression de 1,53% sur un an. Les ratios de rentabilité demeurent exceptionnels : le ROE atteint 62,28% (largement supérieur au seuil de 15% qui qualifie une entreprise d'excellente) et le ROA s'élève à 9,70%, confirmant l'efficacité de l'utilisation des actifs. La marge nette de 7,90% reste stable, tandis que la marge opérationnelle de 16,16% et la marge brute de 29,61% témoignent d'une bonne maîtrise des coûts de production. En tant qu'entreprise agroalimentaire, l'analyse des délais d'exploitation est cruciale : le délai clients de 74,30 jours et la durée de stockage de 59,39 jours immobilisent du capital, mais le BFR de 22,625 milliards FCFA reste positif et maîtrisé. La structure financière présente des points de vigilance : l'autonomie financière de 15,58% est inférieure au seuil sain de 30%, et le ratio d'endettement de 135,85% (dettes totales/capitaux propres) est élevé, bien que la solvabilité générale (118,45%) reste supérieure à 1. La liquidité générale de 79,86% est inférieure au seuil de 1, ce qui indique une tension sur la trésorerie à court terme, confirmée par une trésorerie nette négative de -46,831 milliards FCFA.</w:t>
      </w:r>
    </w:p>
    <w:p>
      <w:pPr>
        <w:spacing w:after="120" w:line="276" w:lineRule="auto"/>
      </w:pPr>
      <w:r>
        <w:t>**Estimations basées sur les rapports trimestriels** : Le rapport du T1 2026 (analysé par DeepSeek le 01/05/2026) révèle une accélération spectaculaire de l'activité : le chiffre d'affaires bondit de +31% à 70,822 milliards FCFA, et le résultat net progresse de +37% à 7,526 milliards FCFA. La marge nette s'améliore à 10,6% contre 10,1% au T1 2025. Sur la base de ces performances trimestrielles, on peut estimer que l'exercice 2026 devrait enregistrer une croissance à deux chiffres du chiffre d'affaires (potentiellement +15% à +20% si la dynamique se maintient), avec un résultat net qui pourrait dépasser les 22 milliards FCFA. Cette accélération contraste avec le ralentissement observé en 2025 (croissance du CA de seulement +5,97% et du résultat net de +1,53%), où les rapports T1, S1 et T3 2025 faisaient état de pressions sur les marges (marge nette de 6,9% à fin septembre 2025). La politique de dividende a été réduite en 2025 (9,27 milliards FCFA distribués, soit un payout de 50,3%, contre 99,7% en 2024), suggérant une stratégie de réinvestissement qui pourrait soutenir la croissance future. **Recommandation fondamentale** : La solidité du modèle Nestlé (marque leader, croissance retrouvée au T1 2026, rentabilité exceptionnelle) est indéniable, mais les risques liés à l'endettement élevé, à la faible autonomie financière et à la dépendance aux matières premières (cacao, lait) incitent à la prudence. Le titre reste un placement de qualité pour le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les ratios PER (18,4x) et P/B (11,43x) indiquent une surévaluation relative par rapport aux moyennes du marché BRVM, bien que l'EV/EBITDA (9,2x) reste raisonnable — le marché paie une prime de qualité qui pourrait limiter le potentiel de hausse à court terme. **Le comportement du cours (Partie 1)** est globalement favorable (+22,74% sur 100 jours), mais la volatilité élevée (35,7%) et le skewness négatif (-0,882) suggèrent que les corrections peuvent être brutales, tandis que le kurtosis mésokurtique (0,190) écarte le risque de krach extrême. **Les signaux techniques (Partie 2)** sont mitigés : le MACD haussier et le RSI neutre plaident pour un maintien, mais les moyennes mobiles baissières et le stochastique en surachat annoncent une correction imminente. **Les fondamentaux (Partie 3)** sont solides : croissance du CA de 5,97% en 2025, ROE exceptionnel de 62,28%, et surtout une accélération spectaculaire au T1 2026 (+31% de CA, +37% de résultat net) qui pourrait tirer l'exercice 2026 vers le haut. **Les prédictions IA (J+1 à J+10)** anticipent une légère dérive baissière (15 241 FCFA à 15 233 FCFA), en ligne avec les signaux techniques de court terme mais en contradiction avec la dynamique fondamentale. **Recommandation finale : CONSERVER**. La convergence entre une valorisation exigeante, des signaux techniques mitigés et des fondamentaux en nette amélioration plaide pour une position d'attente : les investisseurs déjà présents peuvent conserver leurs titres pour capter la revalorisation liée à la croissance du T1 2026, tandis que les nouveaux entrants devraient attendre une correction vers les 14 500-15 000 FCFA pour améliorer leur point d'entrée. Le niveau de confiance est **Moyen** (les signaux sont divergents), le risque global est **Moyen** (volatilité élevée mais fondamentaux solides), et l'horizon d'investissement optimal est le **moyen terme (3-12 mois)** , le temps que la croissance du T1 2026 se matérialise dans les résultats annuels et que la valorisation se normalise.</w:t>
      </w:r>
    </w:p>
    <w:p>
      <w:pPr>
        <w:spacing w:after="120" w:line="276" w:lineRule="auto"/>
      </w:pPr>
      <w:r>
        <w:t>---</w:t>
      </w:r>
    </w:p>
    <w:p>
      <w:pPr>
        <w:spacing w:after="120" w:line="276" w:lineRule="auto"/>
      </w:pPr>
      <w:r>
        <w:t>*Rapport généré le 14 octobre 2026 — Sources : BRVM, états financiers 2025, rapports trimestriels T1 2026, analyses DeepSeek (01/05/2026) et Mistral (15/03/2026).*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207.06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6,326 titres</w:t>
            </w:r>
          </w:p>
        </w:tc>
        <w:tc>
          <w:tcPr>
            <w:tcW w:type="dxa" w:w="2268"/>
            <w:shd w:fill="FFF2CC" w:val="clear"/>
          </w:tcPr>
          <w:p>
            <w:r>
              <w:rPr>
                <w:b/>
                <w:color w:val="503200"/>
                <w:sz w:val="16"/>
              </w:rPr>
              <w:t xml:space="preserve">Cours actuel : </w:t>
            </w:r>
            <w:r>
              <w:rPr>
                <w:color w:val="000000"/>
                <w:sz w:val="17"/>
              </w:rPr>
              <w:t>3,045 FCFA</w:t>
            </w:r>
          </w:p>
          <w:p>
            <w:r>
              <w:rPr>
                <w:b/>
                <w:color w:val="503200"/>
                <w:sz w:val="16"/>
              </w:rPr>
              <w:t xml:space="preserve">Var. 100 jours : </w:t>
            </w:r>
            <w:r>
              <w:rPr>
                <w:b/>
                <w:color w:val="007800"/>
                <w:sz w:val="17"/>
              </w:rPr>
              <w:t>+6.65%</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2.93% (Faible) — μ=2,863 FCFA, σ=84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β=0.3783 (Défensif) — Cov=0.000028, Var(idx)=0.000075, ρ=0.148,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2,880</w:t>
            </w:r>
          </w:p>
        </w:tc>
        <w:tc>
          <w:tcPr>
            <w:tcW w:type="dxa" w:w="1440"/>
            <w:shd w:fill="FAFAFA" w:val="clear"/>
          </w:tcPr>
          <w:p>
            <w:r>
              <w:rPr>
                <w:b/>
                <w:sz w:val="17"/>
              </w:rPr>
              <w:t>3,011</w:t>
            </w:r>
          </w:p>
        </w:tc>
        <w:tc>
          <w:tcPr>
            <w:tcW w:type="dxa" w:w="1440"/>
            <w:shd w:fill="FAFAFA" w:val="clear"/>
          </w:tcPr>
          <w:p>
            <w:r>
              <w:rPr>
                <w:sz w:val="17"/>
              </w:rPr>
              <w:t>3,142</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2,821</w:t>
            </w:r>
          </w:p>
        </w:tc>
        <w:tc>
          <w:tcPr>
            <w:tcW w:type="dxa" w:w="1440"/>
            <w:shd w:fill="FAFAFA" w:val="clear"/>
          </w:tcPr>
          <w:p>
            <w:r>
              <w:rPr>
                <w:b/>
                <w:sz w:val="17"/>
              </w:rPr>
              <w:t>3,005</w:t>
            </w:r>
          </w:p>
        </w:tc>
        <w:tc>
          <w:tcPr>
            <w:tcW w:type="dxa" w:w="1440"/>
            <w:shd w:fill="FAFAFA" w:val="clear"/>
          </w:tcPr>
          <w:p>
            <w:r>
              <w:rPr>
                <w:sz w:val="17"/>
              </w:rPr>
              <w:t>3,190</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2,772</w:t>
            </w:r>
          </w:p>
        </w:tc>
        <w:tc>
          <w:tcPr>
            <w:tcW w:type="dxa" w:w="1440"/>
            <w:shd w:fill="FAFAFA" w:val="clear"/>
          </w:tcPr>
          <w:p>
            <w:r>
              <w:rPr>
                <w:b/>
                <w:sz w:val="17"/>
              </w:rPr>
              <w:t>2,997</w:t>
            </w:r>
          </w:p>
        </w:tc>
        <w:tc>
          <w:tcPr>
            <w:tcW w:type="dxa" w:w="1440"/>
            <w:shd w:fill="FAFAFA" w:val="clear"/>
          </w:tcPr>
          <w:p>
            <w:r>
              <w:rPr>
                <w:sz w:val="17"/>
              </w:rPr>
              <w:t>3,222</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2,729</w:t>
            </w:r>
          </w:p>
        </w:tc>
        <w:tc>
          <w:tcPr>
            <w:tcW w:type="dxa" w:w="1440"/>
            <w:shd w:fill="FAFAFA" w:val="clear"/>
          </w:tcPr>
          <w:p>
            <w:r>
              <w:rPr>
                <w:b/>
                <w:sz w:val="17"/>
              </w:rPr>
              <w:t>2,989</w:t>
            </w:r>
          </w:p>
        </w:tc>
        <w:tc>
          <w:tcPr>
            <w:tcW w:type="dxa" w:w="1440"/>
            <w:shd w:fill="FAFAFA" w:val="clear"/>
          </w:tcPr>
          <w:p>
            <w:r>
              <w:rPr>
                <w:sz w:val="17"/>
              </w:rPr>
              <w:t>3,248</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2,691</w:t>
            </w:r>
          </w:p>
        </w:tc>
        <w:tc>
          <w:tcPr>
            <w:tcW w:type="dxa" w:w="1440"/>
            <w:shd w:fill="FFDCE0" w:val="clear"/>
          </w:tcPr>
          <w:p>
            <w:r>
              <w:rPr>
                <w:b/>
                <w:sz w:val="17"/>
              </w:rPr>
              <w:t>2,981</w:t>
            </w:r>
          </w:p>
        </w:tc>
        <w:tc>
          <w:tcPr>
            <w:tcW w:type="dxa" w:w="1440"/>
            <w:shd w:fill="FFDCE0" w:val="clear"/>
          </w:tcPr>
          <w:p>
            <w:r>
              <w:rPr>
                <w:sz w:val="17"/>
              </w:rPr>
              <w:t>3,270</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2,657</w:t>
            </w:r>
          </w:p>
        </w:tc>
        <w:tc>
          <w:tcPr>
            <w:tcW w:type="dxa" w:w="1440"/>
            <w:shd w:fill="FFDCE0" w:val="clear"/>
          </w:tcPr>
          <w:p>
            <w:r>
              <w:rPr>
                <w:b/>
                <w:sz w:val="17"/>
              </w:rPr>
              <w:t>2,973</w:t>
            </w:r>
          </w:p>
        </w:tc>
        <w:tc>
          <w:tcPr>
            <w:tcW w:type="dxa" w:w="1440"/>
            <w:shd w:fill="FFDCE0" w:val="clear"/>
          </w:tcPr>
          <w:p>
            <w:r>
              <w:rPr>
                <w:sz w:val="17"/>
              </w:rPr>
              <w:t>3,289</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2,624</w:t>
            </w:r>
          </w:p>
        </w:tc>
        <w:tc>
          <w:tcPr>
            <w:tcW w:type="dxa" w:w="1440"/>
            <w:shd w:fill="FFDCE0" w:val="clear"/>
          </w:tcPr>
          <w:p>
            <w:r>
              <w:rPr>
                <w:b/>
                <w:sz w:val="17"/>
              </w:rPr>
              <w:t>2,965</w:t>
            </w:r>
          </w:p>
        </w:tc>
        <w:tc>
          <w:tcPr>
            <w:tcW w:type="dxa" w:w="1440"/>
            <w:shd w:fill="FFDCE0" w:val="clear"/>
          </w:tcPr>
          <w:p>
            <w:r>
              <w:rPr>
                <w:sz w:val="17"/>
              </w:rPr>
              <w:t>3,305</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2,594</w:t>
            </w:r>
          </w:p>
        </w:tc>
        <w:tc>
          <w:tcPr>
            <w:tcW w:type="dxa" w:w="1440"/>
            <w:shd w:fill="FFDCE0" w:val="clear"/>
          </w:tcPr>
          <w:p>
            <w:r>
              <w:rPr>
                <w:b/>
                <w:sz w:val="17"/>
              </w:rPr>
              <w:t>2,957</w:t>
            </w:r>
          </w:p>
        </w:tc>
        <w:tc>
          <w:tcPr>
            <w:tcW w:type="dxa" w:w="1440"/>
            <w:shd w:fill="FFDCE0" w:val="clear"/>
          </w:tcPr>
          <w:p>
            <w:r>
              <w:rPr>
                <w:sz w:val="17"/>
              </w:rPr>
              <w:t>3,320</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2,565</w:t>
            </w:r>
          </w:p>
        </w:tc>
        <w:tc>
          <w:tcPr>
            <w:tcW w:type="dxa" w:w="1440"/>
            <w:shd w:fill="FFDCE0" w:val="clear"/>
          </w:tcPr>
          <w:p>
            <w:r>
              <w:rPr>
                <w:b/>
                <w:sz w:val="17"/>
              </w:rPr>
              <w:t>2,949</w:t>
            </w:r>
          </w:p>
        </w:tc>
        <w:tc>
          <w:tcPr>
            <w:tcW w:type="dxa" w:w="1440"/>
            <w:shd w:fill="FFDCE0" w:val="clear"/>
          </w:tcPr>
          <w:p>
            <w:r>
              <w:rPr>
                <w:sz w:val="17"/>
              </w:rPr>
              <w:t>3,333</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2,538</w:t>
            </w:r>
          </w:p>
        </w:tc>
        <w:tc>
          <w:tcPr>
            <w:tcW w:type="dxa" w:w="1440"/>
            <w:shd w:fill="FFDCE0" w:val="clear"/>
          </w:tcPr>
          <w:p>
            <w:r>
              <w:rPr>
                <w:b/>
                <w:sz w:val="17"/>
              </w:rPr>
              <w:t>2,942</w:t>
            </w:r>
          </w:p>
        </w:tc>
        <w:tc>
          <w:tcPr>
            <w:tcW w:type="dxa" w:w="1440"/>
            <w:shd w:fill="FFDCE0" w:val="clear"/>
          </w:tcPr>
          <w:p>
            <w:r>
              <w:rPr>
                <w:sz w:val="17"/>
              </w:rPr>
              <w:t>3,345</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 Burkina Faso)</w:t>
        <w:br/>
        <w:t>**Bourse Régionale des Valeurs Mobilières (BRVM) | Secteur : Télécommunications**</w:t>
        <w:br/>
        <w:t>**Date d'analyse : Octobre 2026 | Cours de référence : 3 045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**207,06 milliards FCFA**, ONTBF se positionne comme l'une des valeurs phares du compartiment télécoms de la BRVM, bien que loin derrière Sonatel. Le **BPA de 234 FCFA/action** traduit une rentabilité unitaire solide, chaque titre générant près de 234 FCFA de bénéfice net. Le **PER de 13,0x** situe le titre légèrement au-dessus de la moyenne BRVM (~8-12x), signalant une valorisation modérée mais non excessive au regard de la qualité de l'émetteur. Le **P/B de 3,60x** indique que le marché valorise l'action à plus de trois fois sa valeur comptable, traduisant une prime de croissance accordée aux actifs incorporels (licences, réseau, base clients) typique du secteur télécom. Enfin, l'**EV/EBITDA de 5,4x** demeure raisonnable et inférieur au seuil de 10x, suggérant que la valeur d'entreprise reste cohérente avec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+6,65%**, avec une dernière séance en hausse de **+1,50%**, confirmant un momentum haussier de court terme. Le cours a évolué dans un range de **2 675 FCFA (plus bas) à 3 070 FCFA (plus haut)**, soit une amplitude d'environ 14,8%, et se situe actuellement à **3 045 FCFA**, proche de son sommet — signe de force relative. La tendance générale est donc **haussière**, portée par la reconquête commerciale et l'amélioration de la rentabilité au T1 2026. Les statistiques descriptives révèlent une **moyenne (2 863 FCFA) quasi identique à la médiane (2 870 FCFA)**, indiquant une distribution symétrique sans valeurs aberrantes dominantes ; le **mode à 2 800 FCFA** confirme cette zone de consolidation. L'**écart-type de 84 FCFA (CV = 2,9%)** traduit une dispersion très faible du cours, gage de stabilité. Le **kurtosis de -0,373 (mésokurtique)** et le **skewness de -0,058 (symétrique)** signalent l'absence de risque de pics extrêmes et une distribution proche de la normale — profil rassurant pour un investisseur. La **volatilité annualisée de 34,7%** classe le titre en catégorie **élevée (&gt;30%)**, ce qui reste cohérent avec la liquidité modérée du marché BRVM.</w:t>
      </w:r>
    </w:p>
    <w:p>
      <w:pPr>
        <w:spacing w:after="120" w:line="276" w:lineRule="auto"/>
      </w:pPr>
      <w:r>
        <w:t>---</w:t>
      </w:r>
    </w:p>
    <w:p>
      <w:pPr>
        <w:spacing w:after="120" w:line="276" w:lineRule="auto"/>
      </w:pPr>
      <w:r>
        <w:t>## PARTIE 2 : ANALYSE TECHNIQUE DÉTAILLÉE</w:t>
      </w:r>
    </w:p>
    <w:p>
      <w:pPr>
        <w:spacing w:after="120" w:line="276" w:lineRule="auto"/>
      </w:pPr>
      <w:r>
        <w:t>**Moyennes Mobiles** : La MM20 (2 924 FCFA) et la MM50 (2 906,4 FCFA) se situent toutes deux **sous le cours actuel (3 045 FCFA)**, avec une MM20 au-dessus de la MM50 — configuration haussière classique (golden cross). Cette disposition valide la **décision d'Achat** et confirme la dynamique positive de moyen terme.</w:t>
      </w:r>
    </w:p>
    <w:p>
      <w:pPr>
        <w:spacing w:after="120" w:line="276" w:lineRule="auto"/>
      </w:pPr>
      <w:r>
        <w:t>**Bandes de Bollinger** : Le cours (3 045 FCFA) évolue dans la partie haute du canal, proche de la borne supérieure (3 083,23 FCFA) et nettement au-dessus de la borne inférieure (2 764,77 FCFA). Cette position traduit une pression acheteuse soutenue mais un risque de retour à la moyenne ; la **décision Neutre** reflète cette prudence face à un possible essoufflement.</w:t>
      </w:r>
    </w:p>
    <w:p>
      <w:pPr>
        <w:spacing w:after="120" w:line="276" w:lineRule="auto"/>
      </w:pPr>
      <w:r>
        <w:t>**MACD** : La ligne MACD (30,974) surpasse nettement son signal (18,416), avec un histogramme positif et croissant. Cette divergence haussière confirme un **momentum acheteur robuste**, justifiant la **décision d'Achat**.</w:t>
      </w:r>
    </w:p>
    <w:p>
      <w:pPr>
        <w:spacing w:after="120" w:line="276" w:lineRule="auto"/>
      </w:pPr>
      <w:r>
        <w:t>**RSI** : À **66,443**, le RSI se situe en zone neutre haute, proche du seuil de surachat (70) sans l'atteindre. La **décision Neutre** est cohérente : le titre conserve du potentiel mais approche d'une zone de vigilance.</w:t>
      </w:r>
    </w:p>
    <w:p>
      <w:pPr>
        <w:spacing w:after="120" w:line="276" w:lineRule="auto"/>
      </w:pPr>
      <w:r>
        <w:t>**Stochastique** : Le %K (100,0) et le %D (98,639) sont tous deux en zone extrême de surachat, avec un %K au-dessus du %D. Cette configuration signale un **risque imminent de correction**, justifiant la **décision de Vente** à court terme.</w:t>
      </w:r>
    </w:p>
    <w:p>
      <w:pPr>
        <w:spacing w:after="120" w:line="276" w:lineRule="auto"/>
      </w:pPr>
      <w:r>
        <w:t>**Conclusion technique** : Les indicateurs sont **majoritairement haussiers** (MM, MACD) mais affichent des signaux de **surachat avancé** (Stochastique, RSI élevé), créant une divergence classique entre tendance de fond et timing d'entrée. Le titre reste dans un canal ascendant, mais une consolidation ou un repli technique vers 2 950-3 000 FCFA est probable avant toute nouvelle jambe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ONTBF affiche un **chiffre d'affaires de 146,177 milliards FCFA** (croissance de +3,06% selon les données structurées), un **résultat net de 15,887 milliards FCFA** (marge nette de 10,87%), un **ROE de 27,61%** (excellent, &gt;15%) et un **ROA de 4,89%**. Le coefficient d'exploitation de 67,07% reste supérieur au seuil de 60% d'efficacité, et le coût du risque (3,57%) demeure contenu. Le bilan affiche un total actif de 324,9 milliards FCFA, des capitaux propres de 57,54 milliards FCFA et un endettement de 267,36 milliards FCFA (ratio d'endettement de 187%), avec une autonomie financière faible (17,71%) — point de vigilance structurel. La trésorerie nette positive (10,65 milliards FCFA) et la CAF élevée (46,95 milliards FCFA) confirment la solidité de la génération de cash.</w:t>
      </w:r>
    </w:p>
    <w:p>
      <w:pPr>
        <w:spacing w:after="120" w:line="276" w:lineRule="auto"/>
      </w:pPr>
      <w:r>
        <w:t>**Évolution et estimations basées sur les rapports** : Le rapport annuel 2025 (publié le 09/04/2026) confirme une **baisse de -26% du résultat net** (15,89 Mds vs 21,47 Mds en 2024), imputable à la hausse des charges opérationnelles (énergie, sécurité, indemnités de fin d'engagement) et à une sanction ARCEP de 1,543 Md FCFA. Le rapport T1 2026 (publié en 2026) montre une **reprise progressive** : CA de 37,1 Mds FCFA (+2,7%), marge EBITDA maintenue à 41,3%, résultat net de 3,577 Mds FCFA (marge 9,6%), avec une base clients de 12,65 millions (+3,3%) et une forte croissance du Mobile Money (+17,1%) et du FTTH (+38,4%). **On estime donc que l'exercice 2026 devrait marquer une stabilisation de la rentabilité**, avec un résultat net annuel projeté autour de 15-16 Mds FCFA si la tendance T1 se confirme. Le dividende proposé de **166,08 FCFA/action** (rendement ~5,5% au cours actuel) reste attractif malgré la baisse du résultat.</w:t>
      </w:r>
    </w:p>
    <w:p>
      <w:pPr>
        <w:spacing w:after="120" w:line="276" w:lineRule="auto"/>
      </w:pPr>
      <w:r>
        <w:t>**Conclusion fondamentale** : ONTBF présente un profil **solide mais sous pression** — leader télécom avec une génération de cash robuste et un dividende généreux, mais confronté à une érosion des marges et à un endettement élevé. La reprise du T1 2026 et la note GCR A+(WU) constituent des signaux positifs, mais la prudence reste de mise.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avec des signaux divergents**. Sur le plan de la **valorisation (Partie 0)**, le PER de 13,0x et le P/B de 3,60x indiquent une valorisation **légèrement supérieure à la moyenne BRVM**, sans excès majeur, tandis que l'EV/EBITDA de 5,4x reste raisonnable. Le **comportement du cours (Partie 1)** est favorable : tendance haussière (+6,65%), distribution symétrique (skewness -0,058), absence de risque de pics (kurtosis -0,373), mais volatilité élevée (34,7%). Les **signaux techniques (Partie 2)** sont mitigés : MM et MACD haussiers, mais Stochastique en surachat extrême (%K=100) et RSI élevé (66,4) annoncent une correction imminente. Les **fondamentaux (Partie 3)** demeurent solides (ROE 27,6%, CAF 47 Mds, dividende 5,5%) malgré la baisse de -26% du résultat net 2025, avec une reprise naissante au T1 2026. Les **prédictions IA (J+1 à J+10)** anticipent une **décroissance progressive de 3 011 à 2 981 FCFA**, confirmant la correction technique attendue. **En synthèse, la convergence entre surachat technique et prédictions baissières de court terme contredit le momentum fondamental de moyen terme.**</w:t>
      </w:r>
    </w:p>
    <w:p>
      <w:pPr>
        <w:spacing w:after="120" w:line="276" w:lineRule="auto"/>
      </w:pPr>
      <w:r>
        <w:t>**Recommandation finale : CONSERVER**</w:t>
        <w:br/>
        <w:t>**Justification** : La convergence des signaux (valorisation correcte, fondamentaux solides, technique en surachat, prédictions baissières) plaide pour une **prise de bénéfices partielle** à court terme, mais la qualité de l'émetteur, le dividende attractif et la reprise du T1 2026 justifient de **conserver la position** pour capter le potentiel de moyen terme. Un **achat sur repli vers 2 950-3 000 FCFA** serait opportun.</w:t>
        <w:br/>
        <w:t>**Niveau de confiance** : Moyen (divergence technique/fondamental)</w:t>
        <w:br/>
        <w:t>**Niveau de risque global** : Moyen (volatilité élevée, endettement important, contexte sécuritaire)</w:t>
        <w:br/>
        <w:t>**Horizon d'investissement optimal** : Moyen terme (3-12 mois), en surveillant la publication des résultats S1 2026 et l'évolution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3089.19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3,551 titres</w:t>
            </w:r>
          </w:p>
        </w:tc>
        <w:tc>
          <w:tcPr>
            <w:tcW w:type="dxa" w:w="2268"/>
            <w:shd w:fill="FFF2CC" w:val="clear"/>
          </w:tcPr>
          <w:p>
            <w:r>
              <w:rPr>
                <w:b/>
                <w:color w:val="503200"/>
                <w:sz w:val="16"/>
              </w:rPr>
              <w:t xml:space="preserve">Cours actuel : </w:t>
            </w:r>
            <w:r>
              <w:rPr>
                <w:color w:val="000000"/>
                <w:sz w:val="17"/>
              </w:rPr>
              <w:t>20,505 FCFA</w:t>
            </w:r>
          </w:p>
          <w:p>
            <w:r>
              <w:rPr>
                <w:b/>
                <w:color w:val="503200"/>
                <w:sz w:val="16"/>
              </w:rPr>
              <w:t xml:space="preserve">Var. 100 jours : </w:t>
            </w:r>
            <w:r>
              <w:rPr>
                <w:b/>
                <w:color w:val="007800"/>
                <w:sz w:val="17"/>
              </w:rPr>
              <w:t>+31.02%</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15,550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13.65% (Moyenne) — μ=18,410 FCFA, σ=2,513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β=1.4762 (Agressif) — Cov=0.000110, Var(idx)=0.000075, ρ=0.561,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2026-10-15</w:t>
            </w:r>
          </w:p>
        </w:tc>
        <w:tc>
          <w:tcPr>
            <w:tcW w:type="dxa" w:w="1440"/>
            <w:shd w:fill="C6EFCE" w:val="clear"/>
          </w:tcPr>
          <w:p>
            <w:r>
              <w:rPr>
                <w:sz w:val="17"/>
              </w:rPr>
              <w:t>20,268</w:t>
            </w:r>
          </w:p>
        </w:tc>
        <w:tc>
          <w:tcPr>
            <w:tcW w:type="dxa" w:w="1440"/>
            <w:shd w:fill="C6EFCE" w:val="clear"/>
          </w:tcPr>
          <w:p>
            <w:r>
              <w:rPr>
                <w:b/>
                <w:sz w:val="17"/>
              </w:rPr>
              <w:t>21,365</w:t>
            </w:r>
          </w:p>
        </w:tc>
        <w:tc>
          <w:tcPr>
            <w:tcW w:type="dxa" w:w="1440"/>
            <w:shd w:fill="C6EFCE" w:val="clear"/>
          </w:tcPr>
          <w:p>
            <w:r>
              <w:rPr>
                <w:sz w:val="17"/>
              </w:rPr>
              <w:t>22,462</w:t>
            </w:r>
          </w:p>
        </w:tc>
        <w:tc>
          <w:tcPr>
            <w:tcW w:type="dxa" w:w="1440"/>
            <w:shd w:fill="C6EFCE" w:val="clear"/>
          </w:tcPr>
          <w:p>
            <w:r>
              <w:rPr>
                <w:b/>
                <w:color w:val="008000"/>
                <w:sz w:val="17"/>
              </w:rPr>
              <w:t>+4.2%</w:t>
            </w:r>
          </w:p>
        </w:tc>
      </w:tr>
      <w:tr>
        <w:tc>
          <w:tcPr>
            <w:tcW w:type="dxa" w:w="1440"/>
            <w:shd w:fill="C6EFCE" w:val="clear"/>
          </w:tcPr>
          <w:p>
            <w:r>
              <w:rPr>
                <w:sz w:val="17"/>
              </w:rPr>
              <w:t>J+2  ⭐</w:t>
            </w:r>
          </w:p>
        </w:tc>
        <w:tc>
          <w:tcPr>
            <w:tcW w:type="dxa" w:w="1440"/>
            <w:shd w:fill="C6EFCE" w:val="clear"/>
          </w:tcPr>
          <w:p>
            <w:r>
              <w:rPr>
                <w:sz w:val="17"/>
              </w:rPr>
              <w:t>2026-10-16</w:t>
            </w:r>
          </w:p>
        </w:tc>
        <w:tc>
          <w:tcPr>
            <w:tcW w:type="dxa" w:w="1440"/>
            <w:shd w:fill="C6EFCE" w:val="clear"/>
          </w:tcPr>
          <w:p>
            <w:r>
              <w:rPr>
                <w:sz w:val="17"/>
              </w:rPr>
              <w:t>19,714</w:t>
            </w:r>
          </w:p>
        </w:tc>
        <w:tc>
          <w:tcPr>
            <w:tcW w:type="dxa" w:w="1440"/>
            <w:shd w:fill="C6EFCE" w:val="clear"/>
          </w:tcPr>
          <w:p>
            <w:r>
              <w:rPr>
                <w:b/>
                <w:sz w:val="17"/>
              </w:rPr>
              <w:t>21,257</w:t>
            </w:r>
          </w:p>
        </w:tc>
        <w:tc>
          <w:tcPr>
            <w:tcW w:type="dxa" w:w="1440"/>
            <w:shd w:fill="C6EFCE" w:val="clear"/>
          </w:tcPr>
          <w:p>
            <w:r>
              <w:rPr>
                <w:sz w:val="17"/>
              </w:rPr>
              <w:t>22,801</w:t>
            </w:r>
          </w:p>
        </w:tc>
        <w:tc>
          <w:tcPr>
            <w:tcW w:type="dxa" w:w="1440"/>
            <w:shd w:fill="C6EFCE" w:val="clear"/>
          </w:tcPr>
          <w:p>
            <w:r>
              <w:rPr>
                <w:b/>
                <w:color w:val="008000"/>
                <w:sz w:val="17"/>
              </w:rPr>
              <w:t>+3.7%</w:t>
            </w:r>
          </w:p>
        </w:tc>
      </w:tr>
      <w:tr>
        <w:tc>
          <w:tcPr>
            <w:tcW w:type="dxa" w:w="1440"/>
            <w:shd w:fill="C6EFCE" w:val="clear"/>
          </w:tcPr>
          <w:p>
            <w:r>
              <w:rPr>
                <w:sz w:val="17"/>
              </w:rPr>
              <w:t>J+3  ⭐</w:t>
            </w:r>
          </w:p>
        </w:tc>
        <w:tc>
          <w:tcPr>
            <w:tcW w:type="dxa" w:w="1440"/>
            <w:shd w:fill="C6EFCE" w:val="clear"/>
          </w:tcPr>
          <w:p>
            <w:r>
              <w:rPr>
                <w:sz w:val="17"/>
              </w:rPr>
              <w:t>2026-10-19</w:t>
            </w:r>
          </w:p>
        </w:tc>
        <w:tc>
          <w:tcPr>
            <w:tcW w:type="dxa" w:w="1440"/>
            <w:shd w:fill="C6EFCE" w:val="clear"/>
          </w:tcPr>
          <w:p>
            <w:r>
              <w:rPr>
                <w:sz w:val="17"/>
              </w:rPr>
              <w:t>19,336</w:t>
            </w:r>
          </w:p>
        </w:tc>
        <w:tc>
          <w:tcPr>
            <w:tcW w:type="dxa" w:w="1440"/>
            <w:shd w:fill="C6EFCE" w:val="clear"/>
          </w:tcPr>
          <w:p>
            <w:r>
              <w:rPr>
                <w:b/>
                <w:sz w:val="17"/>
              </w:rPr>
              <w:t>21,224</w:t>
            </w:r>
          </w:p>
        </w:tc>
        <w:tc>
          <w:tcPr>
            <w:tcW w:type="dxa" w:w="1440"/>
            <w:shd w:fill="C6EFCE" w:val="clear"/>
          </w:tcPr>
          <w:p>
            <w:r>
              <w:rPr>
                <w:sz w:val="17"/>
              </w:rPr>
              <w:t>23,112</w:t>
            </w:r>
          </w:p>
        </w:tc>
        <w:tc>
          <w:tcPr>
            <w:tcW w:type="dxa" w:w="1440"/>
            <w:shd w:fill="C6EFCE" w:val="clear"/>
          </w:tcPr>
          <w:p>
            <w:r>
              <w:rPr>
                <w:b/>
                <w:color w:val="008000"/>
                <w:sz w:val="17"/>
              </w:rPr>
              <w:t>+3.5%</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19,025</w:t>
            </w:r>
          </w:p>
        </w:tc>
        <w:tc>
          <w:tcPr>
            <w:tcW w:type="dxa" w:w="1440"/>
            <w:shd w:fill="C6EFCE" w:val="clear"/>
          </w:tcPr>
          <w:p>
            <w:r>
              <w:rPr>
                <w:b/>
                <w:sz w:val="17"/>
              </w:rPr>
              <w:t>21,203</w:t>
            </w:r>
          </w:p>
        </w:tc>
        <w:tc>
          <w:tcPr>
            <w:tcW w:type="dxa" w:w="1440"/>
            <w:shd w:fill="C6EFCE" w:val="clear"/>
          </w:tcPr>
          <w:p>
            <w:r>
              <w:rPr>
                <w:sz w:val="17"/>
              </w:rPr>
              <w:t>23,380</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18,750</w:t>
            </w:r>
          </w:p>
        </w:tc>
        <w:tc>
          <w:tcPr>
            <w:tcW w:type="dxa" w:w="1440"/>
            <w:shd w:fill="C6EFCE" w:val="clear"/>
          </w:tcPr>
          <w:p>
            <w:r>
              <w:rPr>
                <w:b/>
                <w:sz w:val="17"/>
              </w:rPr>
              <w:t>21,183</w:t>
            </w:r>
          </w:p>
        </w:tc>
        <w:tc>
          <w:tcPr>
            <w:tcW w:type="dxa" w:w="1440"/>
            <w:shd w:fill="C6EFCE" w:val="clear"/>
          </w:tcPr>
          <w:p>
            <w:r>
              <w:rPr>
                <w:sz w:val="17"/>
              </w:rPr>
              <w:t>23,615</w:t>
            </w:r>
          </w:p>
        </w:tc>
        <w:tc>
          <w:tcPr>
            <w:tcW w:type="dxa" w:w="1440"/>
            <w:shd w:fill="C6EFCE" w:val="clear"/>
          </w:tcPr>
          <w:p>
            <w:r>
              <w:rPr>
                <w:b/>
                <w:color w:val="008000"/>
                <w:sz w:val="17"/>
              </w:rPr>
              <w:t>+3.3%</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18,501</w:t>
            </w:r>
          </w:p>
        </w:tc>
        <w:tc>
          <w:tcPr>
            <w:tcW w:type="dxa" w:w="1440"/>
            <w:shd w:fill="C6EFCE" w:val="clear"/>
          </w:tcPr>
          <w:p>
            <w:r>
              <w:rPr>
                <w:b/>
                <w:sz w:val="17"/>
              </w:rPr>
              <w:t>21,163</w:t>
            </w:r>
          </w:p>
        </w:tc>
        <w:tc>
          <w:tcPr>
            <w:tcW w:type="dxa" w:w="1440"/>
            <w:shd w:fill="C6EFCE" w:val="clear"/>
          </w:tcPr>
          <w:p>
            <w:r>
              <w:rPr>
                <w:sz w:val="17"/>
              </w:rPr>
              <w:t>23,825</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18,270</w:t>
            </w:r>
          </w:p>
        </w:tc>
        <w:tc>
          <w:tcPr>
            <w:tcW w:type="dxa" w:w="1440"/>
            <w:shd w:fill="C6EFCE" w:val="clear"/>
          </w:tcPr>
          <w:p>
            <w:r>
              <w:rPr>
                <w:b/>
                <w:sz w:val="17"/>
              </w:rPr>
              <w:t>21,143</w:t>
            </w:r>
          </w:p>
        </w:tc>
        <w:tc>
          <w:tcPr>
            <w:tcW w:type="dxa" w:w="1440"/>
            <w:shd w:fill="C6EFCE" w:val="clear"/>
          </w:tcPr>
          <w:p>
            <w:r>
              <w:rPr>
                <w:sz w:val="17"/>
              </w:rPr>
              <w:t>24,016</w:t>
            </w:r>
          </w:p>
        </w:tc>
        <w:tc>
          <w:tcPr>
            <w:tcW w:type="dxa" w:w="1440"/>
            <w:shd w:fill="C6EFCE" w:val="clear"/>
          </w:tcPr>
          <w:p>
            <w:r>
              <w:rPr>
                <w:b/>
                <w:color w:val="008000"/>
                <w:sz w:val="17"/>
              </w:rPr>
              <w:t>+3.1%</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18,055</w:t>
            </w:r>
          </w:p>
        </w:tc>
        <w:tc>
          <w:tcPr>
            <w:tcW w:type="dxa" w:w="1440"/>
            <w:shd w:fill="C6EFCE" w:val="clear"/>
          </w:tcPr>
          <w:p>
            <w:r>
              <w:rPr>
                <w:b/>
                <w:sz w:val="17"/>
              </w:rPr>
              <w:t>21,123</w:t>
            </w:r>
          </w:p>
        </w:tc>
        <w:tc>
          <w:tcPr>
            <w:tcW w:type="dxa" w:w="1440"/>
            <w:shd w:fill="C6EFCE" w:val="clear"/>
          </w:tcPr>
          <w:p>
            <w:r>
              <w:rPr>
                <w:sz w:val="17"/>
              </w:rPr>
              <w:t>24,192</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17,853</w:t>
            </w:r>
          </w:p>
        </w:tc>
        <w:tc>
          <w:tcPr>
            <w:tcW w:type="dxa" w:w="1440"/>
            <w:shd w:fill="C6EFCE" w:val="clear"/>
          </w:tcPr>
          <w:p>
            <w:r>
              <w:rPr>
                <w:b/>
                <w:sz w:val="17"/>
              </w:rPr>
              <w:t>21,104</w:t>
            </w:r>
          </w:p>
        </w:tc>
        <w:tc>
          <w:tcPr>
            <w:tcW w:type="dxa" w:w="1440"/>
            <w:shd w:fill="C6EFCE" w:val="clear"/>
          </w:tcPr>
          <w:p>
            <w:r>
              <w:rPr>
                <w:sz w:val="17"/>
              </w:rPr>
              <w:t>24,355</w:t>
            </w:r>
          </w:p>
        </w:tc>
        <w:tc>
          <w:tcPr>
            <w:tcW w:type="dxa" w:w="1440"/>
            <w:shd w:fill="C6EFCE" w:val="clear"/>
          </w:tcPr>
          <w:p>
            <w:r>
              <w:rPr>
                <w:b/>
                <w:color w:val="008000"/>
                <w:sz w:val="17"/>
              </w:rPr>
              <w:t>+2.9%</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17,661</w:t>
            </w:r>
          </w:p>
        </w:tc>
        <w:tc>
          <w:tcPr>
            <w:tcW w:type="dxa" w:w="1440"/>
            <w:shd w:fill="C6EFCE" w:val="clear"/>
          </w:tcPr>
          <w:p>
            <w:r>
              <w:rPr>
                <w:b/>
                <w:sz w:val="17"/>
              </w:rPr>
              <w:t>21,085</w:t>
            </w:r>
          </w:p>
        </w:tc>
        <w:tc>
          <w:tcPr>
            <w:tcW w:type="dxa" w:w="1440"/>
            <w:shd w:fill="C6EFCE" w:val="clear"/>
          </w:tcPr>
          <w:p>
            <w:r>
              <w:rPr>
                <w:sz w:val="17"/>
              </w:rPr>
              <w:t>24,509</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ORAC (Orange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**3 089,19 milliards FCFA**, ORAC confirme son statut de valeur phare de la BRVM, représentant une part significative de la capitalisation totale du marché régional. Le BPA de **1 114 FCFA/action** signifie que chaque titre génère un bénéfice unitaire substantiel, ce qui positionne le PER à **18,4x** — soit une prime notable par rapport au PER moyen de la BRVM (8-12x), traduisant la confiance des investisseurs dans la qualité défensive et la croissance du titre. Le P/B de **4,36x** indique que le marché valorise ORAC à plus de quatre fois sa valeur comptable, une prime exigeante qui se justifie par la rentabilité élevée des fonds propres (ROE de 23,7%) et la solidité du modèle télécom. Enfin, l'EV/EBITDA de **7,4x**, situé dans la fourchette raisonnable de 5-10x, suggère que la valeur totale de l'entreprise reste cohérente avec sa capacité opérationnelle de génération de cash-flow, offrant un contrepoids rassurant à la prime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**variation totale de +31,02%**, portée par une dynamique haussière soutenue qui a conduit le cours du plus bas de **15 550 FCFA** au plus haut de **22 500 FCFA**, soit un range de trading de près de 45%. Cependant, la dernière séance (J-1) enregistre une **correction de -6,37%**, ramenant le cours actuel à **20 505 FCFA**, ce qui marque une prise de profit après le rallye. La moyenne du cours s'établit à **18 410 FCFA** contre une médiane de **16 998 FCFA**, un écart de plus de 1 400 FCFA qui révèle une distribution asymétrique à droite — les récents pics haussiers tirent la moyenne vers le haut. L'écart-type de **2 525 FCFA** (CV de 13,7%) indique une dispersion modérée du cours autour de sa moyenne, tandis que le kurtosis de **-1,589** (distribution platykurtique) suggère une faible concentration des rendements et un risque de pics moins prononcé qu'une distribution normale. Le skewness de **0,420** confirme cette légère asymétrie positive, avec une queue de distribution étirée vers les rendements positifs. La **volatilité annualisée de 37,1%** classe le titre dans la catégorie des valeurs à volatilité élevée (&gt;30%), ce qui est cohérent avec un titre ayant connu une forte appréciation récente et des prises de profit significatives.</w:t>
      </w:r>
    </w:p>
    <w:p>
      <w:pPr>
        <w:spacing w:after="120" w:line="276" w:lineRule="auto"/>
      </w:pPr>
      <w:r>
        <w:t>---</w:t>
      </w:r>
    </w:p>
    <w:p>
      <w:pPr>
        <w:spacing w:after="120" w:line="276" w:lineRule="auto"/>
      </w:pPr>
      <w:r>
        <w:t>## PARTIE 2 : ANALYSE TECHNIQUE DÉTAILLÉE</w:t>
      </w:r>
    </w:p>
    <w:p>
      <w:pPr>
        <w:spacing w:after="120" w:line="276" w:lineRule="auto"/>
      </w:pPr>
      <w:r>
        <w:t>**Moyennes Mobiles** : La MM20 (21 491,25 FCFA) et la MM50 (20 577,90 FCFA) se situent toutes deux au-dessus du cours actuel (20 505 FCFA), avec une MM20 supérieure à la MM50, configurant un croisement haussier classique. Le cours évoluant légèrement sous ses moyennes, la décision technique reste **Achat** dans une logique de rebond sur support dynamique, bien que la récente correction invite à la prudence.</w:t>
      </w:r>
    </w:p>
    <w:p>
      <w:pPr>
        <w:spacing w:after="120" w:line="276" w:lineRule="auto"/>
      </w:pPr>
      <w:r>
        <w:t>**Bandes de Bollinger** : Le cours actuel (20 505 FCFA) se situe dans la partie basse de la bande, entre la borne inférieure (20 136 FCFA) et la borne supérieure (22 846 FCFA), sans atteindre les extrêmes. Cette position médiane-basse traduit une volatilité normale et une absence de signal extrême, justifiant la décision **Neutre** — le marché est en phase de consolidation après le rallye.</w:t>
      </w:r>
    </w:p>
    <w:p>
      <w:pPr>
        <w:spacing w:after="120" w:line="276" w:lineRule="auto"/>
      </w:pPr>
      <w:r>
        <w:t>**MACD** : La valeur du MACD (197,269) est inférieure à son signal (317,369), générant un croisement baissier qui indique un **momentum négatif** à court terme. Cette divergence MACD-Signal, avec un histogramme négatif, confirme la pression vendeuse récente et justifie la décision **Vente** — le momentum haussier s'essouffle.</w:t>
      </w:r>
    </w:p>
    <w:p>
      <w:pPr>
        <w:spacing w:after="120" w:line="276" w:lineRule="auto"/>
      </w:pPr>
      <w:r>
        <w:t>**RSI** : À **50,671**, le RSI se situe parfaitement dans la zone neutre (30-70), indiquant un équilibre entre acheteurs et vendeurs. Ni suracheté ni survendu, le titre ne présente pas de signal directionnel fort, ce qui justifie la décision **Neutre** — le marché est en attente d'un catalyseur.</w:t>
      </w:r>
    </w:p>
    <w:p>
      <w:pPr>
        <w:spacing w:after="120" w:line="276" w:lineRule="auto"/>
      </w:pPr>
      <w:r>
        <w:t>**Stochastique** : Le %K (28,81) est nettement inférieur au %D (73,095), avec un croisement baissier en zone de survente naissante. Cette configuration suggère une pression baissière persistante à court terme, bien que la décision reste **Neutre** — le signal n'est pas encore confirmé par une remontée du %K.</w:t>
      </w:r>
    </w:p>
    <w:p>
      <w:pPr>
        <w:spacing w:after="120" w:line="276" w:lineRule="auto"/>
      </w:pPr>
      <w:r>
        <w:t>**Conclusion technique** : Les indicateurs présentent une **divergence notable** : les moyennes mobiles restent haussières (Achat), tandis que le MACD signale une vente et que le RSI, les Bollinger et le Stochastique restent neutres. Cette configuration reflète une phase de consolidation après un rallye de +31%, avec un momentum court terme affaibli mais une tendance de fond encore intacte. La prudence est de mise avant toute décision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ORAC affiche un chiffre d'affaires de **1 197,1 milliards FCFA**, en croissance de **+10,4%** par rapport à 2024 (1 084,1 Mds FCFA), portée par la data mobile, la fibre et Orange Money. Le résultat net consolidé s'établit à **167,8 milliards FCFA** (+6,1%), avec un résultat net part du groupe de **129,1 milliards FCFA** (+14,5%). La rentabilité des fonds propres (ROE) atteint **23,7%**, un niveau excellent (&gt;15%), tandis que le ROA de **6,57%** reflète la forte intensité capitalistique du secteur télécom. La marge nette de **14,02%** et la marge opérationnelle de **23,99%** témoignent d'une bonne maîtrise des coûts. Le BFR est **négatif (-198 Mds FCFA)**, un signal favorable qui indique que l'entreprise finance son cycle d'exploitation par ses fournisseurs (délai fournisseurs de 210,87 jours contre 52,26 jours pour les clients). L'endettement reste maîtrisé avec un ratio de **47,46%** et une capacité de remboursement de **0,99 an** (dette financière/CAF), tandis que la couverture des intérêts est excellente (1018%). Le Free Cash Flow de **156,2 Mds FCFA** et la trésorerie nette de **113,9 Mds FCFA** confirment la solidité financière.</w:t>
      </w:r>
    </w:p>
    <w:p>
      <w:pPr>
        <w:spacing w:after="120" w:line="276" w:lineRule="auto"/>
      </w:pPr>
      <w:r>
        <w:t>**Estimations basées sur les rapports trimestriels** : Sur la base du rapport **S1 2026 (publié le 31/12/2026)**, le chiffre d'affaires consolidé atteint **672,8 Mds FCFA** (+16,1% vs S1 2025), avec un résultat net de **90,3 Mds FCFA** (+18,3%) et une marge nette de **13,4%**. Le rapport **T1 2026 (publié le 01/05/2026)** confirme cette dynamique avec un CA de **325,6 Mds FCFA** (+14,8%) et un résultat net de **48,3 Mds FCFA** (+25,2%). On estime donc que l'exercice 2026 devrait afficher une croissance du CA supérieure à **+14%**, avec un résultat net part du groupe potentiellement en hausse de **+15% à +20%**, soutenu par l'expansion de la fibre (+59,9% d'abonnés en 2025), la croissance d'Orange Money (+10,2%) et la maîtrise des coûts. Le dividende proposé de **800 FCFA/action** (rendement de ~3,9% au cours actuel) reste attractif, bien qu'en baisse par rapport aux 1 278 FCFA implicites de 2024, reflétant un recentrage vers l'autofinancement des investissements (184,2 Mds FCFA en 2025).</w:t>
      </w:r>
    </w:p>
    <w:p>
      <w:pPr>
        <w:spacing w:after="120" w:line="276" w:lineRule="auto"/>
      </w:pPr>
      <w:r>
        <w:t>**Recommandation fondamentale** : ORAC présente des fondamentaux **solides et résilients**, avec une croissance à deux chiffres, une rentabilité élevée et une structure financière saine. Les risques incluent la pression fiscale (+35% d'impôts au S1 2026), l'exposition au Burkina Faso (risque sécuritaire) et la baisse du dividende. La dynamique reste positive, portée par la transformation numérique en Afrique de l'Ouest.</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affiche un PER de 18,4x et un P/B de 4,36x, indiquant une **surévaluation relative** par rapport au marché BRVM, mais justifiée par la qualité défensive et la croissance du titre ; l'EV/EBITDA de 7,4x reste raisonnable. Le comportement du cours (Partie 1) montre une tendance haussière (+31% sur 100 jours) avec une volatilité élevée (37,1%) et une distribution asymétrique positive (skewness 0,420), mais la correction récente de -6,37% et le kurtosis négatif suggèrent une phase de consolidation. Les signaux techniques (Partie 2) sont **divergents** : les moyennes mobiles restent haussières, mais le MACD est baissier et les autres indicateurs sont neutres, reflétant une incertitude court terme. Les fondamentaux (Partie 3) sont **excellents** : croissance du CA de +10,4% en 2025, ROE de 23,7%, BFR négatif, et les rapports S1 2026 et T1 2026 confirment une accélération (+16,1% et +14,8% de CA). Les prédictions IA (J+1 à J+10) anticipent une **légère baisse** vers 21 183 FCFA d'ici le 21/10/2026, ce qui contredit la dynamique fondamentale mais confirme la consolidation technique en cours.</w:t>
      </w:r>
    </w:p>
    <w:p>
      <w:pPr>
        <w:spacing w:after="120" w:line="276" w:lineRule="auto"/>
      </w:pPr>
      <w:r>
        <w:t>**Recommandation finale** : **CONSERVER** (avec biais haussier à moyen terme). La convergence entre des fondamentaux solides, une valorisation exigeante mais justifiée, et une technique en consolidation suggère d'attendre un point d'entrée plus favorable (vers 20 000-20 500 FCFA) pour renforcer. Le niveau de confiance est **Moyen** — les fondamentaux sont robustes, mais l'incertitude technique et la pression fiscale tempèrent l'enthousiasme. Le niveau de risque global est **Moyen** (volatilité élevée mais modèle défensif). L'horizon d'investissement optimal est **moyen terme (3-12 mois)**, en anticipant une reprise de la croissance bénéficiaire et une stabilisation du cours après la consolidation actuelle.</w:t>
      </w:r>
    </w:p>
    <w:p>
      <w:pPr>
        <w:spacing w:after="120" w:line="276" w:lineRule="auto"/>
      </w:pPr>
      <w:r>
        <w:t>---</w:t>
      </w:r>
    </w:p>
    <w:p>
      <w:pPr>
        <w:spacing w:after="120" w:line="276" w:lineRule="auto"/>
      </w:pPr>
      <w:r>
        <w:t>*Rapport généré le 14 octobre 2026 — Sources : BRVM, états financiers ORAC 2025, rapports S1 2026, T1 2026, et analyses fondamentales disponibles.*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195.06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4,182 titres</w:t>
            </w:r>
          </w:p>
        </w:tc>
        <w:tc>
          <w:tcPr>
            <w:tcW w:type="dxa" w:w="2268"/>
            <w:shd w:fill="FFF2CC" w:val="clear"/>
          </w:tcPr>
          <w:p>
            <w:r>
              <w:rPr>
                <w:b/>
                <w:color w:val="503200"/>
                <w:sz w:val="16"/>
              </w:rPr>
              <w:t xml:space="preserve">Cours actuel : </w:t>
            </w:r>
            <w:r>
              <w:rPr>
                <w:color w:val="000000"/>
                <w:sz w:val="17"/>
              </w:rPr>
              <w:t>2,810 FCFA</w:t>
            </w:r>
          </w:p>
          <w:p>
            <w:r>
              <w:rPr>
                <w:b/>
                <w:color w:val="503200"/>
                <w:sz w:val="16"/>
              </w:rPr>
              <w:t xml:space="preserve">Var. 100 jours : </w:t>
            </w:r>
            <w:r>
              <w:rPr>
                <w:b/>
                <w:color w:val="007800"/>
                <w:sz w:val="17"/>
              </w:rPr>
              <w:t>+8.49%</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2,590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7.74% (Moyenne) — μ=2,915 FCFA, σ=226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β=0.7804 (Défensif) — Cov=0.000058, Var(idx)=0.000075, ρ=0.299,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2,687</w:t>
            </w:r>
          </w:p>
        </w:tc>
        <w:tc>
          <w:tcPr>
            <w:tcW w:type="dxa" w:w="1440"/>
            <w:shd w:fill="FAFAFA" w:val="clear"/>
          </w:tcPr>
          <w:p>
            <w:r>
              <w:rPr>
                <w:b/>
                <w:sz w:val="17"/>
              </w:rPr>
              <w:t>2,824</w:t>
            </w:r>
          </w:p>
        </w:tc>
        <w:tc>
          <w:tcPr>
            <w:tcW w:type="dxa" w:w="1440"/>
            <w:shd w:fill="FAFAFA" w:val="clear"/>
          </w:tcPr>
          <w:p>
            <w:r>
              <w:rPr>
                <w:sz w:val="17"/>
              </w:rPr>
              <w:t>2,961</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2,630</w:t>
            </w:r>
          </w:p>
        </w:tc>
        <w:tc>
          <w:tcPr>
            <w:tcW w:type="dxa" w:w="1440"/>
            <w:shd w:fill="FAFAFA" w:val="clear"/>
          </w:tcPr>
          <w:p>
            <w:r>
              <w:rPr>
                <w:b/>
                <w:sz w:val="17"/>
              </w:rPr>
              <w:t>2,823</w:t>
            </w:r>
          </w:p>
        </w:tc>
        <w:tc>
          <w:tcPr>
            <w:tcW w:type="dxa" w:w="1440"/>
            <w:shd w:fill="FAFAFA" w:val="clear"/>
          </w:tcPr>
          <w:p>
            <w:r>
              <w:rPr>
                <w:sz w:val="17"/>
              </w:rPr>
              <w:t>3,017</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2,587</w:t>
            </w:r>
          </w:p>
        </w:tc>
        <w:tc>
          <w:tcPr>
            <w:tcW w:type="dxa" w:w="1440"/>
            <w:shd w:fill="FAFAFA" w:val="clear"/>
          </w:tcPr>
          <w:p>
            <w:r>
              <w:rPr>
                <w:b/>
                <w:sz w:val="17"/>
              </w:rPr>
              <w:t>2,824</w:t>
            </w:r>
          </w:p>
        </w:tc>
        <w:tc>
          <w:tcPr>
            <w:tcW w:type="dxa" w:w="1440"/>
            <w:shd w:fill="FAFAFA" w:val="clear"/>
          </w:tcPr>
          <w:p>
            <w:r>
              <w:rPr>
                <w:sz w:val="17"/>
              </w:rPr>
              <w:t>3,061</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2,550</w:t>
            </w:r>
          </w:p>
        </w:tc>
        <w:tc>
          <w:tcPr>
            <w:tcW w:type="dxa" w:w="1440"/>
            <w:shd w:fill="FAFAFA" w:val="clear"/>
          </w:tcPr>
          <w:p>
            <w:r>
              <w:rPr>
                <w:b/>
                <w:sz w:val="17"/>
              </w:rPr>
              <w:t>2,824</w:t>
            </w:r>
          </w:p>
        </w:tc>
        <w:tc>
          <w:tcPr>
            <w:tcW w:type="dxa" w:w="1440"/>
            <w:shd w:fill="FAFAFA" w:val="clear"/>
          </w:tcPr>
          <w:p>
            <w:r>
              <w:rPr>
                <w:sz w:val="17"/>
              </w:rPr>
              <w:t>3,097</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2,517</w:t>
            </w:r>
          </w:p>
        </w:tc>
        <w:tc>
          <w:tcPr>
            <w:tcW w:type="dxa" w:w="1440"/>
            <w:shd w:fill="FAFAFA" w:val="clear"/>
          </w:tcPr>
          <w:p>
            <w:r>
              <w:rPr>
                <w:b/>
                <w:sz w:val="17"/>
              </w:rPr>
              <w:t>2,823</w:t>
            </w:r>
          </w:p>
        </w:tc>
        <w:tc>
          <w:tcPr>
            <w:tcW w:type="dxa" w:w="1440"/>
            <w:shd w:fill="FAFAFA" w:val="clear"/>
          </w:tcPr>
          <w:p>
            <w:r>
              <w:rPr>
                <w:sz w:val="17"/>
              </w:rPr>
              <w:t>3,129</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2,487</w:t>
            </w:r>
          </w:p>
        </w:tc>
        <w:tc>
          <w:tcPr>
            <w:tcW w:type="dxa" w:w="1440"/>
            <w:shd w:fill="FAFAFA" w:val="clear"/>
          </w:tcPr>
          <w:p>
            <w:r>
              <w:rPr>
                <w:b/>
                <w:sz w:val="17"/>
              </w:rPr>
              <w:t>2,822</w:t>
            </w:r>
          </w:p>
        </w:tc>
        <w:tc>
          <w:tcPr>
            <w:tcW w:type="dxa" w:w="1440"/>
            <w:shd w:fill="FAFAFA" w:val="clear"/>
          </w:tcPr>
          <w:p>
            <w:r>
              <w:rPr>
                <w:sz w:val="17"/>
              </w:rPr>
              <w:t>3,157</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2,460</w:t>
            </w:r>
          </w:p>
        </w:tc>
        <w:tc>
          <w:tcPr>
            <w:tcW w:type="dxa" w:w="1440"/>
            <w:shd w:fill="FAFAFA" w:val="clear"/>
          </w:tcPr>
          <w:p>
            <w:r>
              <w:rPr>
                <w:b/>
                <w:sz w:val="17"/>
              </w:rPr>
              <w:t>2,821</w:t>
            </w:r>
          </w:p>
        </w:tc>
        <w:tc>
          <w:tcPr>
            <w:tcW w:type="dxa" w:w="1440"/>
            <w:shd w:fill="FAFAFA" w:val="clear"/>
          </w:tcPr>
          <w:p>
            <w:r>
              <w:rPr>
                <w:sz w:val="17"/>
              </w:rPr>
              <w:t>3,183</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2,434</w:t>
            </w:r>
          </w:p>
        </w:tc>
        <w:tc>
          <w:tcPr>
            <w:tcW w:type="dxa" w:w="1440"/>
            <w:shd w:fill="FAFAFA" w:val="clear"/>
          </w:tcPr>
          <w:p>
            <w:r>
              <w:rPr>
                <w:b/>
                <w:sz w:val="17"/>
              </w:rPr>
              <w:t>2,820</w:t>
            </w:r>
          </w:p>
        </w:tc>
        <w:tc>
          <w:tcPr>
            <w:tcW w:type="dxa" w:w="1440"/>
            <w:shd w:fill="FAFAFA" w:val="clear"/>
          </w:tcPr>
          <w:p>
            <w:r>
              <w:rPr>
                <w:sz w:val="17"/>
              </w:rPr>
              <w:t>3,206</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2,410</w:t>
            </w:r>
          </w:p>
        </w:tc>
        <w:tc>
          <w:tcPr>
            <w:tcW w:type="dxa" w:w="1440"/>
            <w:shd w:fill="FAFAFA" w:val="clear"/>
          </w:tcPr>
          <w:p>
            <w:r>
              <w:rPr>
                <w:b/>
                <w:sz w:val="17"/>
              </w:rPr>
              <w:t>2,819</w:t>
            </w:r>
          </w:p>
        </w:tc>
        <w:tc>
          <w:tcPr>
            <w:tcW w:type="dxa" w:w="1440"/>
            <w:shd w:fill="FAFAFA" w:val="clear"/>
          </w:tcPr>
          <w:p>
            <w:r>
              <w:rPr>
                <w:sz w:val="17"/>
              </w:rPr>
              <w:t>3,229</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2,387</w:t>
            </w:r>
          </w:p>
        </w:tc>
        <w:tc>
          <w:tcPr>
            <w:tcW w:type="dxa" w:w="1440"/>
            <w:shd w:fill="FAFAFA" w:val="clear"/>
          </w:tcPr>
          <w:p>
            <w:r>
              <w:rPr>
                <w:b/>
                <w:sz w:val="17"/>
              </w:rPr>
              <w:t>2,818</w:t>
            </w:r>
          </w:p>
        </w:tc>
        <w:tc>
          <w:tcPr>
            <w:tcW w:type="dxa" w:w="1440"/>
            <w:shd w:fill="FAFAFA" w:val="clear"/>
          </w:tcPr>
          <w:p>
            <w:r>
              <w:rPr>
                <w:sz w:val="17"/>
              </w:rPr>
              <w:t>3,250</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195,06 milliards FCFA, ORGT se positionne comme une valeur de taille intermédiaire sur le compartiment bancaire de la BRVM. Le BPA de 312 FCFA/action signifie que chaque titre génère un bénéfice net de 312 FCFA, ce qui, rapporté au cours actuel de 2 810 FCFA, donne un PER de 9,0x — un niveau inférieur à la moyenne du marché BRVM (8-12x), suggérant une valorisation raisonnable voire légèrement sous-évaluée au regard des bénéfices. Le ratio P/B de 1,72x indique que le marché valorise la banque à 72% au-dessus de sa valeur comptable, ce qui reste dans une fourchette acceptable (1-2x) pour une institution financière affichant un ROE de 19,1%. En revanche, l'EV/EBITDA de 19,3x apparaît très exigeant (&gt;15x), traduisant une valeur d'entreprise qui intègre déjà une part importante d'optimisme sur la capacité opérationnelle — ce ratio doit toutefois être interprété avec prudence pour une banque, où l'EBITDA est moins pertinent que le PNB comme indicateur de performance.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ORGT affiche une progression totale de +8,49%, bien que la dernière séance (J-1) se soit soldée par un léger repli de -0,35%, signalant une pause dans la dynamique haussière. Le titre a évolué dans un range de 810 FCFA, entre un plus bas de 2 590 FCFA et un plus haut de 3 400 FCFA, ce qui témoigne d'une amplitude de trading significative. La tendance générale reste haussière sur la période, mais le cours actuel (2 810 FCFA) se situe en dessous de la moyenne (2 915 FCFA) et de la médiane (2 875 FCFA), indiquant une correction récente depuis les sommets. L'écart faible entre moyenne et médiane (40 FCFA) confirme une distribution quasi-symétrique, cohérente avec le skewness de 0,338. L'écart-type de 227 FCFA et le coefficient de variation de 7,8% traduisent une dispersion modérée du cours autour de sa moyenne. Le kurtosis négatif (-1,245) indique une distribution platykurtique — c'est-à-dire aplatie — avec un risque de pics de volatilité moins prononcé qu'une distribution normale, ce qui est rassurant pour la stabilité du titre. Enfin, la volatilité annualisée de 36,6% classe ORGT dans la catégorie des titres à volatilité élevée (&gt;30%), ce qui implique un risque de marché non négligeable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(2 984,75 FCFA) et la MM50 (3 101,1 FCFA) se situent toutes deux au-dessus du cours actuel (2 810 FCFA), ce qui place le titre en position baissière à court et moyen terme. La MM20 étant inférieure à la MM50, on observe une configuration de croisement baissier (death cross) confirmant la pression vendeuse. La décision technique qui en résulte est **Vente**.</w:t>
      </w:r>
    </w:p>
    <w:p>
      <w:pPr>
        <w:spacing w:after="120" w:line="276" w:lineRule="auto"/>
      </w:pPr>
      <w:r>
        <w:t>**Bandes de Bollinger** : Le cours actuel (2 810 FCFA) évolue dans la partie basse du canal, entre la borne inférieure (2 696,33 FCFA) et la borne supérieure (3 273,17 FCFA). Le prix se situe à environ 30% de la largeur du canal depuis la borne basse, ce qui indique une position neutre sans signal de survente extrême. La décision associée est **Neutre**, la volatilité restant contenue dans les bandes.</w:t>
      </w:r>
    </w:p>
    <w:p>
      <w:pPr>
        <w:spacing w:after="120" w:line="276" w:lineRule="auto"/>
      </w:pPr>
      <w:r>
        <w:t>**MACD** : La valeur du MACD (-74,161) est inférieure à son signal (-56,363), confirmant un momentum baissier. La divergence négative entre les deux lignes indique que la pression vendeuse persiste et que la tendance baissière n'est pas encore épuisée. La décision qui en découle est **Vente**.</w:t>
      </w:r>
    </w:p>
    <w:p>
      <w:pPr>
        <w:spacing w:after="120" w:line="276" w:lineRule="auto"/>
      </w:pPr>
      <w:r>
        <w:t>**RSI** : À 50,459, le RSI se situe exactement dans la zone neutre (30-70), ne signalant ni surachat ni survente. Cette position médiane reflète un équilibre entre acheteurs et vendeurs, sans force directionnelle claire. La décision associée est **Neutre**.</w:t>
      </w:r>
    </w:p>
    <w:p>
      <w:pPr>
        <w:spacing w:after="120" w:line="276" w:lineRule="auto"/>
      </w:pPr>
      <w:r>
        <w:t>**Stochastique** : Le %K (0,0) est nettement inférieur au %D (5,333), et se situe en zone de survente extrême (&lt;20). Cette configuration suggère qu'un rebond technique pourrait se produire à court terme, bien que le croisement ne soit pas encore confirmé. La décision qui en résulte est **Achat**, en anticipation d'un retournement.</w:t>
      </w:r>
    </w:p>
    <w:p>
      <w:pPr>
        <w:spacing w:after="120" w:line="276" w:lineRule="auto"/>
      </w:pPr>
      <w:r>
        <w:t>**Conclusion technique** : Les indicateurs sont majoritairement baissiers (MM, MACD) ou neutres (Bollinger, RSI), avec une seule exception haussière (Stochastique en survente). Le titre se trouve dans une phase de correction au sein d'une tendance haussière de fond, mais l'absence de signal d'achat fort (hors stochastique) invite à la prudence. La convergence des signaux baissiers à court terme suggère que la pression vendeuse pourrait persister avant un éventuel rebond.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 réalisé un Produit Net Bancaire (PNB) de 186,609 milliards FCFA, en baisse de -4,52% par rapport à 2024 (195,436 milliards FCFA), reflétant une contraction de l'activité commerciale. Le résultat net consolidé s'établit à 21,643 milliards FCFA, marquant un redressement spectaculaire après la perte de -44,363 milliards FCFA en 2024. Le ROE atteint 19,13% (&gt;15%, excellent), tandis que le ROA reste faible à 0,54%, typique du secteur bancaire. Le coefficient d'exploitation de 42,85% (&lt;60%) témoigne d'une excellente efficacité opérationnelle, et le coût du risque de 3,74% (provisions/charges financières) indique un portefeuille de crédits assaini. Les dépôts clientèle (3 088,698 milliards FCFA) couvrent largement les créances clientèle (1 523,765 milliards FCFA), avec un ratio de transformation de 49,3%, signe d'une gestion prudente des liquidités.</w:t>
      </w:r>
    </w:p>
    <w:p>
      <w:pPr>
        <w:spacing w:after="120" w:line="276" w:lineRule="auto"/>
      </w:pPr>
      <w:r>
        <w:t>**Analyse sectorielle (banque)** : La structure bilancielle affiche une autonomie financière de 2,82% (capitaux propres/total bilan), ce qui est faible mais compensé par un ratio de solvabilité générale de 102,9% (&gt;1, solvable). Le ratio d'endettement de 444,94% est élevé mais caractéristique du modèle bancaire, où les dépôts clientèle (77% du passif) constituent la principale ressource. La couverture des intérêts (24,71%) reste correcte, et la marge nette de 11,6% est solide pour une banque.</w:t>
      </w:r>
    </w:p>
    <w:p>
      <w:pPr>
        <w:spacing w:after="120" w:line="276" w:lineRule="auto"/>
      </w:pPr>
      <w:r>
        <w:t>**Estimations basées sur les rapports trimestriels** : Le rapport T1 2026 (publié en 2026) indique un PNB de 50,124 milliards FCFA (-2% vs T1 2025) et un résultat net de 6,555 milliards FCFA (+37%), avec une amélioration du coût du risque (-10%) et une progression des dépôts clientèle (+14% à 3 343 milliards FCFA). Sur cette base, on estime que l'exercice 2026 devrait confirmer la tendance au redressement, avec un résultat net annuel potentiellement supérieur à 25 milliards FCFA si la dynamique se poursuit. Le rapport S1 2025 (daté du 30 juin 2025) confirmait déjà un bénéfice net de 18,3 milliards FCFA (+232%), et le rapport T3 2025 (30 septembre 2025) affichait un résultat net de 19,6 milliards FCFA (+248%), validant la trajectoire positive.</w:t>
      </w:r>
    </w:p>
    <w:p>
      <w:pPr>
        <w:spacing w:after="120" w:line="276" w:lineRule="auto"/>
      </w:pPr>
      <w:r>
        <w:t>**Évolution pluriannuelle** : Après une année 2024 catastrophique (perte de -44,4 milliards FCFA), ORGT a opéré un redressement remarquable en 2025, porté par une réduction drastique du coût du risque (-90%) et une maîtrise des frais généraux (-12%). Les capitaux propres se sont renforcés à 113,165 milliards FCFA (+17%), et la structure financière s'est consolidée. Cependant, la baisse du PNB (-4,5%) et l'absence de dividende (confirmée par l'avis de convocation à l'AG du 23 juillet 2026) tempèrent l'optimisme.</w:t>
      </w:r>
    </w:p>
    <w:p>
      <w:pPr>
        <w:spacing w:after="120" w:line="276" w:lineRule="auto"/>
      </w:pPr>
      <w:r>
        <w:t>**Recommandation fondamentale** : **CONSERVER**. La solidité retrouvée, l'excellence du coefficient d'exploitation et la forte amélioration du coût du risque sont des atouts majeurs. Toutefois, la contraction du PNB et l'absence de dynamique commerciale robuste nécessitent une surveillance accrue avant d'envisager un renforcement de la position.</w:t>
      </w:r>
    </w:p>
    <w:p>
      <w:pPr>
        <w:spacing w:after="120" w:line="276" w:lineRule="auto"/>
      </w:pPr>
      <w:r>
        <w:t>---</w:t>
      </w:r>
    </w:p>
    <w:p>
      <w:pPr>
        <w:spacing w:after="120" w:line="276" w:lineRule="auto"/>
      </w:pPr>
      <w:r>
        <w:t>## PARTIE 4 : CONCLUSION D'INVESTISSEMENT</w:t>
      </w:r>
    </w:p>
    <w:p>
      <w:pPr>
        <w:spacing w:after="120" w:line="276" w:lineRule="auto"/>
      </w:pPr>
      <w:r>
        <w:t>La valorisation d'ORGT apparaît raisonnable (PER 9,0x, P/B 1,72x) mais l'EV/EBITDA de 19,3x signale une certaine cherté opérationnelle. Le comportement du cours sur 100 jours est haussier (+8,49%) mais la correction récente (cours sous les moyennes mobiles) et la volatilité élevée (36,6%) invitent à la prudence, bien que la distribution platykurtique (kurtosis -1,245) limite le risque de pics extrêmes. Les signaux techniques sont majoritairement baissiers (MM, MACD) ou neutres (Bollinger, RSI), avec un seul indicateur haussier (Stochastique en survente), ce qui suggère une poursuite de la correction à court terme. Les fondamentaux sont solides (ROE 19,1%, coefficient d'exploitation 42,9%, coût du risque maîtrisé) et les rapports trimestriels (T1 2026, S1 2025, T3 2025) confirment la trajectoire de redressement, mais la baisse du PNB et l'absence de dividende pèsent sur la visibilité. Les prédictions IA (J+1 à J+10) anticipent une stabilisation autour de 2 823-2 824 FCFA, ce qui contredit les signaux baissiers à court terme et suggère un plancher proche des niveaux actuels.</w:t>
      </w:r>
    </w:p>
    <w:p>
      <w:pPr>
        <w:spacing w:after="120" w:line="276" w:lineRule="auto"/>
      </w:pPr>
      <w:r>
        <w:t>**Recommandation finale** : **CONSERVER**. La convergence entre une valorisation correcte, des fondamentaux en amélioration et des signaux techniques mitigés ne justifie ni un achat agressif ni une vente. Le titre offre un potentiel de redressement à moyen terme, mais l'absence de catalyseur commercial immédiat et la pression baissière à court terme incitent à la patience. **Niveau de confiance** : Moyen. **Niveau de risque** : Moyen (volatilité élevée mais fondamentaux solides). **Horizon d'investissement** : Moyen terme (3-12 mois), en attendant la confirmation d'une reprise durable du PNB et d'une éventuelle distribution de dividendes.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119.04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4,399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5.36% (Moyenne) — μ=8,631 FCFA, σ=462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β=0.0646 (Défensif) — Cov=0.000005, Var(idx)=0.000075, ρ=0.026,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7,443</w:t>
            </w:r>
          </w:p>
        </w:tc>
        <w:tc>
          <w:tcPr>
            <w:tcW w:type="dxa" w:w="1440"/>
            <w:shd w:fill="FAFAFA" w:val="clear"/>
          </w:tcPr>
          <w:p>
            <w:r>
              <w:rPr>
                <w:b/>
                <w:sz w:val="17"/>
              </w:rPr>
              <w:t>7,684</w:t>
            </w:r>
          </w:p>
        </w:tc>
        <w:tc>
          <w:tcPr>
            <w:tcW w:type="dxa" w:w="1440"/>
            <w:shd w:fill="FAFAFA" w:val="clear"/>
          </w:tcPr>
          <w:p>
            <w:r>
              <w:rPr>
                <w:sz w:val="17"/>
              </w:rPr>
              <w:t>7,925</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7,314</w:t>
            </w:r>
          </w:p>
        </w:tc>
        <w:tc>
          <w:tcPr>
            <w:tcW w:type="dxa" w:w="1440"/>
            <w:shd w:fill="FAFAFA" w:val="clear"/>
          </w:tcPr>
          <w:p>
            <w:r>
              <w:rPr>
                <w:b/>
                <w:sz w:val="17"/>
              </w:rPr>
              <w:t>7,653</w:t>
            </w:r>
          </w:p>
        </w:tc>
        <w:tc>
          <w:tcPr>
            <w:tcW w:type="dxa" w:w="1440"/>
            <w:shd w:fill="FAFAFA" w:val="clear"/>
          </w:tcPr>
          <w:p>
            <w:r>
              <w:rPr>
                <w:sz w:val="17"/>
              </w:rPr>
              <w:t>7,991</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7,210</w:t>
            </w:r>
          </w:p>
        </w:tc>
        <w:tc>
          <w:tcPr>
            <w:tcW w:type="dxa" w:w="1440"/>
            <w:shd w:fill="FAFAFA" w:val="clear"/>
          </w:tcPr>
          <w:p>
            <w:r>
              <w:rPr>
                <w:b/>
                <w:sz w:val="17"/>
              </w:rPr>
              <w:t>7,623</w:t>
            </w:r>
          </w:p>
        </w:tc>
        <w:tc>
          <w:tcPr>
            <w:tcW w:type="dxa" w:w="1440"/>
            <w:shd w:fill="FAFAFA" w:val="clear"/>
          </w:tcPr>
          <w:p>
            <w:r>
              <w:rPr>
                <w:sz w:val="17"/>
              </w:rPr>
              <w:t>8,037</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2026-10-20</w:t>
            </w:r>
          </w:p>
        </w:tc>
        <w:tc>
          <w:tcPr>
            <w:tcW w:type="dxa" w:w="1440"/>
            <w:shd w:fill="FAFAFA" w:val="clear"/>
          </w:tcPr>
          <w:p>
            <w:r>
              <w:rPr>
                <w:sz w:val="17"/>
              </w:rPr>
              <w:t>7,120</w:t>
            </w:r>
          </w:p>
        </w:tc>
        <w:tc>
          <w:tcPr>
            <w:tcW w:type="dxa" w:w="1440"/>
            <w:shd w:fill="FAFAFA" w:val="clear"/>
          </w:tcPr>
          <w:p>
            <w:r>
              <w:rPr>
                <w:b/>
                <w:sz w:val="17"/>
              </w:rPr>
              <w:t>7,596</w:t>
            </w:r>
          </w:p>
        </w:tc>
        <w:tc>
          <w:tcPr>
            <w:tcW w:type="dxa" w:w="1440"/>
            <w:shd w:fill="FAFAFA" w:val="clear"/>
          </w:tcPr>
          <w:p>
            <w:r>
              <w:rPr>
                <w:sz w:val="17"/>
              </w:rPr>
              <w:t>8,071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2026-10-21</w:t>
            </w:r>
          </w:p>
        </w:tc>
        <w:tc>
          <w:tcPr>
            <w:tcW w:type="dxa" w:w="1440"/>
            <w:shd w:fill="FAFAFA" w:val="clear"/>
          </w:tcPr>
          <w:p>
            <w:r>
              <w:rPr>
                <w:sz w:val="17"/>
              </w:rPr>
              <w:t>7,039</w:t>
            </w:r>
          </w:p>
        </w:tc>
        <w:tc>
          <w:tcPr>
            <w:tcW w:type="dxa" w:w="1440"/>
            <w:shd w:fill="FAFAFA" w:val="clear"/>
          </w:tcPr>
          <w:p>
            <w:r>
              <w:rPr>
                <w:b/>
                <w:sz w:val="17"/>
              </w:rPr>
              <w:t>7,569</w:t>
            </w:r>
          </w:p>
        </w:tc>
        <w:tc>
          <w:tcPr>
            <w:tcW w:type="dxa" w:w="1440"/>
            <w:shd w:fill="FAFAFA" w:val="clear"/>
          </w:tcPr>
          <w:p>
            <w:r>
              <w:rPr>
                <w:sz w:val="17"/>
              </w:rPr>
              <w:t>8,099</w:t>
            </w:r>
          </w:p>
        </w:tc>
        <w:tc>
          <w:tcPr>
            <w:tcW w:type="dxa" w:w="1440"/>
            <w:shd w:fill="FAFAFA" w:val="clear"/>
          </w:tcPr>
          <w:p>
            <w:r>
              <w:rPr>
                <w:b/>
                <w:color w:val="C00000"/>
                <w:sz w:val="17"/>
              </w:rPr>
              <w:t>-1.7%</w:t>
            </w:r>
          </w:p>
        </w:tc>
      </w:tr>
      <w:tr>
        <w:tc>
          <w:tcPr>
            <w:tcW w:type="dxa" w:w="1440"/>
            <w:shd w:fill="FFDCE0" w:val="clear"/>
          </w:tcPr>
          <w:p>
            <w:r>
              <w:rPr>
                <w:sz w:val="17"/>
              </w:rPr>
              <w:t>J+6  Moyenne</w:t>
            </w:r>
          </w:p>
        </w:tc>
        <w:tc>
          <w:tcPr>
            <w:tcW w:type="dxa" w:w="1440"/>
            <w:shd w:fill="FFDCE0" w:val="clear"/>
          </w:tcPr>
          <w:p>
            <w:r>
              <w:rPr>
                <w:sz w:val="17"/>
              </w:rPr>
              <w:t>2026-10-22</w:t>
            </w:r>
          </w:p>
        </w:tc>
        <w:tc>
          <w:tcPr>
            <w:tcW w:type="dxa" w:w="1440"/>
            <w:shd w:fill="FFDCE0" w:val="clear"/>
          </w:tcPr>
          <w:p>
            <w:r>
              <w:rPr>
                <w:sz w:val="17"/>
              </w:rPr>
              <w:t>6,965</w:t>
            </w:r>
          </w:p>
        </w:tc>
        <w:tc>
          <w:tcPr>
            <w:tcW w:type="dxa" w:w="1440"/>
            <w:shd w:fill="FFDCE0" w:val="clear"/>
          </w:tcPr>
          <w:p>
            <w:r>
              <w:rPr>
                <w:b/>
                <w:sz w:val="17"/>
              </w:rPr>
              <w:t>7,544</w:t>
            </w:r>
          </w:p>
        </w:tc>
        <w:tc>
          <w:tcPr>
            <w:tcW w:type="dxa" w:w="1440"/>
            <w:shd w:fill="FFDCE0" w:val="clear"/>
          </w:tcPr>
          <w:p>
            <w:r>
              <w:rPr>
                <w:sz w:val="17"/>
              </w:rPr>
              <w:t>8,123</w:t>
            </w:r>
          </w:p>
        </w:tc>
        <w:tc>
          <w:tcPr>
            <w:tcW w:type="dxa" w:w="1440"/>
            <w:shd w:fill="FFDCE0" w:val="clear"/>
          </w:tcPr>
          <w:p>
            <w:r>
              <w:rPr>
                <w:b/>
                <w:color w:val="C00000"/>
                <w:sz w:val="17"/>
              </w:rPr>
              <w:t>-2.0%</w:t>
            </w:r>
          </w:p>
        </w:tc>
      </w:tr>
      <w:tr>
        <w:tc>
          <w:tcPr>
            <w:tcW w:type="dxa" w:w="1440"/>
            <w:shd w:fill="FFDCE0" w:val="clear"/>
          </w:tcPr>
          <w:p>
            <w:r>
              <w:rPr>
                <w:sz w:val="17"/>
              </w:rPr>
              <w:t>J+7  Moyenne</w:t>
            </w:r>
          </w:p>
        </w:tc>
        <w:tc>
          <w:tcPr>
            <w:tcW w:type="dxa" w:w="1440"/>
            <w:shd w:fill="FFDCE0" w:val="clear"/>
          </w:tcPr>
          <w:p>
            <w:r>
              <w:rPr>
                <w:sz w:val="17"/>
              </w:rPr>
              <w:t>2026-10-23</w:t>
            </w:r>
          </w:p>
        </w:tc>
        <w:tc>
          <w:tcPr>
            <w:tcW w:type="dxa" w:w="1440"/>
            <w:shd w:fill="FFDCE0" w:val="clear"/>
          </w:tcPr>
          <w:p>
            <w:r>
              <w:rPr>
                <w:sz w:val="17"/>
              </w:rPr>
              <w:t>6,897</w:t>
            </w:r>
          </w:p>
        </w:tc>
        <w:tc>
          <w:tcPr>
            <w:tcW w:type="dxa" w:w="1440"/>
            <w:shd w:fill="FFDCE0" w:val="clear"/>
          </w:tcPr>
          <w:p>
            <w:r>
              <w:rPr>
                <w:b/>
                <w:sz w:val="17"/>
              </w:rPr>
              <w:t>7,520</w:t>
            </w:r>
          </w:p>
        </w:tc>
        <w:tc>
          <w:tcPr>
            <w:tcW w:type="dxa" w:w="1440"/>
            <w:shd w:fill="FFDCE0" w:val="clear"/>
          </w:tcPr>
          <w:p>
            <w:r>
              <w:rPr>
                <w:sz w:val="17"/>
              </w:rPr>
              <w:t>8,143</w:t>
            </w:r>
          </w:p>
        </w:tc>
        <w:tc>
          <w:tcPr>
            <w:tcW w:type="dxa" w:w="1440"/>
            <w:shd w:fill="FFDCE0" w:val="clear"/>
          </w:tcPr>
          <w:p>
            <w:r>
              <w:rPr>
                <w:b/>
                <w:color w:val="C00000"/>
                <w:sz w:val="17"/>
              </w:rPr>
              <w:t>-2.3%</w:t>
            </w:r>
          </w:p>
        </w:tc>
      </w:tr>
      <w:tr>
        <w:tc>
          <w:tcPr>
            <w:tcW w:type="dxa" w:w="1440"/>
            <w:shd w:fill="FFDCE0" w:val="clear"/>
          </w:tcPr>
          <w:p>
            <w:r>
              <w:rPr>
                <w:sz w:val="17"/>
              </w:rPr>
              <w:t>J+8  Moyenne</w:t>
            </w:r>
          </w:p>
        </w:tc>
        <w:tc>
          <w:tcPr>
            <w:tcW w:type="dxa" w:w="1440"/>
            <w:shd w:fill="FFDCE0" w:val="clear"/>
          </w:tcPr>
          <w:p>
            <w:r>
              <w:rPr>
                <w:sz w:val="17"/>
              </w:rPr>
              <w:t>2026-10-26</w:t>
            </w:r>
          </w:p>
        </w:tc>
        <w:tc>
          <w:tcPr>
            <w:tcW w:type="dxa" w:w="1440"/>
            <w:shd w:fill="FFDCE0" w:val="clear"/>
          </w:tcPr>
          <w:p>
            <w:r>
              <w:rPr>
                <w:sz w:val="17"/>
              </w:rPr>
              <w:t>6,833</w:t>
            </w:r>
          </w:p>
        </w:tc>
        <w:tc>
          <w:tcPr>
            <w:tcW w:type="dxa" w:w="1440"/>
            <w:shd w:fill="FFDCE0" w:val="clear"/>
          </w:tcPr>
          <w:p>
            <w:r>
              <w:rPr>
                <w:b/>
                <w:sz w:val="17"/>
              </w:rPr>
              <w:t>7,497</w:t>
            </w:r>
          </w:p>
        </w:tc>
        <w:tc>
          <w:tcPr>
            <w:tcW w:type="dxa" w:w="1440"/>
            <w:shd w:fill="FFDCE0" w:val="clear"/>
          </w:tcPr>
          <w:p>
            <w:r>
              <w:rPr>
                <w:sz w:val="17"/>
              </w:rPr>
              <w:t>8,161</w:t>
            </w:r>
          </w:p>
        </w:tc>
        <w:tc>
          <w:tcPr>
            <w:tcW w:type="dxa" w:w="1440"/>
            <w:shd w:fill="FFDCE0" w:val="clear"/>
          </w:tcPr>
          <w:p>
            <w:r>
              <w:rPr>
                <w:b/>
                <w:color w:val="C00000"/>
                <w:sz w:val="17"/>
              </w:rPr>
              <w:t>-2.6%</w:t>
            </w:r>
          </w:p>
        </w:tc>
      </w:tr>
      <w:tr>
        <w:tc>
          <w:tcPr>
            <w:tcW w:type="dxa" w:w="1440"/>
            <w:shd w:fill="FFDCE0" w:val="clear"/>
          </w:tcPr>
          <w:p>
            <w:r>
              <w:rPr>
                <w:sz w:val="17"/>
              </w:rPr>
              <w:t>J+9  Moyenne</w:t>
            </w:r>
          </w:p>
        </w:tc>
        <w:tc>
          <w:tcPr>
            <w:tcW w:type="dxa" w:w="1440"/>
            <w:shd w:fill="FFDCE0" w:val="clear"/>
          </w:tcPr>
          <w:p>
            <w:r>
              <w:rPr>
                <w:sz w:val="17"/>
              </w:rPr>
              <w:t>2026-10-27</w:t>
            </w:r>
          </w:p>
        </w:tc>
        <w:tc>
          <w:tcPr>
            <w:tcW w:type="dxa" w:w="1440"/>
            <w:shd w:fill="FFDCE0" w:val="clear"/>
          </w:tcPr>
          <w:p>
            <w:r>
              <w:rPr>
                <w:sz w:val="17"/>
              </w:rPr>
              <w:t>6,773</w:t>
            </w:r>
          </w:p>
        </w:tc>
        <w:tc>
          <w:tcPr>
            <w:tcW w:type="dxa" w:w="1440"/>
            <w:shd w:fill="FFDCE0" w:val="clear"/>
          </w:tcPr>
          <w:p>
            <w:r>
              <w:rPr>
                <w:b/>
                <w:sz w:val="17"/>
              </w:rPr>
              <w:t>7,475</w:t>
            </w:r>
          </w:p>
        </w:tc>
        <w:tc>
          <w:tcPr>
            <w:tcW w:type="dxa" w:w="1440"/>
            <w:shd w:fill="FFDCE0" w:val="clear"/>
          </w:tcPr>
          <w:p>
            <w:r>
              <w:rPr>
                <w:sz w:val="17"/>
              </w:rPr>
              <w:t>8,178</w:t>
            </w:r>
          </w:p>
        </w:tc>
        <w:tc>
          <w:tcPr>
            <w:tcW w:type="dxa" w:w="1440"/>
            <w:shd w:fill="FFDCE0" w:val="clear"/>
          </w:tcPr>
          <w:p>
            <w:r>
              <w:rPr>
                <w:b/>
                <w:color w:val="C00000"/>
                <w:sz w:val="17"/>
              </w:rPr>
              <w:t>-2.9%</w:t>
            </w:r>
          </w:p>
        </w:tc>
      </w:tr>
      <w:tr>
        <w:tc>
          <w:tcPr>
            <w:tcW w:type="dxa" w:w="1440"/>
            <w:shd w:fill="FFDCE0" w:val="clear"/>
          </w:tcPr>
          <w:p>
            <w:r>
              <w:rPr>
                <w:sz w:val="17"/>
              </w:rPr>
              <w:t>J+10  Moyenne</w:t>
            </w:r>
          </w:p>
        </w:tc>
        <w:tc>
          <w:tcPr>
            <w:tcW w:type="dxa" w:w="1440"/>
            <w:shd w:fill="FFDCE0" w:val="clear"/>
          </w:tcPr>
          <w:p>
            <w:r>
              <w:rPr>
                <w:sz w:val="17"/>
              </w:rPr>
              <w:t>2026-10-28</w:t>
            </w:r>
          </w:p>
        </w:tc>
        <w:tc>
          <w:tcPr>
            <w:tcW w:type="dxa" w:w="1440"/>
            <w:shd w:fill="FFDCE0" w:val="clear"/>
          </w:tcPr>
          <w:p>
            <w:r>
              <w:rPr>
                <w:sz w:val="17"/>
              </w:rPr>
              <w:t>6,716</w:t>
            </w:r>
          </w:p>
        </w:tc>
        <w:tc>
          <w:tcPr>
            <w:tcW w:type="dxa" w:w="1440"/>
            <w:shd w:fill="FFDCE0" w:val="clear"/>
          </w:tcPr>
          <w:p>
            <w:r>
              <w:rPr>
                <w:b/>
                <w:sz w:val="17"/>
              </w:rPr>
              <w:t>7,455</w:t>
            </w:r>
          </w:p>
        </w:tc>
        <w:tc>
          <w:tcPr>
            <w:tcW w:type="dxa" w:w="1440"/>
            <w:shd w:fill="FFDCE0" w:val="clear"/>
          </w:tcPr>
          <w:p>
            <w:r>
              <w:rPr>
                <w:sz w:val="17"/>
              </w:rPr>
              <w:t>8,193</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PALMCI S.A. (PALC)**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119,04 milliards FCFA, PALC se positionne comme une valeur de moyenne capitalisation sur le marché BRVM, représentant un poids significatif dans le compartiment agro-industriel de la cote. Le BPA de 1 003 FCFA/action signifie que chaque titre génère un bénéfice net d'environ 1 003 FCFA, ce qui, rapporté au cours actuel de 7 700 FCFA, confère au titre un PER de 7,7x — nettement inférieur à la moyenne BRVM (8-12x), suggérant une sous-évaluation relative par le marché. Le ratio P/B de 0,83x (&lt; 1) indique que le marché valorise PALC en dessous de sa valeur comptable, une situation qui, pour une entreprise rentable et faiblement endettée, constitue une opportunité potentielle de revalorisation. Enfin, l'EV/EBITDA de 3,8x (&lt; 5x) traduit une valorisation très bon marché de la capacité opérationnelle de l'entreprise, renforçant le diagnostic de sous-évaluation globale du titre malgré un contexte sectoriel difficile.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+0,00%, traduisant une stagnation apparente, mais la dernière séance (J-1) enregistre un repli de -1,09%, signalant une pression vendeuse récente. Le range de trading s'étend de 7 680 FCFA (plus bas) à 9 640 FCFA (plus haut), soit une amplitude de près de 25%, avec un cours actuel de 7 700 FCFA positionné dangereusement près du plancher de la période — la tendance générale est donc baissière sur la seconde moitié de la période. Les statistiques descriptives révèlent une moyenne de 8 631 FCFA légèrement inférieure à la médiane de 8 690 FCFA, avec un mode à 8 300 FCFA, ce qui indique une distribution quasi-symétrique mais avec une légère prédominance des valeurs hautes dans l'historique, le cours actuel étant nettement sous ces niveaux centraux. L'écart-type de 465 FCFA (CV = 5,4%) traduit une dispersion modérée du cours autour de sa moyenne, tandis que le kurtosis de -0,264 (mésokurtique) et le skewness de -0,172 (distribution symétrique) suggèrent l'absence de pics extrêmes et une asymétrie très légère vers la gauche. La volatilité annualisée de 34,2% classe PALC dans la catégorie des titres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(8 157,5 FCFA) et la MM50 (8 691,7 FCFA) se situent toutes deux au-dessus du cours actuel (7 700 FCFA), avec la MM20 sous la MM50 — configuration baissière classique. Le cours évoluant sous ses deux moyennes mobiles, la décision technique de **Vente** est confirmée, le titre n'ayant pas encore trouvé de support durable.</w:t>
      </w:r>
    </w:p>
    <w:p>
      <w:pPr>
        <w:spacing w:after="120" w:line="276" w:lineRule="auto"/>
      </w:pPr>
      <w:r>
        <w:t>**Bandes de Bollinger** : Le cours (7 700 FCFA) se situe dans la partie basse de la bande, proche de la borne inférieure (7 617,4 FCFA) et loin de la borne supérieure (8 697,6 FCFA). Cette position indique une pression baissière mais aussi un potentiel de rebond technique si le support inférieur tient ; la décision **Neutre** reflète cette incertitude entre continuation baissière et réaction haussière.</w:t>
      </w:r>
    </w:p>
    <w:p>
      <w:pPr>
        <w:spacing w:after="120" w:line="276" w:lineRule="auto"/>
      </w:pPr>
      <w:r>
        <w:t>**MACD** : La ligne MACD (-243,7) est inférieure à sa ligne de signal (-211,2), confirmant un momentum baissier persistant. L'histogramme négatif et l'absence de croisement haussier imminent justifient la décision de **Vente**, le marché n'ayant pas encore amorcé de retournement.</w:t>
      </w:r>
    </w:p>
    <w:p>
      <w:pPr>
        <w:spacing w:after="120" w:line="276" w:lineRule="auto"/>
      </w:pPr>
      <w:r>
        <w:t>**RSI** : À 34,6, le RSI se situe dans la zone neutre basse, proche du seuil de survente (30) sans l'atteindre. Cette configuration suggère que le titre n'est pas encore techniquement survendu mais s'en approche, la décision **Neutre** traduisant l'absence de signal fort dans un sens ou dans l'autre.</w:t>
      </w:r>
    </w:p>
    <w:p>
      <w:pPr>
        <w:spacing w:after="120" w:line="276" w:lineRule="auto"/>
      </w:pPr>
      <w:r>
        <w:t>**Stochastique** : Le %K (0,0) et le %D (1,867) sont tous deux en zone de survente extrême, avec un %K au plancher absolu. Cette configuration est typiquement annonciatrice d'un rebond technique à court terme, justifiant la décision **Achat** — signal contrarien en opposition avec les autres indicateurs.</w:t>
      </w:r>
    </w:p>
    <w:p>
      <w:pPr>
        <w:spacing w:after="120" w:line="276" w:lineRule="auto"/>
      </w:pPr>
      <w:r>
        <w:t>**Conclusion technique** : Les indicateurs techniques présentent une divergence notable : les moyennes mobiles et le MACD confirment une tendance baissière, tandis que le stochastique en survente extrême et le RSI proche de 30 suggèrent un potentiel rebond imminent. Le titre se trouve à un point d'inflexion technique critique, coincé entre une pression vendeuse structurelle et des signaux de survente appelant à un rebond. La prudence reste de mise tant que le cours n'aura pas reconquis la MM20 (8 157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PALC a réalisé un chiffre d'affaires de 197,63 milliards FCFA, en croissance de +14,8% par rapport à 2024 (172,2 Mds FCFA), portée par la hausse des volumes et des prix de l'huile de palme. Le résultat net s'établit à 15,51 milliards FCFA, en léger recul de -2,2% vs 2024 (15,9 Mds), avec une marge nette de 7,85% (vs 9,2% en 2024). Le ROE ressort à 10,87% et le ROA à 7,79%, des niveaux corrects mais en deçà du seuil d'excellence (&gt;15%). La structure financière est très solide : autonomie financière de 71,6%, ratio d'endettement de 0,56%, solvabilité générale de 352,6% et liquidité générale de 172%. Point de vigilance : le délai clients de 142,6 jours est élevé, générant un BFR de 44,6 Mds FCFA et une trésorerie nette négative de -4,56 Mds FCFA, bien que le flux opérationnel (38,7 Mds) et le Free Cash Flow (19,1 Mds) restent robustes.</w:t>
      </w:r>
    </w:p>
    <w:p>
      <w:pPr>
        <w:spacing w:after="120" w:line="276" w:lineRule="auto"/>
      </w:pPr>
      <w:r>
        <w:t>**Estimations basées sur les rapports trimestriels** : Le rapport T1 2026 (publié en 2026) révèle un effondrement du CA de -27% à 49,4 Mds FCFA et du résultat net de -86% à 1,6 Md FCFA, attribué à un décalage temporel des ventes. Le rapport S1 2026 (publié le 7 octobre 2026) confirme cette tendance avec un CA de 114,7 Mds (-15%) et un résultat net de 13,5 Mds (-41%), la marge nette se maintenant à 11,8%. Le management anticipe un résultat net annuel 2026 positif, proche de celui de 2025 (15,5 Mds), porté par l'écoulement progressif des stocks de produits finis entamé en avril 2026. Sur la base de ces éléments, on estime que l'exercice 2026 devrait se solder par un résultat net compris entre 14 et 16 Mds FCFA, soit un BPA estimé entre 900 et 1 050 FCFA.</w:t>
      </w:r>
    </w:p>
    <w:p>
      <w:pPr>
        <w:spacing w:after="120" w:line="276" w:lineRule="auto"/>
      </w:pPr>
      <w:r>
        <w:t>**Évolution pluriannuelle** : Les rapports 2024 (publié en 2024) et 2025 montrent une dégradation progressive de la rentabilité opérationnelle (marge d'EBE passée de 21,5% en 2024 à 16,7% en 2025), sous l'effet de la hausse des coûts (charges de personnel +4%, services extérieurs +30,3%) et de la volatilité des cours de l'huile de palme. Le dividende par action a été réduit à 502 FCFA en 2025 (vs 620 FCFA en 2024), avec un taux de distribution de 50,2%.</w:t>
      </w:r>
    </w:p>
    <w:p>
      <w:pPr>
        <w:spacing w:after="120" w:line="276" w:lineRule="auto"/>
      </w:pPr>
      <w:r>
        <w:t>**Recommandation fondamentale** : PALC reste un acteur solide et faiblement endetté de l'agro-industrie ouest-africaine, mais sa rentabilité est sous pression et les performances du S1 2026 sont préoccupantes. La valorisation très attractive (PER 7,7x, P/B 0,83x) contraste avec la dégradation des marges, créant une opportunité pour les investisseurs patients misant sur un redressement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présente un profil clairement sous-évalué : PER de 7,7x (&lt; moyenne BRVM), P/B de 0,83x (&lt; 1) et EV/EBITDA de 3,8x (&lt; 5x) indiquent que le marché intègre déjà une forte décote, offrant un potentiel de revalorisation significatif si les fondamentaux se stabilisent. Le comportement du cours est toutefois préoccupant : stagnation sur 100 jours (+0,00%), repli de -1,09% en J-1, cours proche du plus bas (7 700 vs 7 680 FCFA) et volatilité élevée (34,2%), bien que la distribution symétrique (skewness -0,172) et l'absence de pics extrêmes (kurtosis -0,264) limitent le risque de mouvements erratiques. Les signaux techniques sont divergents : baissiers pour les MM et le MACD, mais le stochastique en survente extrême (%K=0,0) et le RSI à 34,6 suggèrent un rebond imminent, créant une configuration de retournement potentiel. Les fondamentaux révèlent une entreprise solide (autonomie financière 71,6%, ROE 10,9%) mais confrontée à une dégradation de sa rentabilité (marge nette 7,85% en 2025, résultat net -41% au S1 2026), avec toutefois une guidance managériale positive pour l'exercice 2026. Les prédictions IA (J+1 à J+10 : 7 684 → 7 569 FCFA) confirment la pression baissière à court terme, contredisant les signaux de survente technique et suggérant que le rebond n'est pas encore amorcé.</w:t>
      </w:r>
    </w:p>
    <w:p>
      <w:pPr>
        <w:spacing w:after="120" w:line="276" w:lineRule="auto"/>
      </w:pPr>
      <w:r>
        <w:t>**Recommandation finale : CONSERVER**</w:t>
        <w:br/>
        <w:t>La convergence entre une valorisation très attractive (sous-évaluation manifeste), des fondamentaux solides malgré la dégradation cyclique, et des signaux techniques mitigés (survente appelant un rebond mais tendance baissière persistante) plaide pour une position attentiste. Le titre offre un potentiel de revalorisation à moyen terme si le redressement du S2 2026 se confirme, mais le risque de court terme reste élevé. **Niveau de confiance : Moyen** — la divergence entre valorisation et momentum introduit une incertitude sur le timing. **Niveau de risque global : Moyen à Élevé** — volatilité de 34,2%, dépendance aux cours de l'huile de palme et dégradation récente des résultats. **Horizon d'investissement optimal : Moyen terme (3-12 mois)** — le temps que l'écoulement des stocks et la reprise des volumes se matérialisent, avec un suivi trimestriel impératif des marges et de la trésorerie.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44.49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1,101 titres</w:t>
            </w:r>
          </w:p>
        </w:tc>
        <w:tc>
          <w:tcPr>
            <w:tcW w:type="dxa" w:w="2268"/>
            <w:shd w:fill="FFF2CC" w:val="clear"/>
          </w:tcPr>
          <w:p>
            <w:r>
              <w:rPr>
                <w:b/>
                <w:color w:val="503200"/>
                <w:sz w:val="16"/>
              </w:rPr>
              <w:t xml:space="preserve">Cours actuel : </w:t>
            </w:r>
            <w:r>
              <w:rPr>
                <w:color w:val="000000"/>
                <w:sz w:val="17"/>
              </w:rPr>
              <w:t>4,345 FCFA</w:t>
            </w:r>
          </w:p>
          <w:p>
            <w:r>
              <w:rPr>
                <w:b/>
                <w:color w:val="503200"/>
                <w:sz w:val="16"/>
              </w:rPr>
              <w:t xml:space="preserve">Var. 100 jours : </w:t>
            </w:r>
            <w:r>
              <w:rPr>
                <w:b/>
                <w:color w:val="007800"/>
                <w:sz w:val="17"/>
              </w:rPr>
              <w:t>+10.84%</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3,850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4.20% (Faible) — μ=4,388 FCFA, σ=184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β=-0.1589 (Contre-cyclique) — Cov=-0.000012, Var(idx)=0.000075, ρ=-0.055,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4,112</w:t>
            </w:r>
          </w:p>
        </w:tc>
        <w:tc>
          <w:tcPr>
            <w:tcW w:type="dxa" w:w="1440"/>
            <w:shd w:fill="FAFAFA" w:val="clear"/>
          </w:tcPr>
          <w:p>
            <w:r>
              <w:rPr>
                <w:b/>
                <w:sz w:val="17"/>
              </w:rPr>
              <w:t>4,332</w:t>
            </w:r>
          </w:p>
        </w:tc>
        <w:tc>
          <w:tcPr>
            <w:tcW w:type="dxa" w:w="1440"/>
            <w:shd w:fill="FAFAFA" w:val="clear"/>
          </w:tcPr>
          <w:p>
            <w:r>
              <w:rPr>
                <w:sz w:val="17"/>
              </w:rPr>
              <w:t>4,552</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4,019</w:t>
            </w:r>
          </w:p>
        </w:tc>
        <w:tc>
          <w:tcPr>
            <w:tcW w:type="dxa" w:w="1440"/>
            <w:shd w:fill="FAFAFA" w:val="clear"/>
          </w:tcPr>
          <w:p>
            <w:r>
              <w:rPr>
                <w:b/>
                <w:sz w:val="17"/>
              </w:rPr>
              <w:t>4,329</w:t>
            </w:r>
          </w:p>
        </w:tc>
        <w:tc>
          <w:tcPr>
            <w:tcW w:type="dxa" w:w="1440"/>
            <w:shd w:fill="FAFAFA" w:val="clear"/>
          </w:tcPr>
          <w:p>
            <w:r>
              <w:rPr>
                <w:sz w:val="17"/>
              </w:rPr>
              <w:t>4,640</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3,939</w:t>
            </w:r>
          </w:p>
        </w:tc>
        <w:tc>
          <w:tcPr>
            <w:tcW w:type="dxa" w:w="1440"/>
            <w:shd w:fill="FAFAFA" w:val="clear"/>
          </w:tcPr>
          <w:p>
            <w:r>
              <w:rPr>
                <w:b/>
                <w:sz w:val="17"/>
              </w:rPr>
              <w:t>4,319</w:t>
            </w:r>
          </w:p>
        </w:tc>
        <w:tc>
          <w:tcPr>
            <w:tcW w:type="dxa" w:w="1440"/>
            <w:shd w:fill="FAFAFA" w:val="clear"/>
          </w:tcPr>
          <w:p>
            <w:r>
              <w:rPr>
                <w:sz w:val="17"/>
              </w:rPr>
              <w:t>4,698</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3,872</w:t>
            </w:r>
          </w:p>
        </w:tc>
        <w:tc>
          <w:tcPr>
            <w:tcW w:type="dxa" w:w="1440"/>
            <w:shd w:fill="FAFAFA" w:val="clear"/>
          </w:tcPr>
          <w:p>
            <w:r>
              <w:rPr>
                <w:b/>
                <w:sz w:val="17"/>
              </w:rPr>
              <w:t>4,309</w:t>
            </w:r>
          </w:p>
        </w:tc>
        <w:tc>
          <w:tcPr>
            <w:tcW w:type="dxa" w:w="1440"/>
            <w:shd w:fill="FAFAFA" w:val="clear"/>
          </w:tcPr>
          <w:p>
            <w:r>
              <w:rPr>
                <w:sz w:val="17"/>
              </w:rPr>
              <w:t>4,746</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3,813</w:t>
            </w:r>
          </w:p>
        </w:tc>
        <w:tc>
          <w:tcPr>
            <w:tcW w:type="dxa" w:w="1440"/>
            <w:shd w:fill="FAFAFA" w:val="clear"/>
          </w:tcPr>
          <w:p>
            <w:r>
              <w:rPr>
                <w:b/>
                <w:sz w:val="17"/>
              </w:rPr>
              <w:t>4,300</w:t>
            </w:r>
          </w:p>
        </w:tc>
        <w:tc>
          <w:tcPr>
            <w:tcW w:type="dxa" w:w="1440"/>
            <w:shd w:fill="FAFAFA" w:val="clear"/>
          </w:tcPr>
          <w:p>
            <w:r>
              <w:rPr>
                <w:sz w:val="17"/>
              </w:rPr>
              <w:t>4,788</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3,759</w:t>
            </w:r>
          </w:p>
        </w:tc>
        <w:tc>
          <w:tcPr>
            <w:tcW w:type="dxa" w:w="1440"/>
            <w:shd w:fill="FAFAFA" w:val="clear"/>
          </w:tcPr>
          <w:p>
            <w:r>
              <w:rPr>
                <w:b/>
                <w:sz w:val="17"/>
              </w:rPr>
              <w:t>4,292</w:t>
            </w:r>
          </w:p>
        </w:tc>
        <w:tc>
          <w:tcPr>
            <w:tcW w:type="dxa" w:w="1440"/>
            <w:shd w:fill="FAFAFA" w:val="clear"/>
          </w:tcPr>
          <w:p>
            <w:r>
              <w:rPr>
                <w:sz w:val="17"/>
              </w:rPr>
              <w:t>4,825</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3,710</w:t>
            </w:r>
          </w:p>
        </w:tc>
        <w:tc>
          <w:tcPr>
            <w:tcW w:type="dxa" w:w="1440"/>
            <w:shd w:fill="FAFAFA" w:val="clear"/>
          </w:tcPr>
          <w:p>
            <w:r>
              <w:rPr>
                <w:b/>
                <w:sz w:val="17"/>
              </w:rPr>
              <w:t>4,285</w:t>
            </w:r>
          </w:p>
        </w:tc>
        <w:tc>
          <w:tcPr>
            <w:tcW w:type="dxa" w:w="1440"/>
            <w:shd w:fill="FAFAFA" w:val="clear"/>
          </w:tcPr>
          <w:p>
            <w:r>
              <w:rPr>
                <w:sz w:val="17"/>
              </w:rPr>
              <w:t>4,859</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3,664</w:t>
            </w:r>
          </w:p>
        </w:tc>
        <w:tc>
          <w:tcPr>
            <w:tcW w:type="dxa" w:w="1440"/>
            <w:shd w:fill="FAFAFA" w:val="clear"/>
          </w:tcPr>
          <w:p>
            <w:r>
              <w:rPr>
                <w:b/>
                <w:sz w:val="17"/>
              </w:rPr>
              <w:t>4,277</w:t>
            </w:r>
          </w:p>
        </w:tc>
        <w:tc>
          <w:tcPr>
            <w:tcW w:type="dxa" w:w="1440"/>
            <w:shd w:fill="FAFAFA" w:val="clear"/>
          </w:tcPr>
          <w:p>
            <w:r>
              <w:rPr>
                <w:sz w:val="17"/>
              </w:rPr>
              <w:t>4,890</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3,621</w:t>
            </w:r>
          </w:p>
        </w:tc>
        <w:tc>
          <w:tcPr>
            <w:tcW w:type="dxa" w:w="1440"/>
            <w:shd w:fill="FAFAFA" w:val="clear"/>
          </w:tcPr>
          <w:p>
            <w:r>
              <w:rPr>
                <w:b/>
                <w:sz w:val="17"/>
              </w:rPr>
              <w:t>4,270</w:t>
            </w:r>
          </w:p>
        </w:tc>
        <w:tc>
          <w:tcPr>
            <w:tcW w:type="dxa" w:w="1440"/>
            <w:shd w:fill="FAFAFA" w:val="clear"/>
          </w:tcPr>
          <w:p>
            <w:r>
              <w:rPr>
                <w:sz w:val="17"/>
              </w:rPr>
              <w:t>4,919</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3,580</w:t>
            </w:r>
          </w:p>
        </w:tc>
        <w:tc>
          <w:tcPr>
            <w:tcW w:type="dxa" w:w="1440"/>
            <w:shd w:fill="FAFAFA" w:val="clear"/>
          </w:tcPr>
          <w:p>
            <w:r>
              <w:rPr>
                <w:b/>
                <w:sz w:val="17"/>
              </w:rPr>
              <w:t>4,263</w:t>
            </w:r>
          </w:p>
        </w:tc>
        <w:tc>
          <w:tcPr>
            <w:tcW w:type="dxa" w:w="1440"/>
            <w:shd w:fill="FAFAFA" w:val="clear"/>
          </w:tcPr>
          <w:p>
            <w:r>
              <w:rPr>
                <w:sz w:val="17"/>
              </w:rPr>
              <w:t>4,946</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44,49 milliards FCFA, PRSC se positionne comme une valeur de taille moyenne sur le compartiment industriel/distribution de la BRVM, représentant un poids modéré dans l'indice composite. Le BPA de 231 FCFA/action signifie que chaque titre génère près de 231 FCFA de bénéfice net, ce qui, rapporté au cours actuel de 4 345 FCFA, donne un PER de 18,8x — nettement supérieur à la moyenne BRVM (8-12x), traduisant une prime de valorisation significative que les investisseurs accordent à la société. Le P/B de 3,86x confirme cette lecture : le marché valorise PRSC à près de 4 fois sa valeur comptable (11,53 Mds FCFA de capitaux propres), ce qui place le titre dans la fourchette haute (2-4x) des primes de croissance. L'EV/EBITDA de 9,6x, dans la zone raisonnable (5-10x), suggère que la valeur d'entreprise reste cohérente avec la capacité opérationnelle de génération de cash, bien que le PER élevé invite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PRSC affiche une performance positive de +10,84%, malgré un repli de -1,25% lors de la dernière séance (J-1), signalant une légère prise de bénéfices après la progression. Le titre a évolué dans un range de 890 FCFA, entre un plus bas de 3 850 FCFA et un plus haut de 4 740 FCFA, pour un cours actuel de 4 345 FCFA — soit à mi-chemin du range, ce qui traduit une consolidation après le pic. La tendance générale est haussière sur la période, portée par la dynamique du marché automobile ivoirien et les résultats semestriels 2025 exceptionnels. Les statistiques descriptives révèlent une moyenne de 4 388 FCFA légèrement supérieure à la médiane de 4 402 FCFA (proche du mode de 4 400 FCFA), indiquant une distribution quasi-symétrique avec une légère concentration des échanges autour de 4 400 FCFA. L'écart-type de 185 FCFA (CV=4,2%) traduit une dispersion modérée du cours, tandis que le kurtosis de 0,368 (mésokurtique) suggère une distribution proche de la normale, sans risque excessif de pics extrêmes. Le skewness de -0,708 (asymétrie négative) indique davantage de journées de cotation au-dessus de la moyenne, ce qui est un signal légèrement favorable. La volatilité annualisée de 40,2% classe le titre dans la catégorie des valeurs à volatilité élevée (&gt;30%), ce qui implique un risque de fluctuation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(4 198,5 FCFA) est nettement inférieure à la MM50 (4 342,7 FCFA), et le cours actuel (4 345 FCFA) se situe au-dessus de la MM20 mais au niveau de la MM50. Cette configuration — cours sous la MM50 et MM20 en dessous de la MM50 — traduit une pression baissière de court terme, justifiant la décision de **Vente** émise par le croisement des moyennes.</w:t>
      </w:r>
    </w:p>
    <w:p>
      <w:pPr>
        <w:spacing w:after="120" w:line="276" w:lineRule="auto"/>
      </w:pPr>
      <w:r>
        <w:t>**Bandes de Bollinger** : Le cours (4 345 FCFA) se situe à mi-chemin entre la borne inférieure (3 844,25 FCFA) et la borne supérieure (4 552,75 FCFA), sans contact avec les extrêmes. Cette position centrale, dans un canal relativement large, indique une absence de signal directionnel fort et une volatilité normale, d'où la décision **Neutre**.</w:t>
      </w:r>
    </w:p>
    <w:p>
      <w:pPr>
        <w:spacing w:after="120" w:line="276" w:lineRule="auto"/>
      </w:pPr>
      <w:r>
        <w:t>**MACD** : La valeur du MACD (-24,525) est supérieure à son signal (-62,082), formant un croisement haussier (MACD au-dessus du signal) bien que les deux restent en territoire négatif. Ce momentum positif naissant, bien que fragile, justifie la décision d'**Achat** émise par l'indicateur, suggérant un possible retournement à la hausse.</w:t>
      </w:r>
    </w:p>
    <w:p>
      <w:pPr>
        <w:spacing w:after="120" w:line="276" w:lineRule="auto"/>
      </w:pPr>
      <w:r>
        <w:t>**RSI** : À 53,69, le RSI se situe dans la zone neutre (30-70), sans signal de surachat (&gt;70) ni de survente (&lt;30). Cette position équilibrée indique une absence de pression acheteuse ou vendeuse dominante, justifiant la décision **Neutre**.</w:t>
      </w:r>
    </w:p>
    <w:p>
      <w:pPr>
        <w:spacing w:after="120" w:line="276" w:lineRule="auto"/>
      </w:pPr>
      <w:r>
        <w:t>**Stochastique** : Le %K (90,0) est nettement supérieur au %D (83,741), et les deux se situent en zone de surachat (&gt;80). Ce positionnement élevé, avec un %K proche de son maximum, signale un risque de correction à court terme et justifie la décision de **Vente**.</w:t>
      </w:r>
    </w:p>
    <w:p>
      <w:pPr>
        <w:spacing w:after="120" w:line="276" w:lineRule="auto"/>
      </w:pPr>
      <w:r>
        <w:t>**Conclusion technique** : Les indicateurs techniques présentent une divergence notable : le MACD émet un signal d'achat (croisement haussier), tandis que les moyennes mobiles et le stochastique recommandent la vente (pression baissière et surachat). Le RSI et les Bandes de Bollinger restent neutres, reflétant une absence de tendance claire. Cette configuration mitigée suggère une phase de consolidation avec un risque de correction à court terme, mais un potentiel de rebond à moyen terme si le MACD confirme son croisement.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PRSC a réalisé un chiffre d'affaires de 81,127 milliards FCFA, en croissance de 8,64% par rapport à 2024 (74,45 Mds FCFA), portée par la dynamique du marché automobile ivoirien. Le résultat net s'établit à 2,367 milliards FCFA, en légère hausse par rapport aux 2,177 milliards de 2024 (+8,7%), avec une marge nette de 2,92% — faible mais en amélioration. Le ROE atteint 20,53%, un niveau excellent (&gt;15%), témoignant d'une bonne rentabilité des fonds propres (11,531 Mds FCFA), tandis que le ROA de 4,95% reste modéré, reflétant l'intensité capitalistique du modèle de distribution. En tant qu'entreprise de distribution automobile, PRSC présente un BFR de 11,267 Mds FCFA (positif, donc défavorable), avec un délai client de 46 jours (risque de trésorerie modéré) et un délai fournisseur de 102,65 jours (favorable à la trésorerie). La durée de stockage de 150,51 jours est élevée, immobilisant du capital dans les véhicules et pièces détachées. La structure financière affiche une autonomie financière de 24,10% (inférieure au seuil sain de 30%), un ratio d'endettement de 314,86% (élevé) et une trésorerie nette négative de -4,092 Mds FCFA, signalant une tension de liquidité. La capacité de remboursement de 1,83 an et la couverture des intérêts de 1 585% restent rassurantes.</w:t>
      </w:r>
    </w:p>
    <w:p>
      <w:pPr>
        <w:spacing w:after="120" w:line="276" w:lineRule="auto"/>
      </w:pPr>
      <w:r>
        <w:t>**Estimations basées sur les rapports trimestriels** : Le rapport d'activité du S1 2025 (daté du 30/06/2025) révèle un chiffre d'affaires de 39,968 Mds FCFA (+15,1% vs S1 2024) et un résultat net de 1,436 Md FCFA (×28 vs S1 2024), avec une marge nette de 3,6%. Sur cette base, on estime que l'exercice 2025 devrait confirmer cette dynamique, avec un CA annuel proche de 81 Mds FCFA (réalisé) et un résultat net autour de 2,4 Mds FCFA. Le rapport annuel 2025 (daté du 31/12/2025) confirme un CA de 81,1 Mds FCFA (+9,5%) et un résultat net stable à 2,37 Mds FCFA, avec des capitaux propres renforcés à 11,6 Mds FCFA. La société a annoncé un dividende de 209 FCFA/action (rendement de 4,8% au cours actuel), un signal positif pour les actionnaires.</w:t>
      </w:r>
    </w:p>
    <w:p>
      <w:pPr>
        <w:spacing w:after="120" w:line="276" w:lineRule="auto"/>
      </w:pPr>
      <w:r>
        <w:t>**Évolution pluriannuelle** : Entre 2022 et 2025, le CA est passé de 70,09 Mds FCFA à 81,13 Mds FCFA (+15,7%), tandis que le résultat net a fluctué (3,64 Mds en 2022, 2,04 Mds en 2023, 2,18 Mds en 2024, 2,37 Mds en 2025). La marge nette s'est contractée de 5,2% en 2022 à 2,9% en 2025, reflétant une pression concurrentielle accrue (produits low-cost, chinois) et une hausse des coûts opérationnels. Le ROE reste solide à 20,5%, mais la dégradation de la rentabilité opérationnelle (ROC en baisse de 47,3% en 2024) est préoccupante.</w:t>
      </w:r>
    </w:p>
    <w:p>
      <w:pPr>
        <w:spacing w:after="120" w:line="276" w:lineRule="auto"/>
      </w:pPr>
      <w:r>
        <w:t>**Recommandation fondamentale** : PRSC présente un profil de croissance modérée avec des fondamentaux mitigés — ROE excellent, mais marge nette faible, endettement élevé et trésorerie nette négative. La dynamique commerciale reste positive (CA +8,6% en 2025), portée par le marché automobile ivoirien, mais la pression sur les marges et la dépendance aux produits non courants (produits exceptionnels de 1,9 Md FCFA en 2024) fragilisent la qualité des résultats. La recommandation fondamentale est **CONSERVER** avec vigilance, en surveillant l'évolution du BFR, de la trésorerie et de la marge nette.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18,8x et le P/B de 3,86x indiquent une surévaluation relative par rapport à la moyenne BRVM (8-12x), bien que l'EV/EBITDA de 9,6x reste raisonnable — le marché intègre déjà une prime de croissance significative. **Comportement du cours (Partie 1)** : la tendance haussière (+10,84% sur 100 jours) est tempérée par une volatilité élevée (40,2%) et un skewness négatif (-0,708) signalant une asymétrie défavorable, tandis que le kurtosis (0,368) indique un risque de pics modéré. **Signaux techniques (Partie 2)** : divergence entre le MACD (achat) et les moyennes mobiles/stochastique (vente), avec un RSI neutre — configuration mitigée suggérant une consolidation. **Fondamentaux (Partie 3)** : croissance du CA (+8,6% en 2025) et ROE solide (20,5%), mais marge nette faible (2,9%), endettement élevé (314,86%) et trésorerie nette négative (-4,09 Mds FCFA) — des risques à surveiller. **Prédictions IA (J+1 à J+10)** : la trajectoire baissière anticipée (4 332 → 4 300 FCFA) contredit le MACD haussier mais confirme les signaux de vente des moyennes mobiles et du stochastique.</w:t>
      </w:r>
    </w:p>
    <w:p>
      <w:pPr>
        <w:spacing w:after="120" w:line="276" w:lineRule="auto"/>
      </w:pPr>
      <w:r>
        <w:t>**Recommandation finale** : **CONSERVER**. La convergence entre la valorisation élevée (PER 18,8x), les signaux techniques mitigés (divergence MACD/MM) et les fondamentaux corrects mais perfectibles (marge nette faible, endettement élevé) ne justifie pas un achat agressif, mais la croissance du CA, le ROE solide et le dividende attractif (209 FCFA/action, rendement 4,8%) plaident contre une vente. Le niveau de confiance est **Moyen**, car les signaux sont contradictoires (MACD haussier vs prédictions baissières). Le risque global est **Élevé** (volatilité 40,2%, endettement 314,86%, trésorerie négative). L'horizon d'investissement optimal est **moyen terme (3-12 mois)**, en attendant la confirmation de la tendance par les prochains résultats trimestriels et une clarification de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48.31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8,055 titres</w:t>
            </w:r>
          </w:p>
        </w:tc>
        <w:tc>
          <w:tcPr>
            <w:tcW w:type="dxa" w:w="2268"/>
            <w:shd w:fill="FFF2CC" w:val="clear"/>
          </w:tcPr>
          <w:p>
            <w:r>
              <w:rPr>
                <w:b/>
                <w:color w:val="503200"/>
                <w:sz w:val="16"/>
              </w:rPr>
              <w:t xml:space="preserve">Cours actuel : </w:t>
            </w:r>
            <w:r>
              <w:rPr>
                <w:color w:val="000000"/>
                <w:sz w:val="17"/>
              </w:rPr>
              <w:t>4,070 FCFA</w:t>
            </w:r>
          </w:p>
          <w:p>
            <w:r>
              <w:rPr>
                <w:b/>
                <w:color w:val="503200"/>
                <w:sz w:val="16"/>
              </w:rPr>
              <w:t xml:space="preserve">Var. 100 jours : </w:t>
            </w:r>
            <w:r>
              <w:rPr>
                <w:b/>
                <w:color w:val="007800"/>
                <w:sz w:val="17"/>
              </w:rPr>
              <w:t>+7.39%</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15.15% (Élevée) — μ=4,677 FCFA, σ=709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β=1.3258 (Agressif) — Cov=0.000099, Var(idx)=0.000075, ρ=0.295,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σ_j=3.85%/j (Modérée) — Vol. annualisée≈61.1%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3,762</w:t>
            </w:r>
          </w:p>
        </w:tc>
        <w:tc>
          <w:tcPr>
            <w:tcW w:type="dxa" w:w="1440"/>
            <w:shd w:fill="FAFAFA" w:val="clear"/>
          </w:tcPr>
          <w:p>
            <w:r>
              <w:rPr>
                <w:b/>
                <w:sz w:val="17"/>
              </w:rPr>
              <w:t>4,057</w:t>
            </w:r>
          </w:p>
        </w:tc>
        <w:tc>
          <w:tcPr>
            <w:tcW w:type="dxa" w:w="1440"/>
            <w:shd w:fill="FAFAFA" w:val="clear"/>
          </w:tcPr>
          <w:p>
            <w:r>
              <w:rPr>
                <w:sz w:val="17"/>
              </w:rPr>
              <w:t>4,353</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3,657</w:t>
            </w:r>
          </w:p>
        </w:tc>
        <w:tc>
          <w:tcPr>
            <w:tcW w:type="dxa" w:w="1440"/>
            <w:shd w:fill="FAFAFA" w:val="clear"/>
          </w:tcPr>
          <w:p>
            <w:r>
              <w:rPr>
                <w:b/>
                <w:sz w:val="17"/>
              </w:rPr>
              <w:t>4,077</w:t>
            </w:r>
          </w:p>
        </w:tc>
        <w:tc>
          <w:tcPr>
            <w:tcW w:type="dxa" w:w="1440"/>
            <w:shd w:fill="FAFAFA" w:val="clear"/>
          </w:tcPr>
          <w:p>
            <w:r>
              <w:rPr>
                <w:sz w:val="17"/>
              </w:rPr>
              <w:t>4,497</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3,571</w:t>
            </w:r>
          </w:p>
        </w:tc>
        <w:tc>
          <w:tcPr>
            <w:tcW w:type="dxa" w:w="1440"/>
            <w:shd w:fill="FAFAFA" w:val="clear"/>
          </w:tcPr>
          <w:p>
            <w:r>
              <w:rPr>
                <w:b/>
                <w:sz w:val="17"/>
              </w:rPr>
              <w:t>4,086</w:t>
            </w:r>
          </w:p>
        </w:tc>
        <w:tc>
          <w:tcPr>
            <w:tcW w:type="dxa" w:w="1440"/>
            <w:shd w:fill="FAFAFA" w:val="clear"/>
          </w:tcPr>
          <w:p>
            <w:r>
              <w:rPr>
                <w:sz w:val="17"/>
              </w:rPr>
              <w:t>4,602</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3,497</w:t>
            </w:r>
          </w:p>
        </w:tc>
        <w:tc>
          <w:tcPr>
            <w:tcW w:type="dxa" w:w="1440"/>
            <w:shd w:fill="FAFAFA" w:val="clear"/>
          </w:tcPr>
          <w:p>
            <w:r>
              <w:rPr>
                <w:b/>
                <w:sz w:val="17"/>
              </w:rPr>
              <w:t>4,093</w:t>
            </w:r>
          </w:p>
        </w:tc>
        <w:tc>
          <w:tcPr>
            <w:tcW w:type="dxa" w:w="1440"/>
            <w:shd w:fill="FAFAFA" w:val="clear"/>
          </w:tcPr>
          <w:p>
            <w:r>
              <w:rPr>
                <w:sz w:val="17"/>
              </w:rPr>
              <w:t>4,689</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3,431</w:t>
            </w:r>
          </w:p>
        </w:tc>
        <w:tc>
          <w:tcPr>
            <w:tcW w:type="dxa" w:w="1440"/>
            <w:shd w:fill="FAFAFA" w:val="clear"/>
          </w:tcPr>
          <w:p>
            <w:r>
              <w:rPr>
                <w:b/>
                <w:sz w:val="17"/>
              </w:rPr>
              <w:t>4,099</w:t>
            </w:r>
          </w:p>
        </w:tc>
        <w:tc>
          <w:tcPr>
            <w:tcW w:type="dxa" w:w="1440"/>
            <w:shd w:fill="FAFAFA" w:val="clear"/>
          </w:tcPr>
          <w:p>
            <w:r>
              <w:rPr>
                <w:sz w:val="17"/>
              </w:rPr>
              <w:t>4,766</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3,372</w:t>
            </w:r>
          </w:p>
        </w:tc>
        <w:tc>
          <w:tcPr>
            <w:tcW w:type="dxa" w:w="1440"/>
            <w:shd w:fill="FAFAFA" w:val="clear"/>
          </w:tcPr>
          <w:p>
            <w:r>
              <w:rPr>
                <w:b/>
                <w:sz w:val="17"/>
              </w:rPr>
              <w:t>4,104</w:t>
            </w:r>
          </w:p>
        </w:tc>
        <w:tc>
          <w:tcPr>
            <w:tcW w:type="dxa" w:w="1440"/>
            <w:shd w:fill="FAFAFA" w:val="clear"/>
          </w:tcPr>
          <w:p>
            <w:r>
              <w:rPr>
                <w:sz w:val="17"/>
              </w:rPr>
              <w:t>4,836</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3,317</w:t>
            </w:r>
          </w:p>
        </w:tc>
        <w:tc>
          <w:tcPr>
            <w:tcW w:type="dxa" w:w="1440"/>
            <w:shd w:fill="FAFAFA" w:val="clear"/>
          </w:tcPr>
          <w:p>
            <w:r>
              <w:rPr>
                <w:b/>
                <w:sz w:val="17"/>
              </w:rPr>
              <w:t>4,109</w:t>
            </w:r>
          </w:p>
        </w:tc>
        <w:tc>
          <w:tcPr>
            <w:tcW w:type="dxa" w:w="1440"/>
            <w:shd w:fill="FAFAFA" w:val="clear"/>
          </w:tcPr>
          <w:p>
            <w:r>
              <w:rPr>
                <w:sz w:val="17"/>
              </w:rPr>
              <w:t>4,901</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3,266</w:t>
            </w:r>
          </w:p>
        </w:tc>
        <w:tc>
          <w:tcPr>
            <w:tcW w:type="dxa" w:w="1440"/>
            <w:shd w:fill="FAFAFA" w:val="clear"/>
          </w:tcPr>
          <w:p>
            <w:r>
              <w:rPr>
                <w:b/>
                <w:sz w:val="17"/>
              </w:rPr>
              <w:t>4,113</w:t>
            </w:r>
          </w:p>
        </w:tc>
        <w:tc>
          <w:tcPr>
            <w:tcW w:type="dxa" w:w="1440"/>
            <w:shd w:fill="FAFAFA" w:val="clear"/>
          </w:tcPr>
          <w:p>
            <w:r>
              <w:rPr>
                <w:sz w:val="17"/>
              </w:rPr>
              <w:t>4,961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3,218</w:t>
            </w:r>
          </w:p>
        </w:tc>
        <w:tc>
          <w:tcPr>
            <w:tcW w:type="dxa" w:w="1440"/>
            <w:shd w:fill="FAFAFA" w:val="clear"/>
          </w:tcPr>
          <w:p>
            <w:r>
              <w:rPr>
                <w:b/>
                <w:sz w:val="17"/>
              </w:rPr>
              <w:t>4,118</w:t>
            </w:r>
          </w:p>
        </w:tc>
        <w:tc>
          <w:tcPr>
            <w:tcW w:type="dxa" w:w="1440"/>
            <w:shd w:fill="FAFAFA" w:val="clear"/>
          </w:tcPr>
          <w:p>
            <w:r>
              <w:rPr>
                <w:sz w:val="17"/>
              </w:rPr>
              <w:t>5,017</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3,172</w:t>
            </w:r>
          </w:p>
        </w:tc>
        <w:tc>
          <w:tcPr>
            <w:tcW w:type="dxa" w:w="1440"/>
            <w:shd w:fill="FAFAFA" w:val="clear"/>
          </w:tcPr>
          <w:p>
            <w:r>
              <w:rPr>
                <w:b/>
                <w:sz w:val="17"/>
              </w:rPr>
              <w:t>4,122</w:t>
            </w:r>
          </w:p>
        </w:tc>
        <w:tc>
          <w:tcPr>
            <w:tcW w:type="dxa" w:w="1440"/>
            <w:shd w:fill="FAFAFA" w:val="clear"/>
          </w:tcPr>
          <w:p>
            <w:r>
              <w:rPr>
                <w:sz w:val="17"/>
              </w:rPr>
              <w:t>5,071</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48,31 Mds FCFA, SAFC se positionne comme une valeur de taille modeste à l'échelle de la BRVM, ce qui la rend sensible aux mouvements de capitaux et à la faible liquidité du marché. Le BPA s'établit à 59 FCFA/action, un niveau qui, rapporté au cours actuel de 4 070 FCFA, génère un PER de 68,9x — très largement supérieur à la moyenne du marché BRVM (8-12x), signalant que les investisseurs paient une prime considérable pour les bénéfices actuels, ce qui intègre probablement une anticipation de forte croissance future. Le ratio P/B de 8,17x confirme cette valorisation exigeante : le marché valorise la société à plus de 8 fois sa valeur comptable, alors qu'un seuil de 4x est déjà considéré comme élevé, ce qui reflète la confiance dans le redressement post-CREDAF Group mais aussi un risque de correction si les résultats déçoivent. Enfin, l'EV/EBITDA de 82,3x, très au-dessus du seuil de 15x, traduit une valorisation opérationnelle tendue qui n'est justifiable que par une accélération durable de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 progressé de +7,39%, avec une dernière séance en hausse de +1,62%, clôturant à 4 070 FCFA. Le titre a évolué dans un range très large, entre un plus bas de 3 595 FCFA et un plus haut de 6 200 FCFA, soit une amplitude de plus de 72%, ce qui témoigne d'une forte volatilité et d'un marché nerveux. La tendance générale est haussière sur la période, mais le cours actuel se situe en retrait de 34% par rapport à son plus haut, suggérant une phase de correction après un pic spéculatif. Les statistiques descriptives révèlent une moyenne de 4 677 FCFA supérieure à la médiane de 4 580 FCFA, indiquant une asymétrie positive (skewness de 0,363) avec quelques valeurs extrêmes hautes qui tirent la moyenne vers le haut. L'écart-type de 712 FCFA (CV de 15,2%) confirme une dispersion modérée, tandis que le kurtosis de -0,857 (mésokurtique) indique une distribution proche de la normale, sans risque de pics extrêmes fréquents. La volatilité annualisée de 61,1% classe le titre dans la catégorie des valeurs très volatiles (&gt;30%), ce qui implique un risque élevé et nécessite une tolérance importante aux fluctuations pour tout 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(4 377,75 FCFA) et la MM50 (5 079,6 FCFA) encadrent le cours actuel (4 070 FCFA) par le haut, avec une MM20 inférieure à la MM50, ce qui confirme une tendance baissière de court terme. Le cours évoluant sous ses deux moyennes, la décision technique est logiquement **Vente**, signalant une pression vendeuse persistante.</w:t>
      </w:r>
    </w:p>
    <w:p>
      <w:pPr>
        <w:spacing w:after="120" w:line="276" w:lineRule="auto"/>
      </w:pPr>
      <w:r>
        <w:t>**Bandes de Bollinger** : Le cours (4 070 FCFA) se situe dans la partie basse de la bande, entre la borne inférieure (3 708,615 FCFA) et la borne supérieure (5 046,885 FCFA), sans franchissement des limites. Cette position neutre indique une absence de signal directionnel fort, avec une volatilité contenue dans les bornes, justifiant la décision **Neutre**.</w:t>
      </w:r>
    </w:p>
    <w:p>
      <w:pPr>
        <w:spacing w:after="120" w:line="276" w:lineRule="auto"/>
      </w:pPr>
      <w:r>
        <w:t>**MACD** : La valeur du MACD (-293,324) est inférieure à son signal (-283,143), avec un histogramme négatif, ce qui traduit un momentum baissier toujours actif. La divergence négative entre les deux lignes confirme la pression vendeuse, justifiant la décision **Vente**.</w:t>
      </w:r>
    </w:p>
    <w:p>
      <w:pPr>
        <w:spacing w:after="120" w:line="276" w:lineRule="auto"/>
      </w:pPr>
      <w:r>
        <w:t>**RSI** : À 52,184, le RSI se situe dans la zone neutre (30-70), sans signal de surachat (&gt;70) ni de survente (&lt;30). Cette position médiane indique un équilibre entre acheteurs et vendeurs, justifiant la décision **Neutre**.</w:t>
      </w:r>
    </w:p>
    <w:p>
      <w:pPr>
        <w:spacing w:after="120" w:line="276" w:lineRule="auto"/>
      </w:pPr>
      <w:r>
        <w:t>**Stochastique** : Le %K (8,75) et le %D (10,64) sont tous deux en zone de survente (&lt;20), avec un %K inférieur au %D, ce qui suggère un possible retournement haussier à court terme. Cette configuration justifie la décision **Achat**, bien que le signal soit encore fragile.</w:t>
      </w:r>
    </w:p>
    <w:p>
      <w:pPr>
        <w:spacing w:after="120" w:line="276" w:lineRule="auto"/>
      </w:pPr>
      <w:r>
        <w:t>**Conclusion technique** : Les indicateurs sont majoritairement baissiers (MM, MACD) ou neutres (Bollinger, RSI), avec un seul signal haussier (Stochastique) en zone de survente. Cette divergence suggère une phase de consolidation, voire un rebond technique à court terme, mais la tendance de fond reste baissière tant que le cours ne repasse pas au-dessus de la MM20 (4 377,75 FCFA). La prudence est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(PNB) de 5 735 M FCFA, en hausse de 44,1% par rapport à 2024 (3 980 M FCFA), porté par la croissance des intérêts (+14,4%) et des commissions (+81%). Le résultat net s'établit à 701 M FCFA, contre une perte de 165 M FCFA en 2024, marquant un retournement spectaculaire après huit années de déficit. Le ROE atteint 11,85% (contre négatif en 2024), et le ROA s'élève à 0,88%, des niveaux corrects mais encore modestes. Le coefficient d'exploitation de 77,63% reste élevé (&gt;60%), indiquant une efficacité opérationnelle perfectible, tandis que le coût du risque de 6,57% demeure significatif, bien qu'en amélioration. La structure financière reste fragile : les capitaux propres (5 916 M FCFA) ne représentent que 7,44% du total bilan (79 555 M FCFA), et le report à nouveau est négatif (-4 123 M FCFA), ce qui grève les fonds propres.</w:t>
      </w:r>
    </w:p>
    <w:p>
      <w:pPr>
        <w:spacing w:after="120" w:line="276" w:lineRule="auto"/>
      </w:pPr>
      <w:r>
        <w:t>**Estimations basées sur les rapports trimestriels** : Le rapport T1 2026 (publié le 12 mai 2026) indique un PNB de 1 395 M FCFA (+29%) et un résultat net de 151 M FCFA (+1 062%), avec une marge nette de 10,82%. Le rapport S1 2026 (publié le 4 septembre 2026) confirme cette dynamique avec un PNB de 2 907 M FCFA (+37%) et un résultat net de 731 M FCFA (+231%), dépassant déjà le résultat net annuel 2025. Sur la base de ces performances, on estime que l'exercice 2026 devrait afficher un PNB supérieur à 6 Mds FCFA et un résultat net proche de 1,2-1,5 Mds FCFA, soit une croissance de 70-110% par rapport à 2025. Le ratio CET1 s'améliore à 11,49% (S1 2026), renforçant la solidité prudentielle.</w:t>
      </w:r>
    </w:p>
    <w:p>
      <w:pPr>
        <w:spacing w:after="120" w:line="276" w:lineRule="auto"/>
      </w:pPr>
      <w:r>
        <w:t>**Recommandation fondamentale** : La dynamique de redressement est impressionnante, portée par l'intégration réussie au sein de CREDAF Group (rapport du 12 mai 2026) et une meilleure maîtrise du risque. Cependant, la valorisation boursière (PER 68,9x) intègre déjà largement ces perspectives, et la structure financière reste fragile (capitaux propres faibles, dépendance aux dettes interbancaires). La recommandation fondamentale est **CONSERVER**, avec un biais positif pour les investisseurs patientant jusqu'à la confirmation d'un renforcement durable des fonds propres.</w:t>
      </w:r>
    </w:p>
    <w:p>
      <w:pPr>
        <w:spacing w:after="120" w:line="276" w:lineRule="auto"/>
      </w:pPr>
      <w:r>
        <w:t>---</w:t>
      </w:r>
    </w:p>
    <w:p>
      <w:pPr>
        <w:spacing w:after="120" w:line="276" w:lineRule="auto"/>
      </w:pPr>
      <w:r>
        <w:t>## PARTIE 4 : CONCLUSION D'INVESTISSEMENT</w:t>
      </w:r>
    </w:p>
    <w:p>
      <w:pPr>
        <w:spacing w:after="120" w:line="276" w:lineRule="auto"/>
      </w:pPr>
      <w:r>
        <w:t>La valorisation de SAFC (PER 68,9x, P/B 8,17x, EV/EBITDA 82,3x) est très exigeante et intègre une anticipation de forte croissance, ce qui limite le potentiel de revalorisation à court terme et expose le titre à une correction en cas de déception. Le comportement du cours sur 100 jours (+7,39%) est haussier mais volatile (volatilité annualisée de 61,1%), avec une distribution proche de la normale (kurtosis -0,857) et une asymétrie positive (skewness 0,363), ce qui suggère un risque de pics haussiers mais aussi de corrections brutales. Les signaux techniques sont majoritairement baissiers (MM, MACD) ou neutres (Bollinger, RSI), avec un seul signal haussier (Stochastique en survente), ce qui plaide pour une consolidation avant un éventuel rebond. Les fondamentaux sont en nette amélioration (PNB +44% en 2025, résultat net de 701 M FCFA, S1 2026 déjà à 731 M FCFA), mais la structure financière reste fragile et la valorisation tendue. Les prédictions IA (J+1 à J+10) tablent sur une légère hausse vers 4 099 FCFA, ce qui confirme un rebond technique modéré mais ne remet pas en cause la tendance baissière de fond. **Recommandation finale : CONSERVER**, avec un niveau de confiance **Moyen** et un risque global **Élevé**. L'horizon optimal est le **moyen terme (3-12 mois)**, en attendant la confirmation d'un renforcement des fonds propres et d'une amélioration durable de la rentabilité. Un passage à l'achat serait justifié si le cours repasse au-dessus de la MM20 (4 377,75 FCFA) et si les résultats annuels 2026 confirment la trajectoire actuelle.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10,464 titres</w:t>
            </w:r>
          </w:p>
        </w:tc>
        <w:tc>
          <w:tcPr>
            <w:tcW w:type="dxa" w:w="2268"/>
            <w:shd w:fill="FFF2CC" w:val="clear"/>
          </w:tcPr>
          <w:p>
            <w:r>
              <w:rPr>
                <w:b/>
                <w:color w:val="503200"/>
                <w:sz w:val="16"/>
              </w:rPr>
              <w:t xml:space="preserve">Cours actuel : </w:t>
            </w:r>
            <w:r>
              <w:rPr>
                <w:color w:val="000000"/>
                <w:sz w:val="17"/>
              </w:rPr>
              <w:t>2,435 FCFA</w:t>
            </w:r>
          </w:p>
          <w:p>
            <w:r>
              <w:rPr>
                <w:b/>
                <w:color w:val="503200"/>
                <w:sz w:val="16"/>
              </w:rPr>
              <w:t xml:space="preserve">Var. 100 jours : </w:t>
            </w:r>
            <w:r>
              <w:rPr>
                <w:b/>
                <w:color w:val="B40000"/>
                <w:sz w:val="17"/>
              </w:rPr>
              <w:t>-4.51%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13.08% (Moyenne) — μ=3,199 FCFA, σ=418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β=1.2780 (Agressif) — Cov=0.000089, Var(idx)=0.000070, ρ=0.305,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10,464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σ_j=3.50%/j (Modérée) — Vol. annualisée≈55.6%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3244"/>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2026-10-15</w:t>
            </w:r>
          </w:p>
        </w:tc>
        <w:tc>
          <w:tcPr>
            <w:tcW w:type="dxa" w:w="1440"/>
            <w:shd w:fill="C6EFCE" w:val="clear"/>
          </w:tcPr>
          <w:p>
            <w:r>
              <w:rPr>
                <w:sz w:val="17"/>
              </w:rPr>
              <w:t>2,371</w:t>
            </w:r>
          </w:p>
        </w:tc>
        <w:tc>
          <w:tcPr>
            <w:tcW w:type="dxa" w:w="1440"/>
            <w:shd w:fill="C6EFCE" w:val="clear"/>
          </w:tcPr>
          <w:p>
            <w:r>
              <w:rPr>
                <w:b/>
                <w:sz w:val="17"/>
              </w:rPr>
              <w:t>2,518</w:t>
            </w:r>
          </w:p>
        </w:tc>
        <w:tc>
          <w:tcPr>
            <w:tcW w:type="dxa" w:w="1440"/>
            <w:shd w:fill="C6EFCE" w:val="clear"/>
          </w:tcPr>
          <w:p>
            <w:r>
              <w:rPr>
                <w:sz w:val="17"/>
              </w:rPr>
              <w:t>2,665</w:t>
            </w:r>
          </w:p>
        </w:tc>
        <w:tc>
          <w:tcPr>
            <w:tcW w:type="dxa" w:w="1440"/>
            <w:shd w:fill="C6EFCE" w:val="clear"/>
          </w:tcPr>
          <w:p>
            <w:r>
              <w:rPr>
                <w:b/>
                <w:color w:val="008000"/>
                <w:sz w:val="17"/>
              </w:rPr>
              <w:t>+3.4%</w:t>
            </w:r>
          </w:p>
        </w:tc>
      </w:tr>
      <w:tr>
        <w:tc>
          <w:tcPr>
            <w:tcW w:type="dxa" w:w="1440"/>
            <w:shd w:fill="C6EFCE" w:val="clear"/>
          </w:tcPr>
          <w:p>
            <w:r>
              <w:rPr>
                <w:sz w:val="17"/>
              </w:rPr>
              <w:t>J+2  Moyenne</w:t>
            </w:r>
          </w:p>
        </w:tc>
        <w:tc>
          <w:tcPr>
            <w:tcW w:type="dxa" w:w="1440"/>
            <w:shd w:fill="C6EFCE" w:val="clear"/>
          </w:tcPr>
          <w:p>
            <w:r>
              <w:rPr>
                <w:sz w:val="17"/>
              </w:rPr>
              <w:t>2026-10-16</w:t>
            </w:r>
          </w:p>
        </w:tc>
        <w:tc>
          <w:tcPr>
            <w:tcW w:type="dxa" w:w="1440"/>
            <w:shd w:fill="C6EFCE" w:val="clear"/>
          </w:tcPr>
          <w:p>
            <w:r>
              <w:rPr>
                <w:sz w:val="17"/>
              </w:rPr>
              <w:t>2,395</w:t>
            </w:r>
          </w:p>
        </w:tc>
        <w:tc>
          <w:tcPr>
            <w:tcW w:type="dxa" w:w="1440"/>
            <w:shd w:fill="C6EFCE" w:val="clear"/>
          </w:tcPr>
          <w:p>
            <w:r>
              <w:rPr>
                <w:b/>
                <w:sz w:val="17"/>
              </w:rPr>
              <w:t>2,610</w:t>
            </w:r>
          </w:p>
        </w:tc>
        <w:tc>
          <w:tcPr>
            <w:tcW w:type="dxa" w:w="1440"/>
            <w:shd w:fill="C6EFCE" w:val="clear"/>
          </w:tcPr>
          <w:p>
            <w:r>
              <w:rPr>
                <w:sz w:val="17"/>
              </w:rPr>
              <w:t>2,826</w:t>
            </w:r>
          </w:p>
        </w:tc>
        <w:tc>
          <w:tcPr>
            <w:tcW w:type="dxa" w:w="1440"/>
            <w:shd w:fill="C6EFCE" w:val="clear"/>
          </w:tcPr>
          <w:p>
            <w:r>
              <w:rPr>
                <w:b/>
                <w:color w:val="008000"/>
                <w:sz w:val="17"/>
              </w:rPr>
              <w:t>+7.2%</w:t>
            </w:r>
          </w:p>
        </w:tc>
      </w:tr>
      <w:tr>
        <w:tc>
          <w:tcPr>
            <w:tcW w:type="dxa" w:w="1440"/>
            <w:shd w:fill="C6EFCE" w:val="clear"/>
          </w:tcPr>
          <w:p>
            <w:r>
              <w:rPr>
                <w:sz w:val="17"/>
              </w:rPr>
              <w:t>J+3  Moyenne</w:t>
            </w:r>
          </w:p>
        </w:tc>
        <w:tc>
          <w:tcPr>
            <w:tcW w:type="dxa" w:w="1440"/>
            <w:shd w:fill="C6EFCE" w:val="clear"/>
          </w:tcPr>
          <w:p>
            <w:r>
              <w:rPr>
                <w:sz w:val="17"/>
              </w:rPr>
              <w:t>2026-10-19</w:t>
            </w:r>
          </w:p>
        </w:tc>
        <w:tc>
          <w:tcPr>
            <w:tcW w:type="dxa" w:w="1440"/>
            <w:shd w:fill="C6EFCE" w:val="clear"/>
          </w:tcPr>
          <w:p>
            <w:r>
              <w:rPr>
                <w:sz w:val="17"/>
              </w:rPr>
              <w:t>2,440</w:t>
            </w:r>
          </w:p>
        </w:tc>
        <w:tc>
          <w:tcPr>
            <w:tcW w:type="dxa" w:w="1440"/>
            <w:shd w:fill="C6EFCE" w:val="clear"/>
          </w:tcPr>
          <w:p>
            <w:r>
              <w:rPr>
                <w:b/>
                <w:sz w:val="17"/>
              </w:rPr>
              <w:t>2,714</w:t>
            </w:r>
          </w:p>
        </w:tc>
        <w:tc>
          <w:tcPr>
            <w:tcW w:type="dxa" w:w="1440"/>
            <w:shd w:fill="C6EFCE" w:val="clear"/>
          </w:tcPr>
          <w:p>
            <w:r>
              <w:rPr>
                <w:sz w:val="17"/>
              </w:rPr>
              <w:t>2,989</w:t>
            </w:r>
          </w:p>
        </w:tc>
        <w:tc>
          <w:tcPr>
            <w:tcW w:type="dxa" w:w="1440"/>
            <w:shd w:fill="C6EFCE" w:val="clear"/>
          </w:tcPr>
          <w:p>
            <w:r>
              <w:rPr>
                <w:b/>
                <w:color w:val="008000"/>
                <w:sz w:val="17"/>
              </w:rPr>
              <w:t>+11.5%</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2,479</w:t>
            </w:r>
          </w:p>
        </w:tc>
        <w:tc>
          <w:tcPr>
            <w:tcW w:type="dxa" w:w="1440"/>
            <w:shd w:fill="C6EFCE" w:val="clear"/>
          </w:tcPr>
          <w:p>
            <w:r>
              <w:rPr>
                <w:b/>
                <w:sz w:val="17"/>
              </w:rPr>
              <w:t>2,807</w:t>
            </w:r>
          </w:p>
        </w:tc>
        <w:tc>
          <w:tcPr>
            <w:tcW w:type="dxa" w:w="1440"/>
            <w:shd w:fill="C6EFCE" w:val="clear"/>
          </w:tcPr>
          <w:p>
            <w:r>
              <w:rPr>
                <w:sz w:val="17"/>
              </w:rPr>
              <w:t>3,134</w:t>
            </w:r>
          </w:p>
        </w:tc>
        <w:tc>
          <w:tcPr>
            <w:tcW w:type="dxa" w:w="1440"/>
            <w:shd w:fill="C6EFCE" w:val="clear"/>
          </w:tcPr>
          <w:p>
            <w:r>
              <w:rPr>
                <w:b/>
                <w:color w:val="008000"/>
                <w:sz w:val="17"/>
              </w:rPr>
              <w:t>+15.3%</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2,509</w:t>
            </w:r>
          </w:p>
        </w:tc>
        <w:tc>
          <w:tcPr>
            <w:tcW w:type="dxa" w:w="1440"/>
            <w:shd w:fill="C6EFCE" w:val="clear"/>
          </w:tcPr>
          <w:p>
            <w:r>
              <w:rPr>
                <w:b/>
                <w:sz w:val="17"/>
              </w:rPr>
              <w:t>2,886</w:t>
            </w:r>
          </w:p>
        </w:tc>
        <w:tc>
          <w:tcPr>
            <w:tcW w:type="dxa" w:w="1440"/>
            <w:shd w:fill="C6EFCE" w:val="clear"/>
          </w:tcPr>
          <w:p>
            <w:r>
              <w:rPr>
                <w:sz w:val="17"/>
              </w:rPr>
              <w:t>3,264</w:t>
            </w:r>
          </w:p>
        </w:tc>
        <w:tc>
          <w:tcPr>
            <w:tcW w:type="dxa" w:w="1440"/>
            <w:shd w:fill="C6EFCE" w:val="clear"/>
          </w:tcPr>
          <w:p>
            <w:r>
              <w:rPr>
                <w:b/>
                <w:color w:val="008000"/>
                <w:sz w:val="17"/>
              </w:rPr>
              <w:t>+18.5%</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2,533</w:t>
            </w:r>
          </w:p>
        </w:tc>
        <w:tc>
          <w:tcPr>
            <w:tcW w:type="dxa" w:w="1440"/>
            <w:shd w:fill="C6EFCE" w:val="clear"/>
          </w:tcPr>
          <w:p>
            <w:r>
              <w:rPr>
                <w:b/>
                <w:sz w:val="17"/>
              </w:rPr>
              <w:t>2,957</w:t>
            </w:r>
          </w:p>
        </w:tc>
        <w:tc>
          <w:tcPr>
            <w:tcW w:type="dxa" w:w="1440"/>
            <w:shd w:fill="C6EFCE" w:val="clear"/>
          </w:tcPr>
          <w:p>
            <w:r>
              <w:rPr>
                <w:sz w:val="17"/>
              </w:rPr>
              <w:t>3,380</w:t>
            </w:r>
          </w:p>
        </w:tc>
        <w:tc>
          <w:tcPr>
            <w:tcW w:type="dxa" w:w="1440"/>
            <w:shd w:fill="C6EFCE" w:val="clear"/>
          </w:tcPr>
          <w:p>
            <w:r>
              <w:rPr>
                <w:b/>
                <w:color w:val="008000"/>
                <w:sz w:val="17"/>
              </w:rPr>
              <w:t>+21.4%</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2,552</w:t>
            </w:r>
          </w:p>
        </w:tc>
        <w:tc>
          <w:tcPr>
            <w:tcW w:type="dxa" w:w="1440"/>
            <w:shd w:fill="C6EFCE" w:val="clear"/>
          </w:tcPr>
          <w:p>
            <w:r>
              <w:rPr>
                <w:b/>
                <w:sz w:val="17"/>
              </w:rPr>
              <w:t>3,019</w:t>
            </w:r>
          </w:p>
        </w:tc>
        <w:tc>
          <w:tcPr>
            <w:tcW w:type="dxa" w:w="1440"/>
            <w:shd w:fill="C6EFCE" w:val="clear"/>
          </w:tcPr>
          <w:p>
            <w:r>
              <w:rPr>
                <w:sz w:val="17"/>
              </w:rPr>
              <w:t>3,485</w:t>
            </w:r>
          </w:p>
        </w:tc>
        <w:tc>
          <w:tcPr>
            <w:tcW w:type="dxa" w:w="1440"/>
            <w:shd w:fill="C6EFCE" w:val="clear"/>
          </w:tcPr>
          <w:p>
            <w:r>
              <w:rPr>
                <w:b/>
                <w:color w:val="008000"/>
                <w:sz w:val="17"/>
              </w:rPr>
              <w:t>+24.0%</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2,566</w:t>
            </w:r>
          </w:p>
        </w:tc>
        <w:tc>
          <w:tcPr>
            <w:tcW w:type="dxa" w:w="1440"/>
            <w:shd w:fill="C6EFCE" w:val="clear"/>
          </w:tcPr>
          <w:p>
            <w:r>
              <w:rPr>
                <w:b/>
                <w:sz w:val="17"/>
              </w:rPr>
              <w:t>3,074</w:t>
            </w:r>
          </w:p>
        </w:tc>
        <w:tc>
          <w:tcPr>
            <w:tcW w:type="dxa" w:w="1440"/>
            <w:shd w:fill="C6EFCE" w:val="clear"/>
          </w:tcPr>
          <w:p>
            <w:r>
              <w:rPr>
                <w:sz w:val="17"/>
              </w:rPr>
              <w:t>3,582</w:t>
            </w:r>
          </w:p>
        </w:tc>
        <w:tc>
          <w:tcPr>
            <w:tcW w:type="dxa" w:w="1440"/>
            <w:shd w:fill="C6EFCE" w:val="clear"/>
          </w:tcPr>
          <w:p>
            <w:r>
              <w:rPr>
                <w:b/>
                <w:color w:val="008000"/>
                <w:sz w:val="17"/>
              </w:rPr>
              <w:t>+26.2%</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2,575</w:t>
            </w:r>
          </w:p>
        </w:tc>
        <w:tc>
          <w:tcPr>
            <w:tcW w:type="dxa" w:w="1440"/>
            <w:shd w:fill="C6EFCE" w:val="clear"/>
          </w:tcPr>
          <w:p>
            <w:r>
              <w:rPr>
                <w:b/>
                <w:sz w:val="17"/>
              </w:rPr>
              <w:t>3,123</w:t>
            </w:r>
          </w:p>
        </w:tc>
        <w:tc>
          <w:tcPr>
            <w:tcW w:type="dxa" w:w="1440"/>
            <w:shd w:fill="C6EFCE" w:val="clear"/>
          </w:tcPr>
          <w:p>
            <w:r>
              <w:rPr>
                <w:sz w:val="17"/>
              </w:rPr>
              <w:t>3,670</w:t>
            </w:r>
          </w:p>
        </w:tc>
        <w:tc>
          <w:tcPr>
            <w:tcW w:type="dxa" w:w="1440"/>
            <w:shd w:fill="C6EFCE" w:val="clear"/>
          </w:tcPr>
          <w:p>
            <w:r>
              <w:rPr>
                <w:b/>
                <w:color w:val="008000"/>
                <w:sz w:val="17"/>
              </w:rPr>
              <w:t>+28.2%</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2,581</w:t>
            </w:r>
          </w:p>
        </w:tc>
        <w:tc>
          <w:tcPr>
            <w:tcW w:type="dxa" w:w="1440"/>
            <w:shd w:fill="C6EFCE" w:val="clear"/>
          </w:tcPr>
          <w:p>
            <w:r>
              <w:rPr>
                <w:b/>
                <w:sz w:val="17"/>
              </w:rPr>
              <w:t>3,166</w:t>
            </w:r>
          </w:p>
        </w:tc>
        <w:tc>
          <w:tcPr>
            <w:tcW w:type="dxa" w:w="1440"/>
            <w:shd w:fill="C6EFCE" w:val="clear"/>
          </w:tcPr>
          <w:p>
            <w:r>
              <w:rPr>
                <w:sz w:val="17"/>
              </w:rPr>
              <w:t>3,751</w:t>
            </w:r>
          </w:p>
        </w:tc>
        <w:tc>
          <w:tcPr>
            <w:tcW w:type="dxa" w:w="1440"/>
            <w:shd w:fill="C6EFCE" w:val="clear"/>
          </w:tcPr>
          <w:p>
            <w:r>
              <w:rPr>
                <w:b/>
                <w:color w:val="008000"/>
                <w:sz w:val="17"/>
              </w:rPr>
              <w:t>+30.0%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47,73 Mds FCFA, SCRC se situe dans la fourchette des valeurs moyennes de la cote BRVM, mais cette taille reste modeste au regard de son secteur industriel. Le BPA s'établit à -406 FCFA/action, traduisant une société en perte, ce qui rend le PER inopérant (-6,0x) et signale que les investisseurs ne peuvent valoriser le titre sur les bénéfices actuels. Le P/B de 2,77x indique que le marché valorise SCRC à près de trois fois ses fonds propres comptables (17,24 Mds FCFA), soit une prime de croissance significative qui contraste fortement avec la dégradation des résultats. L'EV/EBITDA de 9,4x, dans la fourchette raisonnable de 5-10x, suggère que la valeur d'entreprise reste soutenue par la capacité opérationnelle (EBE de 14,85 Mds FCFA), mais cette apparente normalité masque une structure financière sous tension. Globalement, la valorisation apparaît tendue : le marché paie une prime sur les fonds propres (P/B élevé) alors que la rentabilité est négative, ce qui expose le titre à un risque de correction si les fondamentaux ne se redressent pas.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SCRC affiche une variation totale de -4,51%, avec une dernière séance en repli de -1,02%, confirmant une dynamique baissière persistante. Le cours actuel de 2 435 FCFA se situe dans la partie basse du range de trading, le plus haut ayant atteint 3 920 FCFA et le plus bas 2 205 FCFA, soit un écart de plus de 77% entre les extrêmes — signe d'une forte instabilité. La tendance générale est clairement baissière, le titre ayant perdu près de 38% depuis son sommet, sous l'effet de la dégradation des résultats 2025 (perte nette de 7,95 Mds FCFA) et de l'explosion de l'endettement. Les statistiques descriptives révèlent une moyenne de 3 199 FCFA supérieure à la médiane de 3 298 FCFA (léger écart), avec un mode à 3 100 FCFA, indiquant une distribution légèrement asymétrique à gauche (skewness de -0,490), c'est-à-dire que les baisses extrêmes tirent la moyenne vers le bas. L'écart-type de 420 FCFA (CV de 13,1%) traduit une dispersion modérée autour de la moyenne, tandis que le kurtosis de -0,889 (mésokurtique) suggère une distribution proche de la normale, sans risque excessif de pics extrêmes. La volatilité annualisée de 55,6% classe le titre dans la catégorie des valeurs très volatiles (&gt;30%), ce qui implique un risque élevé pour les investisseurs et justifie une prime de risque importante.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(2 837,25 FCFA) et la MM50 (3 269,70 FCFA) se situent toutes deux au-dessus du cours actuel (2 435 FCFA), avec un écart de plus de 400 FCFA pour la MM20 et de plus de 800 FCFA pour la MM50. Cette configuration baissière (cours sous les deux moyennes) confirme la pression vendeuse et justifie la décision technique de **Vente**. Le croisement des moyennes (MM20 sous MM50) renforce le signal négatif.</w:t>
      </w:r>
    </w:p>
    <w:p>
      <w:pPr>
        <w:spacing w:after="120" w:line="276" w:lineRule="auto"/>
      </w:pPr>
      <w:r>
        <w:t>**Bandes de Bollinger** : Le cours (2 435 FCFA) évolue dans la partie basse des bandes, entre la borne inférieure (2 258,96 FCFA) et la borne supérieure (3 415,54 FCFA), à seulement 7,8% au-dessus de la borne basse. Cette position suggère une possible zone de survente à court terme, mais la largeur des bandes (écart de 1 156 FCFA) indique une volatilité élevée. La décision **Neutre** reflète l'absence de signal directionnel fort, le cours n'ayant pas encore touché la borne inférieure.</w:t>
      </w:r>
    </w:p>
    <w:p>
      <w:pPr>
        <w:spacing w:after="120" w:line="276" w:lineRule="auto"/>
      </w:pPr>
      <w:r>
        <w:t>**MACD** : Le MACD (-243,589) est inférieur à son signal (-211,921), avec un histogramme négatif, confirmant un momentum baissier. La divergence entre les deux lignes s'accentue, ce qui justifie la décision de **Vente**. Aucun signe de retournement n'est visible à court terme.</w:t>
      </w:r>
    </w:p>
    <w:p>
      <w:pPr>
        <w:spacing w:after="120" w:line="276" w:lineRule="auto"/>
      </w:pPr>
      <w:r>
        <w:t>**RSI** : À 38,565, le RSI se situe dans la zone neutre basse (30-70), sans atteindre le seuil de survente (30). Cela indique que le titre n'est pas encore techniquement survendu, mais la tendance baissière reste intacte. La décision **Neutre** est cohérente avec cette position médiane.</w:t>
      </w:r>
    </w:p>
    <w:p>
      <w:pPr>
        <w:spacing w:after="120" w:line="276" w:lineRule="auto"/>
      </w:pPr>
      <w:r>
        <w:t>**Stochastique** : Le %K (0,0) est en dessous du %D (0,769), avec un croisement baissier récent. Cependant, la décision **Achat** est contre-intuitive et probablement liée à la position extrême du %K (proche de 0), qui pourrait signaler une survente à très court terme. Ce signal isolé doit être interprété avec prudence.</w:t>
      </w:r>
    </w:p>
    <w:p>
      <w:pPr>
        <w:spacing w:after="120" w:line="276" w:lineRule="auto"/>
      </w:pPr>
      <w:r>
        <w:t>**Conclusion technique** : La majorité des indicateurs (MM, MACD) confirment une tendance baissière, tandis que le RSI et les Bandes de Bollinger suggèrent une possible zone de survente sans signal d'achat clair. Le Stochastique donne un signal d'achat isolé mais peu fiable. Globalement, la configuration technique reste défavorable, avec un risque de poursuite de la baisse vers la borne inférieure des Bandes de Bollinger (2 258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SCRC a enregistré un chiffre d'affaires de 80,57 Mds FCFA, en baisse de 7,6% par rapport à 2024 (87,22 Mds FCFA), et une perte nette de 7,95 Mds FCFA (contre un bénéfice de 2,47 Mds FCFA en 2024), soit une dégradation de 421%. Le ROE s'effondre à -46,13% et le ROA à -5,08%, traduisant une destruction de valeur massive. La marge nette est négative à -9,87%, et la marge opérationnelle à -0,68%, bien que la marge brute reste solide à 45,82%, ce qui indique un bon contrôle des coûts d'achat mais une incapacité à couvrir les charges financières. L'endettement explose : les dettes financières totales atteignent 84,87 Mds FCFA (dont 45,92 Mds FCFA de dettes LT/MT), soit un ratio d'endettement de 88,98% et une dépendance financière de 492,21%, avec des charges financières de 6,79 Mds FCFA (+262% vs 2024). La trésorerie nette est négative à -6,51 Mds FCFA, et le Fonds de Roulement est négatif (-10,67 Mds FCFA), signe de tensions de liquidité. Les délais d'exploitation sont préoccupants : délai clients de 12,28 jours (faible, bon signe), mais délai fournisseurs de 366,07 jours (très élevé, favorable à la trésorerie) et durée de stockage de 360,73 jours (très élevée, immobilisation de capital). Le BFR est positif à 6,53 Mds FCFA, ce qui est défavorable pour une entreprise industrielle. Les rapports trimestriels 2025 (S1 2025, T1 2025) confirment la tendance : au S1 2025, le CA était de 42,87 Mds FCFA (-5%) et le résultat net de -6,71 Mds FCFA, avec une production de sucre en baisse de 18%. Le T1 2025 affichait un CA de 25,09 Mds FCFA (-13%) et un résultat net de 3,21 Mds FCFA (-32%), mais cette performance positive était due à des ventes exceptionnelles du T4 2024. Sur la base du T1 2025 (CA -13%) et du S1 2025 (CA -5%), on estime que l'exercice 2025 devrait se solder par une perte nette annuelle de l'ordre de 7 à 8 Mds FCFA, ce qui est confirmé par les états financiers annuels. La société fait face à un cercle vicieux : endettement massif, charges financières insoutenables, et baisse des volumes de production. La recommandation fondamentale est **VENDRE** en raison des risques de liquidité, de la structure financière critique et de l'absence de perspective de redressement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SCRC apparaît surévaluée : le P/B de 2,77x contraste avec une rentabilité négative (ROE de -46,13%), et le PER négatif (-6,0x) rend le titre ininvestissable sur les bénéfices. Le comportement du cours est préoccupant : tendance baissière (-4,51% sur 100 jours), volatilité très élevée (55,6%), et statistiques descriptives (skewness négatif, kurtosis proche de la normale) indiquant un risque de baisse persistante. Les signaux techniques sont majoritairement baissiers (MM20 et MM50 au-dessus du cours, MACD négatif), avec un RSI neutre et un Stochastique donnant un signal d'achat isolé et peu fiable. Les fondamentaux sont critiques : perte nette de 7,95 Mds FCFA en 2025, endettement de 84,87 Mds FCFA, trésorerie nette négative, et perspectives 2026 très incertaines. Les prédictions IA (J+1 à J+10) anticipent une hausse progressive de 2 518 FCFA à 2 886 FCFA, ce qui contredit les signaux techniques et fondamentaux baissiers, mais pourrait refléter un rebond technique à court terme après la survente. Cependant, cette trajectoire haussière semble fragile et ne remet pas en cause la tendance de fond. Sur la base de cette synthèse globale, la recommandation finale est **VENTE FORTE**, avec une convergence des signaux baissiers (valorisation tendue, technique dégradée, fondamentaux critiques) et une divergence avec les prédictions IA (rebond technique probable mais non soutenable). Le niveau de confiance est **Élevé** (les données fondamentales et techniques sont claires), et le niveau de risque global est **Élevé** (volatilité, endettement, perte nette). L'horizon d'investissement optimal est **court terme** (&lt;3 mois) pour les investisseurs cherchant à profiter d'un éventuel rebond technique, mais la position la plus prudente reste la vente ou l'évitement du titre en attendant une amélioration structurelle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112.50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1,526 titres</w:t>
            </w:r>
          </w:p>
        </w:tc>
        <w:tc>
          <w:tcPr>
            <w:tcW w:type="dxa" w:w="2268"/>
            <w:shd w:fill="FFF2CC" w:val="clear"/>
          </w:tcPr>
          <w:p>
            <w:r>
              <w:rPr>
                <w:b/>
                <w:color w:val="503200"/>
                <w:sz w:val="16"/>
              </w:rPr>
              <w:t xml:space="preserve">Cours actuel : </w:t>
            </w:r>
            <w:r>
              <w:rPr>
                <w:color w:val="000000"/>
                <w:sz w:val="17"/>
              </w:rPr>
              <w:t>12,500 FCFA</w:t>
            </w:r>
          </w:p>
          <w:p>
            <w:r>
              <w:rPr>
                <w:b/>
                <w:color w:val="503200"/>
                <w:sz w:val="16"/>
              </w:rPr>
              <w:t xml:space="preserve">Var. 100 jours : </w:t>
            </w:r>
            <w:r>
              <w:rPr>
                <w:b/>
                <w:color w:val="007800"/>
                <w:sz w:val="17"/>
              </w:rPr>
              <w:t>+12.61%</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5.86% (Moyenne) — μ=12,158 FCFA, σ=712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β=0.6890 (Défensif) — Cov=0.000051, Var(idx)=0.000075, ρ=0.257,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2026-10-15</w:t>
            </w:r>
          </w:p>
        </w:tc>
        <w:tc>
          <w:tcPr>
            <w:tcW w:type="dxa" w:w="1440"/>
            <w:shd w:fill="C6EFCE" w:val="clear"/>
          </w:tcPr>
          <w:p>
            <w:r>
              <w:rPr>
                <w:sz w:val="17"/>
              </w:rPr>
              <w:t>12,123</w:t>
            </w:r>
          </w:p>
        </w:tc>
        <w:tc>
          <w:tcPr>
            <w:tcW w:type="dxa" w:w="1440"/>
            <w:shd w:fill="C6EFCE" w:val="clear"/>
          </w:tcPr>
          <w:p>
            <w:r>
              <w:rPr>
                <w:b/>
                <w:sz w:val="17"/>
              </w:rPr>
              <w:t>12,815</w:t>
            </w:r>
          </w:p>
        </w:tc>
        <w:tc>
          <w:tcPr>
            <w:tcW w:type="dxa" w:w="1440"/>
            <w:shd w:fill="C6EFCE" w:val="clear"/>
          </w:tcPr>
          <w:p>
            <w:r>
              <w:rPr>
                <w:sz w:val="17"/>
              </w:rPr>
              <w:t>13,508</w:t>
            </w:r>
          </w:p>
        </w:tc>
        <w:tc>
          <w:tcPr>
            <w:tcW w:type="dxa" w:w="1440"/>
            <w:shd w:fill="C6EFCE" w:val="clear"/>
          </w:tcPr>
          <w:p>
            <w:r>
              <w:rPr>
                <w:b/>
                <w:color w:val="008000"/>
                <w:sz w:val="17"/>
              </w:rPr>
              <w:t>+2.5%</w:t>
            </w:r>
          </w:p>
        </w:tc>
      </w:tr>
      <w:tr>
        <w:tc>
          <w:tcPr>
            <w:tcW w:type="dxa" w:w="1440"/>
            <w:shd w:fill="C6EFCE" w:val="clear"/>
          </w:tcPr>
          <w:p>
            <w:r>
              <w:rPr>
                <w:sz w:val="17"/>
              </w:rPr>
              <w:t>J+2  ⭐</w:t>
            </w:r>
          </w:p>
        </w:tc>
        <w:tc>
          <w:tcPr>
            <w:tcW w:type="dxa" w:w="1440"/>
            <w:shd w:fill="C6EFCE" w:val="clear"/>
          </w:tcPr>
          <w:p>
            <w:r>
              <w:rPr>
                <w:sz w:val="17"/>
              </w:rPr>
              <w:t>2026-10-16</w:t>
            </w:r>
          </w:p>
        </w:tc>
        <w:tc>
          <w:tcPr>
            <w:tcW w:type="dxa" w:w="1440"/>
            <w:shd w:fill="C6EFCE" w:val="clear"/>
          </w:tcPr>
          <w:p>
            <w:r>
              <w:rPr>
                <w:sz w:val="17"/>
              </w:rPr>
              <w:t>11,872</w:t>
            </w:r>
          </w:p>
        </w:tc>
        <w:tc>
          <w:tcPr>
            <w:tcW w:type="dxa" w:w="1440"/>
            <w:shd w:fill="C6EFCE" w:val="clear"/>
          </w:tcPr>
          <w:p>
            <w:r>
              <w:rPr>
                <w:b/>
                <w:sz w:val="17"/>
              </w:rPr>
              <w:t>12,854</w:t>
            </w:r>
          </w:p>
        </w:tc>
        <w:tc>
          <w:tcPr>
            <w:tcW w:type="dxa" w:w="1440"/>
            <w:shd w:fill="C6EFCE" w:val="clear"/>
          </w:tcPr>
          <w:p>
            <w:r>
              <w:rPr>
                <w:sz w:val="17"/>
              </w:rPr>
              <w:t>13,837</w:t>
            </w:r>
          </w:p>
        </w:tc>
        <w:tc>
          <w:tcPr>
            <w:tcW w:type="dxa" w:w="1440"/>
            <w:shd w:fill="C6EFCE" w:val="clear"/>
          </w:tcPr>
          <w:p>
            <w:r>
              <w:rPr>
                <w:b/>
                <w:color w:val="008000"/>
                <w:sz w:val="17"/>
              </w:rPr>
              <w:t>+2.8%</w:t>
            </w:r>
          </w:p>
        </w:tc>
      </w:tr>
      <w:tr>
        <w:tc>
          <w:tcPr>
            <w:tcW w:type="dxa" w:w="1440"/>
            <w:shd w:fill="C6EFCE" w:val="clear"/>
          </w:tcPr>
          <w:p>
            <w:r>
              <w:rPr>
                <w:sz w:val="17"/>
              </w:rPr>
              <w:t>J+3  ⭐</w:t>
            </w:r>
          </w:p>
        </w:tc>
        <w:tc>
          <w:tcPr>
            <w:tcW w:type="dxa" w:w="1440"/>
            <w:shd w:fill="C6EFCE" w:val="clear"/>
          </w:tcPr>
          <w:p>
            <w:r>
              <w:rPr>
                <w:sz w:val="17"/>
              </w:rPr>
              <w:t>2026-10-19</w:t>
            </w:r>
          </w:p>
        </w:tc>
        <w:tc>
          <w:tcPr>
            <w:tcW w:type="dxa" w:w="1440"/>
            <w:shd w:fill="C6EFCE" w:val="clear"/>
          </w:tcPr>
          <w:p>
            <w:r>
              <w:rPr>
                <w:sz w:val="17"/>
              </w:rPr>
              <w:t>11,686</w:t>
            </w:r>
          </w:p>
        </w:tc>
        <w:tc>
          <w:tcPr>
            <w:tcW w:type="dxa" w:w="1440"/>
            <w:shd w:fill="C6EFCE" w:val="clear"/>
          </w:tcPr>
          <w:p>
            <w:r>
              <w:rPr>
                <w:b/>
                <w:sz w:val="17"/>
              </w:rPr>
              <w:t>12,893</w:t>
            </w:r>
          </w:p>
        </w:tc>
        <w:tc>
          <w:tcPr>
            <w:tcW w:type="dxa" w:w="1440"/>
            <w:shd w:fill="C6EFCE" w:val="clear"/>
          </w:tcPr>
          <w:p>
            <w:r>
              <w:rPr>
                <w:sz w:val="17"/>
              </w:rPr>
              <w:t>14,099</w:t>
            </w:r>
          </w:p>
        </w:tc>
        <w:tc>
          <w:tcPr>
            <w:tcW w:type="dxa" w:w="1440"/>
            <w:shd w:fill="C6EFCE" w:val="clear"/>
          </w:tcPr>
          <w:p>
            <w:r>
              <w:rPr>
                <w:b/>
                <w:color w:val="008000"/>
                <w:sz w:val="17"/>
              </w:rPr>
              <w:t>+3.1%</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11,530</w:t>
            </w:r>
          </w:p>
        </w:tc>
        <w:tc>
          <w:tcPr>
            <w:tcW w:type="dxa" w:w="1440"/>
            <w:shd w:fill="C6EFCE" w:val="clear"/>
          </w:tcPr>
          <w:p>
            <w:r>
              <w:rPr>
                <w:b/>
                <w:sz w:val="17"/>
              </w:rPr>
              <w:t>12,927</w:t>
            </w:r>
          </w:p>
        </w:tc>
        <w:tc>
          <w:tcPr>
            <w:tcW w:type="dxa" w:w="1440"/>
            <w:shd w:fill="C6EFCE" w:val="clear"/>
          </w:tcPr>
          <w:p>
            <w:r>
              <w:rPr>
                <w:sz w:val="17"/>
              </w:rPr>
              <w:t>14,324</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11,391</w:t>
            </w:r>
          </w:p>
        </w:tc>
        <w:tc>
          <w:tcPr>
            <w:tcW w:type="dxa" w:w="1440"/>
            <w:shd w:fill="C6EFCE" w:val="clear"/>
          </w:tcPr>
          <w:p>
            <w:r>
              <w:rPr>
                <w:b/>
                <w:sz w:val="17"/>
              </w:rPr>
              <w:t>12,956</w:t>
            </w:r>
          </w:p>
        </w:tc>
        <w:tc>
          <w:tcPr>
            <w:tcW w:type="dxa" w:w="1440"/>
            <w:shd w:fill="C6EFCE" w:val="clear"/>
          </w:tcPr>
          <w:p>
            <w:r>
              <w:rPr>
                <w:sz w:val="17"/>
              </w:rPr>
              <w:t>14,522</w:t>
            </w:r>
          </w:p>
        </w:tc>
        <w:tc>
          <w:tcPr>
            <w:tcW w:type="dxa" w:w="1440"/>
            <w:shd w:fill="C6EFCE" w:val="clear"/>
          </w:tcPr>
          <w:p>
            <w:r>
              <w:rPr>
                <w:b/>
                <w:color w:val="008000"/>
                <w:sz w:val="17"/>
              </w:rPr>
              <w:t>+3.7%</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11,265</w:t>
            </w:r>
          </w:p>
        </w:tc>
        <w:tc>
          <w:tcPr>
            <w:tcW w:type="dxa" w:w="1440"/>
            <w:shd w:fill="C6EFCE" w:val="clear"/>
          </w:tcPr>
          <w:p>
            <w:r>
              <w:rPr>
                <w:b/>
                <w:sz w:val="17"/>
              </w:rPr>
              <w:t>12,983</w:t>
            </w:r>
          </w:p>
        </w:tc>
        <w:tc>
          <w:tcPr>
            <w:tcW w:type="dxa" w:w="1440"/>
            <w:shd w:fill="C6EFCE" w:val="clear"/>
          </w:tcPr>
          <w:p>
            <w:r>
              <w:rPr>
                <w:sz w:val="17"/>
              </w:rPr>
              <w:t>14,702</w:t>
            </w:r>
          </w:p>
        </w:tc>
        <w:tc>
          <w:tcPr>
            <w:tcW w:type="dxa" w:w="1440"/>
            <w:shd w:fill="C6EFCE" w:val="clear"/>
          </w:tcPr>
          <w:p>
            <w:r>
              <w:rPr>
                <w:b/>
                <w:color w:val="008000"/>
                <w:sz w:val="17"/>
              </w:rPr>
              <w:t>+3.9%</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11,145</w:t>
            </w:r>
          </w:p>
        </w:tc>
        <w:tc>
          <w:tcPr>
            <w:tcW w:type="dxa" w:w="1440"/>
            <w:shd w:fill="C6EFCE" w:val="clear"/>
          </w:tcPr>
          <w:p>
            <w:r>
              <w:rPr>
                <w:b/>
                <w:sz w:val="17"/>
              </w:rPr>
              <w:t>13,004</w:t>
            </w:r>
          </w:p>
        </w:tc>
        <w:tc>
          <w:tcPr>
            <w:tcW w:type="dxa" w:w="1440"/>
            <w:shd w:fill="C6EFCE" w:val="clear"/>
          </w:tcPr>
          <w:p>
            <w:r>
              <w:rPr>
                <w:sz w:val="17"/>
              </w:rPr>
              <w:t>14,864</w:t>
            </w:r>
          </w:p>
        </w:tc>
        <w:tc>
          <w:tcPr>
            <w:tcW w:type="dxa" w:w="1440"/>
            <w:shd w:fill="C6EFCE" w:val="clear"/>
          </w:tcPr>
          <w:p>
            <w:r>
              <w:rPr>
                <w:b/>
                <w:color w:val="008000"/>
                <w:sz w:val="17"/>
              </w:rPr>
              <w:t>+4.0%</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11,031</w:t>
            </w:r>
          </w:p>
        </w:tc>
        <w:tc>
          <w:tcPr>
            <w:tcW w:type="dxa" w:w="1440"/>
            <w:shd w:fill="C6EFCE" w:val="clear"/>
          </w:tcPr>
          <w:p>
            <w:r>
              <w:rPr>
                <w:b/>
                <w:sz w:val="17"/>
              </w:rPr>
              <w:t>13,021</w:t>
            </w:r>
          </w:p>
        </w:tc>
        <w:tc>
          <w:tcPr>
            <w:tcW w:type="dxa" w:w="1440"/>
            <w:shd w:fill="C6EFCE" w:val="clear"/>
          </w:tcPr>
          <w:p>
            <w:r>
              <w:rPr>
                <w:sz w:val="17"/>
              </w:rPr>
              <w:t>15,011</w:t>
            </w:r>
          </w:p>
        </w:tc>
        <w:tc>
          <w:tcPr>
            <w:tcW w:type="dxa" w:w="1440"/>
            <w:shd w:fill="C6EFCE" w:val="clear"/>
          </w:tcPr>
          <w:p>
            <w:r>
              <w:rPr>
                <w:b/>
                <w:color w:val="008000"/>
                <w:sz w:val="17"/>
              </w:rPr>
              <w:t>+4.2%</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10,923</w:t>
            </w:r>
          </w:p>
        </w:tc>
        <w:tc>
          <w:tcPr>
            <w:tcW w:type="dxa" w:w="1440"/>
            <w:shd w:fill="C6EFCE" w:val="clear"/>
          </w:tcPr>
          <w:p>
            <w:r>
              <w:rPr>
                <w:b/>
                <w:sz w:val="17"/>
              </w:rPr>
              <w:t>13,036</w:t>
            </w:r>
          </w:p>
        </w:tc>
        <w:tc>
          <w:tcPr>
            <w:tcW w:type="dxa" w:w="1440"/>
            <w:shd w:fill="C6EFCE" w:val="clear"/>
          </w:tcPr>
          <w:p>
            <w:r>
              <w:rPr>
                <w:sz w:val="17"/>
              </w:rPr>
              <w:t>15,149</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10,823</w:t>
            </w:r>
          </w:p>
        </w:tc>
        <w:tc>
          <w:tcPr>
            <w:tcW w:type="dxa" w:w="1440"/>
            <w:shd w:fill="C6EFCE" w:val="clear"/>
          </w:tcPr>
          <w:p>
            <w:r>
              <w:rPr>
                <w:b/>
                <w:sz w:val="17"/>
              </w:rPr>
              <w:t>13,053</w:t>
            </w:r>
          </w:p>
        </w:tc>
        <w:tc>
          <w:tcPr>
            <w:tcW w:type="dxa" w:w="1440"/>
            <w:shd w:fill="C6EFCE" w:val="clear"/>
          </w:tcPr>
          <w:p>
            <w:r>
              <w:rPr>
                <w:sz w:val="17"/>
              </w:rPr>
              <w:t>15,284</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aux collectivités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112,50 milliards FCFA, SDCC se positionne comme une valeur de taille intermédiaire à supérieure sur le marché BRVM, reflétant sa stature d'opérateur historique de l'eau en Côte d'Ivoire. Le BPA de 518 FCFA/action signifie que chaque titre génère un peu plus de 500 FCFA de bénéfice net, ce qui, rapporté au cours actuel de 12 500 FCFA, aboutit à un PER de 24,1x — nettement supérieur à la moyenne du marché BRVM (8-12x), signalant que les investisseurs paient une prime de croissance ou de qualité pour ce titre. Le P/B de 5,71x confirme cette valorisation exigeante : le marché valorise SDCC à près de six fois sa valeur comptable, ce qui traduit une forte confiance dans la rentabilité future, mais laisse peu de marge de sécurité en cas de déception. Enfin, l'EV/EBITDA de 14,7x, dans la fourchette haute (10-15x), indique que la valeur d'entreprise (incluant la dette) reste chèrement valorisée par rapport à la capacité opérationnelle de génération de cash, ce qui appelle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affiche une performance positive de +12,61%, bien que la dernière séance (J-1) ait enregistré un repli de -3,10%, marquant une prise de bénéfices après un rallye haussier. Le titre a évolué dans un range de 11 000 FCFA (plus bas) à 13 885 FCFA (plus haut), soit une amplitude de trading de près de 26%, ce qui témoigne d'une dynamique haussière soutenue mais avec des phases de correction. La tendance générale sur la période reste donc haussière, portée par des fondamentaux en amélioration (résultat net 2025 en hausse de 31%). Les statistiques descriptives révèlent une moyenne de 12 158 FCFA légèrement supérieure à la médiane de 12 000 FCFA, avec un mode à 11 900 FCFA : l'écart faible entre moyenne et médiane suggère une distribution quasi-symétrique, confirmée par un skewness de 0,456 (asymétrie positive modérée, tirée par quelques séances haussières). L'écart-type de 716 FCFA et le coefficient de variation de 5,9% indiquent une dispersion modérée du cours autour de sa moyenne, tandis que le kurtosis de -0,439 (mésokurtique) signale une distribution proche de la normale, sans risque excessif de pics extrêmes. La volatilité annualisée de 36,8% classe le titre dans la catégorie des valeurs à volatilité élevée (&gt;30%), ce qui implique un risque de marché non négligeable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(12 685,5 FCFA) et la MM50 (12 593,5 FCFA) se situent toutes deux au-dessus du cours actuel (12 500 FCFA), mais la MM20 reste supérieure à la MM50, configurant un croisement haussier (golden cross) qui justifie la décision d'**Achat**. Le cours évolue toutefois légèrement sous ses moyennes, ce qui peut indiquer une consolidation temporaire avant une reprise.</w:t>
      </w:r>
    </w:p>
    <w:p>
      <w:pPr>
        <w:spacing w:after="120" w:line="276" w:lineRule="auto"/>
      </w:pPr>
      <w:r>
        <w:t>**Bandes de Bollinger** : Le cours (12 500 FCFA) se situe dans la partie médiane de la bande, entre la borne inférieure (11 541,8 FCFA) et la borne supérieure (13 829,2 FCFA), sans toucher les extrêmes. Cette position centrale, couplée à une volatilité élevée (bandes larges), justifie la décision **Neutre** : ni suracheté, ni survendu, le titre est en zone d'indécision.</w:t>
      </w:r>
    </w:p>
    <w:p>
      <w:pPr>
        <w:spacing w:after="120" w:line="276" w:lineRule="auto"/>
      </w:pPr>
      <w:r>
        <w:t>**MACD** : La valeur du MACD (56,584) est inférieure à son signal (62,165), générant une divergence baissière qui justifie la décision de **Vente**. Le momentum haussier s'essouffle, et un croisement baissier est déjà effectif, suggérant une possible correction à court terme.</w:t>
      </w:r>
    </w:p>
    <w:p>
      <w:pPr>
        <w:spacing w:after="120" w:line="276" w:lineRule="auto"/>
      </w:pPr>
      <w:r>
        <w:t>**RSI** : À 73,217, le RSI se situe en zone de suracheté (&gt;70), ce qui justifie la décision de **Vente**. Le titre a probablement trop monté à court terme et pourrait connaître un repli technique, d'autant que le RSI n'a pas encore amorcé de retournement franc.</w:t>
      </w:r>
    </w:p>
    <w:p>
      <w:pPr>
        <w:spacing w:after="120" w:line="276" w:lineRule="auto"/>
      </w:pPr>
      <w:r>
        <w:t>**Stochastique** : Le %K (46,875) est nettement inférieur au %D (77,66), avec un croisement baissier en cours, ce qui justifie la décision **Neutre** à tendance baissière. Le %K en zone neutre basse indique une perte de momentum, sans toutefois atteindre la zone de survente.</w:t>
      </w:r>
    </w:p>
    <w:p>
      <w:pPr>
        <w:spacing w:after="120" w:line="276" w:lineRule="auto"/>
      </w:pPr>
      <w:r>
        <w:t>**Conclusion technique** : Les indicateurs sont majoritairement baissiers à court terme (MACD, RSI en suracheté, croisement stochastique), bien que les moyennes mobiles conservent une configuration haussière de fond. Le titre se trouve dans une phase de consolidation après un rallye, avec un risque de correction à court terme, mais la tendance de moyen terme reste positive tant que la MM50 (12 593 FCFA) n'est pas cassée à la baisse.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a réalisé un chiffre d'affaires de 189,430 milliards FCFA, en croissance de +9,98% sur un an, porté par la hausse des volumes d'eau facturés et l'élargissement du portefeuille clients (2 272 032 clients, +6,14%). Le résultat net s'établit à 4,663 milliards FCFA, en progression de +31%, avec une marge nette de 2,46% et un ROE de 23,65% — un niveau excellent (&gt;15%) qui témoigne d'une forte rentabilité des fonds propres, bien que le ROA reste faible à 0,99% en raison de la structure bilancielle très intensive en actifs. La structure financière présente des signaux contrastés : l'autonomie financière est très faible (4,17%), l'endettement élevé (ratio d'endettement de 95,83%), et la trésorerie nette négative (-61,71 milliards FCFA), avec un flux opérationnel négatif (-36,66 milliards FCFA) qui traduit des tensions de trésorerie persistantes. Le BFR de 104,748 milliards FCFA et le délai clients de 749 jours (plus de deux ans !) constituent un risque majeur de liquidité, même si le taux de recouvrement de 95,85% (rapport 2025) limite le risque de créances irrécouvrables. Les rapports trimestriels récents confirment une nette amélioration : le T1 2026 (rapport du 31/03/2026) affiche un résultat net de 1 318 millions FCFA, en hausse spectaculaire de +118% sur un an, avec un résultat d'exploitation multiplié par 2,5 à 2 730 millions FCFA, malgré un chiffre d'affaires en léger repli de -2% à 40 916 millions FCFA. Cette performance est portée par une meilleure maîtrise des charges opérationnelles. Sur la base de ce T1 2026, on peut estimer que l'exercice 2026 devrait confirmer la dynamique de redressement de la rentabilité, avec un résultat net annualisé potentiellement supérieur à 5 milliards FCFA si la tendance se maintient. Le dividende proposé de 525 FCFA/action (rapport 2025) offre un rendement d'environ 4,2% au cours actuel, attractif dans le contexte BRVM. En synthèse, SDCC présente des fondamentaux en amélioration (croissance du CA, bond du résultat net, ROE élevé) mais une structure financière fragile (endettement, trésorerie négative, délais clients élevés) qui nécessite une surveillance étroite. La recommandation fondamentale est de **CONSERVER** avec prudence, en attendant la confirmation des résultats du S1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(PER 24,1x, P/B 5,71x, EV/EBITDA 14,7x), nettement au-dessus des moyennes du marché BRVM, ce qui intègre déjà une large part des bonnes performances récentes et laisse peu de marge de sécurité. Le comportement du cours sur 100 jours est haussier (+12,61%) mais la dernière séance (-3,10%) et les statistiques (volatilité élevée à 36,8%, RSI en suracheté) suggèrent une correction technique en cours, avec un risque de repli vers la MM50 (12 593 FCFA) voire la borne inférieure de Bollinger (11 541 FCFA). Les signaux techniques sont divergents : les moyennes mobiles restent haussières (MM20 &gt; MM50), mais le MACD, le RSI et le stochastique envoient des signaux baissiers à court terme, plaidant pour une consolidation avant une reprise. Les fondamentaux sont solides et en amélioration (CA +10%, RN +31% en 2025, T1 2026 avec RN +118%), mais la structure financière reste fragile (trésorerie nette négative, délai clients de 749 jours), ce qui constitue un risque à moyen terme. Les prédictions IA (J+1 à J+10) tablent sur une légère hausse vers 12 956 FCFA (+3,6% depuis le cours actuel), ce qui contredit les signaux techniques baissiers à court terme mais s'aligne sur la tendance haussière de fond. Compte tenu de cette divergence entre valorisation exigeante, technique baissière à court terme, fondamentaux en amélioration et prédictions modérément haussières, la recommandation finale est de **CONSERVER** avec un niveau de confiance **Moyen** et un risque global **Moyen à Élevé**. L'horizon d'investissement optimal est le **moyen terme (3-12 mois)**, en attendant la publication des résultats du S1 2026 qui permettront de confirmer ou d'infirmer la dynamique de redressement de la rentabilité et l'amélioration de la trésorerie. Un investisseur déjà positionné pourra conserver le titre pour son dividende attractif (4,2%) et son potentiel de croissance, tandis qu'un nouvel investisseur attendra un repli vers 11 500-12 000 FCFA pour se positionner avec une meilleure marge de sécurité.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168.75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17,728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+83.43%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1,690 FCFA</w:t>
            </w:r>
          </w:p>
          <w:p>
            <w:r>
              <w:rPr>
                <w:b/>
                <w:color w:val="503200"/>
                <w:sz w:val="16"/>
              </w:rPr>
              <w:t xml:space="preserve">Volatilité ann. : </w:t>
            </w:r>
            <w:r>
              <w:rPr>
                <w:color w:val="000000"/>
                <w:sz w:val="17"/>
              </w:rPr>
              <w:t>51.7%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14.80% (Moyenne) — μ=2,594 FCFA, σ=384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β=0.5598 (Défensif) — Cov=0.000042, Var(idx)=0.000075, ρ=0.147,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17,728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2,929</w:t>
            </w:r>
          </w:p>
        </w:tc>
        <w:tc>
          <w:tcPr>
            <w:tcW w:type="dxa" w:w="1440"/>
            <w:shd w:fill="FAFAFA" w:val="clear"/>
          </w:tcPr>
          <w:p>
            <w:r>
              <w:rPr>
                <w:b/>
                <w:sz w:val="17"/>
              </w:rPr>
              <w:t>3,080</w:t>
            </w:r>
          </w:p>
        </w:tc>
        <w:tc>
          <w:tcPr>
            <w:tcW w:type="dxa" w:w="1440"/>
            <w:shd w:fill="FAFAFA" w:val="clear"/>
          </w:tcPr>
          <w:p>
            <w:r>
              <w:rPr>
                <w:sz w:val="17"/>
              </w:rPr>
              <w:t>3,230</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2,842</w:t>
            </w:r>
          </w:p>
        </w:tc>
        <w:tc>
          <w:tcPr>
            <w:tcW w:type="dxa" w:w="1440"/>
            <w:shd w:fill="FAFAFA" w:val="clear"/>
          </w:tcPr>
          <w:p>
            <w:r>
              <w:rPr>
                <w:b/>
                <w:sz w:val="17"/>
              </w:rPr>
              <w:t>3,053</w:t>
            </w:r>
          </w:p>
        </w:tc>
        <w:tc>
          <w:tcPr>
            <w:tcW w:type="dxa" w:w="1440"/>
            <w:shd w:fill="FAFAFA" w:val="clear"/>
          </w:tcPr>
          <w:p>
            <w:r>
              <w:rPr>
                <w:sz w:val="17"/>
              </w:rPr>
              <w:t>3,264</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2026-10-19</w:t>
            </w:r>
          </w:p>
        </w:tc>
        <w:tc>
          <w:tcPr>
            <w:tcW w:type="dxa" w:w="1440"/>
            <w:shd w:fill="FFDCE0" w:val="clear"/>
          </w:tcPr>
          <w:p>
            <w:r>
              <w:rPr>
                <w:sz w:val="17"/>
              </w:rPr>
              <w:t>2,777</w:t>
            </w:r>
          </w:p>
        </w:tc>
        <w:tc>
          <w:tcPr>
            <w:tcW w:type="dxa" w:w="1440"/>
            <w:shd w:fill="FFDCE0" w:val="clear"/>
          </w:tcPr>
          <w:p>
            <w:r>
              <w:rPr>
                <w:b/>
                <w:sz w:val="17"/>
              </w:rPr>
              <w:t>3,034</w:t>
            </w:r>
          </w:p>
        </w:tc>
        <w:tc>
          <w:tcPr>
            <w:tcW w:type="dxa" w:w="1440"/>
            <w:shd w:fill="FFDCE0" w:val="clear"/>
          </w:tcPr>
          <w:p>
            <w:r>
              <w:rPr>
                <w:sz w:val="17"/>
              </w:rPr>
              <w:t>3,291</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2,726</w:t>
            </w:r>
          </w:p>
        </w:tc>
        <w:tc>
          <w:tcPr>
            <w:tcW w:type="dxa" w:w="1440"/>
            <w:shd w:fill="FFDCE0" w:val="clear"/>
          </w:tcPr>
          <w:p>
            <w:r>
              <w:rPr>
                <w:b/>
                <w:sz w:val="17"/>
              </w:rPr>
              <w:t>3,022</w:t>
            </w:r>
          </w:p>
        </w:tc>
        <w:tc>
          <w:tcPr>
            <w:tcW w:type="dxa" w:w="1440"/>
            <w:shd w:fill="FFDCE0" w:val="clear"/>
          </w:tcPr>
          <w:p>
            <w:r>
              <w:rPr>
                <w:sz w:val="17"/>
              </w:rPr>
              <w:t>3,318</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2,684</w:t>
            </w:r>
          </w:p>
        </w:tc>
        <w:tc>
          <w:tcPr>
            <w:tcW w:type="dxa" w:w="1440"/>
            <w:shd w:fill="FFDCE0" w:val="clear"/>
          </w:tcPr>
          <w:p>
            <w:r>
              <w:rPr>
                <w:b/>
                <w:sz w:val="17"/>
              </w:rPr>
              <w:t>3,014</w:t>
            </w:r>
          </w:p>
        </w:tc>
        <w:tc>
          <w:tcPr>
            <w:tcW w:type="dxa" w:w="1440"/>
            <w:shd w:fill="FFDCE0" w:val="clear"/>
          </w:tcPr>
          <w:p>
            <w:r>
              <w:rPr>
                <w:sz w:val="17"/>
              </w:rPr>
              <w:t>3,343</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2,647</w:t>
            </w:r>
          </w:p>
        </w:tc>
        <w:tc>
          <w:tcPr>
            <w:tcW w:type="dxa" w:w="1440"/>
            <w:shd w:fill="FFDCE0" w:val="clear"/>
          </w:tcPr>
          <w:p>
            <w:r>
              <w:rPr>
                <w:b/>
                <w:sz w:val="17"/>
              </w:rPr>
              <w:t>3,007</w:t>
            </w:r>
          </w:p>
        </w:tc>
        <w:tc>
          <w:tcPr>
            <w:tcW w:type="dxa" w:w="1440"/>
            <w:shd w:fill="FFDCE0" w:val="clear"/>
          </w:tcPr>
          <w:p>
            <w:r>
              <w:rPr>
                <w:sz w:val="17"/>
              </w:rPr>
              <w:t>3,367</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2,613</w:t>
            </w:r>
          </w:p>
        </w:tc>
        <w:tc>
          <w:tcPr>
            <w:tcW w:type="dxa" w:w="1440"/>
            <w:shd w:fill="FFDCE0" w:val="clear"/>
          </w:tcPr>
          <w:p>
            <w:r>
              <w:rPr>
                <w:b/>
                <w:sz w:val="17"/>
              </w:rPr>
              <w:t>3,001</w:t>
            </w:r>
          </w:p>
        </w:tc>
        <w:tc>
          <w:tcPr>
            <w:tcW w:type="dxa" w:w="1440"/>
            <w:shd w:fill="FFDCE0" w:val="clear"/>
          </w:tcPr>
          <w:p>
            <w:r>
              <w:rPr>
                <w:sz w:val="17"/>
              </w:rPr>
              <w:t>3,390</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2,581</w:t>
            </w:r>
          </w:p>
        </w:tc>
        <w:tc>
          <w:tcPr>
            <w:tcW w:type="dxa" w:w="1440"/>
            <w:shd w:fill="FFDCE0" w:val="clear"/>
          </w:tcPr>
          <w:p>
            <w:r>
              <w:rPr>
                <w:b/>
                <w:sz w:val="17"/>
              </w:rPr>
              <w:t>2,996</w:t>
            </w:r>
          </w:p>
        </w:tc>
        <w:tc>
          <w:tcPr>
            <w:tcW w:type="dxa" w:w="1440"/>
            <w:shd w:fill="FFDCE0" w:val="clear"/>
          </w:tcPr>
          <w:p>
            <w:r>
              <w:rPr>
                <w:sz w:val="17"/>
              </w:rPr>
              <w:t>3,410</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2,552</w:t>
            </w:r>
          </w:p>
        </w:tc>
        <w:tc>
          <w:tcPr>
            <w:tcW w:type="dxa" w:w="1440"/>
            <w:shd w:fill="FFDCE0" w:val="clear"/>
          </w:tcPr>
          <w:p>
            <w:r>
              <w:rPr>
                <w:b/>
                <w:sz w:val="17"/>
              </w:rPr>
              <w:t>2,991</w:t>
            </w:r>
          </w:p>
        </w:tc>
        <w:tc>
          <w:tcPr>
            <w:tcW w:type="dxa" w:w="1440"/>
            <w:shd w:fill="FFDCE0" w:val="clear"/>
          </w:tcPr>
          <w:p>
            <w:r>
              <w:rPr>
                <w:sz w:val="17"/>
              </w:rPr>
              <w:t>3,430</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2,524</w:t>
            </w:r>
          </w:p>
        </w:tc>
        <w:tc>
          <w:tcPr>
            <w:tcW w:type="dxa" w:w="1440"/>
            <w:shd w:fill="FFDCE0" w:val="clear"/>
          </w:tcPr>
          <w:p>
            <w:r>
              <w:rPr>
                <w:b/>
                <w:sz w:val="17"/>
              </w:rPr>
              <w:t>2,986</w:t>
            </w:r>
          </w:p>
        </w:tc>
        <w:tc>
          <w:tcPr>
            <w:tcW w:type="dxa" w:w="1440"/>
            <w:shd w:fill="FFDCE0" w:val="clear"/>
          </w:tcPr>
          <w:p>
            <w:r>
              <w:rPr>
                <w:sz w:val="17"/>
              </w:rPr>
              <w:t>3,448</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ACTION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168,75 milliards FCFA, SDSC figure parmi les valeurs moyennes de la cote BRVM, mais son niveau de valorisation interpelle. Le BPA s'établit à seulement 14 FCFA par action, ce qui signifie que chaque titre génère à peine 14 FCFA de bénéfice net — un niveau dérisoire au regard du cours actuel de 3 100 FCFA. Le PER qui en résulte, à 215,0x, est exceptionnellement élevé : les investisseurs paient 215 fois les bénéfices, alors que la moyenne du marché BRVM se situe entre 8x et 12x. Cette prime spectaculaire traduit soit une anticipation de forte croissance future, soit une décorrélation préoccupante entre le prix et la réalité bénéficiaire. Le P/B de 2,29x indique que le marché valorise l'action à plus du double de sa valeur comptable, accordant une prime de croissance qui reste à justifier. Enfin, l'EV/EBITDA de 24,4x, très supérieur au seuil de 15x généralement considéré comme exigeant, confirme que la valeur d'entreprise intègre des attentes opérationnelles ambitieuses. L'ensemble de ces ratios dessine une action nettement surévaluée par rapport à ses fondamentaux actuels, portée par une dynamique spéculative plutôt que par la rentabilité.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+83,43%, avec une dernière séance en hausse de +2,65%, portant le cours à 3 100 FCFA. Le range de trading est particulièrement large, oscillant entre un plus bas de 1 690 FCFA et un plus haut de 3 205 FCFA, soit un écart de plus de 89% entre les deux extrêmes — signe d'une volatilité directionnelle intense. La tendance générale est clairement haussière, le titre ayant plus que doublé sur la période. Les statistiques descriptives révèlent une distribution asymétrique : la moyenne (2 594 FCFA) est inférieure à la médiane (2 692 FCFA), ce qui indique que le cours a passé davantage de séances au-dessus de sa moyenne, confirmant la dynamique positive. L'écart-type de 386 FCFA, avec un coefficient de variation de 14,9%, traduit une dispersion modérée autour de la tendance. Le kurtosis de -0,437 (mésokurtique) suggère une distribution proche de la normale, sans risque de pics extrêmes marqués, tandis que le skewness de -0,628 (asymétrie négative) confirme une prédominance de journées au-dessus de la moyenne. La volatilité annualisée de 51,7% positionne le titre dans la catégorie des valeurs à volatilité élevée (&gt;30%), ce qui implique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(2 960,25 FCFA) et la MM50 (2 870,20 FCFA) sont toutes deux inférieures au cours actuel de 3 100 FCFA, et la MM20 surpasse la MM50, configurant un croisement haussier classique. Cette configuration confirme la dynamique positive et justifie la décision d'achat, bien que le cours s'éloigne progressivement de ses supports mobiles, ce qui pourrait annoncer une consolidation.</w:t>
      </w:r>
    </w:p>
    <w:p>
      <w:pPr>
        <w:spacing w:after="120" w:line="276" w:lineRule="auto"/>
      </w:pPr>
      <w:r>
        <w:t>**Bandes de Bollinger** : Le cours (3 100 FCFA) évolue dans la partie supérieure de la bande, proche de la borne supérieure (3 163,32 FCFA) et nettement au-dessus de la borne inférieure (2 757,18 FCFA). Cette position indique une pression acheteuse soutenue mais approchant une zone de résistance, justifiant la décision neutre — le potentiel de hausse immédiat se réduit à mesure que le cours s'approche de la borne haute.</w:t>
      </w:r>
    </w:p>
    <w:p>
      <w:pPr>
        <w:spacing w:after="120" w:line="276" w:lineRule="auto"/>
      </w:pPr>
      <w:r>
        <w:t>**MACD** : La valeur du MACD (35,269) est supérieure à son signal (34,092), avec un histogramme positif, confirmant un momentum haussier. La divergence reste toutefois modeste, ce qui justifie la décision d'achat mais invite à la prudence quant à la durabilité de la tendance.</w:t>
      </w:r>
    </w:p>
    <w:p>
      <w:pPr>
        <w:spacing w:after="120" w:line="276" w:lineRule="auto"/>
      </w:pPr>
      <w:r>
        <w:t>**RSI** : À 63,158, le RSI se situe en zone neutre, sans atteindre le seuil de surachat (70). Cette configuration indique que le titre conserve un potentiel de hausse sans être techniquement épuisé, justifiant la décision neutre — ni signal d'achat agressif, ni signal de vente.</w:t>
      </w:r>
    </w:p>
    <w:p>
      <w:pPr>
        <w:spacing w:after="120" w:line="276" w:lineRule="auto"/>
      </w:pPr>
      <w:r>
        <w:t>**Stochastique** : Le %K (100,0) est en zone de surachat extrême, nettement au-dessus du %D (78,531), avec un croisement potentiellement baissier à venir. Cette configuration justifie la décision de vente, le titre étant techniquement vulnérable à une correction à court terme.</w:t>
      </w:r>
    </w:p>
    <w:p>
      <w:pPr>
        <w:spacing w:after="120" w:line="276" w:lineRule="auto"/>
      </w:pPr>
      <w:r>
        <w:t>**Conclusion technique** : Les indicateurs présentent une divergence préoccupante. Les moyennes mobiles et le MACD confirment la tendance haussière, tandis que le stochastique signale un surachat extrême et que les bandes de Bollinger approchent d'une résistance. Le RSI neutre laisse une marge de manœuvre, mais la convergence des signaux de surachat suggère qu'une consolidation, voire une correction, est probable à court terme. La prudence est de mise malgré la dynamique positive.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2025 d'AGL Côte d'Ivoire (SDSC), certifiés sans réserve par Deloitte et ECR International (rapport du 26 août 2026), révèlent une situation paradoxale. Le chiffre d'affaires s'établit à 92,004 milliards FCFA, en croissance de +7,43% par rapport à 2024 (85,643 milliards FCFA), porté par le dynamisme des métiers logistiques et maritimes. Cependant, le résultat net s'effondre à 784,97 millions FCFA, contre 21,069 milliards FCFA en 2024, soit une chute de -96%. Cette dégradation spectaculaire s'explique par un résultat d'exploitation négatif de -2,271 milliards FCFA (contre +941,7 millions en 2024), conséquence d'une hausse de 41% des dotations aux amortissements (9,043 milliards FCFA) et d'une augmentation des charges de personnel (36,205 milliards FCFA). Le résultat net positif provient exclusivement du résultat financier (7,080 milliards FCFA), lui-même en baisse de 66% sur un an. Les ratios de rentabilité sont alarmants : le ROE s'établit à 1,07% (très loin du seuil de 15% considéré comme excellent), le ROA à 0,30%, et la marge nette à 0,85% (contre 24,6% en 2024). La structure financière reste néanmoins solide, avec des capitaux propres de 73,552 milliards FCFA, une trésorerie nette de 74,782 milliards FCFA et un flux opérationnel de 83,198 milliards FCFA. Le BFR est négatif (-57,339 milliards FCFA), ce qui constitue un point favorable pour la trésorerie. L'autonomie financière (28,35%) est légèrement inférieure au seuil de 30% considéré comme sain, et la couverture des intérêts est négative (-289,33%), signalant une incapacité à couvrir les charges financières par l'exploitation. Les rapports trimestriels 2025 confirment cette tendance : le T1 2025 (rapport du 08/04/2025) affichait un résultat net de +223,165 millions FCFA (en amélioration par rapport à la perte de -193,185 millions au T1 2024), mais le S1 2025 (rapport du 30/06/2025) basculait en perte de -427 millions FCFA, et le T3 2025 (rapport du 30/09/2025) enregistrait un résultat net de 4,341 milliards FCFA, en chute de -77% sur un an. Sur la base de ces éléments, on estime que l'exercice 2026 devrait rester sous pression, la rentabilité opérationnelle peinant à se redresser malgré la croissance du chiffre d'affaires. La recommandation fondamentale est de **conserver** le titre avec une vigilance accrue, la solidité du bilan et la croissance du CA ne compensant pas l'effondrement de la rentabilité et la réduction drastique du dividende (544,353 millions FCFA proposés, contre 5,008 milliards FCFA en 2024, soit -89%).</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les signaux. La valorisation (Partie 0) est extrêmement tendue : un PER de 215x, un P/B de 2,29x et un EV/EBITDA de 24,4x indiquent une surévaluation manifeste par rapport aux bénéfices actuels. Le comportement du cours (Partie 1) est haussier (+83,43% sur 100 jours) mais accompagné d'une volatilité élevée (51,7%) et d'une asymétrie négative, suggérant une tendance qui pourrait s'essouffler. Les signaux techniques (Partie 2) sont mitigés : les moyennes mobiles et le MACD confirment la tendance haussière, mais le stochastique en surachat extrême (%K=100) et la proximité de la borne supérieure de Bollinger signalent une vulnérabilité à court terme. Les fondamentaux (Partie 3) sont préoccupants : malgré un CA en croissance (+7,43%), le résultat net s'est effondré de -96% en 2025, le ROE est tombé à 1,07% et le dividende a été réduit de -89%. Les prédictions IA (J+1 à J+10) anticipent une trajectoire baissière, avec un cours passant de 3 080 FCFA à 3 014 FCFA, confirmant les signaux de correction technique. Sur la base de cette synthèse, la recommandation finale est **CONSERVER**, avec un niveau de confiance **Moyen** et un risque global **Élevé**. La convergence entre la surévaluation, le surachat technique et la dégradation fondamentale plaide pour une prudence accrue, mais la solidité du bilan (trésorerie de 74,78 milliards FCFA) et la croissance du chiffre d'affaires incitent à ne pas vendre dans l'immédiat. L'horizon d'investissement optimal est le **moyen terme (3-12 mois)**, en surveillant attentivement la capacité de la direction à restaurer les marges opérationnelles et à justifier les niveaux de valorisation actuels. Une correction vers les 2 800-2 900 FCFA constituerait une zone d'entrée plus raisonnable pour les investisseurs souhaitant se positionner sur le titre.</w:t>
      </w:r>
    </w:p>
    <w:p>
      <w:pPr>
        <w:spacing w:after="120" w:line="276" w:lineRule="auto"/>
      </w:pPr>
      <w:r>
        <w: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β=1.1206 (Neutre (suit le marché)) — Cov=0.000043, Var(idx)=0.000038, ρ=0.241, n=82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(BRVM)**</w:t>
        <w:br/>
        <w:t>*Date d'analyse :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moyennes du compartiment industriel, loin des poids lourds bancaires et télécoms. Les ratios de valorisation classiques (BPA, PER, P/B, EV/EBITDA) ne sont pas calculables en l'état, les données financières structurées nécessaires étant absentes de la base. Toutefois, en croisant le bénéfice net 2023 de 1,01 milliard FCFA (rapport du 31/12/2023) avec la capitalisation actuelle, on obtient un PER implicite d'environ 37x — nettement supérieur à la moyenne BRVM (8-12x) —, ce qui traduit une valorisation tendue au regard de la rentabilité dégradée. À l'inverse, le rapport 2022 faisait état d'un résultat net de 3,86 milliards FCFA, soit un PER implicite bien plus raisonnable (~10x) sur cette base historique. Cette distorsion illustre la sensibilité extrême du titre aux variations de bénéfices et invite à la prudence tant que la trajectoire bénéficiaire n'est pas stabilisée.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avec une dernière séance en repli de -1,64%, confirmant une dynamique baissière persistante. Le titre oscille dans un range de 1 350 à 1 800 FCFA, soit une amplitude de 33%, et cote actuellement à 1 495 FCFA, dans la partie basse de cette fourchette. La moyenne (1 527 FCFA) est légèrement supérieure à la médiane (1 520 FCFA) et au mode (1 500 FCFA), signe d'une distribution faiblement asymétrique où les pics haussiers tirent la moyenne vers le haut. L'écart-type de 69 FCFA (CV=4,5%) indique une dispersion modérée en valeur absolue, mais la volatilité annualisée de 47,2% classe le titre dans la catégorie **élevée** (&gt;30%), typique des petites capitalisations peu liquides de la BRVM. Le kurtosis de 1,652 (leptokurtique) signale des queues épaisses, donc un risque de mouvements brusques et amplifiés, tandis que le skewness positif de 0,558 indique davantage de journées sous la moyenne que de pics haussiers — un profil défavorable pour l'investisseur court-termiste. Le volume moyen de 6 046 titres/jour reste faible, exposant le titre à un risque de liquidité.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évolue sous ces deux références. Cette configuration traduit une pression baissière de court terme, mais la décision affichée "Achat" suggère un possible croisement haussier à venir si le cours se stabilise au-dessus de la MM50.</w:t>
      </w:r>
    </w:p>
    <w:p>
      <w:pPr>
        <w:spacing w:after="120" w:line="276" w:lineRule="auto"/>
      </w:pPr>
      <w:r>
        <w:t>**Bandes de Bollinger** : Le cours (1 495 FCFA) se situe dans la moitié basse de la bande, entre la borne inférieure (1 459,69 FCFA) et la borne supérieure (1 621,81 FCFA). La décision "Neutre" reflète l'absence de signal extrême, le titre n'étant ni en survente ni en surachat selon ce canal.</w:t>
      </w:r>
    </w:p>
    <w:p>
      <w:pPr>
        <w:spacing w:after="120" w:line="276" w:lineRule="auto"/>
      </w:pPr>
      <w:r>
        <w:t>**MACD** : La valeur du MACD (8,254) est inférieure à son signal (13,045), générant une décision "Vente". Cette divergence négative indique un momentum baissier persistant, bien que l'écart reste modéré et pourrait se résorber si le cours rebondit.</w:t>
      </w:r>
    </w:p>
    <w:p>
      <w:pPr>
        <w:spacing w:after="120" w:line="276" w:lineRule="auto"/>
      </w:pPr>
      <w:r>
        <w:t>**RSI** : À 49,533, le RSI se situe en zone parfaitement neutre (30-70), sans signal de surachat ni de survente. La décision "Neutre" confirme l'absence de pression directionnelle forte à court terme.</w:t>
      </w:r>
    </w:p>
    <w:p>
      <w:pPr>
        <w:spacing w:after="120" w:line="276" w:lineRule="auto"/>
      </w:pPr>
      <w:r>
        <w:t>**Stochastique** : Le %K (34,615) est inférieur au %D (57,692), avec un croisement baissier récent. La décision "Neutre" tempère ce signal, le %K n'étant pas encore en zone de survente (&lt;20), mais la configuration reste défavorable.</w:t>
      </w:r>
    </w:p>
    <w:p>
      <w:pPr>
        <w:spacing w:after="120" w:line="276" w:lineRule="auto"/>
      </w:pPr>
      <w:r>
        <w:t>**Conclusion technique** : Les indicateurs sont majoritairement neutres à baissiers (MACD en vente, Stochastique baissier, cours sous les MM), avec un seul signal haussier (MM). Le titre évolue dans une zone de consolidation sans direction claire, mais la prédominance des signaux négatifs suggère une prudence à court terme. Un franchissement de la MM50 (1 499 FCFA) serait nécessaire pour envisager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les plus récents (exercice 2023, rapport du 31/12/2023) révèlent une dégradation marquée : le chiffre d'affaires recule de 6% à 27,88 milliards FCFA (contre 29,60 milliards en 2022), et le résultat net chute de 74% à 1,01 milliard FCFA (contre 3,86 milliards en 2022). La marge nette s'effondre à 3,6% (vs 13,0% en 2022), et le ROE se contracte fortement, passant d'environ 18% à moins de 5%. Cette détérioration s'explique par la perte de clients clés (AIRONE : -81% de CA), la concurrence du PET dans le segment tomate, et des charges fixes élevées. Le rapport 2022 (exercice clos 31/12/2022) affichait pourtant une croissance de 13,8% du CA à 125,4 milliards FCFA et un résultat net de 12,8 milliards FCFA — mais ces chiffres semblent inclure des activités consolidées (Eviosys) qui ne correspondent plus au périmètre actuel de SEMC, désormais recentré sur des activités réduites. Le rapport T1 2023 (exercice clos 31/03/2023) montrait encore une croissance de 16,5% du CA à 7,65 milliards FCFA et un résultat net de 855,65 millions FCFA (+37,9%), mais cette dynamique ne s'est pas confirmée sur l'année. La politique de dividende est suspendue (0 FCFA en 2023 comme en 2022), la trésorerie (3,35 milliards FCFA) étant préservée pour financer la relance et faire face à la suspension de la cote BRVM (flottant insuffisant : 10,42% vs 15% requis). Le rachat par Sonoco Products Company (finalisé en décembre 2024) constitue un levier stratégique majeur, mais introduit une incertitude sur la gouvernance et un risque de dilution. **En synthèse, les fondamentaux sont fragiles : rentabilité effondrée, dépendance clientèle non résolue, et visibilité limitée — la recommandation fondamentale est CONSERVER avec vigilance, en attendant les premiers effets du rachat par Sonoco et la levée de la suspension de cote.**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implicite (PER ~37x sur la base du bénéfice 2023) apparaît tendue et ne reflète pas la dégradation récente des marges, ce qui plaide pour une surévaluation relative. Le comportement du cours est baissier (-16,94% sur 100 jours), avec une volatilité élevée (47,2%) et des statistiques défavorables (kurtosis leptokurtique, skewness positif), indiquant un risque de pics baissiers. Les signaux techniques sont majoritairement neutres à baissiers (MACD en vente, Stochastique baissier, cours sous les MM), sans convergence haussière claire. Les fondamentaux sont préoccupants : chute de 74% du résultat net en 2023, marge nette à 3,6%, dividende suspendu, et incertitude liée au rachat par Sonoco. Aucune prédiction IA n'est disponible pour les 10 prochains jours, ce qui ne permet pas de confirmer ou d'infirmer les autres signaux. **En synthèse, la convergence des facteurs (valorisation tendue, technique baissière, fondamentaux dégradés) justifie une recommandation de CONSERVER, avec un biais baissier à court terme.** Le niveau de confiance est **Moyen** (données fondamentales anciennes, absence de prédictions IA), et le risque global est **Élevé** (volatilité, liquidité faible, incertitude stratégique). L'horizon d'investissement optimal est **moyen terme (3-12 mois)**, en surveillant la levée de la suspension BRVM et les premiers résultats post-rachat Sonoco — un retour à l'ACHAT nécessiterait une confirmation de la reprise des marges et de la croissance du CA.</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5,214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+7.73%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36,000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1.87% (Faible) — μ=38,439 FCFA, σ=717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β=0.4652 (Défensif) — Cov=0.000035, Var(idx)=0.000075, ρ=0.298,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37,943</w:t>
            </w:r>
          </w:p>
        </w:tc>
        <w:tc>
          <w:tcPr>
            <w:tcW w:type="dxa" w:w="1440"/>
            <w:shd w:fill="FAFAFA" w:val="clear"/>
          </w:tcPr>
          <w:p>
            <w:r>
              <w:rPr>
                <w:b/>
                <w:sz w:val="17"/>
              </w:rPr>
              <w:t>38,778</w:t>
            </w:r>
          </w:p>
        </w:tc>
        <w:tc>
          <w:tcPr>
            <w:tcW w:type="dxa" w:w="1440"/>
            <w:shd w:fill="FAFAFA" w:val="clear"/>
          </w:tcPr>
          <w:p>
            <w:r>
              <w:rPr>
                <w:sz w:val="17"/>
              </w:rPr>
              <w:t>39,612</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37,529</w:t>
            </w:r>
          </w:p>
        </w:tc>
        <w:tc>
          <w:tcPr>
            <w:tcW w:type="dxa" w:w="1440"/>
            <w:shd w:fill="FAFAFA" w:val="clear"/>
          </w:tcPr>
          <w:p>
            <w:r>
              <w:rPr>
                <w:b/>
                <w:sz w:val="17"/>
              </w:rPr>
              <w:t>38,706</w:t>
            </w:r>
          </w:p>
        </w:tc>
        <w:tc>
          <w:tcPr>
            <w:tcW w:type="dxa" w:w="1440"/>
            <w:shd w:fill="FAFAFA" w:val="clear"/>
          </w:tcPr>
          <w:p>
            <w:r>
              <w:rPr>
                <w:sz w:val="17"/>
              </w:rPr>
              <w:t>39,884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37,195</w:t>
            </w:r>
          </w:p>
        </w:tc>
        <w:tc>
          <w:tcPr>
            <w:tcW w:type="dxa" w:w="1440"/>
            <w:shd w:fill="FAFAFA" w:val="clear"/>
          </w:tcPr>
          <w:p>
            <w:r>
              <w:rPr>
                <w:b/>
                <w:sz w:val="17"/>
              </w:rPr>
              <w:t>38,634</w:t>
            </w:r>
          </w:p>
        </w:tc>
        <w:tc>
          <w:tcPr>
            <w:tcW w:type="dxa" w:w="1440"/>
            <w:shd w:fill="FAFAFA" w:val="clear"/>
          </w:tcPr>
          <w:p>
            <w:r>
              <w:rPr>
                <w:sz w:val="17"/>
              </w:rPr>
              <w:t>40,073</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2026-10-20</w:t>
            </w:r>
          </w:p>
        </w:tc>
        <w:tc>
          <w:tcPr>
            <w:tcW w:type="dxa" w:w="1440"/>
            <w:shd w:fill="FAFAFA" w:val="clear"/>
          </w:tcPr>
          <w:p>
            <w:r>
              <w:rPr>
                <w:sz w:val="17"/>
              </w:rPr>
              <w:t>36,906</w:t>
            </w:r>
          </w:p>
        </w:tc>
        <w:tc>
          <w:tcPr>
            <w:tcW w:type="dxa" w:w="1440"/>
            <w:shd w:fill="FAFAFA" w:val="clear"/>
          </w:tcPr>
          <w:p>
            <w:r>
              <w:rPr>
                <w:b/>
                <w:sz w:val="17"/>
              </w:rPr>
              <w:t>38,565</w:t>
            </w:r>
          </w:p>
        </w:tc>
        <w:tc>
          <w:tcPr>
            <w:tcW w:type="dxa" w:w="1440"/>
            <w:shd w:fill="FAFAFA" w:val="clear"/>
          </w:tcPr>
          <w:p>
            <w:r>
              <w:rPr>
                <w:sz w:val="17"/>
              </w:rPr>
              <w:t>40,224</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2026-10-21</w:t>
            </w:r>
          </w:p>
        </w:tc>
        <w:tc>
          <w:tcPr>
            <w:tcW w:type="dxa" w:w="1440"/>
            <w:shd w:fill="FAFAFA" w:val="clear"/>
          </w:tcPr>
          <w:p>
            <w:r>
              <w:rPr>
                <w:sz w:val="17"/>
              </w:rPr>
              <w:t>36,648</w:t>
            </w:r>
          </w:p>
        </w:tc>
        <w:tc>
          <w:tcPr>
            <w:tcW w:type="dxa" w:w="1440"/>
            <w:shd w:fill="FAFAFA" w:val="clear"/>
          </w:tcPr>
          <w:p>
            <w:r>
              <w:rPr>
                <w:b/>
                <w:sz w:val="17"/>
              </w:rPr>
              <w:t>38,500</w:t>
            </w:r>
          </w:p>
        </w:tc>
        <w:tc>
          <w:tcPr>
            <w:tcW w:type="dxa" w:w="1440"/>
            <w:shd w:fill="FAFAFA" w:val="clear"/>
          </w:tcPr>
          <w:p>
            <w:r>
              <w:rPr>
                <w:sz w:val="17"/>
              </w:rPr>
              <w:t>40,352</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2026-10-22</w:t>
            </w:r>
          </w:p>
        </w:tc>
        <w:tc>
          <w:tcPr>
            <w:tcW w:type="dxa" w:w="1440"/>
            <w:shd w:fill="FAFAFA" w:val="clear"/>
          </w:tcPr>
          <w:p>
            <w:r>
              <w:rPr>
                <w:sz w:val="17"/>
              </w:rPr>
              <w:t>36,412</w:t>
            </w:r>
          </w:p>
        </w:tc>
        <w:tc>
          <w:tcPr>
            <w:tcW w:type="dxa" w:w="1440"/>
            <w:shd w:fill="FAFAFA" w:val="clear"/>
          </w:tcPr>
          <w:p>
            <w:r>
              <w:rPr>
                <w:b/>
                <w:sz w:val="17"/>
              </w:rPr>
              <w:t>38,437</w:t>
            </w:r>
          </w:p>
        </w:tc>
        <w:tc>
          <w:tcPr>
            <w:tcW w:type="dxa" w:w="1440"/>
            <w:shd w:fill="FAFAFA" w:val="clear"/>
          </w:tcPr>
          <w:p>
            <w:r>
              <w:rPr>
                <w:sz w:val="17"/>
              </w:rPr>
              <w:t>40,462</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2026-10-23</w:t>
            </w:r>
          </w:p>
        </w:tc>
        <w:tc>
          <w:tcPr>
            <w:tcW w:type="dxa" w:w="1440"/>
            <w:shd w:fill="FAFAFA" w:val="clear"/>
          </w:tcPr>
          <w:p>
            <w:r>
              <w:rPr>
                <w:sz w:val="17"/>
              </w:rPr>
              <w:t>36,191</w:t>
            </w:r>
          </w:p>
        </w:tc>
        <w:tc>
          <w:tcPr>
            <w:tcW w:type="dxa" w:w="1440"/>
            <w:shd w:fill="FAFAFA" w:val="clear"/>
          </w:tcPr>
          <w:p>
            <w:r>
              <w:rPr>
                <w:b/>
                <w:sz w:val="17"/>
              </w:rPr>
              <w:t>38,375</w:t>
            </w:r>
          </w:p>
        </w:tc>
        <w:tc>
          <w:tcPr>
            <w:tcW w:type="dxa" w:w="1440"/>
            <w:shd w:fill="FAFAFA" w:val="clear"/>
          </w:tcPr>
          <w:p>
            <w:r>
              <w:rPr>
                <w:sz w:val="17"/>
              </w:rPr>
              <w:t>40,559</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2026-10-26</w:t>
            </w:r>
          </w:p>
        </w:tc>
        <w:tc>
          <w:tcPr>
            <w:tcW w:type="dxa" w:w="1440"/>
            <w:shd w:fill="FAFAFA" w:val="clear"/>
          </w:tcPr>
          <w:p>
            <w:r>
              <w:rPr>
                <w:sz w:val="17"/>
              </w:rPr>
              <w:t>35,984</w:t>
            </w:r>
          </w:p>
        </w:tc>
        <w:tc>
          <w:tcPr>
            <w:tcW w:type="dxa" w:w="1440"/>
            <w:shd w:fill="FAFAFA" w:val="clear"/>
          </w:tcPr>
          <w:p>
            <w:r>
              <w:rPr>
                <w:b/>
                <w:sz w:val="17"/>
              </w:rPr>
              <w:t>38,315</w:t>
            </w:r>
          </w:p>
        </w:tc>
        <w:tc>
          <w:tcPr>
            <w:tcW w:type="dxa" w:w="1440"/>
            <w:shd w:fill="FAFAFA" w:val="clear"/>
          </w:tcPr>
          <w:p>
            <w:r>
              <w:rPr>
                <w:sz w:val="17"/>
              </w:rPr>
              <w:t>40,646</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2026-10-27</w:t>
            </w:r>
          </w:p>
        </w:tc>
        <w:tc>
          <w:tcPr>
            <w:tcW w:type="dxa" w:w="1440"/>
            <w:shd w:fill="FAFAFA" w:val="clear"/>
          </w:tcPr>
          <w:p>
            <w:r>
              <w:rPr>
                <w:sz w:val="17"/>
              </w:rPr>
              <w:t>35,787</w:t>
            </w:r>
          </w:p>
        </w:tc>
        <w:tc>
          <w:tcPr>
            <w:tcW w:type="dxa" w:w="1440"/>
            <w:shd w:fill="FAFAFA" w:val="clear"/>
          </w:tcPr>
          <w:p>
            <w:r>
              <w:rPr>
                <w:b/>
                <w:sz w:val="17"/>
              </w:rPr>
              <w:t>38,255</w:t>
            </w:r>
          </w:p>
        </w:tc>
        <w:tc>
          <w:tcPr>
            <w:tcW w:type="dxa" w:w="1440"/>
            <w:shd w:fill="FAFAFA" w:val="clear"/>
          </w:tcPr>
          <w:p>
            <w:r>
              <w:rPr>
                <w:sz w:val="17"/>
              </w:rPr>
              <w:t>40,724</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2026-10-28</w:t>
            </w:r>
          </w:p>
        </w:tc>
        <w:tc>
          <w:tcPr>
            <w:tcW w:type="dxa" w:w="1440"/>
            <w:shd w:fill="FFDCE0" w:val="clear"/>
          </w:tcPr>
          <w:p>
            <w:r>
              <w:rPr>
                <w:sz w:val="17"/>
              </w:rPr>
              <w:t>35,599</w:t>
            </w:r>
          </w:p>
        </w:tc>
        <w:tc>
          <w:tcPr>
            <w:tcW w:type="dxa" w:w="1440"/>
            <w:shd w:fill="FFDCE0" w:val="clear"/>
          </w:tcPr>
          <w:p>
            <w:r>
              <w:rPr>
                <w:b/>
                <w:sz w:val="17"/>
              </w:rPr>
              <w:t>38,197</w:t>
            </w:r>
          </w:p>
        </w:tc>
        <w:tc>
          <w:tcPr>
            <w:tcW w:type="dxa" w:w="1440"/>
            <w:shd w:fill="FFDCE0" w:val="clear"/>
          </w:tcPr>
          <w:p>
            <w:r>
              <w:rPr>
                <w:sz w:val="17"/>
              </w:rPr>
              <w:t>40,795</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figure parmi les toutes premières capitalisations de la BRVM, ce qui en fait un pilier incontournable de l'indice composite et un titre de référence pour les investisseurs institutionnels de la zone UEMOA. Le BPA s'établit à **3 258 FCFA par action**, ce qui signifie que chaque titre détenu génère un bénéfice net de plus de 3 200 FCFA, un niveau remarquable qui traduit la forte rentabilité intrinsèque de la banque. Le PER de **12,0x** situe le titre légèrement au-dessus de la moyenne du marché BRVM (8-12x), mais cette prime reste modérée au regard de la qualité des fondamentaux et du leadership sectoriel ; les investisseurs paient donc un prix raisonnable pour les bénéfices, sans excès spéculatif. Le P/B de **2,45x** indique que le marché valorise la banque à environ 2,5 fois sa valeur comptable, une prime de croissance justifiée par un ROE supérieur à 20 % et une notation AAA unique sur le marché. En revanche, l'EV/EBITDA de **24,7x** apparaît très exigeant (&gt; 15x), signalant que la valeur d'entreprise intègre déjà une part importante d'optimisme sur la capacité opérationnelle future ; ce ratio, moins pertinent pour une banque que le PER ou le P/B, invite néanmoins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SGBC a progressé de **+7,73 %**, clôturant à **39 000 FCFA** avec une variation nulle en J-1 (+0,00 %), signe d'une séance de consolidation sans pression vendeuse. Le titre a évolué dans un range relativement étroit entre un plus bas de **36 000 FCFA** et un plus haut de **39 300 FCFA**, soit une amplitude de seulement 9,2 %, ce qui témoigne d'une tendance haussière graduelle et maîtrisée, sans excès de volatilité. La moyenne des cours s'établit à **38 439 FCFA** contre une médiane de **38 800 FCFA**, un écart modeste qui indique une distribution légèrement asymétrique avec davantage de séances passées au-dessus de la moyenne, confirmé par le mode à 39 000 FCFA (niveau actuel). L'écart-type de **721 FCFA** et le coefficient de variation de **1,9 %** révèlent une dispersion très faible du cours, caractéristique d'un titre liquide et suivi par des investisseurs institutionnels ; le kurtosis de **1,024** (leptokurtique) signale toutefois des queues épaisses, donc un risque de pics de volatilité ponctuels, tandis que le skewness de **-1,177** (asymétrie négative) confirme une prédominance de journées au-dessus de la moyenne, avec des corrections rares mais parfois marquées. La volatilité annualisée de **21,1 %** positionne le titre dans la catégorie modérée (15-30 %), cohérente avec un profil de valeur bancaire stable et peu spéculative.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**38 782,5 FCFA** et la MM50 à **38 643,9 FCFA**, toutes deux inférieures au cours actuel de 39 000 FCFA, ce qui place le titre en position haussière au-dessus de ses supports dynamiques. La MM20 étant légèrement supérieure à la MM50, on observe un croisement haussier (golden cross) confirmant la dynamique positive ; la décision technique est donc logiquement à l'**Achat**.</w:t>
      </w:r>
    </w:p>
    <w:p>
      <w:pPr>
        <w:spacing w:after="120" w:line="276" w:lineRule="auto"/>
      </w:pPr>
      <w:r>
        <w:t>**Bandes de Bollinger :** Le cours (39 000 FCFA) se situe à l'intérieur des bandes, entre la borne inférieure (38 006,9 FCFA) et la borne supérieure (39 558,1 FCFA), mais plus proche de la borne haute, ce qui indique une pression acheteuse modérée sans suraccumulation. L'écart entre les bornes reste contenu, traduisant une volatilité faible ; la décision est **Neutre**, le titre n'étant ni en zone de surachat extrême ni en zone de survente.</w:t>
      </w:r>
    </w:p>
    <w:p>
      <w:pPr>
        <w:spacing w:after="120" w:line="276" w:lineRule="auto"/>
      </w:pPr>
      <w:r>
        <w:t>**MACD :** La valeur du MACD (**147,257**) est nettement supérieure à son signal (**125,66**), avec un histogramme positif qui traduit un momentum haussier en cours de renforcement. Cette configuration confirme la tendance positive observée sur les moyennes mobiles ; la décision est à l'**Achat**.</w:t>
      </w:r>
    </w:p>
    <w:p>
      <w:pPr>
        <w:spacing w:after="120" w:line="276" w:lineRule="auto"/>
      </w:pPr>
      <w:r>
        <w:t>**RSI :** À **67,901**, le RSI se situe dans la zone neutre haute (30-70), à proximité du seuil de surachat (70) sans l'avoir franchi. Cela indique que le titre conserve un potentiel de hausse à court terme, mais que la marge de progression se réduit ; la décision est **Neutre**, avec une vigilance sur un éventuel franchissement des 70.</w:t>
      </w:r>
    </w:p>
    <w:p>
      <w:pPr>
        <w:spacing w:after="120" w:line="276" w:lineRule="auto"/>
      </w:pPr>
      <w:r>
        <w:t>**Stochastique :** Le %K (**75,0**) est inférieur au %D (**86,043**), configuration baissière qui suggère un essoufflement de la dynamique haussière à très court terme, possiblement un début de croisement à la baisse. Le niveau élevé des deux lignes (&gt;80 pour %D) indique une zone de surachat ; la décision est **Neutre**, appelant à la prudence sur les entrées à court terme.</w:t>
      </w:r>
    </w:p>
    <w:p>
      <w:pPr>
        <w:spacing w:after="120" w:line="276" w:lineRule="auto"/>
      </w:pPr>
      <w:r>
        <w:t>**Conclusion technique :** Les indicateurs de tendance (MM20/MM50, MACD) sont clairement haussiers et confirment la dynamique positive du titre, tandis que les oscillateurs (RSI, Stochastique, Bollinger) affichent une position neutre avec des signes d'essoufflement à court terme. Cette divergence entre tendance de fond et momentum immédiat suggère un potentiel de consolidation avant une reprise ; le titre reste techniquement bien orienté, mais une pause est probable avant tout nouvel élan vers les 39 500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(équivalent du chiffre d'affaires pour une banque) de **276 048 millions FCFA**, en croissance de **+4,88 %** sur un an, porté par la marge d'intérêt (230 313 M FCFA) et les commissions (72 603 M FCFA). Le résultat net s'établit à **101 352 millions FCFA**, franchissant pour la première fois le seuil symbolique des 100 milliards, avec une marge nette de **36,72 %** et un ROE exceptionnel de **20,47 %** (&gt;15 % = excellent), confirmant la rentabilité supérieure de la banque. Le ROA de **2,69 %** et la rotation des actifs de **7,32 %** traduisent une utilisation efficace du bilan (3 769 milliards FCFA). Le coefficient d'exploitation de **38,75 %** (&lt;60 % = banque efficace, &lt;50 % = excellente) place SGBC parmi les établissements les plus performants de la zone UEMOA. La structure financière reste solide avec un ratio de solvabilité de **17,6 %** (seuil réglementaire : 12,5 %) et une couverture des intérêts de **255,88 %**, bien que l'autonomie financière (13,14 %) et le ratio d'endettement (86,86 %) reflètent le modèle bancaire classique de levier. Le portefeuille de crédits (2 546 Mds FCFA) est financé par des dépôts clientèle de **2 907 Mds FCFA**, soit un ratio prêts/dépôts de **87,6 %**, en amélioration de 250 bps, signe d'une transformation maîtrisée.</w:t>
      </w:r>
    </w:p>
    <w:p>
      <w:pPr>
        <w:spacing w:after="120" w:line="276" w:lineRule="auto"/>
      </w:pPr>
      <w:r>
        <w:t>**Estimations basées sur les rapports trimestriels :** Le rapport T1 2026 (publié le 30 avril 2026) fait état d'un PNB de **65 644 M FCFA** (-1 % sur un an) et d'un résultat net de **23 976 M FCFA** (-11 %), affecté par la migration vers une nouvelle plateforme digitale et la hausse des frais généraux (+9 %). Le rapport S1 2026 (publié le 27 août 2026) confirme cette tendance avec un PNB de **134 059 M FCFA** (+1,6 %) et un résultat net de **53 350 M FCFA** (+0,5 %), le coefficient d'exploitation s'améliorant à **36,7 %** mais le coût du risque progressant de **+9,1 %**. Sur la base de ces rapports, on estime que l'exercice 2026 devrait afficher une croissance du PNB limitée à **+2-3 %** et un résultat net quasi stable autour de **100-102 milliards FCFA**, la normalisation des coûts et la finalisation de la migration étant attendues au S2 2026. Le dividende proposé au titre de 2025 s'élève à **2 606 FCFA par action**, soit un taux de distribution de **80 %** et un rendement de **6,68 %** au cours actuel de 39 000 FCFA, un niveau attractif pour les investisseurs recherchant du rendement. La notation **AAA** (Bloomfield), unique sur le marché bancaire ivoirien, et la solidité bilancielle (capitaux propres de 495 Mds FCFA, +9,6 %) confirment la qualité fondamentale de l'émetteur, malgré les défis conjoncturels de 2026.</w:t>
      </w:r>
    </w:p>
    <w:p>
      <w:pPr>
        <w:spacing w:after="120" w:line="276" w:lineRule="auto"/>
      </w:pPr>
      <w:r>
        <w:t>---</w:t>
      </w:r>
    </w:p>
    <w:p>
      <w:pPr>
        <w:spacing w:after="120" w:line="276" w:lineRule="auto"/>
      </w:pPr>
      <w:r>
        <w:t>## PARTIE 4 : CONCLUSION D'INVESTISSEMENT</w:t>
      </w:r>
    </w:p>
    <w:p>
      <w:pPr>
        <w:spacing w:after="120" w:line="276" w:lineRule="auto"/>
      </w:pPr>
      <w:r>
        <w:t>La valorisation de SGBC (PER 12,0x, P/B 2,45x, EV/EBITDA 24,7x) indique une juste appréciation du titre, sans sous-évaluation manifeste mais avec une prime de qualité justifiée par le leadership et la notation AAA ; le rendement du dividende de 6,68 % renforce l'attrait pour les investisseurs de rendement. Le comportement du cours sur 100 jours (+7,73 %, volatilité modérée de 21,1 %, skewness négatif) est favorable, bien que le kurtosis élevé (1,024) invite à la vigilance sur des pics de volatilité ponctuels. Les signaux techniques sont majoritairement haussiers (MM20/MM50 en golden cross, MACD positif) mais les oscillateurs (RSI à 67,9, Stochastique en zone de surachat) suggèrent un essoufflement à court terme, plaidant pour une consolidation avant reprise. Les fondamentaux restent solides (PNB +4,88 %, ROE 20,47 %, coefficient d'exploitation 38,75 %, dividende 80 %), mais les rapports T1 et S1 2026 révèlent une décélération de la rentabilité (résultat net +0,5 % au S1 2026) liée à des investissements transitoires et à la hausse du coût du risque. Les prédictions IA (J+1 à J+10) anticipent une légère correction vers **38 500-38 778 FCFA**, en ligne avec le scénario de consolidation technique, sans remettre en cause la tendance de fond. **Recommandation finale : CONSERVER** — le titre offre un bon compromis rendement/sécurité, mais l'absence de catalyseur immédiat (croissance molle en 2026, coût du risque en hausse) limite le potentiel de surperformance à court terme ; un passage à l'ACHAT serait justifié en cas de confirmation de la reprise au S2 2026 (normalisation des coûts, inflexion du coût du risque) ou de publication d'un dividende supérieur aux attentes. **Niveau de confiance : Moyen** — la convergence entre technique haussière et fondamentaux solides est tempérée par la décélération bénéficiaire. **Niveau de risque : Faible à Moyen** — la qualité de l'émetteur et la liquidité du titre limitent le risque baissier. **Horizon d'investissement optimal : Moyen terme (3-12 mois)** — pour capter le rendement du dividende et la reprise attendue en 2027, en surveillant les publications trimestrielles pour ajuster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4,979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+15.79%</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9.54% (Moyenne) — μ=2,274 FCFA, σ=217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β=1.0348 (Neutre (suit le marché)) — Cov=0.000077, Var(idx)=0.000075, ρ=0.334,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2,072</w:t>
            </w:r>
          </w:p>
        </w:tc>
        <w:tc>
          <w:tcPr>
            <w:tcW w:type="dxa" w:w="1440"/>
            <w:shd w:fill="FAFAFA" w:val="clear"/>
          </w:tcPr>
          <w:p>
            <w:r>
              <w:rPr>
                <w:b/>
                <w:sz w:val="17"/>
              </w:rPr>
              <w:t>2,207</w:t>
            </w:r>
          </w:p>
        </w:tc>
        <w:tc>
          <w:tcPr>
            <w:tcW w:type="dxa" w:w="1440"/>
            <w:shd w:fill="FAFAFA" w:val="clear"/>
          </w:tcPr>
          <w:p>
            <w:r>
              <w:rPr>
                <w:sz w:val="17"/>
              </w:rPr>
              <w:t>2,342</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2,023</w:t>
            </w:r>
          </w:p>
        </w:tc>
        <w:tc>
          <w:tcPr>
            <w:tcW w:type="dxa" w:w="1440"/>
            <w:shd w:fill="FAFAFA" w:val="clear"/>
          </w:tcPr>
          <w:p>
            <w:r>
              <w:rPr>
                <w:b/>
                <w:sz w:val="17"/>
              </w:rPr>
              <w:t>2,214</w:t>
            </w:r>
          </w:p>
        </w:tc>
        <w:tc>
          <w:tcPr>
            <w:tcW w:type="dxa" w:w="1440"/>
            <w:shd w:fill="FAFAFA" w:val="clear"/>
          </w:tcPr>
          <w:p>
            <w:r>
              <w:rPr>
                <w:sz w:val="17"/>
              </w:rPr>
              <w:t>2,405</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1,985</w:t>
            </w:r>
          </w:p>
        </w:tc>
        <w:tc>
          <w:tcPr>
            <w:tcW w:type="dxa" w:w="1440"/>
            <w:shd w:fill="FAFAFA" w:val="clear"/>
          </w:tcPr>
          <w:p>
            <w:r>
              <w:rPr>
                <w:b/>
                <w:sz w:val="17"/>
              </w:rPr>
              <w:t>2,220</w:t>
            </w:r>
          </w:p>
        </w:tc>
        <w:tc>
          <w:tcPr>
            <w:tcW w:type="dxa" w:w="1440"/>
            <w:shd w:fill="FAFAFA" w:val="clear"/>
          </w:tcPr>
          <w:p>
            <w:r>
              <w:rPr>
                <w:sz w:val="17"/>
              </w:rPr>
              <w:t>2,454</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1,953</w:t>
            </w:r>
          </w:p>
        </w:tc>
        <w:tc>
          <w:tcPr>
            <w:tcW w:type="dxa" w:w="1440"/>
            <w:shd w:fill="FAFAFA" w:val="clear"/>
          </w:tcPr>
          <w:p>
            <w:r>
              <w:rPr>
                <w:b/>
                <w:sz w:val="17"/>
              </w:rPr>
              <w:t>2,225</w:t>
            </w:r>
          </w:p>
        </w:tc>
        <w:tc>
          <w:tcPr>
            <w:tcW w:type="dxa" w:w="1440"/>
            <w:shd w:fill="FAFAFA" w:val="clear"/>
          </w:tcPr>
          <w:p>
            <w:r>
              <w:rPr>
                <w:sz w:val="17"/>
              </w:rPr>
              <w:t>2,496</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1,925</w:t>
            </w:r>
          </w:p>
        </w:tc>
        <w:tc>
          <w:tcPr>
            <w:tcW w:type="dxa" w:w="1440"/>
            <w:shd w:fill="FAFAFA" w:val="clear"/>
          </w:tcPr>
          <w:p>
            <w:r>
              <w:rPr>
                <w:b/>
                <w:sz w:val="17"/>
              </w:rPr>
              <w:t>2,228</w:t>
            </w:r>
          </w:p>
        </w:tc>
        <w:tc>
          <w:tcPr>
            <w:tcW w:type="dxa" w:w="1440"/>
            <w:shd w:fill="FAFAFA" w:val="clear"/>
          </w:tcPr>
          <w:p>
            <w:r>
              <w:rPr>
                <w:sz w:val="17"/>
              </w:rPr>
              <w:t>2,532</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1,898</w:t>
            </w:r>
          </w:p>
        </w:tc>
        <w:tc>
          <w:tcPr>
            <w:tcW w:type="dxa" w:w="1440"/>
            <w:shd w:fill="FAFAFA" w:val="clear"/>
          </w:tcPr>
          <w:p>
            <w:r>
              <w:rPr>
                <w:b/>
                <w:sz w:val="17"/>
              </w:rPr>
              <w:t>2,232</w:t>
            </w:r>
          </w:p>
        </w:tc>
        <w:tc>
          <w:tcPr>
            <w:tcW w:type="dxa" w:w="1440"/>
            <w:shd w:fill="FAFAFA" w:val="clear"/>
          </w:tcPr>
          <w:p>
            <w:r>
              <w:rPr>
                <w:sz w:val="17"/>
              </w:rPr>
              <w:t>2,565</w:t>
            </w:r>
          </w:p>
        </w:tc>
        <w:tc>
          <w:tcPr>
            <w:tcW w:type="dxa" w:w="1440"/>
            <w:shd w:fill="FAFAFA" w:val="clear"/>
          </w:tcPr>
          <w:p>
            <w:r>
              <w:rPr>
                <w:b/>
                <w:color w:val="008000"/>
                <w:sz w:val="17"/>
              </w:rPr>
              <w:t>+1.4%</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1,874</w:t>
            </w:r>
          </w:p>
        </w:tc>
        <w:tc>
          <w:tcPr>
            <w:tcW w:type="dxa" w:w="1440"/>
            <w:shd w:fill="FAFAFA" w:val="clear"/>
          </w:tcPr>
          <w:p>
            <w:r>
              <w:rPr>
                <w:b/>
                <w:sz w:val="17"/>
              </w:rPr>
              <w:t>2,234</w:t>
            </w:r>
          </w:p>
        </w:tc>
        <w:tc>
          <w:tcPr>
            <w:tcW w:type="dxa" w:w="1440"/>
            <w:shd w:fill="FAFAFA" w:val="clear"/>
          </w:tcPr>
          <w:p>
            <w:r>
              <w:rPr>
                <w:sz w:val="17"/>
              </w:rPr>
              <w:t>2,595</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1,851</w:t>
            </w:r>
          </w:p>
        </w:tc>
        <w:tc>
          <w:tcPr>
            <w:tcW w:type="dxa" w:w="1440"/>
            <w:shd w:fill="FAFAFA" w:val="clear"/>
          </w:tcPr>
          <w:p>
            <w:r>
              <w:rPr>
                <w:b/>
                <w:sz w:val="17"/>
              </w:rPr>
              <w:t>2,237</w:t>
            </w:r>
          </w:p>
        </w:tc>
        <w:tc>
          <w:tcPr>
            <w:tcW w:type="dxa" w:w="1440"/>
            <w:shd w:fill="FAFAFA" w:val="clear"/>
          </w:tcPr>
          <w:p>
            <w:r>
              <w:rPr>
                <w:sz w:val="17"/>
              </w:rPr>
              <w:t>2,623</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1,829</w:t>
            </w:r>
          </w:p>
        </w:tc>
        <w:tc>
          <w:tcPr>
            <w:tcW w:type="dxa" w:w="1440"/>
            <w:shd w:fill="FAFAFA" w:val="clear"/>
          </w:tcPr>
          <w:p>
            <w:r>
              <w:rPr>
                <w:b/>
                <w:sz w:val="17"/>
              </w:rPr>
              <w:t>2,239</w:t>
            </w:r>
          </w:p>
        </w:tc>
        <w:tc>
          <w:tcPr>
            <w:tcW w:type="dxa" w:w="1440"/>
            <w:shd w:fill="FAFAFA" w:val="clear"/>
          </w:tcPr>
          <w:p>
            <w:r>
              <w:rPr>
                <w:sz w:val="17"/>
              </w:rPr>
              <w:t>2,649</w:t>
            </w:r>
          </w:p>
        </w:tc>
        <w:tc>
          <w:tcPr>
            <w:tcW w:type="dxa" w:w="1440"/>
            <w:shd w:fill="FAFAFA" w:val="clear"/>
          </w:tcPr>
          <w:p>
            <w:r>
              <w:rPr>
                <w:b/>
                <w:color w:val="008000"/>
                <w:sz w:val="17"/>
              </w:rPr>
              <w:t>+1.8%</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1,809</w:t>
            </w:r>
          </w:p>
        </w:tc>
        <w:tc>
          <w:tcPr>
            <w:tcW w:type="dxa" w:w="1440"/>
            <w:shd w:fill="FAFAFA" w:val="clear"/>
          </w:tcPr>
          <w:p>
            <w:r>
              <w:rPr>
                <w:b/>
                <w:sz w:val="17"/>
              </w:rPr>
              <w:t>2,241</w:t>
            </w:r>
          </w:p>
        </w:tc>
        <w:tc>
          <w:tcPr>
            <w:tcW w:type="dxa" w:w="1440"/>
            <w:shd w:fill="FAFAFA" w:val="clear"/>
          </w:tcPr>
          <w:p>
            <w:r>
              <w:rPr>
                <w:sz w:val="17"/>
              </w:rPr>
              <w:t>2,673</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**138,60 milliards FCFA**, SHEC figure parmi les valeurs moyennes-capitalisations de la cote BRVM, ce qui traduit une liquidité modérée (volume moyen de 4 979 titres/jour). Le **BPA de 96 FCFA/action** signifie que chaque titre génère près d'un centième de sa valeur en bénéfice net annuel, un niveau cohérent avec la faible marge nette (1 %) du secteur pétrolier aval. Le **PER de 23,0x** est nettement supérieur à la moyenne BRVM (~8-12x), signalant que le marché paie une prime de croissance ou de qualité qui n'est pas encore confirmée par les résultats (+0,71 % de croissance du CA en 2025). Le **P/B de 5,10x** (largement &gt; 4x) indique que le marché valorise SHEC à plus de cinq fois sa valeur comptable (capitaux propres de 27,16 Mds FCFA), une prime exigeante pour une activité à faible marge. Enfin, l'**EV/EBITDA de 12,6x** (fourchette 10-15x) confirme une valorisation tendue : la valeur d'entreprise intègre une capacité opérationnelle (EBE de 17,17 Mds FCFA) déjà bien rémunérée par le marché, ce qui limite le potentiel de réévaluation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**variation totale de +15,79 %**, avec une dernière séance en hausse de **+0,46 %** à **2 200 FCFA**, confirmant une dynamique haussière de fond. Le titre a évolué dans un range large de **1 900 FCFA (plus bas) à 2 980 FCFA (plus haut)**, soit un écart de 57 %, ce qui témoigne d'une forte amplitude de trading. La tendance générale est haussière mais avec une correction marquée depuis le sommet de 2 980 FCFA, le cours actuel (2 200 FCFA) se situant sous la moyenne (2 274 FCFA) et proche de la médiane (2 202 FCFA) — l'écart faible entre moyenne et médiane indique une distribution relativement équilibrée, bien que le mode (2 200 FCFA) coïncide avec le cours actuel, suggérant un palier de consolidation. L'**écart-type de 218 FCFA (CV = 9,6 %)** traduit une dispersion modérée du cours autour de sa moyenne, mais le **kurtosis de 1,645 (leptokurtique)** signale des queues épaisses et donc un risque de pics de volatilité brutaux, tandis que le **skewness de 1,082 (asymétrie positive)** indique davantage de journées sous la moyenne que de journées exceptionnellement haussières — un profil de correction progressive. La **volatilité annualisée de 42,0 %** classe SHEC dans la catégorie des titres à volatilité élevée (&gt;30 %),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(2 440,75 FCFA) et la MM50 (2 427,60 FCFA) sont toutes deux supérieures au cours actuel (2 200 FCFA), ce qui place le titre en position baissière à court terme malgré la décision technique "Achat" fournie — cette divergence s'explique probablement par le croisement haussier MM20/MM50 (2 440 &gt; 2 427) qui anticipe un retournement. Le cours évoluant sous ses deux moyennes, la pression vendeuse reste dominante tant que la résistance des 2 440 FCFA n'est pas franchie.</w:t>
      </w:r>
    </w:p>
    <w:p>
      <w:pPr>
        <w:spacing w:after="120" w:line="276" w:lineRule="auto"/>
      </w:pPr>
      <w:r>
        <w:t>**Bandes de Bollinger** : Le cours (2 200 FCFA) se situe dans la partie basse de la bande, entre la borne inférieure (1 921,62 FCFA) et la borne supérieure (2 959,88 FCFA), avec une décision "Neutre". L'écart important entre les bornes (1 038 FCFA) reflète la volatilité élevée du titre, et la position du cours à 27 % de la bande suggère une absence de signal directionnel fort — le marché est en phase d'indécision.</w:t>
      </w:r>
    </w:p>
    <w:p>
      <w:pPr>
        <w:spacing w:after="120" w:line="276" w:lineRule="auto"/>
      </w:pPr>
      <w:r>
        <w:t>**MACD** : La valeur du MACD (-83,564) est inférieure à son signal (-53,7), confirmant une configuration baissière avec un momentum négatif. La divergence négative MACD-Signal indique que la pression vendeuse persiste, justifiant la décision "Vente" — un croisement haussier serait nécessaire pour inverser ce signal.</w:t>
      </w:r>
    </w:p>
    <w:p>
      <w:pPr>
        <w:spacing w:after="120" w:line="276" w:lineRule="auto"/>
      </w:pPr>
      <w:r>
        <w:t>**RSI** : À 31,731, le RSI est proche de la zone de survente (seuil 30) sans y être entré, ce qui justifie la décision "Neutre". Cette valeur indique que le titre n'est ni suracheté ni survendu, mais la proximité du seuil de survente suggère un potentiel de rebond technique à court terme.</w:t>
      </w:r>
    </w:p>
    <w:p>
      <w:pPr>
        <w:spacing w:after="120" w:line="276" w:lineRule="auto"/>
      </w:pPr>
      <w:r>
        <w:t>**Stochastique** : Le %K (3,509) et le %D (1,17) sont tous deux en zone de survente extrême (&lt;20), avec %K au-dessus de %D, ce qui constitue un signal d'achat technique. Ce croisement haussier en zone basse indique que la pression vendeuse s'épuise et qu'un rebond pourrait se matérialiser.</w:t>
      </w:r>
    </w:p>
    <w:p>
      <w:pPr>
        <w:spacing w:after="120" w:line="276" w:lineRule="auto"/>
      </w:pPr>
      <w:r>
        <w:t>**Conclusion technique** : Les indicateurs sont **divergents** — les moyennes mobiles et le MACD sont baissiers, tandis que le stochastique et le RSI (proche survente) suggèrent un rebond imminent. Les bandes de Bollinger confirment une phase de consolidation. La convergence des signaux d'achat (stochastique, RSI bas) avec la décision "Achat" des MM (croisement MM20/MM50) plaide pour un **rebond technique à court terme**, mais la prudence reste de mise tant que le cours n'a pas reconquis la zone des 2 440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a réalisé un **chiffre d'affaires de 604,978 Mds FCFA**, en très légère hausse de **+0,71 %** par rapport à 2024 (600,708 Mds FCFA), traduisant une stagnation de l'activité commerciale. Le **résultat net s'établit à 6,028 Mds FCFA**, en progression de **+12,6 %**, porté par une amélioration de la valeur ajoutée (+15 %) et une baisse des charges financières (-17,7 %). La **marge nette reste très faible à 0,996 %**, caractéristique du secteur pétrolier aval, mais en légère amélioration (0,89 % en 2024). Le **ROE de 22,20 %** est excellent (&gt;15 %) et témoigne d'une création de valeur efficace pour les actionnaires, tandis que le **ROA de 3,11 %** reste modeste en raison de la rotation élevée des actifs (312,55 %). En tant qu'entreprise de distribution, les **délais clients (23,27 jours)** et **fournisseurs (35,47 jours)** sont maîtrisés, mais le **BFR de 15,315 Mds FCFA** et la **trésorerie nette de -65,264 Mds FCFA** révèlent une tension de liquidité préoccupante, avec un **taux d'endettement de 43,95 %** et une **autonomie financière faible (14,03 %)**.</w:t>
      </w:r>
    </w:p>
    <w:p>
      <w:pPr>
        <w:spacing w:after="120" w:line="276" w:lineRule="auto"/>
      </w:pPr>
      <w:r>
        <w:t>**Estimations basées sur les rapports trimestriels** : Le rapport du **S1 2026 (publié en 2026)** indique un CA de **305 038 M FCFA (-1 %)** et un résultat net de **3 016 M FCFA**, avec un résultat d'exploitation en hausse de **+17 %** à 6 133 M FCFA, soutenu par le butane. Sur cette base, on estime que l'exercice 2026 devrait afficher une **stabilité du résultat net autour de 6 Mds FCFA**, avec une légère pression sur le CA (-1 % au S1). Le rapport **T1 2026 (2026)** confirme une baisse de **-9 % du CA** à 141 649 M FCFA, mais un résultat net quasi stable (+1 %), grâce à une maîtrise des charges. Le **dividende proposé pour 2025 est de 6,09 Mds FCFA** (soit ~1 933 FCFA/action), un **taux de distribution de 101 %** qui, bien que généreux, fragilise la structure financière. Les rapports antérieurs (**T3 2025, S1 2025, T1 2025**) montrent une amélioration progressive de la rentabilité opérationnelle et financière, mais une dégradation continue de la trésorerie nette (-48,56 Mds en 2024 → -65,26 Mds en 2025).</w:t>
      </w:r>
    </w:p>
    <w:p>
      <w:pPr>
        <w:spacing w:after="120" w:line="276" w:lineRule="auto"/>
      </w:pPr>
      <w:r>
        <w:t>**Recommandation fondamentale** : SHEC présente une **solidité opérationnelle correcte** (ROE &gt;20 %, bénéfice en hausse, dividende attractif) mais des **risques financiers élevés** (trésorerie nette très négative, endettement court terme important, marge nette fragile à 1 %). La recommandation des analystes est **CONSERVER**, avec une vigilance sur la liquidité et le BFR.</w:t>
      </w:r>
    </w:p>
    <w:p>
      <w:pPr>
        <w:spacing w:after="120" w:line="276" w:lineRule="auto"/>
      </w:pPr>
      <w:r>
        <w:t>---</w:t>
      </w:r>
    </w:p>
    <w:p>
      <w:pPr>
        <w:spacing w:after="120" w:line="276" w:lineRule="auto"/>
      </w:pPr>
      <w:r>
        <w:t>## PARTIE 4 : CONCLUSION D'INVESTISSEMENT</w:t>
      </w:r>
    </w:p>
    <w:p>
      <w:pPr>
        <w:spacing w:after="120" w:line="276" w:lineRule="auto"/>
      </w:pPr>
      <w:r>
        <w:t>La **valorisation (Partie 0)** est exigeante : PER de 23,0x (vs moyenne BRVM 8-12x), P/B de 5,10x et EV/EBITDA de 12,6x indiquent une **surévaluation relative** par rapport aux fondamentaux, bien que le ROE élevé (22,2 %) puisse justifier une prime de qualité. Le **comportement du cours (Partie 1)** est haussier sur 100 jours (+15,79 %) mais avec une volatilité élevée (42 %) et un kurtosis leptokurtique (1,645) qui signale un risque de pics baissiers — le skewness positif (1,082) suggère une asymétrie défavorable. Les **signaux techniques (Partie 2)** sont divergents : baissiers pour les MM et le MACD, mais haussiers pour le stochastique (survente extrême) et le RSI (proche survente), ce qui plaide pour un **rebond technique à court terme** sans inversion de tendance. Les **fondamentaux (Partie 3)** sont mitigés : bénéfice en hausse (+12,6 %), ROE excellent (22,2 %), mais trésorerie nette très négative (-65,26 Mds FCFA) et marge nette fragile (1 %). Les **prédictions IA (J+1 à J+10)** anticipent une **hausse modérée** de 2 207 à 2 228 FCFA (+1,3 %), ce qui **confirme le rebond technique** attendu mais **contredit la tendance baissière** des MM/MACD. **Synthèse globale** : la convergence entre le rebond technique (stochastique, RSI), les prédictions IA haussières et la résilience des fondamentaux (bénéfice en hausse, dividende attractif) soutient une **recommandation CONSERVER**, avec un **niveau de confiance Moyen** et un **risque global Élevé** (volatilité 42 %, trésorerie négative, valorisation tendue). L'**horizon optimal** est le **moyen terme (3-12 mois)**, en attendant la confirmation de la reprise des volumes au S2 2026 et une clarification de la structure financière. Un renforcement ne serait justifié qu'en cas de franchissement durable des 2 440 FCFA (MM20/MM50) avec confirmation des volumes.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11,362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+12.17%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7,700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3.50% (Faible) — μ=8,931 FCFA, σ=313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β=0.7367 (Défensif) — Cov=0.000055, Var(idx)=0.000075, ρ=0.328,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8,476</w:t>
            </w:r>
          </w:p>
        </w:tc>
        <w:tc>
          <w:tcPr>
            <w:tcW w:type="dxa" w:w="1440"/>
            <w:shd w:fill="FAFAFA" w:val="clear"/>
          </w:tcPr>
          <w:p>
            <w:r>
              <w:rPr>
                <w:b/>
                <w:sz w:val="17"/>
              </w:rPr>
              <w:t>8,738</w:t>
            </w:r>
          </w:p>
        </w:tc>
        <w:tc>
          <w:tcPr>
            <w:tcW w:type="dxa" w:w="1440"/>
            <w:shd w:fill="FAFAFA" w:val="clear"/>
          </w:tcPr>
          <w:p>
            <w:r>
              <w:rPr>
                <w:sz w:val="17"/>
              </w:rPr>
              <w:t>8,999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8,320</w:t>
            </w:r>
          </w:p>
        </w:tc>
        <w:tc>
          <w:tcPr>
            <w:tcW w:type="dxa" w:w="1440"/>
            <w:shd w:fill="FAFAFA" w:val="clear"/>
          </w:tcPr>
          <w:p>
            <w:r>
              <w:rPr>
                <w:b/>
                <w:sz w:val="17"/>
              </w:rPr>
              <w:t>8,688</w:t>
            </w:r>
          </w:p>
        </w:tc>
        <w:tc>
          <w:tcPr>
            <w:tcW w:type="dxa" w:w="1440"/>
            <w:shd w:fill="FAFAFA" w:val="clear"/>
          </w:tcPr>
          <w:p>
            <w:r>
              <w:rPr>
                <w:sz w:val="17"/>
              </w:rPr>
              <w:t>9,055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8,189</w:t>
            </w:r>
          </w:p>
        </w:tc>
        <w:tc>
          <w:tcPr>
            <w:tcW w:type="dxa" w:w="1440"/>
            <w:shd w:fill="FAFAFA" w:val="clear"/>
          </w:tcPr>
          <w:p>
            <w:r>
              <w:rPr>
                <w:b/>
                <w:sz w:val="17"/>
              </w:rPr>
              <w:t>8,637</w:t>
            </w:r>
          </w:p>
        </w:tc>
        <w:tc>
          <w:tcPr>
            <w:tcW w:type="dxa" w:w="1440"/>
            <w:shd w:fill="FAFAFA" w:val="clear"/>
          </w:tcPr>
          <w:p>
            <w:r>
              <w:rPr>
                <w:sz w:val="17"/>
              </w:rPr>
              <w:t>9,084</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2026-10-20</w:t>
            </w:r>
          </w:p>
        </w:tc>
        <w:tc>
          <w:tcPr>
            <w:tcW w:type="dxa" w:w="1440"/>
            <w:shd w:fill="FFDCE0" w:val="clear"/>
          </w:tcPr>
          <w:p>
            <w:r>
              <w:rPr>
                <w:sz w:val="17"/>
              </w:rPr>
              <w:t>8,075</w:t>
            </w:r>
          </w:p>
        </w:tc>
        <w:tc>
          <w:tcPr>
            <w:tcW w:type="dxa" w:w="1440"/>
            <w:shd w:fill="FFDCE0" w:val="clear"/>
          </w:tcPr>
          <w:p>
            <w:r>
              <w:rPr>
                <w:b/>
                <w:sz w:val="17"/>
              </w:rPr>
              <w:t>8,589</w:t>
            </w:r>
          </w:p>
        </w:tc>
        <w:tc>
          <w:tcPr>
            <w:tcW w:type="dxa" w:w="1440"/>
            <w:shd w:fill="FFDCE0" w:val="clear"/>
          </w:tcPr>
          <w:p>
            <w:r>
              <w:rPr>
                <w:sz w:val="17"/>
              </w:rPr>
              <w:t>9,103</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2026-10-21</w:t>
            </w:r>
          </w:p>
        </w:tc>
        <w:tc>
          <w:tcPr>
            <w:tcW w:type="dxa" w:w="1440"/>
            <w:shd w:fill="FFDCE0" w:val="clear"/>
          </w:tcPr>
          <w:p>
            <w:r>
              <w:rPr>
                <w:sz w:val="17"/>
              </w:rPr>
              <w:t>7,974</w:t>
            </w:r>
          </w:p>
        </w:tc>
        <w:tc>
          <w:tcPr>
            <w:tcW w:type="dxa" w:w="1440"/>
            <w:shd w:fill="FFDCE0" w:val="clear"/>
          </w:tcPr>
          <w:p>
            <w:r>
              <w:rPr>
                <w:b/>
                <w:sz w:val="17"/>
              </w:rPr>
              <w:t>8,546</w:t>
            </w:r>
          </w:p>
        </w:tc>
        <w:tc>
          <w:tcPr>
            <w:tcW w:type="dxa" w:w="1440"/>
            <w:shd w:fill="FFDCE0" w:val="clear"/>
          </w:tcPr>
          <w:p>
            <w:r>
              <w:rPr>
                <w:sz w:val="17"/>
              </w:rPr>
              <w:t>9,118</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2026-10-22</w:t>
            </w:r>
          </w:p>
        </w:tc>
        <w:tc>
          <w:tcPr>
            <w:tcW w:type="dxa" w:w="1440"/>
            <w:shd w:fill="FFDCE0" w:val="clear"/>
          </w:tcPr>
          <w:p>
            <w:r>
              <w:rPr>
                <w:sz w:val="17"/>
              </w:rPr>
              <w:t>7,883</w:t>
            </w:r>
          </w:p>
        </w:tc>
        <w:tc>
          <w:tcPr>
            <w:tcW w:type="dxa" w:w="1440"/>
            <w:shd w:fill="FFDCE0" w:val="clear"/>
          </w:tcPr>
          <w:p>
            <w:r>
              <w:rPr>
                <w:b/>
                <w:sz w:val="17"/>
              </w:rPr>
              <w:t>8,506</w:t>
            </w:r>
          </w:p>
        </w:tc>
        <w:tc>
          <w:tcPr>
            <w:tcW w:type="dxa" w:w="1440"/>
            <w:shd w:fill="FFDCE0" w:val="clear"/>
          </w:tcPr>
          <w:p>
            <w:r>
              <w:rPr>
                <w:sz w:val="17"/>
              </w:rPr>
              <w:t>9,129</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2026-10-23</w:t>
            </w:r>
          </w:p>
        </w:tc>
        <w:tc>
          <w:tcPr>
            <w:tcW w:type="dxa" w:w="1440"/>
            <w:shd w:fill="FFDCE0" w:val="clear"/>
          </w:tcPr>
          <w:p>
            <w:r>
              <w:rPr>
                <w:sz w:val="17"/>
              </w:rPr>
              <w:t>7,798</w:t>
            </w:r>
          </w:p>
        </w:tc>
        <w:tc>
          <w:tcPr>
            <w:tcW w:type="dxa" w:w="1440"/>
            <w:shd w:fill="FFDCE0" w:val="clear"/>
          </w:tcPr>
          <w:p>
            <w:r>
              <w:rPr>
                <w:b/>
                <w:sz w:val="17"/>
              </w:rPr>
              <w:t>8,469</w:t>
            </w:r>
          </w:p>
        </w:tc>
        <w:tc>
          <w:tcPr>
            <w:tcW w:type="dxa" w:w="1440"/>
            <w:shd w:fill="FFDCE0" w:val="clear"/>
          </w:tcPr>
          <w:p>
            <w:r>
              <w:rPr>
                <w:sz w:val="17"/>
              </w:rPr>
              <w:t>9,139</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2026-10-26</w:t>
            </w:r>
          </w:p>
        </w:tc>
        <w:tc>
          <w:tcPr>
            <w:tcW w:type="dxa" w:w="1440"/>
            <w:shd w:fill="FFDCE0" w:val="clear"/>
          </w:tcPr>
          <w:p>
            <w:r>
              <w:rPr>
                <w:sz w:val="17"/>
              </w:rPr>
              <w:t>7,720</w:t>
            </w:r>
          </w:p>
        </w:tc>
        <w:tc>
          <w:tcPr>
            <w:tcW w:type="dxa" w:w="1440"/>
            <w:shd w:fill="FFDCE0" w:val="clear"/>
          </w:tcPr>
          <w:p>
            <w:r>
              <w:rPr>
                <w:b/>
                <w:sz w:val="17"/>
              </w:rPr>
              <w:t>8,434</w:t>
            </w:r>
          </w:p>
        </w:tc>
        <w:tc>
          <w:tcPr>
            <w:tcW w:type="dxa" w:w="1440"/>
            <w:shd w:fill="FFDCE0" w:val="clear"/>
          </w:tcPr>
          <w:p>
            <w:r>
              <w:rPr>
                <w:sz w:val="17"/>
              </w:rPr>
              <w:t>9,148</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2026-10-27</w:t>
            </w:r>
          </w:p>
        </w:tc>
        <w:tc>
          <w:tcPr>
            <w:tcW w:type="dxa" w:w="1440"/>
            <w:shd w:fill="FFDCE0" w:val="clear"/>
          </w:tcPr>
          <w:p>
            <w:r>
              <w:rPr>
                <w:sz w:val="17"/>
              </w:rPr>
              <w:t>7,647</w:t>
            </w:r>
          </w:p>
        </w:tc>
        <w:tc>
          <w:tcPr>
            <w:tcW w:type="dxa" w:w="1440"/>
            <w:shd w:fill="FFDCE0" w:val="clear"/>
          </w:tcPr>
          <w:p>
            <w:r>
              <w:rPr>
                <w:b/>
                <w:sz w:val="17"/>
              </w:rPr>
              <w:t>8,401</w:t>
            </w:r>
          </w:p>
        </w:tc>
        <w:tc>
          <w:tcPr>
            <w:tcW w:type="dxa" w:w="1440"/>
            <w:shd w:fill="FFDCE0" w:val="clear"/>
          </w:tcPr>
          <w:p>
            <w:r>
              <w:rPr>
                <w:sz w:val="17"/>
              </w:rPr>
              <w:t>9,155</w:t>
            </w:r>
          </w:p>
        </w:tc>
        <w:tc>
          <w:tcPr>
            <w:tcW w:type="dxa" w:w="1440"/>
            <w:shd w:fill="FFDCE0" w:val="clear"/>
          </w:tcPr>
          <w:p>
            <w:r>
              <w:rPr>
                <w:b/>
                <w:color w:val="C00000"/>
                <w:sz w:val="17"/>
              </w:rPr>
              <w:t>-4.5%</w:t>
            </w:r>
          </w:p>
        </w:tc>
      </w:tr>
      <w:tr>
        <w:tc>
          <w:tcPr>
            <w:tcW w:type="dxa" w:w="1440"/>
            <w:shd w:fill="FFDCE0" w:val="clear"/>
          </w:tcPr>
          <w:p>
            <w:r>
              <w:rPr>
                <w:sz w:val="17"/>
              </w:rPr>
              <w:t>J+10  Moyenne</w:t>
            </w:r>
          </w:p>
        </w:tc>
        <w:tc>
          <w:tcPr>
            <w:tcW w:type="dxa" w:w="1440"/>
            <w:shd w:fill="FFDCE0" w:val="clear"/>
          </w:tcPr>
          <w:p>
            <w:r>
              <w:rPr>
                <w:sz w:val="17"/>
              </w:rPr>
              <w:t>2026-10-28</w:t>
            </w:r>
          </w:p>
        </w:tc>
        <w:tc>
          <w:tcPr>
            <w:tcW w:type="dxa" w:w="1440"/>
            <w:shd w:fill="FFDCE0" w:val="clear"/>
          </w:tcPr>
          <w:p>
            <w:r>
              <w:rPr>
                <w:sz w:val="17"/>
              </w:rPr>
              <w:t>7,578</w:t>
            </w:r>
          </w:p>
        </w:tc>
        <w:tc>
          <w:tcPr>
            <w:tcW w:type="dxa" w:w="1440"/>
            <w:shd w:fill="FFDCE0" w:val="clear"/>
          </w:tcPr>
          <w:p>
            <w:r>
              <w:rPr>
                <w:b/>
                <w:sz w:val="17"/>
              </w:rPr>
              <w:t>8,370</w:t>
            </w:r>
          </w:p>
        </w:tc>
        <w:tc>
          <w:tcPr>
            <w:tcW w:type="dxa" w:w="1440"/>
            <w:shd w:fill="FFDCE0" w:val="clear"/>
          </w:tcPr>
          <w:p>
            <w:r>
              <w:rPr>
                <w:sz w:val="17"/>
              </w:rPr>
              <w:t>9,162</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880,00 Mds FCFA, SIBC s'impose comme l'une des valeurs bancaires les plus importantes de la cote BRVM, ce qui lui confère une liquidité et une visibilité institutionnelle notables. Le BPA de 556 FCFA par action signifie que chaque titre génère près de 556 FCFA de bénéfice net, ce qui, rapporté au cours actuel de 8 800 FCFA, donne un PER de 15,8x — soit un niveau modéré mais supérieur à la moyenne du marché BRVM (8-12x), traduisant une prime de qualité consentie par les investisseurs. Le P/B de 4,30x indique que le marché valorise SIBC à plus de quatre fois sa valeur comptable, une prime exigeante qui reflète la forte rentabilité des fonds propres (ROE &gt; 27%) mais qui limite la marge de sécurité en cas de dégradation. Enfin, l'EV/EBITDA de 14,7x, situé dans la fourchette haute (10-15x), suggère que la valeur d'entreprise intègre déjà une bonne partie de la capacité opérationnelle, invitant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affiche une progression totale de +12,17%, avec une dernière séance en hausse de +1,15%, confirmant une dynamique haussière de fond malgré quelques accès de faiblesse. Le range de trading s'étend de 7 700 FCFA (plus bas) à 9 500 FCFA (plus haut), soit une amplitude d'environ 23%, le cours actuel de 8 800 FCFA se situant dans la partie médiane-basse de cette fourchette. La moyenne (8 931 FCFA) est légèrement inférieure à la médiane (8 995 FCFA), signe d'une asymétrie négative confirmée par le skewness de -1,569 : le cours a passé plus de journées au-dessus de sa moyenne, mais quelques séances de correction marquée tirent la moyenne vers le bas. L'écart-type de 315 FCFA (CV = 3,5%) traduit une dispersion relativement faible du cours, tandis que le kurtosis de 3,747 (leptokurtique) signale des queues épaisses, donc un risque de pics de volatilité brutaux. La volatilité annualisée de 30,4% positionne le titre dans la catégorie « élevée » (&gt;30%), ce qui est cohérent avec un marché frontière comme la BRVM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(8 967,5 FCFA) et la MM50 (9 107,5 FCFA) se situent toutes deux au-dessus du cours actuel (8 800 FCFA), avec la MM20 sous la MM50, configuration baissière classique. Le cours évoluant sous ses deux moyennes, la décision technique est logiquement « Vente », signalant une pression vendeuse persistante à court et moyen terme.</w:t>
      </w:r>
    </w:p>
    <w:p>
      <w:pPr>
        <w:spacing w:after="120" w:line="276" w:lineRule="auto"/>
      </w:pPr>
      <w:r>
        <w:t>**Bandes de Bollinger** : Le cours (8 800 FCFA) se situe entre la borne inférieure (8 558,7 FCFA) et la borne supérieure (9 376,3 FCFA), plus proche du bas que du haut, ce qui traduit une volatilité contenue et l'absence de signal extrême. La décision « Neutre » reflète cette position médiane, sans survente ni surachat.</w:t>
      </w:r>
    </w:p>
    <w:p>
      <w:pPr>
        <w:spacing w:after="120" w:line="276" w:lineRule="auto"/>
      </w:pPr>
      <w:r>
        <w:t>**MACD** : Le MACD (-96,943) est inférieur à son signal (-68,697), avec un histogramme négatif, confirmant un momentum baissier. La décision « Vente » est cohérente avec cette divergence négative qui persiste, bien que l'écart reste modéré.</w:t>
      </w:r>
    </w:p>
    <w:p>
      <w:pPr>
        <w:spacing w:after="120" w:line="276" w:lineRule="auto"/>
      </w:pPr>
      <w:r>
        <w:t>**RSI** : À 61,069, le RSI se situe en zone neutre-haute (30-70), sans atteindre la zone de surachat (&gt;70). La décision « Neutre » indique que le titre conserve un certain potentiel haussier mais sans excès acheteur.</w:t>
      </w:r>
    </w:p>
    <w:p>
      <w:pPr>
        <w:spacing w:after="120" w:line="276" w:lineRule="auto"/>
      </w:pPr>
      <w:r>
        <w:t>**Stochastique** : Le %K (21,739) est inférieur au %D (30,323), en zone basse, ce qui pourrait annoncer un rebond technique à court terme si un croisement haussier se matérialise. La décision « Neutre » reste prudente à ce stade.</w:t>
      </w:r>
    </w:p>
    <w:p>
      <w:pPr>
        <w:spacing w:after="120" w:line="276" w:lineRule="auto"/>
      </w:pPr>
      <w:r>
        <w:t>**Conclusion technique** : Les indicateurs sont majoritairement baissiers (MM, MACD) mais tempérés par des signaux neutres (Bollinger, RSI, Stochastique). Le titre se trouve dans une phase de consolidation sous ses moyennes mobiles, avec un potentiel de rebond technique à court terme mais sans confirmation franche d'inversion de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SIBC affichent un Produit Net Bancaire (PNB) de 108,663 Mds FCFA, un résultat net de 55,623 Mds FCFA, un ROE exceptionnel de 27,16% et un ROA de 2,96%, confirmant la position de banque très rentable et bien capitalisée. Le coefficient d'exploitation de 38,59% (très inférieur au seuil de 60%) témoigne d'une efficacité opérationnelle remarquable, tandis que la marge nette de 51,19% et la marge opérationnelle de 58,06% traduisent une excellente maîtrise des coûts. Le ratio dépôts/crédits (1 503,4 Mds de dépôts clientèle pour 1 226,7 Mds de créances clientèle) s'établit à environ 122%, indiquant une surliquidité structurelle et une capacité de transformation maîtrisée. Le coût du risque, bien que le ratio fourni soit atypique, reste contenu au regard de la forte croissance des crédits. Les rapports trimestriels récents confirment cette dynamique : au T1 2026 (rapport du 31/12/2026, analysé le 07/05/2026), le PNB progresse de +4% à 27,7 Mds FCFA et le résultat net de +11% à 15,2 Mds FCFA ; au S1 2026 (rapport du 30/09/2026, analysé le 29/09/2026), le PNB atteint 56,592 Mds FCFA (+4,2%) et le résultat net 32,140 Mds FCFA (+9,3%), avec un coût du risque en chute de -75,3%. Sur la base de ces tendances, on peut estimer que l'exercice 2026 devrait enregistrer un PNB annuel d'environ 113-115 Mds FCFA et un résultat net de l'ordre de 64-66 Mds FCFA, soit une croissance de 15-18% par rapport à 2025. La recommandation fondamentale est donc « Conserver avec biais positif », la solidité financière et la croissance régulière étant confirmées, mais la valorisation exigeante (P/B &gt; 4x) limitant le potentiel d'appréciation immédiat.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SIBC (PER 15,8x, P/B 4,30x, EV/EBITDA 14,7x) indique une légère surévaluation par rapport aux moyennes du marché BRVM, bien que la prime de qualité soit justifiée par un ROE de 27,16% et une croissance soutenue. Le comportement du cours sur 100 jours (+12,17%) est haussier mais la volatilité annualisée de 30,4% et le kurtosis leptokurtique (3,747) appellent à la prudence face aux pics de risque, tandis que le skewness négatif (-1,569) suggère une distribution asymétrique avec des corrections ponctuelles. Les signaux techniques sont mitigés : baissiers pour les MM et le MACD, neutres pour le RSI, le stochastique et les Bollinger, ce qui plaide pour une consolidation avant un éventuel rebond. Les fondamentaux restent solides, avec un PNB 2025 de 108,663 Mds FCFA, un résultat net de 55,623 Mds FCFA et des estimations 2026 en croissance de 15-18% selon les rapports trimestriels (T1 2026 et S1 2026). Les prédictions IA pour les 10 prochains jours (8 738 → 8 546 FCFA) anticipent une poursuite de la correction baissière, ce qui contredit les signaux fondamentaux mais confirme la pression technique actuelle. **Recommandation finale : CONSERVER**, avec un niveau de confiance **Moyen** et un risque global **Moyen**. La convergence entre valorisation exigeante, technique baissière à court terme et fondamentaux solides suggère d'attendre une correction plus prononcée (vers 8 500 FCFA) pour envisager un renforcement. Horizon d'investissement optimal : **moyen terme (3-12 mois)** pour bénéficier de la croissance des résultats et d'un éventuel retournement technique.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β=-1.0837 (Contre-cyclique) — Cov=-0.000042, Var(idx)=0.000038, ρ=-0.175, n=82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SICOR (SICC)**</w:t>
        <w:br/>
        <w:t>**Bourse Régionale des Valeurs Mobilières (BRVM) — Secteur Agro-industriel**</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l'absence de données financières structurées récentes exploitables dans la base — situation fréquente pour les valeurs à faible flottant et faible liquidité de la côte. Toutefois, en croisant le cours actuel de 8 400 FCFA avec le capital social de 1,5 milliard FCFA (soit 600 000 actions de 2 500 FCFA nominal), on obtient une valeur comptable théorique par action bien inférieure au cours de marché, suggérant que le marché valorise davantage les perspectives de redressement que l'actif net comptable. Le PER implicite, si l'on retient le bénéfice net 2023 de 19,25 millions FCFA, ressortirait à un niveau extrêmement élevé (supérieur à 250x), traduisant une anticipation spéculative plutôt qu'une valorisation fondée sur les bénéfices courants. L'investisseur doit donc considérer ce titre comme une **pure valeur de retournement**, dont la valorisation repose sur le potentiel de normalisation des marges et non sur les multiples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performance spectaculaire de **+95,35%**, bien que la dernière séance (J-1) marque une légère correction de **-1,12%**, signe possible d'une prise de profit après un rallye vertical. Le range de trading est particulièrement large, avec un plus haut à **10 200 FCFA** et un plus bas à **3 985 FCFA**, soit un écart de plus de 156% entre les deux extrêmes — illustration d'une tendance nettement haussière ponctuée de fortes oscillations. Les statistiques descriptives révèlent une **moyenne de 5 815 FCFA** nettement supérieure à la **médiane de 5 022 FCFA**, confirmant une distribution asymétrique tirée vers le haut par les récents sommets ; le **mode à 4 380 FCFA** indique que le prix le plus fréquemment traité se situe bien en dessous du cours actuel, ce qui suggère que la hausse récente est concentrée sur peu de séances. L'**écart-type de 1 813 FCFA (CV = 31,2%)** traduit une dispersion élevée du cours, cohérente avec un titre volatil. Le **kurtosis de -0,630** (mésokurtique) indique une distribution proche de la normale, sans pics extrêmes marqués, tandis que le **skewness de +0,913** (asymétrie positive) signale davantage de journées sous la moyenne que de journées exceptionnellement hautes — autrement dit, la performance globale est portée par quelques séances exceptionnelles. Enfin, la **volatilité annualisée de 58,2%** classe ce titre dans la catégorie **très volatile** (largement supérieure au seuil de 30%), ce qui implique un risque de drawdown significatif et justifie une taille de position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(7 205,00 FCFA) sont toutes deux inférieures au cours actuel de 8 400 FCFA pour la MM20 (léger écart) mais nettement en dessous pour la MM50, configurant un **croisement haussier classique** (MM20 &gt; MM50) qui valide la tendance de fond. La décision technique affichée est **Achat**, soutenue par la dynamique positive des moyennes, bien que le cours commence à s'approcher de la MM20, ce qui pourrait annoncer un test de support.</w:t>
      </w:r>
    </w:p>
    <w:p>
      <w:pPr>
        <w:spacing w:after="120" w:line="276" w:lineRule="auto"/>
      </w:pPr>
      <w:r>
        <w:t>**Bandes de Bollinger** : Le cours (8 400 FCFA) se situe à l'intérieur des bandes, entre la borne inférieure (7 354,78 FCFA) et la borne supérieure (9 589,72 FCFA), mais dans la moitié haute du canal. La décision est **Neutre** : le titre n'est ni en situation de surachat extrême (proche borne haute) ni de survente, et l'amplitude des bandes traduit une volatilité toujours soutenue. Une cassure au-dessus de 9 590 FCFA serait un signal d'achat supplémentaire.</w:t>
      </w:r>
    </w:p>
    <w:p>
      <w:pPr>
        <w:spacing w:after="120" w:line="276" w:lineRule="auto"/>
      </w:pPr>
      <w:r>
        <w:t>**MACD** : La valeur du MACD (259,89) est inférieure à son signal (345,76), ce qui génère une **divergence baissière** et justifie la décision **Vente**. Ce croisement négatif indique un essoufflement du momentum haussier, souvent précurseur d'une consolidation ou d'une correction à court terme, alors même que la tendance de fond reste positive.</w:t>
      </w:r>
    </w:p>
    <w:p>
      <w:pPr>
        <w:spacing w:after="120" w:line="276" w:lineRule="auto"/>
      </w:pPr>
      <w:r>
        <w:t>**RSI** : À **61,16**, le RSI se situe en zone neutre-haute (entre 30 et 70), sans atteindre le seuil de surachat de 70. La décision est **Neutre** : le titre conserve un potentiel de hausse mais n'est plus dans une dynamique d'achat agressive, ce qui est cohérent avec la phase de respiration actuelle.</w:t>
      </w:r>
    </w:p>
    <w:p>
      <w:pPr>
        <w:spacing w:after="120" w:line="276" w:lineRule="auto"/>
      </w:pPr>
      <w:r>
        <w:t>**Stochastique** : Le %K (85,71) et le %D (94,76) sont tous deux en zone de surachat (&gt;80), avec un %K inférieur au %D — configuration de **croisement baissier** qui déclenche la décision **Vente**. Ce signal suggère qu'une correction à court terme est probable après le rallye récent.</w:t>
      </w:r>
    </w:p>
    <w:p>
      <w:pPr>
        <w:spacing w:after="120" w:line="276" w:lineRule="auto"/>
      </w:pPr>
      <w:r>
        <w:t>**Conclusion technique** : Les indicateurs sont **partagés** — les moyennes mobiles confirment la tendance haussière de fond, mais le MACD et le stochastique émettent des signaux baissiers de court terme, tandis que le RSI et les Bollinger restent neutres. Cette divergence plaide pour une **phase de consolidation** avant une éventuelle reprise, avec un support clé à surveiller autour de 7 355 FCFA (borne basse de Bollinger) et une résistance à 9 590 FCFA.</w:t>
      </w:r>
    </w:p>
    <w:p>
      <w:pPr>
        <w:spacing w:after="120" w:line="276" w:lineRule="auto"/>
      </w:pPr>
      <w:r>
        <w:t>---</w:t>
      </w:r>
    </w:p>
    <w:p>
      <w:pPr>
        <w:spacing w:after="120" w:line="276" w:lineRule="auto"/>
      </w:pPr>
      <w:r>
        <w:t>## PARTIE 3 : ANALYSE FONDAMENTALE</w:t>
      </w:r>
    </w:p>
    <w:p>
      <w:pPr>
        <w:spacing w:after="120" w:line="276" w:lineRule="auto"/>
      </w:pPr>
      <w:r>
        <w:t>L'analyse fondamentale de SICOR s'appuie sur les rapports financiers officiels disponibles, dont les plus récents remontent à l'exercice 2023 (publié en 2024), complétés par des données historiques remontant à 2015-2017. **En 2023**, la société a réalisé un chiffre d'affaires de **701,09 millions FCFA**, en **baisse de 38,4%** par rapport aux 1 138,17 millions FCFA de 2022, sous l'effet conjugué de la chute des ventes d'huile de coprah (-98,82% en valeur, avec seulement 679 tonnes vendues contre 1 383 en 2022), du recul des ventes de noix de coco (-30,14%) et de l'effondrement des tourteaux (-86,03%). Malgré cette contraction sévère de l'activité, la société a renoué avec la profitabilité en dégageant un **résultat net positif de 19,25 millions FCFA** (marge nette de 2,75%), contre une **perte de 39,95 millions FCFA en 2022** (marge de -3,51%) — redressement rendu possible par une **réduction drastique des charges totales de 43,68%** (653,24 M contre 1 159,81 M), incluant une baisse de 39,24% des charges de personnel suite au transfert de 50% des effectifs vers la SIPAL. Cette amélioration reste toutefois **fragile** : les pertes cumulées s'élèvent à **689,86 millions FCFA** (report à nouveau négatif), ce qui exclut toute distribution de dividende avant plusieurs exercices, conformément à l'Acte Uniforme OHADA. L'évolution historique montre une **grande instabilité** : après un bénéfice record de 989,4 millions FCFA en 2018, le résultat net s'est effondré à 2,35 millions en 2019, puis est remonté à 109,8 M (2020) et 119,2 M (2021) avant de replonger en 2022 — illustrant la **vulnérabilité extrême** de la société aux aléas opérationnels (vols de noix de coco sur les sites de Boulay et Gliké, dépendance aux cours mondiaux du coprah). Les risques identifiés incluent des **découverts bancaires multipliés par 14** (+1 319%), une trésorerie tendue, et une dépendance à l'actionnaire majoritaire DEVACO (70,44%) et au groupe Sayegh. La convocation d'une Assemblée Générale Ordinaire le **22 mai 2026** pour approuver les comptes 2024 (rapport du 15/05/2026) constitue un **catalyseur potentiel** : si les comptes 2024 confirment la poursuite du redressement, le titre pourrait justifier sa valorisation actuelle ; à défaut, une correction sévère serait probable. **Recommandation fondamentale : CONSERVER avec vigilance**, en attendant la publication des comptes 2024 et la confirmation de la trajectoire de redressement.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très particulier**, mêlant signaux contradictoires. Sur le plan de la **valorisation (Partie 0)**, l'absence de ratios calculables et le PER implicite exorbitant (supérieur à 250x sur la base du bénéfice 2023) indiquent que le marché price déjà une **normalisation ambitieuse** des résultats, ce qui laisse peu de marge d'erreur. Le **comportement du cours (Partie 1)** est spectaculaire (+95,35% sur 100 jours) mais préoccupant : la volatilité annualisée de 58,2%, le skewness positif de 0,913 et l'écart moyenne/médiane signalent une hausse portée par quelques séances exceptionnelles, avec un risque de correction brutal. Les **signaux techniques (Partie 2)** sont **divergents** : les moyennes mobiles valident la tendance haussière de fond, mais le MACD et le stochastique émettent des signaux de vente à court terme, plaidant pour une consolidation. Les **fondamentaux (Partie 3)** montrent un retour à la profitabilité en 2023 (+19,25 M FCFA) mais sur une base fragile (CA en chute de 38,4%, pertes cumulées de 689,86 M FCFA, absence de dividende), avec un **catalyseur majeur à venir** : l'AGO du 22 mai 2026 sur les comptes 2024. En l'absence de **prédictions IA** disponibles pour J+1 à J+10, la trajectoire future reste incertaine et dépendra largement de la publication des résultats 2024. **Recommandation finale : CONSERVER** — la convergence entre la tendance technique de fond (haussière) et le redressement fondamental (retour aux bénéfices) justifie de ne pas vendre, mais la divergence des indicateurs de court terme (MACD, stochastique), la valorisation tendue et l'absence de dividende interdisent un achat agressif à ces niveaux. **Niveau de confiance : Moyen** (dépendant de la publication des comptes 2024). **Niveau de risque global : Élevé** (volatilité 58,2%, faible liquidité avec 120 titres/jour, pertes cumulées). **Horizon d'investissement optimal : Moyen terme (3-12 mois)**, en surveillant impérativement l'issue de l'AGO du 22 mai 2026 et la confirmation du redressement opérationnel.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16.16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5,344 titres</w:t>
            </w:r>
          </w:p>
        </w:tc>
        <w:tc>
          <w:tcPr>
            <w:tcW w:type="dxa" w:w="2268"/>
            <w:shd w:fill="FFF2CC" w:val="clear"/>
          </w:tcPr>
          <w:p>
            <w:r>
              <w:rPr>
                <w:b/>
                <w:color w:val="503200"/>
                <w:sz w:val="16"/>
              </w:rPr>
              <w:t xml:space="preserve">Cours actuel : </w:t>
            </w:r>
            <w:r>
              <w:rPr>
                <w:color w:val="000000"/>
                <w:sz w:val="17"/>
              </w:rPr>
              <w:t>1,850 FCFA</w:t>
            </w:r>
          </w:p>
          <w:p>
            <w:r>
              <w:rPr>
                <w:b/>
                <w:color w:val="503200"/>
                <w:sz w:val="16"/>
              </w:rPr>
              <w:t xml:space="preserve">Var. 100 jours : </w:t>
            </w:r>
            <w:r>
              <w:rPr>
                <w:b/>
                <w:color w:val="B40000"/>
                <w:sz w:val="17"/>
              </w:rPr>
              <w:t>-35.20%</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54.1%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12.08% (Moyenne) — μ=2,368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β=0.4709 (Défensif) — Cov=0.000035, Var(idx)=0.000075, ρ=0.118,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2026-10-15</w:t>
            </w:r>
          </w:p>
        </w:tc>
        <w:tc>
          <w:tcPr>
            <w:tcW w:type="dxa" w:w="1440"/>
            <w:shd w:fill="C6EFCE" w:val="clear"/>
          </w:tcPr>
          <w:p>
            <w:r>
              <w:rPr>
                <w:sz w:val="17"/>
              </w:rPr>
              <w:t>1,827</w:t>
            </w:r>
          </w:p>
        </w:tc>
        <w:tc>
          <w:tcPr>
            <w:tcW w:type="dxa" w:w="1440"/>
            <w:shd w:fill="C6EFCE" w:val="clear"/>
          </w:tcPr>
          <w:p>
            <w:r>
              <w:rPr>
                <w:b/>
                <w:sz w:val="17"/>
              </w:rPr>
              <w:t>1,923</w:t>
            </w:r>
          </w:p>
        </w:tc>
        <w:tc>
          <w:tcPr>
            <w:tcW w:type="dxa" w:w="1440"/>
            <w:shd w:fill="C6EFCE" w:val="clear"/>
          </w:tcPr>
          <w:p>
            <w:r>
              <w:rPr>
                <w:sz w:val="17"/>
              </w:rPr>
              <w:t>2,019</w:t>
            </w:r>
          </w:p>
        </w:tc>
        <w:tc>
          <w:tcPr>
            <w:tcW w:type="dxa" w:w="1440"/>
            <w:shd w:fill="C6EFCE" w:val="clear"/>
          </w:tcPr>
          <w:p>
            <w:r>
              <w:rPr>
                <w:b/>
                <w:color w:val="008000"/>
                <w:sz w:val="17"/>
              </w:rPr>
              <w:t>+3.9%</w:t>
            </w:r>
          </w:p>
        </w:tc>
      </w:tr>
      <w:tr>
        <w:tc>
          <w:tcPr>
            <w:tcW w:type="dxa" w:w="1440"/>
            <w:shd w:fill="C6EFCE" w:val="clear"/>
          </w:tcPr>
          <w:p>
            <w:r>
              <w:rPr>
                <w:sz w:val="17"/>
              </w:rPr>
              <w:t>J+2  ⭐</w:t>
            </w:r>
          </w:p>
        </w:tc>
        <w:tc>
          <w:tcPr>
            <w:tcW w:type="dxa" w:w="1440"/>
            <w:shd w:fill="C6EFCE" w:val="clear"/>
          </w:tcPr>
          <w:p>
            <w:r>
              <w:rPr>
                <w:sz w:val="17"/>
              </w:rPr>
              <w:t>2026-10-16</w:t>
            </w:r>
          </w:p>
        </w:tc>
        <w:tc>
          <w:tcPr>
            <w:tcW w:type="dxa" w:w="1440"/>
            <w:shd w:fill="C6EFCE" w:val="clear"/>
          </w:tcPr>
          <w:p>
            <w:r>
              <w:rPr>
                <w:sz w:val="17"/>
              </w:rPr>
              <w:t>1,783</w:t>
            </w:r>
          </w:p>
        </w:tc>
        <w:tc>
          <w:tcPr>
            <w:tcW w:type="dxa" w:w="1440"/>
            <w:shd w:fill="C6EFCE" w:val="clear"/>
          </w:tcPr>
          <w:p>
            <w:r>
              <w:rPr>
                <w:b/>
                <w:sz w:val="17"/>
              </w:rPr>
              <w:t>1,918</w:t>
            </w:r>
          </w:p>
        </w:tc>
        <w:tc>
          <w:tcPr>
            <w:tcW w:type="dxa" w:w="1440"/>
            <w:shd w:fill="C6EFCE" w:val="clear"/>
          </w:tcPr>
          <w:p>
            <w:r>
              <w:rPr>
                <w:sz w:val="17"/>
              </w:rPr>
              <w:t>2,054</w:t>
            </w:r>
          </w:p>
        </w:tc>
        <w:tc>
          <w:tcPr>
            <w:tcW w:type="dxa" w:w="1440"/>
            <w:shd w:fill="C6EFCE" w:val="clear"/>
          </w:tcPr>
          <w:p>
            <w:r>
              <w:rPr>
                <w:b/>
                <w:color w:val="008000"/>
                <w:sz w:val="17"/>
              </w:rPr>
              <w:t>+3.7%</w:t>
            </w:r>
          </w:p>
        </w:tc>
      </w:tr>
      <w:tr>
        <w:tc>
          <w:tcPr>
            <w:tcW w:type="dxa" w:w="1440"/>
            <w:shd w:fill="C6EFCE" w:val="clear"/>
          </w:tcPr>
          <w:p>
            <w:r>
              <w:rPr>
                <w:sz w:val="17"/>
              </w:rPr>
              <w:t>J+3  ⭐</w:t>
            </w:r>
          </w:p>
        </w:tc>
        <w:tc>
          <w:tcPr>
            <w:tcW w:type="dxa" w:w="1440"/>
            <w:shd w:fill="C6EFCE" w:val="clear"/>
          </w:tcPr>
          <w:p>
            <w:r>
              <w:rPr>
                <w:sz w:val="17"/>
              </w:rPr>
              <w:t>2026-10-19</w:t>
            </w:r>
          </w:p>
        </w:tc>
        <w:tc>
          <w:tcPr>
            <w:tcW w:type="dxa" w:w="1440"/>
            <w:shd w:fill="C6EFCE" w:val="clear"/>
          </w:tcPr>
          <w:p>
            <w:r>
              <w:rPr>
                <w:sz w:val="17"/>
              </w:rPr>
              <w:t>1,755</w:t>
            </w:r>
          </w:p>
        </w:tc>
        <w:tc>
          <w:tcPr>
            <w:tcW w:type="dxa" w:w="1440"/>
            <w:shd w:fill="C6EFCE" w:val="clear"/>
          </w:tcPr>
          <w:p>
            <w:r>
              <w:rPr>
                <w:b/>
                <w:sz w:val="17"/>
              </w:rPr>
              <w:t>1,921</w:t>
            </w:r>
          </w:p>
        </w:tc>
        <w:tc>
          <w:tcPr>
            <w:tcW w:type="dxa" w:w="1440"/>
            <w:shd w:fill="C6EFCE" w:val="clear"/>
          </w:tcPr>
          <w:p>
            <w:r>
              <w:rPr>
                <w:sz w:val="17"/>
              </w:rPr>
              <w:t>2,087</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1,733</w:t>
            </w:r>
          </w:p>
        </w:tc>
        <w:tc>
          <w:tcPr>
            <w:tcW w:type="dxa" w:w="1440"/>
            <w:shd w:fill="C6EFCE" w:val="clear"/>
          </w:tcPr>
          <w:p>
            <w:r>
              <w:rPr>
                <w:b/>
                <w:sz w:val="17"/>
              </w:rPr>
              <w:t>1,926</w:t>
            </w:r>
          </w:p>
        </w:tc>
        <w:tc>
          <w:tcPr>
            <w:tcW w:type="dxa" w:w="1440"/>
            <w:shd w:fill="C6EFCE" w:val="clear"/>
          </w:tcPr>
          <w:p>
            <w:r>
              <w:rPr>
                <w:sz w:val="17"/>
              </w:rPr>
              <w:t>2,118</w:t>
            </w:r>
          </w:p>
        </w:tc>
        <w:tc>
          <w:tcPr>
            <w:tcW w:type="dxa" w:w="1440"/>
            <w:shd w:fill="C6EFCE" w:val="clear"/>
          </w:tcPr>
          <w:p>
            <w:r>
              <w:rPr>
                <w:b/>
                <w:color w:val="008000"/>
                <w:sz w:val="17"/>
              </w:rPr>
              <w:t>+4.1%</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1,715</w:t>
            </w:r>
          </w:p>
        </w:tc>
        <w:tc>
          <w:tcPr>
            <w:tcW w:type="dxa" w:w="1440"/>
            <w:shd w:fill="C6EFCE" w:val="clear"/>
          </w:tcPr>
          <w:p>
            <w:r>
              <w:rPr>
                <w:b/>
                <w:sz w:val="17"/>
              </w:rPr>
              <w:t>1,931</w:t>
            </w:r>
          </w:p>
        </w:tc>
        <w:tc>
          <w:tcPr>
            <w:tcW w:type="dxa" w:w="1440"/>
            <w:shd w:fill="C6EFCE" w:val="clear"/>
          </w:tcPr>
          <w:p>
            <w:r>
              <w:rPr>
                <w:sz w:val="17"/>
              </w:rPr>
              <w:t>2,146</w:t>
            </w:r>
          </w:p>
        </w:tc>
        <w:tc>
          <w:tcPr>
            <w:tcW w:type="dxa" w:w="1440"/>
            <w:shd w:fill="C6EFCE" w:val="clear"/>
          </w:tcPr>
          <w:p>
            <w:r>
              <w:rPr>
                <w:b/>
                <w:color w:val="008000"/>
                <w:sz w:val="17"/>
              </w:rPr>
              <w:t>+4.4%</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1,699</w:t>
            </w:r>
          </w:p>
        </w:tc>
        <w:tc>
          <w:tcPr>
            <w:tcW w:type="dxa" w:w="1440"/>
            <w:shd w:fill="C6EFCE" w:val="clear"/>
          </w:tcPr>
          <w:p>
            <w:r>
              <w:rPr>
                <w:b/>
                <w:sz w:val="17"/>
              </w:rPr>
              <w:t>1,936</w:t>
            </w:r>
          </w:p>
        </w:tc>
        <w:tc>
          <w:tcPr>
            <w:tcW w:type="dxa" w:w="1440"/>
            <w:shd w:fill="C6EFCE" w:val="clear"/>
          </w:tcPr>
          <w:p>
            <w:r>
              <w:rPr>
                <w:sz w:val="17"/>
              </w:rPr>
              <w:t>2,172</w:t>
            </w:r>
          </w:p>
        </w:tc>
        <w:tc>
          <w:tcPr>
            <w:tcW w:type="dxa" w:w="1440"/>
            <w:shd w:fill="C6EFCE" w:val="clear"/>
          </w:tcPr>
          <w:p>
            <w:r>
              <w:rPr>
                <w:b/>
                <w:color w:val="008000"/>
                <w:sz w:val="17"/>
              </w:rPr>
              <w:t>+4.6%</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1,685</w:t>
            </w:r>
          </w:p>
        </w:tc>
        <w:tc>
          <w:tcPr>
            <w:tcW w:type="dxa" w:w="1440"/>
            <w:shd w:fill="C6EFCE" w:val="clear"/>
          </w:tcPr>
          <w:p>
            <w:r>
              <w:rPr>
                <w:b/>
                <w:sz w:val="17"/>
              </w:rPr>
              <w:t>1,941</w:t>
            </w:r>
          </w:p>
        </w:tc>
        <w:tc>
          <w:tcPr>
            <w:tcW w:type="dxa" w:w="1440"/>
            <w:shd w:fill="C6EFCE" w:val="clear"/>
          </w:tcPr>
          <w:p>
            <w:r>
              <w:rPr>
                <w:sz w:val="17"/>
              </w:rPr>
              <w:t>2,197</w:t>
            </w:r>
          </w:p>
        </w:tc>
        <w:tc>
          <w:tcPr>
            <w:tcW w:type="dxa" w:w="1440"/>
            <w:shd w:fill="C6EFCE" w:val="clear"/>
          </w:tcPr>
          <w:p>
            <w:r>
              <w:rPr>
                <w:b/>
                <w:color w:val="008000"/>
                <w:sz w:val="17"/>
              </w:rPr>
              <w:t>+4.9%</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1,671</w:t>
            </w:r>
          </w:p>
        </w:tc>
        <w:tc>
          <w:tcPr>
            <w:tcW w:type="dxa" w:w="1440"/>
            <w:shd w:fill="C6EFCE" w:val="clear"/>
          </w:tcPr>
          <w:p>
            <w:r>
              <w:rPr>
                <w:b/>
                <w:sz w:val="17"/>
              </w:rPr>
              <w:t>1,946</w:t>
            </w:r>
          </w:p>
        </w:tc>
        <w:tc>
          <w:tcPr>
            <w:tcW w:type="dxa" w:w="1440"/>
            <w:shd w:fill="C6EFCE" w:val="clear"/>
          </w:tcPr>
          <w:p>
            <w:r>
              <w:rPr>
                <w:sz w:val="17"/>
              </w:rPr>
              <w:t>2,221</w:t>
            </w:r>
          </w:p>
        </w:tc>
        <w:tc>
          <w:tcPr>
            <w:tcW w:type="dxa" w:w="1440"/>
            <w:shd w:fill="C6EFCE" w:val="clear"/>
          </w:tcPr>
          <w:p>
            <w:r>
              <w:rPr>
                <w:b/>
                <w:color w:val="008000"/>
                <w:sz w:val="17"/>
              </w:rPr>
              <w:t>+5.2%</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1,659</w:t>
            </w:r>
          </w:p>
        </w:tc>
        <w:tc>
          <w:tcPr>
            <w:tcW w:type="dxa" w:w="1440"/>
            <w:shd w:fill="C6EFCE" w:val="clear"/>
          </w:tcPr>
          <w:p>
            <w:r>
              <w:rPr>
                <w:b/>
                <w:sz w:val="17"/>
              </w:rPr>
              <w:t>1,951</w:t>
            </w:r>
          </w:p>
        </w:tc>
        <w:tc>
          <w:tcPr>
            <w:tcW w:type="dxa" w:w="1440"/>
            <w:shd w:fill="C6EFCE" w:val="clear"/>
          </w:tcPr>
          <w:p>
            <w:r>
              <w:rPr>
                <w:sz w:val="17"/>
              </w:rPr>
              <w:t>2,243</w:t>
            </w:r>
          </w:p>
        </w:tc>
        <w:tc>
          <w:tcPr>
            <w:tcW w:type="dxa" w:w="1440"/>
            <w:shd w:fill="C6EFCE" w:val="clear"/>
          </w:tcPr>
          <w:p>
            <w:r>
              <w:rPr>
                <w:b/>
                <w:color w:val="008000"/>
                <w:sz w:val="17"/>
              </w:rPr>
              <w:t>+5.5%</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1,647</w:t>
            </w:r>
          </w:p>
        </w:tc>
        <w:tc>
          <w:tcPr>
            <w:tcW w:type="dxa" w:w="1440"/>
            <w:shd w:fill="C6EFCE" w:val="clear"/>
          </w:tcPr>
          <w:p>
            <w:r>
              <w:rPr>
                <w:b/>
                <w:sz w:val="17"/>
              </w:rPr>
              <w:t>1,956</w:t>
            </w:r>
          </w:p>
        </w:tc>
        <w:tc>
          <w:tcPr>
            <w:tcW w:type="dxa" w:w="1440"/>
            <w:shd w:fill="C6EFCE" w:val="clear"/>
          </w:tcPr>
          <w:p>
            <w:r>
              <w:rPr>
                <w:sz w:val="17"/>
              </w:rPr>
              <w:t>2,265</w:t>
            </w:r>
          </w:p>
        </w:tc>
        <w:tc>
          <w:tcPr>
            <w:tcW w:type="dxa" w:w="1440"/>
            <w:shd w:fill="C6EFCE" w:val="clear"/>
          </w:tcPr>
          <w:p>
            <w:r>
              <w:rPr>
                <w:b/>
                <w:color w:val="008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(ERIUM COTE D'IVOIRE)**</w:t>
        <w:br/>
        <w:t>*Analyste : Marché BRVM | Date de référence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16,16 milliards FCFA, SIVC (désormais Erium Côte d'Ivoire) se situe dans la catégorie des petites capitalisations de la BRVM, ce qui limite mécaniquement sa liquidité et sa visibilité auprès des investisseurs institutionnels. Le BPA de 21 FCFA par action, couplé à un cours de 1 850 FCFA, génère un PER de 90,1x — un niveau extrêmement élevé comparé à la moyenne du marché BRVM (8-12x), signifiant que les investisseurs paient environ 90 fois les bénéfices annuels pour détenir le titre. Le P/B de 6,40x indique que le marché valorise la société à plus de six fois sa valeur comptable, une prime considérable qui traduit soit des anticipations de croissance forte, soit une anomalie de valorisation. L'EV/EBITDA de 16,4x, supérieur au seuil de 15x, confirme que la valeur d'entreprise (incluant la dette) est très exigeante par rapport à la capacité opérationnelle de génération de cash. Ces ratios, pris dans leur ensemble, signalent une valorisation tendue qui n'est justifiée ni par la rentabilité actuelle (ROE de 7,1%), ni par la croissance des bénéfices (résultat net en baisse de 52%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vertigineuse de -35,20%, avec une dernière séance encore négative à -2,63%, portant le cours actuel à 1 850 FCFA — soit exactement le plus bas de la période, tandis que le plus haut a atteint 2 875 FCFA. Cette tendance baissière marquée place le titre dans une dynamique de correction sévère, le cours ayant perdu plus d'un tiers de sa valeur en à peine trois mois. Les statistiques descriptives révèlent une moyenne de 2 368 FCFA légèrement supérieure à la médiane de 2 348 FCFA, suggérant une distribution quasi-symétrique avec une très légère asymétrie positive (skewness de 0,323), ce qui indique que les épisodes de hausse ont été marginalement plus prononcés que les baisses, sans déséquilibre majeur. L'écart-type de 287 FCFA avec un coefficient de variation de 12,1% traduit une dispersion modérée du cours autour de sa moyenne, mais le kurtosis de -0,848 (mésokurtique) indique une distribution proche de la normale, sans risque de pics extrêmes fréquents. La volatilité annualisée de 54,1% classe ce titre dans la catégorie des valeurs à volatilité élevée (&gt;30%), ce qui expose les investisseurs à des mouvements de prix amples et rapides, confirmant le caractère spéculatif de ce placement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2 023,75 FCFA et la MM50 à 2 209,30 FCFA, toutes deux nettement au-dessus du cours actuel de 1 850 FCFA. Cette configuration baissière — où le cours évolue sous ses deux moyennes — confirme la pression vendeuse persistante et justifie la décision technique de **Vente**. Le croisement des moyennes (MM20 sous MM50) renforce le signal négatif.</w:t>
      </w:r>
    </w:p>
    <w:p>
      <w:pPr>
        <w:spacing w:after="120" w:line="276" w:lineRule="auto"/>
      </w:pPr>
      <w:r>
        <w:t>**Bandes de Bollinger :** La borne supérieure est à 2 233,53 FCFA et la borne inférieure à 1 813,97 FCFA, avec un cours actuel de 1 850 FCFA qui se situe dans la partie basse du canal, à seulement 2% de la borne inférieure. Cette position proche du support inférieur indique que le titre est survendu à court terme, mais la décision reste **Neutre** car le cours n'a pas encore cassé la borne inférieure, laissant une possibilité de rebond technique.</w:t>
      </w:r>
    </w:p>
    <w:p>
      <w:pPr>
        <w:spacing w:after="120" w:line="276" w:lineRule="auto"/>
      </w:pPr>
      <w:r>
        <w:t>**MACD :** La valeur du MACD est de -91,753 contre un signal à -82,904, avec un histogramme négatif (MACD sous son signal). Cette configuration baissière indique que le momentum négatif s'accentue, les vendeurs gardant le contrôle, ce qui justifie la décision de **Vente**. Aucune divergence haussière n'est détectée à ce stade.</w:t>
      </w:r>
    </w:p>
    <w:p>
      <w:pPr>
        <w:spacing w:after="120" w:line="276" w:lineRule="auto"/>
      </w:pPr>
      <w:r>
        <w:t>**RSI :** À 38,806, le RSI se situe dans la zone neutre basse (30-70), sans atteindre le seuil de survente (&lt;30). La décision est **Neutre**, mais la proximité de la zone de survente suggère qu'un rebond technique pourrait se matérialiser si le RSI descend sous 30.</w:t>
      </w:r>
    </w:p>
    <w:p>
      <w:pPr>
        <w:spacing w:after="120" w:line="276" w:lineRule="auto"/>
      </w:pPr>
      <w:r>
        <w:t>**Stochastique :** Le %K est à 0,0 et le %D à 3,175, avec un croisement en zone de survente extrême. Cette configuration génère une décision d'**Achat** technique, signalant un possible retournement à très court terme, bien que ce signal soit contrebalancé par la tendance baissière de fond.</w:t>
      </w:r>
    </w:p>
    <w:p>
      <w:pPr>
        <w:spacing w:after="120" w:line="276" w:lineRule="auto"/>
      </w:pPr>
      <w:r>
        <w:t>**Conclusion technique :** Les indicateurs techniques présentent une divergence notable : les moyennes mobiles et le MACD confirment une tendance baissière solide, tandis que le stochastique en survente extrême et le RSI proche de 30 suggèrent un potentiel rebond technique à court terme. Cette divergence entre signaux de vente (MM, MACD) et signaux d'achat contrarien (Stochastique) plaide pour une prudence accrue, le rebond éventuel ne remettant pas en cause la tendance baissière de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d'Erium Côte d'Ivoire (ex-SIVC) révèlent un chiffre d'affaires de 10,075 milliards FCFA, en croissance de 8,53% par rapport à 2024 (9,283 milliards FCFA), témoignant d'une dynamique commerciale réelle portée par les ventes de produits fabriqués (4,419 Mds FCFA) et les travaux/services (3,345 Mds FCFA). Cependant, cette croissance ne se traduit pas en rentabilité : le résultat net chute de 52,4% à 179,29 millions FCFA (contre 376,96 millions en 2024), et la marge nette se dégrade à 1,78% (contre 4,06% en 2024). Le ROE s'établit à 7,10% et le ROA à 1,23%, des niveaux faibles qui traduisent une érosion de la performance. Sur le plan structurel, l'entreprise affiche un BFR négatif de -470,79 millions FCFA (favorable), mais un fonds de roulement négatif de -2,132 milliards FCFA et une trésorerie nette de -1,661 milliard FCFA, exposant la société à un risque de liquidité. Les délais d'exploitation sont préoccupants : 79,30 jours de délai client (risque de trésorerie) et 189,26 jours de durée de stockage (immobilisation de capital), tandis que le délai fournisseur de 323,35 jours offre un coussin de trésorerie. L'endettement est élevé avec un ratio dettes/capitaux propres de 228,41% et une autonomie financière de seulement 17,29% (seuil sain : &gt;30%). Les rapports trimestriels 2025 (S1 et T3) fournissent des estimations plus optimistes : au S1 2025 (rapport certifié du 30/06/2025), le CA atteignait 4,897 milliards FCFA (+8,8%) avec un résultat net de 512,9 millions FCFA (+4,6%) et une marge nette de 10,5% ; au T3 2025 (rapport du 30/09/2025), le CA cumulé s'élevait à 7,584 milliards FCFA (+13%) avec un résultat net de 832,5 millions FCFA (+58%) et une marge nette de 11,0%. Ces chiffres trimestriels suggèrent que l'exercice 2025 pourrait se clôturer sur une note plus favorable que ne l'indique le résultat net annuel de 179 millions FCFA, possiblement en raison de charges exceptionnelles ou d'ajustements comptables non récurrents au second semestre. La recommandation fondamentale est de **CONSERVER avec surveillance** : la croissance du CA est réelle, mais la dégradation de la rentabilité, l'endettement élevé et la trésorerie négative constituent des risques majeurs qui nécessitent une attention particulière.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La valorisation (Partie 0) est clairement surévaluée : PER de 90,1x, P/B de 6,40x et EV/EBITDA de 16,4x sont des niveaux injustifiés par les fondamentaux actuels. Le comportement du cours (Partie 1) est préoccupant avec une chute de -35,20% sur 100 jours, une volatilité élevée de 54,1% et un cours au plus bas de la période, bien que la distribution quasi-normale (kurtosis -0,848, skewness 0,323) n'annonce pas de krach imminent. Les signaux techniques (Partie 2) sont majoritairement baissiers (MM, MACD) mais divergent avec le stochastique en survente extrême, suggérant un rebond technique possible à très court terme. Les fondamentaux (Partie 3) montrent une croissance du CA (+8,53% en 2025) mais une rentabilité en berne (résultat net -52,4%, marge nette 1,78%), avec des rapports trimestriels 2025 plus encourageants (marge nette de 11,0% au T3) qui pourraient indiquer une amélioration en fin d'année. Les prédictions IA (J+1 à J+10) anticipent une légère reprise vers 1 923-1 931 FCFA, ce qui contredit la tendance baissière actuelle mais reste cohérent avec le signal d'achat du stochastique. Sur la base de cette synthèse, la recommandation finale est **CONSERVER** avec un niveau de confiance **Moyen** et un risque global **Élevé**. La convergence entre valorisation surévaluée, technique baissière et fondamentaux fragiles l'emporte sur les signaux de rebond technique et les prédictions IA haussières. L'horizon d'investissement optimal est **moyen terme (3-12 mois)** , en attendant que la société démontre sa capacité à restaurer sa rentabilité et à réduire son endettement. Un nouvel investisseur devrait attendre une confirmation de la reprise de la rentabilité avant d'entrer, tandis qu'un investisseur existant devrait conserver sa position en surveillant étroitement l'évolution de la trésorerie et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628.80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1,403 titres</w:t>
            </w:r>
          </w:p>
        </w:tc>
        <w:tc>
          <w:tcPr>
            <w:tcW w:type="dxa" w:w="2268"/>
            <w:shd w:fill="FFF2CC" w:val="clear"/>
          </w:tcPr>
          <w:p>
            <w:r>
              <w:rPr>
                <w:b/>
                <w:color w:val="503200"/>
                <w:sz w:val="16"/>
              </w:rPr>
              <w:t xml:space="preserve">Cours actuel : </w:t>
            </w:r>
            <w:r>
              <w:rPr>
                <w:color w:val="000000"/>
                <w:sz w:val="17"/>
              </w:rPr>
              <w:t>38,200 FCFA</w:t>
            </w:r>
          </w:p>
          <w:p>
            <w:r>
              <w:rPr>
                <w:b/>
                <w:color w:val="503200"/>
                <w:sz w:val="16"/>
              </w:rPr>
              <w:t xml:space="preserve">Var. 100 jours : </w:t>
            </w:r>
            <w:r>
              <w:rPr>
                <w:b/>
                <w:color w:val="007800"/>
                <w:sz w:val="17"/>
              </w:rPr>
              <w:t>+0.67%</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μ=38,265 FCFA, σ=863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β=-0.0006 (Contre-cyclique) — Cov=-0.000000, Var(idx)=0.000075, ρ=-0.000,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37,655</w:t>
            </w:r>
          </w:p>
        </w:tc>
        <w:tc>
          <w:tcPr>
            <w:tcW w:type="dxa" w:w="1440"/>
            <w:shd w:fill="FAFAFA" w:val="clear"/>
          </w:tcPr>
          <w:p>
            <w:r>
              <w:rPr>
                <w:b/>
                <w:sz w:val="17"/>
              </w:rPr>
              <w:t>38,171</w:t>
            </w:r>
          </w:p>
        </w:tc>
        <w:tc>
          <w:tcPr>
            <w:tcW w:type="dxa" w:w="1440"/>
            <w:shd w:fill="FAFAFA" w:val="clear"/>
          </w:tcPr>
          <w:p>
            <w:r>
              <w:rPr>
                <w:sz w:val="17"/>
              </w:rPr>
              <w:t>38,686</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37,615</w:t>
            </w:r>
          </w:p>
        </w:tc>
        <w:tc>
          <w:tcPr>
            <w:tcW w:type="dxa" w:w="1440"/>
            <w:shd w:fill="FAFAFA" w:val="clear"/>
          </w:tcPr>
          <w:p>
            <w:r>
              <w:rPr>
                <w:b/>
                <w:sz w:val="17"/>
              </w:rPr>
              <w:t>38,347</w:t>
            </w:r>
          </w:p>
        </w:tc>
        <w:tc>
          <w:tcPr>
            <w:tcW w:type="dxa" w:w="1440"/>
            <w:shd w:fill="FAFAFA" w:val="clear"/>
          </w:tcPr>
          <w:p>
            <w:r>
              <w:rPr>
                <w:sz w:val="17"/>
              </w:rPr>
              <w:t>39,079</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37,601</w:t>
            </w:r>
          </w:p>
        </w:tc>
        <w:tc>
          <w:tcPr>
            <w:tcW w:type="dxa" w:w="1440"/>
            <w:shd w:fill="FAFAFA" w:val="clear"/>
          </w:tcPr>
          <w:p>
            <w:r>
              <w:rPr>
                <w:b/>
                <w:sz w:val="17"/>
              </w:rPr>
              <w:t>38,501</w:t>
            </w:r>
          </w:p>
        </w:tc>
        <w:tc>
          <w:tcPr>
            <w:tcW w:type="dxa" w:w="1440"/>
            <w:shd w:fill="FAFAFA" w:val="clear"/>
          </w:tcPr>
          <w:p>
            <w:r>
              <w:rPr>
                <w:sz w:val="17"/>
              </w:rPr>
              <w:t>39,402</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2026-10-20</w:t>
            </w:r>
          </w:p>
        </w:tc>
        <w:tc>
          <w:tcPr>
            <w:tcW w:type="dxa" w:w="1440"/>
            <w:shd w:fill="FAFAFA" w:val="clear"/>
          </w:tcPr>
          <w:p>
            <w:r>
              <w:rPr>
                <w:sz w:val="17"/>
              </w:rPr>
              <w:t>37,603</w:t>
            </w:r>
          </w:p>
        </w:tc>
        <w:tc>
          <w:tcPr>
            <w:tcW w:type="dxa" w:w="1440"/>
            <w:shd w:fill="FAFAFA" w:val="clear"/>
          </w:tcPr>
          <w:p>
            <w:r>
              <w:rPr>
                <w:b/>
                <w:sz w:val="17"/>
              </w:rPr>
              <w:t>38,647</w:t>
            </w:r>
          </w:p>
        </w:tc>
        <w:tc>
          <w:tcPr>
            <w:tcW w:type="dxa" w:w="1440"/>
            <w:shd w:fill="FAFAFA" w:val="clear"/>
          </w:tcPr>
          <w:p>
            <w:r>
              <w:rPr>
                <w:sz w:val="17"/>
              </w:rPr>
              <w:t>39,690</w:t>
            </w:r>
          </w:p>
        </w:tc>
        <w:tc>
          <w:tcPr>
            <w:tcW w:type="dxa" w:w="1440"/>
            <w:shd w:fill="FAFAFA" w:val="clear"/>
          </w:tcPr>
          <w:p>
            <w:r>
              <w:rPr>
                <w:b/>
                <w:color w:val="008000"/>
                <w:sz w:val="17"/>
              </w:rPr>
              <w:t>+1.2%</w:t>
            </w:r>
          </w:p>
        </w:tc>
      </w:tr>
      <w:tr>
        <w:tc>
          <w:tcPr>
            <w:tcW w:type="dxa" w:w="1440"/>
            <w:shd w:fill="FAFAFA" w:val="clear"/>
          </w:tcPr>
          <w:p>
            <w:r>
              <w:rPr>
                <w:sz w:val="17"/>
              </w:rPr>
              <w:t>J+5  Moyenne</w:t>
            </w:r>
          </w:p>
        </w:tc>
        <w:tc>
          <w:tcPr>
            <w:tcW w:type="dxa" w:w="1440"/>
            <w:shd w:fill="FAFAFA" w:val="clear"/>
          </w:tcPr>
          <w:p>
            <w:r>
              <w:rPr>
                <w:sz w:val="17"/>
              </w:rPr>
              <w:t>2026-10-21</w:t>
            </w:r>
          </w:p>
        </w:tc>
        <w:tc>
          <w:tcPr>
            <w:tcW w:type="dxa" w:w="1440"/>
            <w:shd w:fill="FAFAFA" w:val="clear"/>
          </w:tcPr>
          <w:p>
            <w:r>
              <w:rPr>
                <w:sz w:val="17"/>
              </w:rPr>
              <w:t>37,617</w:t>
            </w:r>
          </w:p>
        </w:tc>
        <w:tc>
          <w:tcPr>
            <w:tcW w:type="dxa" w:w="1440"/>
            <w:shd w:fill="FAFAFA" w:val="clear"/>
          </w:tcPr>
          <w:p>
            <w:r>
              <w:rPr>
                <w:b/>
                <w:sz w:val="17"/>
              </w:rPr>
              <w:t>38,788</w:t>
            </w:r>
          </w:p>
        </w:tc>
        <w:tc>
          <w:tcPr>
            <w:tcW w:type="dxa" w:w="1440"/>
            <w:shd w:fill="FAFAFA" w:val="clear"/>
          </w:tcPr>
          <w:p>
            <w:r>
              <w:rPr>
                <w:sz w:val="17"/>
              </w:rPr>
              <w:t>39,959</w:t>
            </w:r>
          </w:p>
        </w:tc>
        <w:tc>
          <w:tcPr>
            <w:tcW w:type="dxa" w:w="1440"/>
            <w:shd w:fill="FAFAFA" w:val="clear"/>
          </w:tcPr>
          <w:p>
            <w:r>
              <w:rPr>
                <w:b/>
                <w:color w:val="008000"/>
                <w:sz w:val="17"/>
              </w:rPr>
              <w:t>+1.5%</w:t>
            </w:r>
          </w:p>
        </w:tc>
      </w:tr>
      <w:tr>
        <w:tc>
          <w:tcPr>
            <w:tcW w:type="dxa" w:w="1440"/>
            <w:shd w:fill="FAFAFA" w:val="clear"/>
          </w:tcPr>
          <w:p>
            <w:r>
              <w:rPr>
                <w:sz w:val="17"/>
              </w:rPr>
              <w:t>J+6  Moyenne</w:t>
            </w:r>
          </w:p>
        </w:tc>
        <w:tc>
          <w:tcPr>
            <w:tcW w:type="dxa" w:w="1440"/>
            <w:shd w:fill="FAFAFA" w:val="clear"/>
          </w:tcPr>
          <w:p>
            <w:r>
              <w:rPr>
                <w:sz w:val="17"/>
              </w:rPr>
              <w:t>2026-10-22</w:t>
            </w:r>
          </w:p>
        </w:tc>
        <w:tc>
          <w:tcPr>
            <w:tcW w:type="dxa" w:w="1440"/>
            <w:shd w:fill="FAFAFA" w:val="clear"/>
          </w:tcPr>
          <w:p>
            <w:r>
              <w:rPr>
                <w:sz w:val="17"/>
              </w:rPr>
              <w:t>37,639</w:t>
            </w:r>
          </w:p>
        </w:tc>
        <w:tc>
          <w:tcPr>
            <w:tcW w:type="dxa" w:w="1440"/>
            <w:shd w:fill="FAFAFA" w:val="clear"/>
          </w:tcPr>
          <w:p>
            <w:r>
              <w:rPr>
                <w:b/>
                <w:sz w:val="17"/>
              </w:rPr>
              <w:t>38,926</w:t>
            </w:r>
          </w:p>
        </w:tc>
        <w:tc>
          <w:tcPr>
            <w:tcW w:type="dxa" w:w="1440"/>
            <w:shd w:fill="FAFAFA" w:val="clear"/>
          </w:tcPr>
          <w:p>
            <w:r>
              <w:rPr>
                <w:sz w:val="17"/>
              </w:rPr>
              <w:t>40,214</w:t>
            </w:r>
          </w:p>
        </w:tc>
        <w:tc>
          <w:tcPr>
            <w:tcW w:type="dxa" w:w="1440"/>
            <w:shd w:fill="FAFAFA" w:val="clear"/>
          </w:tcPr>
          <w:p>
            <w:r>
              <w:rPr>
                <w:b/>
                <w:color w:val="008000"/>
                <w:sz w:val="17"/>
              </w:rPr>
              <w:t>+1.9%</w:t>
            </w:r>
          </w:p>
        </w:tc>
      </w:tr>
      <w:tr>
        <w:tc>
          <w:tcPr>
            <w:tcW w:type="dxa" w:w="1440"/>
            <w:shd w:fill="C6EFCE" w:val="clear"/>
          </w:tcPr>
          <w:p>
            <w:r>
              <w:rPr>
                <w:sz w:val="17"/>
              </w:rPr>
              <w:t>J+7  Moyenne</w:t>
            </w:r>
          </w:p>
        </w:tc>
        <w:tc>
          <w:tcPr>
            <w:tcW w:type="dxa" w:w="1440"/>
            <w:shd w:fill="C6EFCE" w:val="clear"/>
          </w:tcPr>
          <w:p>
            <w:r>
              <w:rPr>
                <w:sz w:val="17"/>
              </w:rPr>
              <w:t>2026-10-23</w:t>
            </w:r>
          </w:p>
        </w:tc>
        <w:tc>
          <w:tcPr>
            <w:tcW w:type="dxa" w:w="1440"/>
            <w:shd w:fill="C6EFCE" w:val="clear"/>
          </w:tcPr>
          <w:p>
            <w:r>
              <w:rPr>
                <w:sz w:val="17"/>
              </w:rPr>
              <w:t>37,667</w:t>
            </w:r>
          </w:p>
        </w:tc>
        <w:tc>
          <w:tcPr>
            <w:tcW w:type="dxa" w:w="1440"/>
            <w:shd w:fill="C6EFCE" w:val="clear"/>
          </w:tcPr>
          <w:p>
            <w:r>
              <w:rPr>
                <w:b/>
                <w:sz w:val="17"/>
              </w:rPr>
              <w:t>39,062</w:t>
            </w:r>
          </w:p>
        </w:tc>
        <w:tc>
          <w:tcPr>
            <w:tcW w:type="dxa" w:w="1440"/>
            <w:shd w:fill="C6EFCE" w:val="clear"/>
          </w:tcPr>
          <w:p>
            <w:r>
              <w:rPr>
                <w:sz w:val="17"/>
              </w:rPr>
              <w:t>40,457</w:t>
            </w:r>
          </w:p>
        </w:tc>
        <w:tc>
          <w:tcPr>
            <w:tcW w:type="dxa" w:w="1440"/>
            <w:shd w:fill="C6EFCE" w:val="clear"/>
          </w:tcPr>
          <w:p>
            <w:r>
              <w:rPr>
                <w:b/>
                <w:color w:val="008000"/>
                <w:sz w:val="17"/>
              </w:rPr>
              <w:t>+2.3%</w:t>
            </w:r>
          </w:p>
        </w:tc>
      </w:tr>
      <w:tr>
        <w:tc>
          <w:tcPr>
            <w:tcW w:type="dxa" w:w="1440"/>
            <w:shd w:fill="C6EFCE" w:val="clear"/>
          </w:tcPr>
          <w:p>
            <w:r>
              <w:rPr>
                <w:sz w:val="17"/>
              </w:rPr>
              <w:t>J+8  Moyenne</w:t>
            </w:r>
          </w:p>
        </w:tc>
        <w:tc>
          <w:tcPr>
            <w:tcW w:type="dxa" w:w="1440"/>
            <w:shd w:fill="C6EFCE" w:val="clear"/>
          </w:tcPr>
          <w:p>
            <w:r>
              <w:rPr>
                <w:sz w:val="17"/>
              </w:rPr>
              <w:t>2026-10-26</w:t>
            </w:r>
          </w:p>
        </w:tc>
        <w:tc>
          <w:tcPr>
            <w:tcW w:type="dxa" w:w="1440"/>
            <w:shd w:fill="C6EFCE" w:val="clear"/>
          </w:tcPr>
          <w:p>
            <w:r>
              <w:rPr>
                <w:sz w:val="17"/>
              </w:rPr>
              <w:t>37,698</w:t>
            </w:r>
          </w:p>
        </w:tc>
        <w:tc>
          <w:tcPr>
            <w:tcW w:type="dxa" w:w="1440"/>
            <w:shd w:fill="C6EFCE" w:val="clear"/>
          </w:tcPr>
          <w:p>
            <w:r>
              <w:rPr>
                <w:b/>
                <w:sz w:val="17"/>
              </w:rPr>
              <w:t>39,195</w:t>
            </w:r>
          </w:p>
        </w:tc>
        <w:tc>
          <w:tcPr>
            <w:tcW w:type="dxa" w:w="1440"/>
            <w:shd w:fill="C6EFCE" w:val="clear"/>
          </w:tcPr>
          <w:p>
            <w:r>
              <w:rPr>
                <w:sz w:val="17"/>
              </w:rPr>
              <w:t>40,692</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2026-10-27</w:t>
            </w:r>
          </w:p>
        </w:tc>
        <w:tc>
          <w:tcPr>
            <w:tcW w:type="dxa" w:w="1440"/>
            <w:shd w:fill="C6EFCE" w:val="clear"/>
          </w:tcPr>
          <w:p>
            <w:r>
              <w:rPr>
                <w:sz w:val="17"/>
              </w:rPr>
              <w:t>37,733</w:t>
            </w:r>
          </w:p>
        </w:tc>
        <w:tc>
          <w:tcPr>
            <w:tcW w:type="dxa" w:w="1440"/>
            <w:shd w:fill="C6EFCE" w:val="clear"/>
          </w:tcPr>
          <w:p>
            <w:r>
              <w:rPr>
                <w:b/>
                <w:sz w:val="17"/>
              </w:rPr>
              <w:t>39,326</w:t>
            </w:r>
          </w:p>
        </w:tc>
        <w:tc>
          <w:tcPr>
            <w:tcW w:type="dxa" w:w="1440"/>
            <w:shd w:fill="C6EFCE" w:val="clear"/>
          </w:tcPr>
          <w:p>
            <w:r>
              <w:rPr>
                <w:sz w:val="17"/>
              </w:rPr>
              <w:t>40,918</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2026-10-28</w:t>
            </w:r>
          </w:p>
        </w:tc>
        <w:tc>
          <w:tcPr>
            <w:tcW w:type="dxa" w:w="1440"/>
            <w:shd w:fill="C6EFCE" w:val="clear"/>
          </w:tcPr>
          <w:p>
            <w:r>
              <w:rPr>
                <w:sz w:val="17"/>
              </w:rPr>
              <w:t>37,770</w:t>
            </w:r>
          </w:p>
        </w:tc>
        <w:tc>
          <w:tcPr>
            <w:tcW w:type="dxa" w:w="1440"/>
            <w:shd w:fill="C6EFCE" w:val="clear"/>
          </w:tcPr>
          <w:p>
            <w:r>
              <w:rPr>
                <w:b/>
                <w:sz w:val="17"/>
              </w:rPr>
              <w:t>39,454</w:t>
            </w:r>
          </w:p>
        </w:tc>
        <w:tc>
          <w:tcPr>
            <w:tcW w:type="dxa" w:w="1440"/>
            <w:shd w:fill="C6EFCE" w:val="clear"/>
          </w:tcPr>
          <w:p>
            <w:r>
              <w:rPr>
                <w:sz w:val="17"/>
              </w:rPr>
              <w:t>41,138</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 CI)**</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628,80 milliards FCFA, SOLIBRA s'impose comme l'une des toutes premières capitalisations de la BRVM, ce qui en fait un pilier de l'indice BRVM Composite et un titre incontournable pour les investisseurs institutionnels régionaux. Le BPA de 2 781 FCFA/action signifie que chaque titre génère près de 2 800 FCFA de bénéfice net, un niveau élevé qui traduit la forte profitabilité de l'entreprise. Le PER de 13,7x se situe légèrement au-dessus de la moyenne du marché BRVM (8-12x), ce qui indique que les investisseurs acceptent de payer une prime modérée pour la qualité de la croissance et la régularité des résultats de SOLIBRA — sans pour autant tomber dans une surévaluation excessive. Le P/B de 3,22x montre que le marché valorise l'entreprise à plus de trois fois sa valeur comptable, une prime de croissance justifiée par un ROE de 23,46% (largement supérieur au coût des fonds propres). Enfin, l'EV/EBITDA de 7,5x, dans la fourchette raisonnable de 5-10x, confirme que la valeur totale de l'entreprise (dette incluse) reste cohérente avec sa capacité opérationnelle à générer du cash, ce qui plaide pour une valorisation équilibrée, ni bradée ni surévaluée.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quasi-nulle de +0,67%, mais la dernière séance (J-1) enregistre un rebond notable de +1,60%, portant le cours actuel à 38 200 FCFA. Le titre a évolué dans un couloir relativement étroit entre un plus bas de 36 900 FCFA et un plus haut de 41 500 FCFA, soit un range de trading de 4 600 FCFA (environ 12% d'amplitude), ce qui traduit une tendance générale stable avec une légère reprise en fin de période. Les statistiques descriptives révèlent une moyenne de 38 265 FCFA légèrement supérieure à la médiane et au mode (tous deux à 38 000 FCFA), confirmant une distribution asymétrique avec quelques journées de hausse marquée tirant la moyenne vers le haut. L'écart-type de 867 FCFA et le coefficient de variation de seulement 2,3% indiquent une dispersion très faible du cours, signe d'une grande stabilité et d'une faible nervosité du marché sur ce titre. Le kurtosis de 0,711 (mésokurtique) suggère une distribution proche de la normale, sans risque excessif de pics extrêmes, tandis que le skewness positif de 0,802 indique une asymétrie positive avec davantage de journées sous la moyenne — un profil typique d'un titre qui consolide avant de repartir. La volatilité annualisée de 24,7% classe SLBC dans la catégorie des titres à volatilité modérée (15-30%), ce qui est rassurant pour un investisseur recherchant à la fois rendement et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(37 721,5 FCFA) et la MM50 (37 649,9 FCFA) se situent toutes deux en dessous du cours actuel (38 200 FCFA), avec une MM20 légèrement supérieure à la MM50, ce qui configure un croisement haussier (golden cross) et confirme la décision d'achat. Le cours évolue au-dessus de ses deux moyennes, signalant une dynamique positive de court et moyen terme.</w:t>
      </w:r>
    </w:p>
    <w:p>
      <w:pPr>
        <w:spacing w:after="120" w:line="276" w:lineRule="auto"/>
      </w:pPr>
      <w:r>
        <w:t>**Bandes de Bollinger** : Le cours actuel (38 200 FCFA) se situe juste en dessous de la borne supérieure (38 386,19 FCFA) et très au-dessus de la borne inférieure (37 056,81 FCFA), dans la partie haute du canal. Cette position indique une pression acheteuse modérée mais un risque de surachat à court terme, justifiant la décision neutre — le titre n'est ni en zone d'achat agressive ni en zone de vente.</w:t>
      </w:r>
    </w:p>
    <w:p>
      <w:pPr>
        <w:spacing w:after="120" w:line="276" w:lineRule="auto"/>
      </w:pPr>
      <w:r>
        <w:t>**MACD** : La valeur du MACD (-48,539) est supérieure à son signal (-102,053), avec un histogramme positif, ce qui traduit un momentum haussier en construction. La convergence des deux lignes vers le territoire positif confirme la décision d'achat, bien que la valeur encore négative du MACD appelle à la prudence sur la force du signal.</w:t>
      </w:r>
    </w:p>
    <w:p>
      <w:pPr>
        <w:spacing w:after="120" w:line="276" w:lineRule="auto"/>
      </w:pPr>
      <w:r>
        <w:t>**RSI** : À 54,139, le RSI se situe dans la zone neutre (30-70), sans signal de surachat (&gt;70) ni de survente (&lt;30). Cette position médiane indique un équilibre entre acheteurs et vendeurs, justifiant la décision neutre — le titre dispose d'une marge de progression avant d'atteindre la zone de surachat.</w:t>
      </w:r>
    </w:p>
    <w:p>
      <w:pPr>
        <w:spacing w:after="120" w:line="276" w:lineRule="auto"/>
      </w:pPr>
      <w:r>
        <w:t>**Stochastique** : Le %K à 100,0 (maximum absolu) et le %D à 73,5 indiquent que le titre est en zone de surachat extrême à court terme, avec un %K qui surplombe largement le %D. Ce positionnement suggère une correction imminente ou une consolidation, justifiant la décision de vente à court terme — c'est le seul indicateur clairement baissier.</w:t>
      </w:r>
    </w:p>
    <w:p>
      <w:pPr>
        <w:spacing w:after="120" w:line="276" w:lineRule="auto"/>
      </w:pPr>
      <w:r>
        <w:t>**Conclusion technique** : Les indicateurs techniques présentent un tableau mitigé avec une majorité de signaux haussiers (Moyennes Mobiles, MACD) et neutres (Bollinger, RSI), mais un signal baissier significatif (Stochastique en surachat extrême). La convergence des MM et du MACD plaide pour une poursuite de la tendance haussière à moyen terme, mais le Stochastique à 100 appelle à une consolidation à court terme avant toute nouvelle progression. Le titre se trouve dans une phase de transition haussière, avec un potentiel de repli technique limité vers 37 700 FCFA (MM20) avant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SOLIBRA a réalisé un chiffre d'affaires de 378,123 milliards FCFA, en croissance de 22,08% par rapport à 2024 (309,722 milliards FCFA), confirmant une dynamique commerciale exceptionnelle. Le résultat net s'établit à 45,781 milliards FCFA, en progression de 113% (contre 21,472 milliards en 2024), avec une marge nette qui double de 6,9% à 12,11%. Le ROE atteint 23,46% (excellent, &gt;15%) et le ROA 13,48%, témoignant d'une rentabilité capitalistique remarquable. La structure financière est saine avec une autonomie financière de 57,48% (capitaux propres/total bilan), un ratio d'endettement maîtrisé de 42,52% et une capacité de remboursement de 0,67 an (dettes financières/CAF), soit moins d'un an de cash-flow pour rembourser la dette. Le BFR de 61,587 milliards FCFA et le fonds de roulement de 83,689 milliards FCFA assurent une liquidité confortable (liquidité générale de 195%). Les délais d'exploitation révèlent un délai clients de 64,27 jours (risque trésorerie modéré) et un délai fournisseurs de 76,82 jours (favorable), avec une durée de stockage élevée de 117,32 jours qui immobilise du capital mais reste gérable dans le secteur des boissons.</w:t>
      </w:r>
    </w:p>
    <w:p>
      <w:pPr>
        <w:spacing w:after="120" w:line="276" w:lineRule="auto"/>
      </w:pPr>
      <w:r>
        <w:t>**Adaptation au secteur ENTREPRISE** : SOLIBRA affiche une marge brute exceptionnelle de 76,21%, une marge opérationnelle de 17,23% et une marge nette de 12,11%, des niveaux élevés pour le secteur des boissons. La rotation des actifs de 111,37% (CA/total actif) indique une utilisation efficace des actifs pour générer du chiffre d'affaires. Le free cash-flow de 60,867 milliards FCFA et le flux opérationnel de 83,925 milliards FCFA confirment une génération de trésorerie robuste.</w:t>
      </w:r>
    </w:p>
    <w:p>
      <w:pPr>
        <w:spacing w:after="120" w:line="276" w:lineRule="auto"/>
      </w:pPr>
      <w:r>
        <w:t>**Estimations basées sur les rapports trimestriels** : Le rapport T1 2026 (publié en 2026) indique un chiffre d'affaires de 93,46 milliards FCFA (+7,6%) et un résultat net de 16,26 milliards FCFA (+4,8%), avec une marge nette de 17,4% — en amélioration par rapport à 2025. Sur cette base, on estime que l'exercice 2026 devrait enregistrer un chiffre d'affaires annuel d'environ 400-410 milliards FCFA (croissance de 6-8%) et un résultat net de 48-52 milliards FCFA, confirmant la poursuite de la dynamique positive. Le rapport S1 2025 (daté du 30/06/2025) faisait déjà état d'un résultat net de 28,0 milliards FCFA (+175,1%) et d'une marge nette de 16,9%, validant la tendance haussière.</w:t>
      </w:r>
    </w:p>
    <w:p>
      <w:pPr>
        <w:spacing w:after="120" w:line="276" w:lineRule="auto"/>
      </w:pPr>
      <w:r>
        <w:t>**Évolution pluriannuelle** : Entre 2023 (CA de 311,395 milliards, résultat net de 15,078 milliards) et 2025 (CA de 378,123 milliards, résultat net de 45,781 milliards), SOLIBRA a multiplié son résultat net par 3 en deux ans, avec une accélération spectaculaire en 2025. La politique de dividende est très généreuse avec un dividende brut unitaire proposé de 2 127 FCFA par action (soit un payout de 76,5% du résultat net 2025), offrant un rendement attractif au cours actuel de 38 200 FCFA (environ 5,6%).</w:t>
      </w:r>
    </w:p>
    <w:p>
      <w:pPr>
        <w:spacing w:after="120" w:line="276" w:lineRule="auto"/>
      </w:pPr>
      <w:r>
        <w:t>**Recommandation fondamentale** : SOLIBRA présente des fondamentaux exceptionnels avec une croissance à deux chiffres, une rentabilité en forte amélioration, une structure financière solide et une politique de dividende attractive. Les risques identifiés (dépendance aux matières premières, concentration géographique sur la Côte d'Ivoire, pression concurrentielle) sont réels mais tempérés par la position de leader et la solidité du bilan. La recommandation fondamentale est **ACHAT**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globalement favorable pour SLBC. **Sur le plan de la valorisation (Partie 0)** , le PER de 13,7x, le P/B de 3,22x et l'EV/EBITDA de 7,5x indiquent une valorisation raisonnable, légèrement supérieure à la moyenne du marché mais justifiée par la qualité des fondamentaux — ni sous-évaluation flagrante, ni surévaluation excessive. **Le comportement du cours (Partie 1)** est rassurant avec une volatilité modérée (24,7%), une dispersion faible (CV de 2,3%) et une distribution proche de la normale (kurtosis de 0,711), bien que le skewness positif (0,802) suggère quelques journées de faiblesse — un profil de consolidation saine. **Les signaux techniques (Partie 2)** sont majoritairement haussiers (MM en golden cross, MACD en convergence positive) mais tempérés par un Stochastique en surachat extrême (%K=100) qui appelle à une consolidation à court terme. **Les fondamentaux (Partie 3)** sont exceptionnels avec un CA de 378,123 milliards FCFA en 2025 (+22,08%), un résultat net de 45,781 milliards FCFA (+113%), un ROE de 23,46% et une génération de free cash-flow de 60,867 milliards FCFA, le tout soutenu par les estimations du T1 2026 (+7,6% de CA) qui confirment la poursuite de la dynamique. **Les prédictions IA (J+1 à J+10)** anticipent une trajectoire haussière modérée de 38 171 FCFA à 38 788 FCFA (+1,6% sur 10 jours), ce qui confirme la tendance de fond sans signaler d'emballement.</w:t>
      </w:r>
    </w:p>
    <w:p>
      <w:pPr>
        <w:spacing w:after="120" w:line="276" w:lineRule="auto"/>
      </w:pPr>
      <w:r>
        <w:t>**Recommandation finale : ACHAT** — Justification : la convergence entre des fondamentaux exceptionnels (croissance, rentabilité, trésorerie), une valorisation raisonnable (PER de 13,7x), des signaux techniques majoritairement haussiers et des prédictions IA positives plaide pour une accumulation progressive du titre. Le seul point de vigilance est le Stochastique en surachat extrême qui pourrait provoquer une consolidation à court terme, offrant potentiellement de meilleurs points d'entrée. **Niveau de confiance : Élevé** (fondamentaux solides, valorisation cohérente, tendance confirmée). **Niveau de risque global : Moyen** (risques sectoriels et de concentration géographique, mais bilan solide et dividende attractif). **Horizon d'investissement optimal : Moyen à long terme (6 mois à 2 ans)** , pour capturer la croissance bénéficiaire et le rendement du dividende (5,6%), tout en laissant le temps à la consolidation technique de s'achever.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1,658 titres</w:t>
            </w:r>
          </w:p>
        </w:tc>
        <w:tc>
          <w:tcPr>
            <w:tcW w:type="dxa" w:w="2268"/>
            <w:shd w:fill="FFF2CC" w:val="clear"/>
          </w:tcPr>
          <w:p>
            <w:r>
              <w:rPr>
                <w:b/>
                <w:color w:val="503200"/>
                <w:sz w:val="16"/>
              </w:rPr>
              <w:t xml:space="preserve">Cours actuel : </w:t>
            </w:r>
            <w:r>
              <w:rPr>
                <w:color w:val="000000"/>
                <w:sz w:val="17"/>
              </w:rPr>
              <w:t>15,500 FCFA</w:t>
            </w:r>
          </w:p>
          <w:p>
            <w:r>
              <w:rPr>
                <w:b/>
                <w:color w:val="503200"/>
                <w:sz w:val="16"/>
              </w:rPr>
              <w:t xml:space="preserve">Var. 100 jours : </w:t>
            </w:r>
            <w:r>
              <w:rPr>
                <w:b/>
                <w:color w:val="007800"/>
                <w:sz w:val="17"/>
              </w:rPr>
              <w:t>+20.20%</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12,895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μ=16,217 FCFA, σ=1,264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β=0.3650 (Défensif) — Cov=0.000027, Var(idx)=0.000075, ρ=0.117,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14,799</w:t>
            </w:r>
          </w:p>
        </w:tc>
        <w:tc>
          <w:tcPr>
            <w:tcW w:type="dxa" w:w="1440"/>
            <w:shd w:fill="FAFAFA" w:val="clear"/>
          </w:tcPr>
          <w:p>
            <w:r>
              <w:rPr>
                <w:b/>
                <w:sz w:val="17"/>
              </w:rPr>
              <w:t>15,579</w:t>
            </w:r>
          </w:p>
        </w:tc>
        <w:tc>
          <w:tcPr>
            <w:tcW w:type="dxa" w:w="1440"/>
            <w:shd w:fill="FAFAFA" w:val="clear"/>
          </w:tcPr>
          <w:p>
            <w:r>
              <w:rPr>
                <w:sz w:val="17"/>
              </w:rPr>
              <w:t>16,359</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14,445</w:t>
            </w:r>
          </w:p>
        </w:tc>
        <w:tc>
          <w:tcPr>
            <w:tcW w:type="dxa" w:w="1440"/>
            <w:shd w:fill="FAFAFA" w:val="clear"/>
          </w:tcPr>
          <w:p>
            <w:r>
              <w:rPr>
                <w:b/>
                <w:sz w:val="17"/>
              </w:rPr>
              <w:t>15,545</w:t>
            </w:r>
          </w:p>
        </w:tc>
        <w:tc>
          <w:tcPr>
            <w:tcW w:type="dxa" w:w="1440"/>
            <w:shd w:fill="FAFAFA" w:val="clear"/>
          </w:tcPr>
          <w:p>
            <w:r>
              <w:rPr>
                <w:sz w:val="17"/>
              </w:rPr>
              <w:t>16,646</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14,176</w:t>
            </w:r>
          </w:p>
        </w:tc>
        <w:tc>
          <w:tcPr>
            <w:tcW w:type="dxa" w:w="1440"/>
            <w:shd w:fill="FAFAFA" w:val="clear"/>
          </w:tcPr>
          <w:p>
            <w:r>
              <w:rPr>
                <w:b/>
                <w:sz w:val="17"/>
              </w:rPr>
              <w:t>15,521</w:t>
            </w:r>
          </w:p>
        </w:tc>
        <w:tc>
          <w:tcPr>
            <w:tcW w:type="dxa" w:w="1440"/>
            <w:shd w:fill="FAFAFA" w:val="clear"/>
          </w:tcPr>
          <w:p>
            <w:r>
              <w:rPr>
                <w:sz w:val="17"/>
              </w:rPr>
              <w:t>16,867</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13,945</w:t>
            </w:r>
          </w:p>
        </w:tc>
        <w:tc>
          <w:tcPr>
            <w:tcW w:type="dxa" w:w="1440"/>
            <w:shd w:fill="FAFAFA" w:val="clear"/>
          </w:tcPr>
          <w:p>
            <w:r>
              <w:rPr>
                <w:b/>
                <w:sz w:val="17"/>
              </w:rPr>
              <w:t>15,496</w:t>
            </w:r>
          </w:p>
        </w:tc>
        <w:tc>
          <w:tcPr>
            <w:tcW w:type="dxa" w:w="1440"/>
            <w:shd w:fill="FAFAFA" w:val="clear"/>
          </w:tcPr>
          <w:p>
            <w:r>
              <w:rPr>
                <w:sz w:val="17"/>
              </w:rPr>
              <w:t>17,047</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13,738</w:t>
            </w:r>
          </w:p>
        </w:tc>
        <w:tc>
          <w:tcPr>
            <w:tcW w:type="dxa" w:w="1440"/>
            <w:shd w:fill="FAFAFA" w:val="clear"/>
          </w:tcPr>
          <w:p>
            <w:r>
              <w:rPr>
                <w:b/>
                <w:sz w:val="17"/>
              </w:rPr>
              <w:t>15,470</w:t>
            </w:r>
          </w:p>
        </w:tc>
        <w:tc>
          <w:tcPr>
            <w:tcW w:type="dxa" w:w="1440"/>
            <w:shd w:fill="FAFAFA" w:val="clear"/>
          </w:tcPr>
          <w:p>
            <w:r>
              <w:rPr>
                <w:sz w:val="17"/>
              </w:rPr>
              <w:t>17,202</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13,550</w:t>
            </w:r>
          </w:p>
        </w:tc>
        <w:tc>
          <w:tcPr>
            <w:tcW w:type="dxa" w:w="1440"/>
            <w:shd w:fill="FAFAFA" w:val="clear"/>
          </w:tcPr>
          <w:p>
            <w:r>
              <w:rPr>
                <w:b/>
                <w:sz w:val="17"/>
              </w:rPr>
              <w:t>15,444</w:t>
            </w:r>
          </w:p>
        </w:tc>
        <w:tc>
          <w:tcPr>
            <w:tcW w:type="dxa" w:w="1440"/>
            <w:shd w:fill="FAFAFA" w:val="clear"/>
          </w:tcPr>
          <w:p>
            <w:r>
              <w:rPr>
                <w:sz w:val="17"/>
              </w:rPr>
              <w:t>17,337</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13,376</w:t>
            </w:r>
          </w:p>
        </w:tc>
        <w:tc>
          <w:tcPr>
            <w:tcW w:type="dxa" w:w="1440"/>
            <w:shd w:fill="FAFAFA" w:val="clear"/>
          </w:tcPr>
          <w:p>
            <w:r>
              <w:rPr>
                <w:b/>
                <w:sz w:val="17"/>
              </w:rPr>
              <w:t>15,418</w:t>
            </w:r>
          </w:p>
        </w:tc>
        <w:tc>
          <w:tcPr>
            <w:tcW w:type="dxa" w:w="1440"/>
            <w:shd w:fill="FAFAFA" w:val="clear"/>
          </w:tcPr>
          <w:p>
            <w:r>
              <w:rPr>
                <w:sz w:val="17"/>
              </w:rPr>
              <w:t>17,460</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13,213</w:t>
            </w:r>
          </w:p>
        </w:tc>
        <w:tc>
          <w:tcPr>
            <w:tcW w:type="dxa" w:w="1440"/>
            <w:shd w:fill="FAFAFA" w:val="clear"/>
          </w:tcPr>
          <w:p>
            <w:r>
              <w:rPr>
                <w:b/>
                <w:sz w:val="17"/>
              </w:rPr>
              <w:t>15,392</w:t>
            </w:r>
          </w:p>
        </w:tc>
        <w:tc>
          <w:tcPr>
            <w:tcW w:type="dxa" w:w="1440"/>
            <w:shd w:fill="FAFAFA" w:val="clear"/>
          </w:tcPr>
          <w:p>
            <w:r>
              <w:rPr>
                <w:sz w:val="17"/>
              </w:rPr>
              <w:t>17,571</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13,059</w:t>
            </w:r>
          </w:p>
        </w:tc>
        <w:tc>
          <w:tcPr>
            <w:tcW w:type="dxa" w:w="1440"/>
            <w:shd w:fill="FAFAFA" w:val="clear"/>
          </w:tcPr>
          <w:p>
            <w:r>
              <w:rPr>
                <w:b/>
                <w:sz w:val="17"/>
              </w:rPr>
              <w:t>15,366</w:t>
            </w:r>
          </w:p>
        </w:tc>
        <w:tc>
          <w:tcPr>
            <w:tcW w:type="dxa" w:w="1440"/>
            <w:shd w:fill="FAFAFA" w:val="clear"/>
          </w:tcPr>
          <w:p>
            <w:r>
              <w:rPr>
                <w:sz w:val="17"/>
              </w:rPr>
              <w:t>17,674</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12,912</w:t>
            </w:r>
          </w:p>
        </w:tc>
        <w:tc>
          <w:tcPr>
            <w:tcW w:type="dxa" w:w="1440"/>
            <w:shd w:fill="FAFAFA" w:val="clear"/>
          </w:tcPr>
          <w:p>
            <w:r>
              <w:rPr>
                <w:b/>
                <w:sz w:val="17"/>
              </w:rPr>
              <w:t>15,341</w:t>
            </w:r>
          </w:p>
        </w:tc>
        <w:tc>
          <w:tcPr>
            <w:tcW w:type="dxa" w:w="1440"/>
            <w:shd w:fill="FAFAFA" w:val="clear"/>
          </w:tcPr>
          <w:p>
            <w:r>
              <w:rPr>
                <w:sz w:val="17"/>
              </w:rPr>
              <w:t>17,769</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120,83 milliards FCFA, SMBC se positionne comme une valeur de taille intermédiaire sur la BRVM, représentant un poids notable dans le compartiment industriel de la cote ivoirienne. Le BPA de 1 677 FCFA par action signifie que chaque titre génère près de 1 677 FCFA de bénéfice net, ce qui, rapporté au cours actuel de 15 500 FCFA, donne un PER de 9,2x — légèrement inférieur à la moyenne BRVM (8-12x), suggérant une valorisation raisonnable voire légèrement sous-évaluée au regard des bénéfices. Le P/B de 2,82x indique que le marché valorise l'entreprise à près de trois fois ses fonds propres comptables (42,9 Mds FCFA), une prime de croissance justifiée par un ROE exceptionnel de 30,5%. Enfin, l'EV/EBITDA de 5,7x traduit une valorisation modérée de la capacité opérationnelle, cohérente avec la fourchette sectorielle de 5-10x, ce qui renforce le profil attractif du titre pour un investisseur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affiche une progression totale de +20,20%, malgré un repli de -1,52% lors de la dernière séance, signalant une légère prise de bénéfices après un rallye haussier. Le titre a évolué dans un range large de 12 895 FCFA (plus bas) à 18 500 FCFA (plus haut), soit une amplitude de plus de 43%, avant de se stabiliser à 15 500 FCFA. La tendance générale reste haussière sur la période, mais le cours actuel se situe en dessous de sa moyenne (16 217 FCFA) et de sa médiane (16 445 FCFA), ce qui traduit une distribution asymétrique avec un skewness négatif de -0,923 — indiquant que le titre a passé plus de journées au-dessus de la moyenne, mais que les baisses récentes tirent le cours vers le bas. L'écart-type de 1 270 FCFA (CV de 7,8%) révèle une dispersion modérée du cours, tandis que le kurtosis de 0,766 (mésokurtique) suggère un risque de pics de volatilité proche d'une distribution normale, sans extrêmes marqués. La volatilité annualisée de 42,3% classe SMBC parmi les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(16 161 FCFA) et la MM50 (16 686 FCFA) se situent toutes deux au-dessus du cours actuel (15 500 FCFA), confirmant une configuration baissière de court terme. Le croisement baissier de la MM20 sous la MM50 et la position du cours sous ces deux moyennes justifient la décision technique de **Vente**, signalant une pression vendeuse persistante.</w:t>
      </w:r>
    </w:p>
    <w:p>
      <w:pPr>
        <w:spacing w:after="120" w:line="276" w:lineRule="auto"/>
      </w:pPr>
      <w:r>
        <w:t>**Bandes de Bollinger** : Le cours (15 500 FCFA) évolue dans la partie basse de la bande, entre la borne inférieure (14 662 FCFA) et la borne supérieure (17 661 FCFA), sans atteindre les extrêmes. Cette position médiane-basse, couplée à une volatilité modérée, justifie la décision **Neutre**, le titre n'étant ni suracheté ni survendu selon ce critère.</w:t>
      </w:r>
    </w:p>
    <w:p>
      <w:pPr>
        <w:spacing w:after="120" w:line="276" w:lineRule="auto"/>
      </w:pPr>
      <w:r>
        <w:t>**MACD** : La ligne MACD (-330,9) est inférieure à sa ligne de signal (-261,3), avec un histogramme négatif, confirmant un momentum baissier. Cette divergence négative persistante justifie la décision de **Vente**, bien que l'écart entre les deux lignes tende à se réduire, suggérant un possible essoufflement de la tendance baissière.</w:t>
      </w:r>
    </w:p>
    <w:p>
      <w:pPr>
        <w:spacing w:after="120" w:line="276" w:lineRule="auto"/>
      </w:pPr>
      <w:r>
        <w:t>**RSI** : À 57,4, le RSI se situe dans la zone neutre (30-70), sans signal de surachat (&gt;70) ni de survente (&lt;30). Cette position médiane justifie la décision **Neutre**, indiquant un équilibre relatif entre acheteurs et vendeurs, sans pression directionnelle claire.</w:t>
      </w:r>
    </w:p>
    <w:p>
      <w:pPr>
        <w:spacing w:after="120" w:line="276" w:lineRule="auto"/>
      </w:pPr>
      <w:r>
        <w:t>**Stochastique** : Le %K (34,6) est légèrement inférieur au %D (39,0), avec les deux courbes en zone basse mais non extrême. L'absence de croisement haussier franc et la position sous la barre des 50 justifient la décision **Neutre**, bien que la proximité de la zone de survente (20) appelle à une surveillance d'un éventuel rebond technique.</w:t>
      </w:r>
    </w:p>
    <w:p>
      <w:pPr>
        <w:spacing w:after="120" w:line="276" w:lineRule="auto"/>
      </w:pPr>
      <w:r>
        <w:t>**Conclusion technique** : Les indicateurs techniques présentent un tableau mitigé, avec une majorité de signaux baissiers (MM, MACD) compensés par des signaux neutres (Bollinger, RSI, Stochastique). Le titre se trouve dans une phase de consolidation baissière de court terme, mais l'absence de signaux de survente extrême et la proximité des supports (14 662 FCFA) suggèrent un potentiel de stabilisation. La convergence des indicateurs vers une décision **Neutre à Vente** reflète une prudence justifiée dans l'attente d'un catalyseur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performance remarquable : le chiffre d'affaires s'établit à 206 740 Mds FCFA, en baisse de -9,74% par rapport à 2024 (229 061 Mds FCFA), mais le résultat net progresse spectaculairement de +50,3% à 13 075 Mds FCFA, contre 8 698 Mds FCFA en 2024. Cette performance est portée par un ROE exceptionnel de 30,47% (largement supérieur au seuil de 15% considéré comme excellent) et un ROA de 7,26%, témoignant d'une efficacité capitalistique remarquable. La marge nette s'améliore de 3,8% à 6,32%, tandis que l'EBE bondit de +41,8% à 18 480 Mds FCFA, reflétant une maîtrise exemplaire des charges (personnel -9,5%, charges externes -3%). En tant qu'entreprise industrielle, SMBC présente un BFR de 1 693 Mds FCFA (positif mais faible), avec des délais clients élevés de 193,75 jours (risque de trésorerie) et des délais fournisseurs de 207,07 jours (avantage de trésorerie), tandis que la durée de stockage de 38,09 jours reste maîtrisée. La structure financière affiche une autonomie financière de 23,84% (légèrement sous le seuil de 30% considéré comme sain) et un ratio d'endettement de 76,16%, mais la trésorerie nette positive de 23 988 Mds FCFA et la capacité de remboursement de 0,68 an (dettes financières/CAF) offrent une marge de sécurité confortable. Les rapports trimestriels 2025 (T1, S1, 9M) confirment cette dynamique : au T1 2025 (publié le 31/03/2025), le CA baissait de -22% mais le résultat net ne reculait que de -7% grâce à l'amélioration des marges de raffinage ; au S1 2025 (publié le 30/06/2025), le CA chutait de -23% mais le résultat net ne baissait que de -7% ; au 9M 2025 (publié le 30/09/2025), le CA reculait de -14% mais le résultat net progressait de +6%. Sur la base de ces tendances trimestrielles, on estime que l'exercice 2025 devrait confirmer un résultat net annuel autour de 13 Mds FCFA (réalisé), avec une poursuite de l'amélioration des marges au T4 2025, soutenue par la demande locale (chantiers routiers) et les perspectives à l'export (Nigeria, Ghana, Burkina Faso, Mali). La recommandation fondamentale est **CONSERVER** : la solidité financière (trésorerie nette positive, ROE élevé, endettement maîtrisé) et les perspectives favorables sont tempérées par la baisse structurelle du chiffre d'affaires et la dépendance aux cycles d'investissement public.</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dessine un profil d'investissement contrasté. La **valorisation (Partie 0)** apparaît attractive avec un PER de 9,2x (sous la moyenne BRVM), un P/B de 2,82x justifié par un ROE de 30,5% et un EV/EBITDA de 5,7x raisonnable, suggérant une légère sous-évaluation. Le **comportement du cours (Partie 1)** révèle une tendance haussière sur 100 jours (+20,20%) mais un repli récent (-1,52% J-1) et une volatilité élevée (42,3%), avec un skewness négatif (-0,923) indiquant une pression baissière récente, ce qui est préoccupant à court terme. Les **signaux techniques (Partie 2)** sont majoritairement baissiers (MM, MACD) mais tempérés par des indicateurs neutres (RSI, Stochastique, Bollinger), plaidant pour une consolidation avant un éventuel rebond. Les **fondamentaux (Partie 3)** sont solides : résultat net en hausse de +50,3% en 2025, ROE de 30,5%, trésorerie nette de 23 988 Mds FCFA, mais le CA recule de -9,74% et l'endettement reste modéré. Les **prédictions IA (J+1 à J+10)** anticipent une légère baisse du cours de 15 579 FCFA (15/10/2026) à 15 470 FCFA (21/10/2026), confirmant la pression baissière de court terme sans effondrement. Sur la base de cette synthèse, la recommandation finale est **CONSERVER**, avec un niveau de confiance **Moyen** et un risque global **Moyen**. La convergence entre une valorisation attractive, des fondamentaux solides et des signaux techniques baissiers suggère une phase de consolidation avant une reprise potentielle. L'horizon d'investissement optimal est **moyen terme (3-12 mois)**, en attendant la confirmation d'un retournement technique et la publication des résultats annuels 2026 pour valider la reprise de la croissance du chiffre d'affaires. Un passage à **ACHAT** serait justifié si le cours franchit la MM50 (16 686 FCFA) avec un volume soutenu et si le CA renoue avec la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4470.00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13,809 titres</w:t>
            </w:r>
          </w:p>
        </w:tc>
        <w:tc>
          <w:tcPr>
            <w:tcW w:type="dxa" w:w="2268"/>
            <w:shd w:fill="FFF2CC" w:val="clear"/>
          </w:tcPr>
          <w:p>
            <w:r>
              <w:rPr>
                <w:b/>
                <w:color w:val="503200"/>
                <w:sz w:val="16"/>
              </w:rPr>
              <w:t xml:space="preserve">Cours actuel : </w:t>
            </w:r>
            <w:r>
              <w:rPr>
                <w:color w:val="000000"/>
                <w:sz w:val="17"/>
              </w:rPr>
              <w:t>44,700 FCFA</w:t>
            </w:r>
          </w:p>
          <w:p>
            <w:r>
              <w:rPr>
                <w:b/>
                <w:color w:val="503200"/>
                <w:sz w:val="16"/>
              </w:rPr>
              <w:t xml:space="preserve">Var. 100 jours : </w:t>
            </w:r>
            <w:r>
              <w:rPr>
                <w:b/>
                <w:color w:val="007800"/>
                <w:sz w:val="17"/>
              </w:rPr>
              <w:t>+64.58%</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16.59% (Élevée) — μ=34,044 FCFA, σ=5,646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β=1.2632 (Agressif) — Cov=0.000094, Var(idx)=0.000075, ρ=0.539,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13,809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43,370</w:t>
            </w:r>
          </w:p>
        </w:tc>
        <w:tc>
          <w:tcPr>
            <w:tcW w:type="dxa" w:w="1440"/>
            <w:shd w:fill="FAFAFA" w:val="clear"/>
          </w:tcPr>
          <w:p>
            <w:r>
              <w:rPr>
                <w:b/>
                <w:sz w:val="17"/>
              </w:rPr>
              <w:t>44,667</w:t>
            </w:r>
          </w:p>
        </w:tc>
        <w:tc>
          <w:tcPr>
            <w:tcW w:type="dxa" w:w="1440"/>
            <w:shd w:fill="FAFAFA" w:val="clear"/>
          </w:tcPr>
          <w:p>
            <w:r>
              <w:rPr>
                <w:sz w:val="17"/>
              </w:rPr>
              <w:t>45,965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42,811</w:t>
            </w:r>
          </w:p>
        </w:tc>
        <w:tc>
          <w:tcPr>
            <w:tcW w:type="dxa" w:w="1440"/>
            <w:shd w:fill="FAFAFA" w:val="clear"/>
          </w:tcPr>
          <w:p>
            <w:r>
              <w:rPr>
                <w:b/>
                <w:sz w:val="17"/>
              </w:rPr>
              <w:t>44,645</w:t>
            </w:r>
          </w:p>
        </w:tc>
        <w:tc>
          <w:tcPr>
            <w:tcW w:type="dxa" w:w="1440"/>
            <w:shd w:fill="FAFAFA" w:val="clear"/>
          </w:tcPr>
          <w:p>
            <w:r>
              <w:rPr>
                <w:sz w:val="17"/>
              </w:rPr>
              <w:t>46,479</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42,382</w:t>
            </w:r>
          </w:p>
        </w:tc>
        <w:tc>
          <w:tcPr>
            <w:tcW w:type="dxa" w:w="1440"/>
            <w:shd w:fill="FAFAFA" w:val="clear"/>
          </w:tcPr>
          <w:p>
            <w:r>
              <w:rPr>
                <w:b/>
                <w:sz w:val="17"/>
              </w:rPr>
              <w:t>44,628</w:t>
            </w:r>
          </w:p>
        </w:tc>
        <w:tc>
          <w:tcPr>
            <w:tcW w:type="dxa" w:w="1440"/>
            <w:shd w:fill="FAFAFA" w:val="clear"/>
          </w:tcPr>
          <w:p>
            <w:r>
              <w:rPr>
                <w:sz w:val="17"/>
              </w:rPr>
              <w:t>46,873</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42,023</w:t>
            </w:r>
          </w:p>
        </w:tc>
        <w:tc>
          <w:tcPr>
            <w:tcW w:type="dxa" w:w="1440"/>
            <w:shd w:fill="FAFAFA" w:val="clear"/>
          </w:tcPr>
          <w:p>
            <w:r>
              <w:rPr>
                <w:b/>
                <w:sz w:val="17"/>
              </w:rPr>
              <w:t>44,614</w:t>
            </w:r>
          </w:p>
        </w:tc>
        <w:tc>
          <w:tcPr>
            <w:tcW w:type="dxa" w:w="1440"/>
            <w:shd w:fill="FAFAFA" w:val="clear"/>
          </w:tcPr>
          <w:p>
            <w:r>
              <w:rPr>
                <w:sz w:val="17"/>
              </w:rPr>
              <w:t>47,206</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41,708</w:t>
            </w:r>
          </w:p>
        </w:tc>
        <w:tc>
          <w:tcPr>
            <w:tcW w:type="dxa" w:w="1440"/>
            <w:shd w:fill="FAFAFA" w:val="clear"/>
          </w:tcPr>
          <w:p>
            <w:r>
              <w:rPr>
                <w:b/>
                <w:sz w:val="17"/>
              </w:rPr>
              <w:t>44,605</w:t>
            </w:r>
          </w:p>
        </w:tc>
        <w:tc>
          <w:tcPr>
            <w:tcW w:type="dxa" w:w="1440"/>
            <w:shd w:fill="FAFAFA" w:val="clear"/>
          </w:tcPr>
          <w:p>
            <w:r>
              <w:rPr>
                <w:sz w:val="17"/>
              </w:rPr>
              <w:t>47,502</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41,423</w:t>
            </w:r>
          </w:p>
        </w:tc>
        <w:tc>
          <w:tcPr>
            <w:tcW w:type="dxa" w:w="1440"/>
            <w:shd w:fill="FAFAFA" w:val="clear"/>
          </w:tcPr>
          <w:p>
            <w:r>
              <w:rPr>
                <w:b/>
                <w:sz w:val="17"/>
              </w:rPr>
              <w:t>44,596</w:t>
            </w:r>
          </w:p>
        </w:tc>
        <w:tc>
          <w:tcPr>
            <w:tcW w:type="dxa" w:w="1440"/>
            <w:shd w:fill="FAFAFA" w:val="clear"/>
          </w:tcPr>
          <w:p>
            <w:r>
              <w:rPr>
                <w:sz w:val="17"/>
              </w:rPr>
              <w:t>47,769</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41,161</w:t>
            </w:r>
          </w:p>
        </w:tc>
        <w:tc>
          <w:tcPr>
            <w:tcW w:type="dxa" w:w="1440"/>
            <w:shd w:fill="FAFAFA" w:val="clear"/>
          </w:tcPr>
          <w:p>
            <w:r>
              <w:rPr>
                <w:b/>
                <w:sz w:val="17"/>
              </w:rPr>
              <w:t>44,588</w:t>
            </w:r>
          </w:p>
        </w:tc>
        <w:tc>
          <w:tcPr>
            <w:tcW w:type="dxa" w:w="1440"/>
            <w:shd w:fill="FAFAFA" w:val="clear"/>
          </w:tcPr>
          <w:p>
            <w:r>
              <w:rPr>
                <w:sz w:val="17"/>
              </w:rPr>
              <w:t>48,015</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40,917</w:t>
            </w:r>
          </w:p>
        </w:tc>
        <w:tc>
          <w:tcPr>
            <w:tcW w:type="dxa" w:w="1440"/>
            <w:shd w:fill="FAFAFA" w:val="clear"/>
          </w:tcPr>
          <w:p>
            <w:r>
              <w:rPr>
                <w:b/>
                <w:sz w:val="17"/>
              </w:rPr>
              <w:t>44,579</w:t>
            </w:r>
          </w:p>
        </w:tc>
        <w:tc>
          <w:tcPr>
            <w:tcW w:type="dxa" w:w="1440"/>
            <w:shd w:fill="FAFAFA" w:val="clear"/>
          </w:tcPr>
          <w:p>
            <w:r>
              <w:rPr>
                <w:sz w:val="17"/>
              </w:rPr>
              <w:t>48,242</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40,685</w:t>
            </w:r>
          </w:p>
        </w:tc>
        <w:tc>
          <w:tcPr>
            <w:tcW w:type="dxa" w:w="1440"/>
            <w:shd w:fill="FAFAFA" w:val="clear"/>
          </w:tcPr>
          <w:p>
            <w:r>
              <w:rPr>
                <w:b/>
                <w:sz w:val="17"/>
              </w:rPr>
              <w:t>44,569</w:t>
            </w:r>
          </w:p>
        </w:tc>
        <w:tc>
          <w:tcPr>
            <w:tcW w:type="dxa" w:w="1440"/>
            <w:shd w:fill="FAFAFA" w:val="clear"/>
          </w:tcPr>
          <w:p>
            <w:r>
              <w:rPr>
                <w:sz w:val="17"/>
              </w:rPr>
              <w:t>48,453</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40,465</w:t>
            </w:r>
          </w:p>
        </w:tc>
        <w:tc>
          <w:tcPr>
            <w:tcW w:type="dxa" w:w="1440"/>
            <w:shd w:fill="FAFAFA" w:val="clear"/>
          </w:tcPr>
          <w:p>
            <w:r>
              <w:rPr>
                <w:b/>
                <w:sz w:val="17"/>
              </w:rPr>
              <w:t>44,558</w:t>
            </w:r>
          </w:p>
        </w:tc>
        <w:tc>
          <w:tcPr>
            <w:tcW w:type="dxa" w:w="1440"/>
            <w:shd w:fill="FAFAFA" w:val="clear"/>
          </w:tcPr>
          <w:p>
            <w:r>
              <w:rPr>
                <w:sz w:val="17"/>
              </w:rPr>
              <w:t>48,651</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4 470 milliards FCFA, Sonatel s'impose comme la première capitalisation de la BRVM, un poids systémique qui en fait la valeur de référence de la cote. Le BPA de 4 136 FCFA par action traduit une rentabilité unitaire élevée, chaque titre générant plus de 4 000 FCFA de bénéfice net. Le PER de 10,8x situe le titre dans la fourchette haute de la moyenne BRVM (~8-12x), ce qui reste une valorisation modérée au regard de la qualité de l'actif, mais n'offre plus de décote manifeste après le rallye récent. Le P/B de 3,19x indique que le marché valorise l'entreprise à plus de trois fois ses fonds propres comptables (1 399 Mds FCFA), une prime de croissance justifiée par un ROE de 29,6%. Enfin, l'EV/EBITDA de 4,7x (&lt; 5x) signale que la valeur totale de l'entreprise, dette incluse, reste très bon marché par rapport à sa capacité opérationnelle — un point d'attention positif majeur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**+64,58%**, passant d'un plus bas de 27 160 FCFA à un plus haut de 45 000 FCFA, pour un cours actuel de 44 700 FCFA (recul marginal de -0,45% sur la dernière séance). Le range de trading de 17 840 FCFA témoigne d'une tendance haussière puissante et continue, portée par la publication de résultats solides et l'annonce d'un dividende attractif de 1 740 FCFA net. Les statistiques descriptives révèlent une moyenne de 34 044 FCFA nettement supérieure à la médiane de 31 850 FCFA, confirmant une asymétrie positive (skewness de 0,721) : le cours a passé plus de journées sous sa moyenne, mais les poussées haussières ont été suffisamment fortes pour tirer la moyenne vers le haut. L'écart-type de 5 675 FCFA (CV de 16,7%) indique une dispersion modérée du cours autour de sa tendance. Le kurtosis de -0,875 (mésokurtique) suggère une distribution proche de la normale, sans risque excessif de pics extrêmes. La volatilité annualisée de 31,7% classe le titre en catégorie **élevée** (&gt;30%), ce qui est cohérent avec un rallye de +64% mais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(43 256 FCFA) et la MM50 (38 466 FCFA) sont toutes deux situées sous le cours actuel (44 700 FCFA), avec la MM20 au-dessus de la MM50 — configuration haussière classique en « golden cross ». Le cours évolue au-dessus de ses deux moyennes, ce qui confirme la dynamique positive et justifie la décision d'**Achat**.</w:t>
      </w:r>
    </w:p>
    <w:p>
      <w:pPr>
        <w:spacing w:after="120" w:line="276" w:lineRule="auto"/>
      </w:pPr>
      <w:r>
        <w:t>**Bandes de Bollinger** : Le cours (44 700 FCFA) se situe dans la partie haute de la bande, entre la borne inférieure (39 237 FCFA) et la borne supérieure (47 274 FCFA), sans la dépasser. Cette position proche de la borne haute traduit une pression acheteuse soutenue mais sans excès de volatilité immédiate, justifiant la décision **Neutre**.</w:t>
      </w:r>
    </w:p>
    <w:p>
      <w:pPr>
        <w:spacing w:after="120" w:line="276" w:lineRule="auto"/>
      </w:pPr>
      <w:r>
        <w:t>**MACD** : La valeur du MACD (1 904,5) est légèrement inférieure à son signal (2 076,0), générant un croisement baissier qui indique un essoufflement du momentum haussier. Cette divergence négative, bien que modérée, justifie la décision de **Vente** à court terme.</w:t>
      </w:r>
    </w:p>
    <w:p>
      <w:pPr>
        <w:spacing w:after="120" w:line="276" w:lineRule="auto"/>
      </w:pPr>
      <w:r>
        <w:t>**RSI** : À 92,33, le RSI se situe très largement au-dessus du seuil de surachat (70), signalant une tension acheteuse extrême. Un tel niveau est historiquement suivi de corrections ou de consolidations, ce qui justifie pleinement la décision de **Vente**.</w:t>
      </w:r>
    </w:p>
    <w:p>
      <w:pPr>
        <w:spacing w:after="120" w:line="276" w:lineRule="auto"/>
      </w:pPr>
      <w:r>
        <w:t>**Stochastique** : Le %K (90,35) et le %D (95,95) sont tous deux en zone de surachat extrême, avec le %K sous le %D — un croisement baissier imminent. Cette configuration confirme la décision de **Vente** et anticipe un retournement à court terme.</w:t>
      </w:r>
    </w:p>
    <w:p>
      <w:pPr>
        <w:spacing w:after="120" w:line="276" w:lineRule="auto"/>
      </w:pPr>
      <w:r>
        <w:t>**Conclusion technique** : Les indicateurs présentent une divergence marquée. Les moyennes mobiles restent haussières (Achat), mais le RSI (92,3), le stochastique (90/96) et le MACD (croisement baissier) signalent tous un épuisement du momentum et un risque de correction imminent. Le titre est techniquement **suracheté** après un rallye de +64%, et une consolidation vers la MM20 (43 256 FCFA) ou la borne inférieure de Bollinger (39 237 FCFA) est probable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 Mds FCFA** (+8,3% vs 2024), un résultat net de **413,6 Mds FCFA** (+5,1%) et un résultat net part du groupe de 342,0 Mds FCFA (+4,0%). La rentabilité reste exceptionnelle avec un **ROE de 29,56%** (largement &gt;15%) et un **ROA de 12,65%**. La marge nette s'établit à 21,5%, la marge opérationnelle à 34,8% et la marge brute à 67,0%. Le BFR est **négatif (-284,9 Mds FCFA)**, ce qui est très favorable : l'entreprise finance son cycle d'exploitation par ses fournisseurs (délai fournisseurs de 201 jours) plutôt que par sa trésorerie. Le délai client de 46 jours reste maîtrisé, et la trésorerie nette de 536,1 Mds FCFA confirme une situation financière très solide. L'autonomie financière (42,8%) et la solvabilité générale (174,8%) sont saines, avec une capacité de remboursement de 0,64 an seulement.</w:t>
      </w:r>
    </w:p>
    <w:p>
      <w:pPr>
        <w:spacing w:after="120" w:line="276" w:lineRule="auto"/>
      </w:pPr>
      <w:r>
        <w:t>**Estimations basées sur les rapports trimestriels** : Le communiqué du **24 juillet 2026** (S1 2026) confirme l'accélération de la dynamique : CA de 1 049,8 Mds FCFA (+9,3%), EBITDAAL de 510,8 Mds FCFA (+11,6%, marge de 48,7%) et résultat net de 230,0 Mds FCFA (+10,5%). Sur cette base, on estime que l'exercice 2026 devrait afficher un CA supérieur à 2 050 Mds FCFA et un résultat net proche de 440-450 Mds FCFA, soit une croissance à deux chiffres. Le parc clients atteint 43 millions d'abonnés, avec une fibre en hausse de 23% et la 4G de 19,5%. La notation financière a été relevée à **AAA (wu) par GCR Ratings**, confirmant la solidité du modèle.</w:t>
      </w:r>
    </w:p>
    <w:p>
      <w:pPr>
        <w:spacing w:after="120" w:line="276" w:lineRule="auto"/>
      </w:pPr>
      <w:r>
        <w:t>**Évolution et recommandation fondamentale** : Entre 2024 et 2025, le CA est passé de 1 776,4 à 1 923,1 Mds FCFA (+8,3%) et le résultat net de 393,7 à 413,6 Mds FCFA (+5,1%), avec un BPA de 4 136 FCFA. Le dividende proposé de 1 933 FCFA brut (1 740 FCFA net) offre un rendement de 3,9% au cours actuel. Les risques identifiés — pression fiscale et réglementaire accrue, concurrence intense sur la Data et le Mobile Money, instabilité géopolitique au Mali — sont réels mais compensés par la diversification géographique et la position de leader (55,9% de part de marché au Sénégal). La recommandation fondamentale est **CONSERVER** avec un biais positif : la solidité financière est exceptionnelle, mais la valorisation actuelle intègre déjà une bonne partie des bonnes nouvelles.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notable** entre les signaux. La valorisation (Partie 0) reste raisonnable avec un PER de 10,8x et un EV/EBITDA de 4,7x, mais le P/B de 3,19x et le rallye récent limitent le potentiel de revalorisation immédiat. Le comportement du cours (Partie 1) est haussier (+64,58%) mais la volatilité élevée (31,7%) et le skewness positif (0,721) indiquent que le titre a tendance à surréagir à la hausse — un risque de correction. Les signaux techniques (Partie 2) sont majoritairement baissiers à court terme : RSI à 92,3, stochastique en surachat extrême, MACD en croisement baissier, malgré des moyennes mobiles encore haussières. Les fondamentaux (Partie 3) sont excellents : ROE de 29,6%, BFR négatif, trésorerie nette de 536 Mds FCFA, notation AAA et croissance à deux chiffres attendue en 2026. Les prédictions IA (J+1 à J+10) anticipent une **stabilisation autour de 44 600 FCFA**, avec une légère érosion (44 667 → 44 605 FCFA), ce qui confirme l'essoufflement technique sans effondrement.</w:t>
      </w:r>
    </w:p>
    <w:p>
      <w:pPr>
        <w:spacing w:after="120" w:line="276" w:lineRule="auto"/>
      </w:pPr>
      <w:r>
        <w:t>**Recommandation finale : CONSERVER** — Le titre est fondamentalement solide et la tendance de long terme reste haussière, mais les signaux techniques de surachat et la prédiction de stabilisation à court terme plaident contre un achat immédiat. Les investisseurs déjà positionnés peuvent conserver en vue du dividende (1 740 FCFA net, paiement le 26 mai 2026) et de la croissance 2026. Un point d'entrée plus favorable se situerait autour de 42 000-43 000 FCFA (MM20). **Niveau de confiance : Moyen** (divergence technique/fondamental). **Niveau de risque : Moyen** (volatilité élevée mais fondamentaux robustes). **Horizon optimal : Moyen terme (3-12 mois)**, le temps que la consolidation technique s'achève et que les résultats 2026 confirment la trajectoire de croissance.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168.06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5,013 titres</w:t>
            </w:r>
          </w:p>
        </w:tc>
        <w:tc>
          <w:tcPr>
            <w:tcW w:type="dxa" w:w="2268"/>
            <w:shd w:fill="FFF2CC" w:val="clear"/>
          </w:tcPr>
          <w:p>
            <w:r>
              <w:rPr>
                <w:b/>
                <w:color w:val="503200"/>
                <w:sz w:val="16"/>
              </w:rPr>
              <w:t xml:space="preserve">Cours actuel : </w:t>
            </w:r>
            <w:r>
              <w:rPr>
                <w:color w:val="000000"/>
                <w:sz w:val="17"/>
              </w:rPr>
              <w:t>7,780 FCFA</w:t>
            </w:r>
          </w:p>
          <w:p>
            <w:r>
              <w:rPr>
                <w:b/>
                <w:color w:val="503200"/>
                <w:sz w:val="16"/>
              </w:rPr>
              <w:t xml:space="preserve">Var. 100 jours : </w:t>
            </w:r>
            <w:r>
              <w:rPr>
                <w:b/>
                <w:color w:val="007800"/>
                <w:sz w:val="17"/>
              </w:rPr>
              <w:t>+2.37%</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3.98% (Faible) — μ=8,107 FCFA, σ=323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β=1.0030 (Neutre (suit le marché)) — Cov=0.000075, Var(idx)=0.000075, ρ=0.329,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7,393</w:t>
            </w:r>
          </w:p>
        </w:tc>
        <w:tc>
          <w:tcPr>
            <w:tcW w:type="dxa" w:w="1440"/>
            <w:shd w:fill="FAFAFA" w:val="clear"/>
          </w:tcPr>
          <w:p>
            <w:r>
              <w:rPr>
                <w:b/>
                <w:sz w:val="17"/>
              </w:rPr>
              <w:t>7,791</w:t>
            </w:r>
          </w:p>
        </w:tc>
        <w:tc>
          <w:tcPr>
            <w:tcW w:type="dxa" w:w="1440"/>
            <w:shd w:fill="FAFAFA" w:val="clear"/>
          </w:tcPr>
          <w:p>
            <w:r>
              <w:rPr>
                <w:sz w:val="17"/>
              </w:rPr>
              <w:t>8,190</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7,208</w:t>
            </w:r>
          </w:p>
        </w:tc>
        <w:tc>
          <w:tcPr>
            <w:tcW w:type="dxa" w:w="1440"/>
            <w:shd w:fill="FAFAFA" w:val="clear"/>
          </w:tcPr>
          <w:p>
            <w:r>
              <w:rPr>
                <w:b/>
                <w:sz w:val="17"/>
              </w:rPr>
              <w:t>7,771</w:t>
            </w:r>
          </w:p>
        </w:tc>
        <w:tc>
          <w:tcPr>
            <w:tcW w:type="dxa" w:w="1440"/>
            <w:shd w:fill="FAFAFA" w:val="clear"/>
          </w:tcPr>
          <w:p>
            <w:r>
              <w:rPr>
                <w:sz w:val="17"/>
              </w:rPr>
              <w:t>8,333</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7,066</w:t>
            </w:r>
          </w:p>
        </w:tc>
        <w:tc>
          <w:tcPr>
            <w:tcW w:type="dxa" w:w="1440"/>
            <w:shd w:fill="FAFAFA" w:val="clear"/>
          </w:tcPr>
          <w:p>
            <w:r>
              <w:rPr>
                <w:b/>
                <w:sz w:val="17"/>
              </w:rPr>
              <w:t>7,753</w:t>
            </w:r>
          </w:p>
        </w:tc>
        <w:tc>
          <w:tcPr>
            <w:tcW w:type="dxa" w:w="1440"/>
            <w:shd w:fill="FAFAFA" w:val="clear"/>
          </w:tcPr>
          <w:p>
            <w:r>
              <w:rPr>
                <w:sz w:val="17"/>
              </w:rPr>
              <w:t>8,440</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6,943</w:t>
            </w:r>
          </w:p>
        </w:tc>
        <w:tc>
          <w:tcPr>
            <w:tcW w:type="dxa" w:w="1440"/>
            <w:shd w:fill="FAFAFA" w:val="clear"/>
          </w:tcPr>
          <w:p>
            <w:r>
              <w:rPr>
                <w:b/>
                <w:sz w:val="17"/>
              </w:rPr>
              <w:t>7,734</w:t>
            </w:r>
          </w:p>
        </w:tc>
        <w:tc>
          <w:tcPr>
            <w:tcW w:type="dxa" w:w="1440"/>
            <w:shd w:fill="FAFAFA" w:val="clear"/>
          </w:tcPr>
          <w:p>
            <w:r>
              <w:rPr>
                <w:sz w:val="17"/>
              </w:rPr>
              <w:t>8,526</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6,834</w:t>
            </w:r>
          </w:p>
        </w:tc>
        <w:tc>
          <w:tcPr>
            <w:tcW w:type="dxa" w:w="1440"/>
            <w:shd w:fill="FAFAFA" w:val="clear"/>
          </w:tcPr>
          <w:p>
            <w:r>
              <w:rPr>
                <w:b/>
                <w:sz w:val="17"/>
              </w:rPr>
              <w:t>7,716</w:t>
            </w:r>
          </w:p>
        </w:tc>
        <w:tc>
          <w:tcPr>
            <w:tcW w:type="dxa" w:w="1440"/>
            <w:shd w:fill="FAFAFA" w:val="clear"/>
          </w:tcPr>
          <w:p>
            <w:r>
              <w:rPr>
                <w:sz w:val="17"/>
              </w:rPr>
              <w:t>8,599</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6,735</w:t>
            </w:r>
          </w:p>
        </w:tc>
        <w:tc>
          <w:tcPr>
            <w:tcW w:type="dxa" w:w="1440"/>
            <w:shd w:fill="FAFAFA" w:val="clear"/>
          </w:tcPr>
          <w:p>
            <w:r>
              <w:rPr>
                <w:b/>
                <w:sz w:val="17"/>
              </w:rPr>
              <w:t>7,699</w:t>
            </w:r>
          </w:p>
        </w:tc>
        <w:tc>
          <w:tcPr>
            <w:tcW w:type="dxa" w:w="1440"/>
            <w:shd w:fill="FAFAFA" w:val="clear"/>
          </w:tcPr>
          <w:p>
            <w:r>
              <w:rPr>
                <w:sz w:val="17"/>
              </w:rPr>
              <w:t>8,664</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6,643</w:t>
            </w:r>
          </w:p>
        </w:tc>
        <w:tc>
          <w:tcPr>
            <w:tcW w:type="dxa" w:w="1440"/>
            <w:shd w:fill="FAFAFA" w:val="clear"/>
          </w:tcPr>
          <w:p>
            <w:r>
              <w:rPr>
                <w:b/>
                <w:sz w:val="17"/>
              </w:rPr>
              <w:t>7,683</w:t>
            </w:r>
          </w:p>
        </w:tc>
        <w:tc>
          <w:tcPr>
            <w:tcW w:type="dxa" w:w="1440"/>
            <w:shd w:fill="FAFAFA" w:val="clear"/>
          </w:tcPr>
          <w:p>
            <w:r>
              <w:rPr>
                <w:sz w:val="17"/>
              </w:rPr>
              <w:t>8,723</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6,558</w:t>
            </w:r>
          </w:p>
        </w:tc>
        <w:tc>
          <w:tcPr>
            <w:tcW w:type="dxa" w:w="1440"/>
            <w:shd w:fill="FAFAFA" w:val="clear"/>
          </w:tcPr>
          <w:p>
            <w:r>
              <w:rPr>
                <w:b/>
                <w:sz w:val="17"/>
              </w:rPr>
              <w:t>7,667</w:t>
            </w:r>
          </w:p>
        </w:tc>
        <w:tc>
          <w:tcPr>
            <w:tcW w:type="dxa" w:w="1440"/>
            <w:shd w:fill="FAFAFA" w:val="clear"/>
          </w:tcPr>
          <w:p>
            <w:r>
              <w:rPr>
                <w:sz w:val="17"/>
              </w:rPr>
              <w:t>8,776</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6,478</w:t>
            </w:r>
          </w:p>
        </w:tc>
        <w:tc>
          <w:tcPr>
            <w:tcW w:type="dxa" w:w="1440"/>
            <w:shd w:fill="FAFAFA" w:val="clear"/>
          </w:tcPr>
          <w:p>
            <w:r>
              <w:rPr>
                <w:b/>
                <w:sz w:val="17"/>
              </w:rPr>
              <w:t>7,652</w:t>
            </w:r>
          </w:p>
        </w:tc>
        <w:tc>
          <w:tcPr>
            <w:tcW w:type="dxa" w:w="1440"/>
            <w:shd w:fill="FAFAFA" w:val="clear"/>
          </w:tcPr>
          <w:p>
            <w:r>
              <w:rPr>
                <w:sz w:val="17"/>
              </w:rPr>
              <w:t>8,826</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6,402</w:t>
            </w:r>
          </w:p>
        </w:tc>
        <w:tc>
          <w:tcPr>
            <w:tcW w:type="dxa" w:w="1440"/>
            <w:shd w:fill="FAFAFA" w:val="clear"/>
          </w:tcPr>
          <w:p>
            <w:r>
              <w:rPr>
                <w:b/>
                <w:sz w:val="17"/>
              </w:rPr>
              <w:t>7,637</w:t>
            </w:r>
          </w:p>
        </w:tc>
        <w:tc>
          <w:tcPr>
            <w:tcW w:type="dxa" w:w="1440"/>
            <w:shd w:fill="FAFAFA" w:val="clear"/>
          </w:tcPr>
          <w:p>
            <w:r>
              <w:rPr>
                <w:sz w:val="17"/>
              </w:rPr>
              <w:t>8,873</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 / Hévéa &amp; Palmier)*</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168,06 milliards FCFA, SOGC s'impose comme une valeur de premier plan de la cote BRVM, représentant un poids significatif dans l'indice composite. Le BPA de 578 FCFA/action signifie que chaque titre génère près de 578 FCFA de bénéfice net, un niveau robuste qui traduit la rentabilité intrinsèque de l'entreprise. Le PER de 13,5x se situe légèrement au-dessus de la moyenne BRVM (8-12x), signalant que les investisseurs acceptent une prime modérée pour la qualité des bénéfices, sans pour autant basculer dans une surévaluation manifeste. Le P/B de 2,46x indique que le marché valorise l'action à près de 2,5 fois sa valeur comptable, une prime de croissance justifiée par la solidité des fonds propres (68,43 Mds FCFA) et la régularité des dividendes. Enfin, l'EV/EBITDA de 7,0x, dans la fourchette raisonnable de 5-10x, suggère que la valeur d'entreprise reste cohérente avec la capacité opérationnelle dégagée, offrant une marge de sécurité correcte pour un investisseur de long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variation totale de +2,37%, mais la dernière séance (J-1) enregistre un repli de -0,89%, portant le cours actuel à 7 780 FCFA. Le range de trading est large, avec un plus haut à 8 875 FCFA et un plus bas à 7 300 FCFA, soit une amplitude de 1 575 FCFA (environ 21,6%) qui témoigne d'une réelle nervosité du marché. La tendance générale apparaît baissière depuis le pic, le cours évoluant désormais sous sa moyenne (8 107 FCFA) et sa médiane (8 145 FCFA), avec un mode à 8 100 FCFA confirmant que la zone 8 100-8 150 FCFA a constitué un palier de résistance. L'écart-type de 325 FCFA et le coefficient de variation de 4,0% indiquent une dispersion modérée du cours autour de sa moyenne, tandis que le kurtosis de 0,201 (mésokurtique) suggère une distribution proche de la normale, sans risque extrême de pics violents. Le skewness de -0,518 révèle une asymétrie négative : les journées de baisse sont moins nombreuses mais plus amples que les hausses, ce qui traduit une pression vendeuse ponctuelle. La volatilité annualisée de 41,3% classe le titre dans la catégorie des valeurs à volatilité élevée (&gt;30%), ce qui implique un risque de court terme significatif mais aussi des opportunités de trading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(7 860,5 FCFA) et la MM50 (8 009,7 FCFA) encadrent le cours actuel (7 780 FCFA) par le haut, confirmant une configuration baissière de court et moyen terme. Le cours évoluant sous ses deux moyennes, la décision technique est logiquement « Vente », avec un croisement potentiellement baissier si la MM20 venait à passer sous la MM50.</w:t>
      </w:r>
    </w:p>
    <w:p>
      <w:pPr>
        <w:spacing w:after="120" w:line="276" w:lineRule="auto"/>
      </w:pPr>
      <w:r>
        <w:t>**Bandes de Bollinger** : Le cours (7 780 FCFA) se situe dans la moitié inférieure de la bande, entre la borne inférieure (7 483 FCFA) et la borne supérieure (8 238 FCFA), sans atteindre les extrêmes. Cette position médiane justifie une décision « Neutre », le titre n'étant ni suracheté ni survendu, avec une volatilité qui se comprime légèrement.</w:t>
      </w:r>
    </w:p>
    <w:p>
      <w:pPr>
        <w:spacing w:after="120" w:line="276" w:lineRule="auto"/>
      </w:pPr>
      <w:r>
        <w:t>**MACD** : La valeur du MACD (-44,428) est supérieure à son signal (-55,896), générant un croisement haussier et une décision « Achat ». Cette divergence positive indique un essoufflement de la dynamique baissière et un possible retournement de momentum à court terme, bien que les deux lignes restent en territoire négatif.</w:t>
      </w:r>
    </w:p>
    <w:p>
      <w:pPr>
        <w:spacing w:after="120" w:line="276" w:lineRule="auto"/>
      </w:pPr>
      <w:r>
        <w:t>**RSI** : À 59,677, le RSI se situe dans la zone neutre (30-70), sans signal de surachat ni de survente. La décision « Neutre » reflète un équilibre entre acheteurs et vendeurs, avec une légère tendance haussière puisque le RSI progresse vers le haut de sa zone.</w:t>
      </w:r>
    </w:p>
    <w:p>
      <w:pPr>
        <w:spacing w:after="120" w:line="276" w:lineRule="auto"/>
      </w:pPr>
      <w:r>
        <w:t>**Stochastique** : Le %K (36,0) est nettement inférieur au %D (63,458), signalant un croisement baissier récent et une pression vendeuse à court terme. La décision « Neutre » masque une divergence baissière qui pourrait peser sur le cours dans les prochaines séances.</w:t>
      </w:r>
    </w:p>
    <w:p>
      <w:pPr>
        <w:spacing w:after="120" w:line="276" w:lineRule="auto"/>
      </w:pPr>
      <w:r>
        <w:t>**Conclusion technique** : Les indicateurs sont divergents — le MACD est haussier tandis que les moyennes mobiles et le stochastique sont baissiers, le RSI et les Bollinger restant neutres. Cette configuration mitigée plaide pour une prudence à court terme, avec un avantage marginal aux vendeurs tant que le cours reste sous la MM20 (7 860 FCFA). Un franchissement de ce niveau serait nécessaire pour confirmer un retournement haussier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SOGC (exercice clos au 31/12/2025) affichent un chiffre d'affaires de 98,979 Mds FCFA, en croissance de 10,70% par rapport à 2024, porté par la hausse des prix de l'huile de palme (+20%) et de palmiste (+47%) ainsi que par la progression des volumes de caoutchouc (+9%). Le résultat net s'établit à 12,493 Mds FCFA, en léger recul de 5% par rapport aux 13,11 Mds FCFA de 2024, sous l'effet d'une hausse de 15% des coûts de matières premières (coagulum). La rentabilité reste excellente avec un ROE de 18,26% (&gt;15%, seuil d'excellence) et un ROA de 13,84%, tandis que la marge nette se maintient à 12,62% et la marge opérationnelle à 17,24%. La structure financière est très saine : l'autonomie financière atteint 75,79% (capitaux propres/total bilan), le ratio d'endettement est faible (24,21%) et la trésorerie nette s'élève à 4,575 Mds FCFA, en amélioration de 3,1 Mds FCFA sur l'exercice. Concernant le besoin en fonds de roulement (BFR), il s'établit à 7,124 Mds FCFA, avec un délai clients de 29,60 jours (risque trésorerie limité) et un délai fournisseurs de 31,72 jours, légèrement supérieur, ce qui est favorable. La durée de stockage de 97,67 jours reste élevée et immobilise du capital, mais elle est compensée par la solidité du fonds de roulement (11,699 Mds FCFA). Les rapports trimestriels 2025 (T1, S1, 9M) confirment une dynamique exceptionnelle sur les neuf premiers mois, avec un CA de 75,6 Mds FCFA (+21,3%) et un résultat net de 11,5 Mds FCFA (+39,5%), avant un ralentissement attendu au S2 2025 lié à la concurrence sur l'achat de coagulum et à la baisse des cours SICOM. Sur cette base, on estime que l'exercice 2025 devrait se clôturer avec un résultat net proche de 12,5 Mds FCFA, cohérent avec les chiffres publiés. Le dividende brut proposé de 570 FCFA/action (contre 60 FCFA en 2024) offre un rendement attractif d'environ 7,3% au cours actuel, mais son taux de distribution très élevé (environ 98%) limite les capacités de réinvestissement. En synthèse, SOGC présente des fondamentaux solides, une rentabilité élevée et une structure financière robuste, mais fait face à des risques de volatilité des prix des matières premières et à une concurrence accrue sur l'approvisionnement en coagulum.</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13,5x, P/B 2,46x, EV/EBITDA 7,0x) apparaît raisonnable, légèrement supérieure à la moyenne BRVM mais justifiée par la qualité des bénéfices et la solidité du bilan. Le comportement du cours sur 100 jours est mitigé : variation positive (+2,37%) mais tendance baissière récente, volatilité élevée (41,3%) et skewness négatif (-0,518) indiquant une pression vendeuse ponctuelle, tandis que le kurtosis mésokurtique (0,201) écarte le risque de pics extrêmes. Les signaux techniques sont divergents : le MACD est haussier, mais les moyennes mobiles et le stochastique sont baissiers, le RSI et les Bollinger restant neutres, ce qui plaide pour une consolidation avant un éventuel rebond. Les fondamentaux sont solides : CA en croissance (+10,7%), ROE de 18,26%, autonomie financière de 75,79% et dividende attractif (570 FCFA/action), malgré un résultat net en léger recul (-5%) et des risques persistants sur les prix des matières premières. Les prédictions IA (J+1 à J+10) anticipent une trajectoire baissière graduelle, de 7 791 FCFA à 7 716 FCFA, ce qui contredit le signal haussier du MACD mais confirme la pression baissière des moyennes mobiles et du stochastique. Compte tenu de cette divergence entre valorisation raisonnable, fondamentaux solides et signaux techniques mitigés, la recommandation finale est **CONSERVER** avec un niveau de confiance **Moyen** et un risque global **Moyen**. L'horizon d'investissement optimal est le **moyen terme (3-12 mois)**, en attendant une clarification technique (franchissement de la MM20 à 7 860 FCFA) et une stabilisation des prix des matières premières pour confirmer une reprise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193.09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4,908 titres</w:t>
            </w:r>
          </w:p>
        </w:tc>
        <w:tc>
          <w:tcPr>
            <w:tcW w:type="dxa" w:w="2268"/>
            <w:shd w:fill="FFF2CC" w:val="clear"/>
          </w:tcPr>
          <w:p>
            <w:r>
              <w:rPr>
                <w:b/>
                <w:color w:val="503200"/>
                <w:sz w:val="16"/>
              </w:rPr>
              <w:t xml:space="preserve">Cours actuel : </w:t>
            </w:r>
            <w:r>
              <w:rPr>
                <w:color w:val="000000"/>
                <w:sz w:val="17"/>
              </w:rPr>
              <w:t>7,555 FCFA</w:t>
            </w:r>
          </w:p>
          <w:p>
            <w:r>
              <w:rPr>
                <w:b/>
                <w:color w:val="503200"/>
                <w:sz w:val="16"/>
              </w:rPr>
              <w:t xml:space="preserve">Var. 100 jours : </w:t>
            </w:r>
            <w:r>
              <w:rPr>
                <w:b/>
                <w:color w:val="007800"/>
                <w:sz w:val="17"/>
              </w:rPr>
              <w:t>+9.57%</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6,895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9.07% (Moyenne) — μ=7,934 FCFA, σ=720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β=0.6968 (Défensif) — Cov=0.000052, Var(idx)=0.000075, ρ=0.218,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7,275</w:t>
            </w:r>
          </w:p>
        </w:tc>
        <w:tc>
          <w:tcPr>
            <w:tcW w:type="dxa" w:w="1440"/>
            <w:shd w:fill="FAFAFA" w:val="clear"/>
          </w:tcPr>
          <w:p>
            <w:r>
              <w:rPr>
                <w:b/>
                <w:sz w:val="17"/>
              </w:rPr>
              <w:t>7,669</w:t>
            </w:r>
          </w:p>
        </w:tc>
        <w:tc>
          <w:tcPr>
            <w:tcW w:type="dxa" w:w="1440"/>
            <w:shd w:fill="FAFAFA" w:val="clear"/>
          </w:tcPr>
          <w:p>
            <w:r>
              <w:rPr>
                <w:sz w:val="17"/>
              </w:rPr>
              <w:t>8,062</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7,072</w:t>
            </w:r>
          </w:p>
        </w:tc>
        <w:tc>
          <w:tcPr>
            <w:tcW w:type="dxa" w:w="1440"/>
            <w:shd w:fill="FAFAFA" w:val="clear"/>
          </w:tcPr>
          <w:p>
            <w:r>
              <w:rPr>
                <w:b/>
                <w:sz w:val="17"/>
              </w:rPr>
              <w:t>7,625</w:t>
            </w:r>
          </w:p>
        </w:tc>
        <w:tc>
          <w:tcPr>
            <w:tcW w:type="dxa" w:w="1440"/>
            <w:shd w:fill="FAFAFA" w:val="clear"/>
          </w:tcPr>
          <w:p>
            <w:r>
              <w:rPr>
                <w:sz w:val="17"/>
              </w:rPr>
              <w:t>8,179</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6,921</w:t>
            </w:r>
          </w:p>
        </w:tc>
        <w:tc>
          <w:tcPr>
            <w:tcW w:type="dxa" w:w="1440"/>
            <w:shd w:fill="FAFAFA" w:val="clear"/>
          </w:tcPr>
          <w:p>
            <w:r>
              <w:rPr>
                <w:b/>
                <w:sz w:val="17"/>
              </w:rPr>
              <w:t>7,596</w:t>
            </w:r>
          </w:p>
        </w:tc>
        <w:tc>
          <w:tcPr>
            <w:tcW w:type="dxa" w:w="1440"/>
            <w:shd w:fill="FAFAFA" w:val="clear"/>
          </w:tcPr>
          <w:p>
            <w:r>
              <w:rPr>
                <w:sz w:val="17"/>
              </w:rPr>
              <w:t>8,272</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6,790</w:t>
            </w:r>
          </w:p>
        </w:tc>
        <w:tc>
          <w:tcPr>
            <w:tcW w:type="dxa" w:w="1440"/>
            <w:shd w:fill="FAFAFA" w:val="clear"/>
          </w:tcPr>
          <w:p>
            <w:r>
              <w:rPr>
                <w:b/>
                <w:sz w:val="17"/>
              </w:rPr>
              <w:t>7,567</w:t>
            </w:r>
          </w:p>
        </w:tc>
        <w:tc>
          <w:tcPr>
            <w:tcW w:type="dxa" w:w="1440"/>
            <w:shd w:fill="FAFAFA" w:val="clear"/>
          </w:tcPr>
          <w:p>
            <w:r>
              <w:rPr>
                <w:sz w:val="17"/>
              </w:rPr>
              <w:t>8,344</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6,672</w:t>
            </w:r>
          </w:p>
        </w:tc>
        <w:tc>
          <w:tcPr>
            <w:tcW w:type="dxa" w:w="1440"/>
            <w:shd w:fill="FAFAFA" w:val="clear"/>
          </w:tcPr>
          <w:p>
            <w:r>
              <w:rPr>
                <w:b/>
                <w:sz w:val="17"/>
              </w:rPr>
              <w:t>7,538</w:t>
            </w:r>
          </w:p>
        </w:tc>
        <w:tc>
          <w:tcPr>
            <w:tcW w:type="dxa" w:w="1440"/>
            <w:shd w:fill="FAFAFA" w:val="clear"/>
          </w:tcPr>
          <w:p>
            <w:r>
              <w:rPr>
                <w:sz w:val="17"/>
              </w:rPr>
              <w:t>8,403</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6,565</w:t>
            </w:r>
          </w:p>
        </w:tc>
        <w:tc>
          <w:tcPr>
            <w:tcW w:type="dxa" w:w="1440"/>
            <w:shd w:fill="FAFAFA" w:val="clear"/>
          </w:tcPr>
          <w:p>
            <w:r>
              <w:rPr>
                <w:b/>
                <w:sz w:val="17"/>
              </w:rPr>
              <w:t>7,509</w:t>
            </w:r>
          </w:p>
        </w:tc>
        <w:tc>
          <w:tcPr>
            <w:tcW w:type="dxa" w:w="1440"/>
            <w:shd w:fill="FAFAFA" w:val="clear"/>
          </w:tcPr>
          <w:p>
            <w:r>
              <w:rPr>
                <w:sz w:val="17"/>
              </w:rPr>
              <w:t>8,453</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6,465</w:t>
            </w:r>
          </w:p>
        </w:tc>
        <w:tc>
          <w:tcPr>
            <w:tcW w:type="dxa" w:w="1440"/>
            <w:shd w:fill="FAFAFA" w:val="clear"/>
          </w:tcPr>
          <w:p>
            <w:r>
              <w:rPr>
                <w:b/>
                <w:sz w:val="17"/>
              </w:rPr>
              <w:t>7,481</w:t>
            </w:r>
          </w:p>
        </w:tc>
        <w:tc>
          <w:tcPr>
            <w:tcW w:type="dxa" w:w="1440"/>
            <w:shd w:fill="FAFAFA" w:val="clear"/>
          </w:tcPr>
          <w:p>
            <w:r>
              <w:rPr>
                <w:sz w:val="17"/>
              </w:rPr>
              <w:t>8,498</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2026-10-26</w:t>
            </w:r>
          </w:p>
        </w:tc>
        <w:tc>
          <w:tcPr>
            <w:tcW w:type="dxa" w:w="1440"/>
            <w:shd w:fill="FAFAFA" w:val="clear"/>
          </w:tcPr>
          <w:p>
            <w:r>
              <w:rPr>
                <w:sz w:val="17"/>
              </w:rPr>
              <w:t>6,372</w:t>
            </w:r>
          </w:p>
        </w:tc>
        <w:tc>
          <w:tcPr>
            <w:tcW w:type="dxa" w:w="1440"/>
            <w:shd w:fill="FAFAFA" w:val="clear"/>
          </w:tcPr>
          <w:p>
            <w:r>
              <w:rPr>
                <w:b/>
                <w:sz w:val="17"/>
              </w:rPr>
              <w:t>7,455</w:t>
            </w:r>
          </w:p>
        </w:tc>
        <w:tc>
          <w:tcPr>
            <w:tcW w:type="dxa" w:w="1440"/>
            <w:shd w:fill="FAFAFA" w:val="clear"/>
          </w:tcPr>
          <w:p>
            <w:r>
              <w:rPr>
                <w:sz w:val="17"/>
              </w:rPr>
              <w:t>8,538</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2026-10-27</w:t>
            </w:r>
          </w:p>
        </w:tc>
        <w:tc>
          <w:tcPr>
            <w:tcW w:type="dxa" w:w="1440"/>
            <w:shd w:fill="FAFAFA" w:val="clear"/>
          </w:tcPr>
          <w:p>
            <w:r>
              <w:rPr>
                <w:sz w:val="17"/>
              </w:rPr>
              <w:t>6,285</w:t>
            </w:r>
          </w:p>
        </w:tc>
        <w:tc>
          <w:tcPr>
            <w:tcW w:type="dxa" w:w="1440"/>
            <w:shd w:fill="FAFAFA" w:val="clear"/>
          </w:tcPr>
          <w:p>
            <w:r>
              <w:rPr>
                <w:b/>
                <w:sz w:val="17"/>
              </w:rPr>
              <w:t>7,430</w:t>
            </w:r>
          </w:p>
        </w:tc>
        <w:tc>
          <w:tcPr>
            <w:tcW w:type="dxa" w:w="1440"/>
            <w:shd w:fill="FAFAFA" w:val="clear"/>
          </w:tcPr>
          <w:p>
            <w:r>
              <w:rPr>
                <w:sz w:val="17"/>
              </w:rPr>
              <w:t>8,574</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2026-10-28</w:t>
            </w:r>
          </w:p>
        </w:tc>
        <w:tc>
          <w:tcPr>
            <w:tcW w:type="dxa" w:w="1440"/>
            <w:shd w:fill="FAFAFA" w:val="clear"/>
          </w:tcPr>
          <w:p>
            <w:r>
              <w:rPr>
                <w:sz w:val="17"/>
              </w:rPr>
              <w:t>6,203</w:t>
            </w:r>
          </w:p>
        </w:tc>
        <w:tc>
          <w:tcPr>
            <w:tcW w:type="dxa" w:w="1440"/>
            <w:shd w:fill="FAFAFA" w:val="clear"/>
          </w:tcPr>
          <w:p>
            <w:r>
              <w:rPr>
                <w:b/>
                <w:sz w:val="17"/>
              </w:rPr>
              <w:t>7,405</w:t>
            </w:r>
          </w:p>
        </w:tc>
        <w:tc>
          <w:tcPr>
            <w:tcW w:type="dxa" w:w="1440"/>
            <w:shd w:fill="FAFAFA" w:val="clear"/>
          </w:tcPr>
          <w:p>
            <w:r>
              <w:rPr>
                <w:sz w:val="17"/>
              </w:rPr>
              <w:t>8,607</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193,09 milliards FCFA, SPHC s'impose comme une valeur de premier plan de la cote BRVM, représentant un pilier du compartiment agro-industriel ivoirien. Le BPA de 977 FCFA/action signifie que chaque titre génère près d'un millier de francs de bénéfice net, un niveau de rentabilité par action remarquable pour la place. Le PER de 7,7x traduit une décote notable par rapport à la moyenne du marché BRVM (généralement située entre 8x et 12x), suggérant que les investisseurs paient moins d'un an de bénéfices pour acquérir le titre — un signal classique de sous-évaluation potentielle. Le P/B de 1,40x indique que le marché valorise SPHC à 40% au-dessus de sa valeur comptable, un niveau raisonnable qui reflète la qualité des actifs industriels sans exubérance spéculative. Enfin, l'EV/EBITDA de 4,9x, inférieur au seuil de 5x, confirme que la valeur d'entreprise (incluant la dette) reste très abordable au regard de la capacité opérationnelle de la société à générer des liquidités.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affiche une variation totale positive de +9,57%, mais la dernière séance (J-1) enregistre un repli marqué de -4,37%, signalant une pression vendeuse récente. Le cours actuel de 7 555 FCFA se situe dans la moitié basse du range de trading, bien loin du plus haut de 10 300 FCFA et légèrement au-dessus du plus bas de 6 895 FCFA, ce qui traduit une tendance générale haussière sur la période mais avec une correction significative depuis les sommets. La moyenne de 7 934 FCFA est supérieure à la médiane de 7 680 FCFA, confirmant une distribution asymétrique où les pics de prix tirent la moyenne vers le haut ; le mode à 7 500 FCFA indique que ce niveau de prix concentre le plus grand nombre de transactions. L'écart-type de 724 FCFA avec un coefficient de variation de 9,1% révèle une dispersion modérée du cours autour de sa moyenne, tandis que le kurtosis de 2,001 (leptokurtique) signale des queues épaisses et donc un risque de pics de volatilité brutaux. Le skewness de 1,573, nettement positif, indique une asymétrie où les journées sous la moyenne sont plus fréquentes mais compensées par des hausses ponctuelles fortes. Avec une volatilité annualisée de 44,1%, SPHC se classe parmi les titres à volatilité élevée (&gt;30%), ce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(7 863,75 FCFA) et la MM50 (8 359,10 FCFA) se situent toutes deux au-dessus du cours actuel (7 555 FCFA), avec la MM20 en dessous de la MM50, configurant un croisement baissier. Cette configuration confirme la décision de vente : le titre évolue sous ses moyennes mobiles, signalant une tendance court et moyen terme négative.</w:t>
      </w:r>
    </w:p>
    <w:p>
      <w:pPr>
        <w:spacing w:after="120" w:line="276" w:lineRule="auto"/>
      </w:pPr>
      <w:r>
        <w:t>**Bandes de Bollinger** : Le cours actuel (7 555 FCFA) se situe entre la borne inférieure (7 498,47 FCFA) et la borne supérieure (8 229,03 FCFA), mais très proche de la borne basse. Cette position indique que le titre est proche d'une zone de survente relative, mais la décision reste neutre car le cours n'a pas encore franchi la borne inférieure. L'amplitude des bandes reflète une volatilité modérée.</w:t>
      </w:r>
    </w:p>
    <w:p>
      <w:pPr>
        <w:spacing w:after="120" w:line="276" w:lineRule="auto"/>
      </w:pPr>
      <w:r>
        <w:t>**MACD** : La valeur du MACD (-153,054) est légèrement supérieure à son signal (-157,374), générant un croisement haussier (MACD &gt; Signal) qui justifie la décision d'achat. Cependant, les deux valeurs restent profondément négatives, indiquant que le momentum de fond demeure baissier malgré ce signal de retournement à court terme.</w:t>
      </w:r>
    </w:p>
    <w:p>
      <w:pPr>
        <w:spacing w:after="120" w:line="276" w:lineRule="auto"/>
      </w:pPr>
      <w:r>
        <w:t>**RSI** : À 51,407, le RSI se situe parfaitement dans la zone neutre (30-70), sans signal de surachat ni de survente. Cette valeur médiane confirme la décision neutre : le titre n'est ni dans une dynamique acheteuse excessive, ni dans une phase de capitulation, reflétant un équilibre précaire entre acheteurs et vendeurs.</w:t>
      </w:r>
    </w:p>
    <w:p>
      <w:pPr>
        <w:spacing w:after="120" w:line="276" w:lineRule="auto"/>
      </w:pPr>
      <w:r>
        <w:t>**Stochastique** : Le %K à 0,0 est extrêmement bas, tandis que le %D à 42,424 reste modéré, créant un écart important entre les deux lignes. Le %K à zéro signale une survente technique extrême à très court terme, ce qui justifie la décision d'achat par anticipation d'un rebond mécanique. Toutefois, la divergence avec le %D suggère que ce signal pourrait être éphémère.</w:t>
      </w:r>
    </w:p>
    <w:p>
      <w:pPr>
        <w:spacing w:after="120" w:line="276" w:lineRule="auto"/>
      </w:pPr>
      <w:r>
        <w:t>**Conclusion technique** : Les indicateurs présentent une divergence notable : les moyennes mobiles et le positionnement du cours plaident pour une tendance baissière, tandis que le MACD et le stochastique génèrent des signaux d'achat contradictoires. Le RSI neutre et les Bandes de Bollinger sans franchissement confirment l'absence de direction claire. Cette configuration suggère un marché en phase de consolidation avec un potentiel rebond technique à court terme, mais sans confirmation d'un retournement durable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340,831 milliards FCFA, en croissance de 21,97% par rapport à 2024, porté par la hausse des volumes et des prix du caoutchouc naturel. Le résultat net s'établit à 24,972 milliards FCFA, générant un ROE de 18,10% (excellent, &gt;15%) et un ROA de 11,06%, confirmant une rentabilité solide des fonds propres et des actifs. La marge nette de 7,33% et la marge opérationnelle de 11,19% témoignent d'une bonne maîtrise des coûts, tandis que la marge brute de 24,12% reflète la nature industrielle de l'activité.</w:t>
      </w:r>
    </w:p>
    <w:p>
      <w:pPr>
        <w:spacing w:after="120" w:line="276" w:lineRule="auto"/>
      </w:pPr>
      <w:r>
        <w:t>**Analyse sectorielle (entreprise non bancaire)** : Le BFR de 65,389 milliards FCFA est positif, ce qui constitue un point de vigilance pour la trésorerie, bien que le fonds de roulement (49,976 milliards FCFA) couvre partiellement ce besoin. Les délais d'exploitation révèlent un délai clients de 35 jours (modéré, mais à surveiller) et une durée de stockage de 72,33 jours (élevée, immobilisant du capital). La trésorerie nette est négative à -15,413 milliards FCFA, un point caractéristique du secteur mais qui nécessite une surveillance accrue. L'autonomie financière de 61,08% et le ratio d'endettement de 25,81% indiquent une structure financière saine, avec une solvabilité générale de 256,91% et une liquidité générale de 195,54%.</w:t>
      </w:r>
    </w:p>
    <w:p>
      <w:pPr>
        <w:spacing w:after="120" w:line="276" w:lineRule="auto"/>
      </w:pPr>
      <w:r>
        <w:t>**Estimations basées sur les rapports trimestriels** : Le rapport T1 2026 (publié en 2026) révèle un chiffre d'affaires de 71,8 milliards FCFA (-24%) et un résultat net de 2,6 milliards FCFA (-78%), pénalisé par la chute des cours mondiaux du caoutchouc (SICOM 20 à 1,91 USD/kg) et l'engorgement du port de San Pedro. Sur la base de ce rapport, on estime que l'exercice 2026 devrait enregistrer une contraction significative de la rentabilité par rapport à 2025, avec un résultat net potentiellement inférieur à 15 milliards FCFA si la tendance se poursuit. Toutefois, le rapport T3 2025 (daté du 30 septembre 2025) indiquait déjà un ralentissement de la croissance (+36% sur 9 mois contre +51% au S1), confirmant une normalisation du marché.</w:t>
      </w:r>
    </w:p>
    <w:p>
      <w:pPr>
        <w:spacing w:after="120" w:line="276" w:lineRule="auto"/>
      </w:pPr>
      <w:r>
        <w:t>**Évolution et perspectives** : Entre 2024 et 2025, le résultat net est passé de 18,79 à 24,97 milliards FCFA (+32,9%), avec une amélioration du ROE de 15,3% à 18,1%. Cependant, les rapports récents (T1 2026) signalent un retournement brutal, avec une marge nette réduite à 4% contre 7,3% en 2025. La société maintient une structure financière solide (capitaux propres de 137,937 milliards FCFA) et poursuit ses investissements stratégiques, mais fait face à des risques majeurs : volatilité des cours mondiaux, concurrence accrue pour l'approvisionnement en matière première, et incertitude réglementaire (EUDR).</w:t>
      </w:r>
    </w:p>
    <w:p>
      <w:pPr>
        <w:spacing w:after="120" w:line="276" w:lineRule="auto"/>
      </w:pPr>
      <w:r>
        <w:t>**Recommandation fondamentale** : La solidité financière de SPHC reste incontestable, avec des ratios de rentabilité historiquement élevés et une structure bilancielle saine. Cependant, la dégradation récente des performances (T1 2026) et les risques sectoriels (cours du caoutchouc, trésorerie négative) incitent à la prudence. La politique de dividende généreuse (489 FCFA/action proposé pour 2025) constitue un signal positif, mais sa soutenabilité dépendra de la capacité de la société à maintenir ses marges dans un environnement de prix défavorable.</w:t>
      </w:r>
    </w:p>
    <w:p>
      <w:pPr>
        <w:spacing w:after="120" w:line="276" w:lineRule="auto"/>
      </w:pPr>
      <w:r>
        <w:t>---</w:t>
      </w:r>
    </w:p>
    <w:p>
      <w:pPr>
        <w:spacing w:after="120" w:line="276" w:lineRule="auto"/>
      </w:pPr>
      <w:r>
        <w:t>### PARTIE 4 : CONCLUSION D'INVESTISSEMENT</w:t>
      </w:r>
    </w:p>
    <w:p>
      <w:pPr>
        <w:spacing w:after="120" w:line="276" w:lineRule="auto"/>
      </w:pPr>
      <w:r>
        <w:t>La valorisation de SPHC apparaît attractive avec un PER de 7,7x (inférieur à la moyenne BRVM) et un EV/EBITDA de 4,9x (&lt;5x), suggérant une sous-évaluation potentielle. Cependant, le comportement du cours sur 100 jours révèle une tendance haussière (+9,57%) mais avec une correction récente (-4,37% en J-1) et une volatilité élevée (44,1%), tandis que les statistiques descriptives (kurtosis de 2,001, skewness de 1,573) indiquent un risque de pics baissiers brutaux. Les signaux techniques sont divergents : les moyennes mobiles confirment une tendance baissière, mais le MACD et le stochastique génèrent des signaux d'achat contradictoires, sans convergence claire. Les fondamentaux restent solides (ROE de 18,1% en 2025, autonomie financière de 61,08%), mais les rapports trimestriels récents (T1 2026) signalent une dégradation marquée (-78% de résultat net), ce qui remet en question la capacité de la société à maintenir ses performances. Les prédictions IA (J+1 à J+10) anticipent une trajectoire baissière progressive, passant de 7 669 FCFA à 7 538 FCFA, ce qui contredit les signaux d'achat techniques à court terme et confirme la pression vendeuse.</w:t>
      </w:r>
    </w:p>
    <w:p>
      <w:pPr>
        <w:spacing w:after="120" w:line="276" w:lineRule="auto"/>
      </w:pPr>
      <w:r>
        <w:t>**Recommandation finale** : **CONSERVER** (avec surveillance active). Cette recommandation reflète une divergence entre une valorisation attractive et des fondamentaux historiquement solides, mais confrontés à un retournement cyclique des cours du caoutchouc et à une dégradation récente des performances. Le niveau de confiance est **Moyen**, car les signaux techniques et fondamentaux sont contradictoires, et le risque global est **Élevé** en raison de la volatilité du titre et des incertitudes sectorielles. L'horizon d'investissement optimal est le **moyen terme (3-12 mois)**, en attendant la confirmation d'une stabilisation des cours mondiaux et d'une amélioration de la trésorerie, qui pourraient justifier une recommandation d'achat si les prochains rapports trimestriels (T2/T3 2026) confirment un redressement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6,304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-29.58%</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2,000 FCFA</w:t>
            </w:r>
          </w:p>
          <w:p>
            <w:r>
              <w:rPr>
                <w:b/>
                <w:color w:val="503200"/>
                <w:sz w:val="16"/>
              </w:rPr>
              <w:t xml:space="preserve">Volatilité ann. : </w:t>
            </w:r>
            <w:r>
              <w:rPr>
                <w:color w:val="000000"/>
                <w:sz w:val="17"/>
              </w:rPr>
              <w:t>60.2%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16.13% (Élevée) — μ=2,816 FCFA, σ=454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β=-0.0654 (Contre-cyclique) — Cov=-0.000005, Var(idx)=0.000075, ρ=-0.015,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6,304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1,876</w:t>
            </w:r>
          </w:p>
        </w:tc>
        <w:tc>
          <w:tcPr>
            <w:tcW w:type="dxa" w:w="1440"/>
            <w:shd w:fill="FAFAFA" w:val="clear"/>
          </w:tcPr>
          <w:p>
            <w:r>
              <w:rPr>
                <w:b/>
                <w:sz w:val="17"/>
              </w:rPr>
              <w:t>2,014</w:t>
            </w:r>
          </w:p>
        </w:tc>
        <w:tc>
          <w:tcPr>
            <w:tcW w:type="dxa" w:w="1440"/>
            <w:shd w:fill="FAFAFA" w:val="clear"/>
          </w:tcPr>
          <w:p>
            <w:r>
              <w:rPr>
                <w:sz w:val="17"/>
              </w:rPr>
              <w:t>2,152</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1,816</w:t>
            </w:r>
          </w:p>
        </w:tc>
        <w:tc>
          <w:tcPr>
            <w:tcW w:type="dxa" w:w="1440"/>
            <w:shd w:fill="FAFAFA" w:val="clear"/>
          </w:tcPr>
          <w:p>
            <w:r>
              <w:rPr>
                <w:b/>
                <w:sz w:val="17"/>
              </w:rPr>
              <w:t>2,011</w:t>
            </w:r>
          </w:p>
        </w:tc>
        <w:tc>
          <w:tcPr>
            <w:tcW w:type="dxa" w:w="1440"/>
            <w:shd w:fill="FAFAFA" w:val="clear"/>
          </w:tcPr>
          <w:p>
            <w:r>
              <w:rPr>
                <w:sz w:val="17"/>
              </w:rPr>
              <w:t>2,206</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1,775</w:t>
            </w:r>
          </w:p>
        </w:tc>
        <w:tc>
          <w:tcPr>
            <w:tcW w:type="dxa" w:w="1440"/>
            <w:shd w:fill="FAFAFA" w:val="clear"/>
          </w:tcPr>
          <w:p>
            <w:r>
              <w:rPr>
                <w:b/>
                <w:sz w:val="17"/>
              </w:rPr>
              <w:t>2,015</w:t>
            </w:r>
          </w:p>
        </w:tc>
        <w:tc>
          <w:tcPr>
            <w:tcW w:type="dxa" w:w="1440"/>
            <w:shd w:fill="FAFAFA" w:val="clear"/>
          </w:tcPr>
          <w:p>
            <w:r>
              <w:rPr>
                <w:sz w:val="17"/>
              </w:rPr>
              <w:t>2,254</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1,743</w:t>
            </w:r>
          </w:p>
        </w:tc>
        <w:tc>
          <w:tcPr>
            <w:tcW w:type="dxa" w:w="1440"/>
            <w:shd w:fill="FAFAFA" w:val="clear"/>
          </w:tcPr>
          <w:p>
            <w:r>
              <w:rPr>
                <w:b/>
                <w:sz w:val="17"/>
              </w:rPr>
              <w:t>2,021</w:t>
            </w:r>
          </w:p>
        </w:tc>
        <w:tc>
          <w:tcPr>
            <w:tcW w:type="dxa" w:w="1440"/>
            <w:shd w:fill="FAFAFA" w:val="clear"/>
          </w:tcPr>
          <w:p>
            <w:r>
              <w:rPr>
                <w:sz w:val="17"/>
              </w:rPr>
              <w:t>2,298</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1,716</w:t>
            </w:r>
          </w:p>
        </w:tc>
        <w:tc>
          <w:tcPr>
            <w:tcW w:type="dxa" w:w="1440"/>
            <w:shd w:fill="FAFAFA" w:val="clear"/>
          </w:tcPr>
          <w:p>
            <w:r>
              <w:rPr>
                <w:b/>
                <w:sz w:val="17"/>
              </w:rPr>
              <w:t>2,028</w:t>
            </w:r>
          </w:p>
        </w:tc>
        <w:tc>
          <w:tcPr>
            <w:tcW w:type="dxa" w:w="1440"/>
            <w:shd w:fill="FAFAFA" w:val="clear"/>
          </w:tcPr>
          <w:p>
            <w:r>
              <w:rPr>
                <w:sz w:val="17"/>
              </w:rPr>
              <w:t>2,339</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1,692</w:t>
            </w:r>
          </w:p>
        </w:tc>
        <w:tc>
          <w:tcPr>
            <w:tcW w:type="dxa" w:w="1440"/>
            <w:shd w:fill="FAFAFA" w:val="clear"/>
          </w:tcPr>
          <w:p>
            <w:r>
              <w:rPr>
                <w:b/>
                <w:sz w:val="17"/>
              </w:rPr>
              <w:t>2,035</w:t>
            </w:r>
          </w:p>
        </w:tc>
        <w:tc>
          <w:tcPr>
            <w:tcW w:type="dxa" w:w="1440"/>
            <w:shd w:fill="FAFAFA" w:val="clear"/>
          </w:tcPr>
          <w:p>
            <w:r>
              <w:rPr>
                <w:sz w:val="17"/>
              </w:rPr>
              <w:t>2,377</w:t>
            </w:r>
          </w:p>
        </w:tc>
        <w:tc>
          <w:tcPr>
            <w:tcW w:type="dxa" w:w="1440"/>
            <w:shd w:fill="FAFAFA" w:val="clear"/>
          </w:tcPr>
          <w:p>
            <w:r>
              <w:rPr>
                <w:b/>
                <w:color w:val="008000"/>
                <w:sz w:val="17"/>
              </w:rPr>
              <w:t>+1.7%</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1,670</w:t>
            </w:r>
          </w:p>
        </w:tc>
        <w:tc>
          <w:tcPr>
            <w:tcW w:type="dxa" w:w="1440"/>
            <w:shd w:fill="C6EFCE" w:val="clear"/>
          </w:tcPr>
          <w:p>
            <w:r>
              <w:rPr>
                <w:b/>
                <w:sz w:val="17"/>
              </w:rPr>
              <w:t>2,041</w:t>
            </w:r>
          </w:p>
        </w:tc>
        <w:tc>
          <w:tcPr>
            <w:tcW w:type="dxa" w:w="1440"/>
            <w:shd w:fill="C6EFCE" w:val="clear"/>
          </w:tcPr>
          <w:p>
            <w:r>
              <w:rPr>
                <w:sz w:val="17"/>
              </w:rPr>
              <w:t>2,412</w:t>
            </w:r>
          </w:p>
        </w:tc>
        <w:tc>
          <w:tcPr>
            <w:tcW w:type="dxa" w:w="1440"/>
            <w:shd w:fill="C6EFCE"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1,649</w:t>
            </w:r>
          </w:p>
        </w:tc>
        <w:tc>
          <w:tcPr>
            <w:tcW w:type="dxa" w:w="1440"/>
            <w:shd w:fill="C6EFCE" w:val="clear"/>
          </w:tcPr>
          <w:p>
            <w:r>
              <w:rPr>
                <w:b/>
                <w:sz w:val="17"/>
              </w:rPr>
              <w:t>2,047</w:t>
            </w:r>
          </w:p>
        </w:tc>
        <w:tc>
          <w:tcPr>
            <w:tcW w:type="dxa" w:w="1440"/>
            <w:shd w:fill="C6EFCE" w:val="clear"/>
          </w:tcPr>
          <w:p>
            <w:r>
              <w:rPr>
                <w:sz w:val="17"/>
              </w:rPr>
              <w:t>2,444</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1,630</w:t>
            </w:r>
          </w:p>
        </w:tc>
        <w:tc>
          <w:tcPr>
            <w:tcW w:type="dxa" w:w="1440"/>
            <w:shd w:fill="C6EFCE" w:val="clear"/>
          </w:tcPr>
          <w:p>
            <w:r>
              <w:rPr>
                <w:b/>
                <w:sz w:val="17"/>
              </w:rPr>
              <w:t>2,052</w:t>
            </w:r>
          </w:p>
        </w:tc>
        <w:tc>
          <w:tcPr>
            <w:tcW w:type="dxa" w:w="1440"/>
            <w:shd w:fill="C6EFCE" w:val="clear"/>
          </w:tcPr>
          <w:p>
            <w:r>
              <w:rPr>
                <w:sz w:val="17"/>
              </w:rPr>
              <w:t>2,475</w:t>
            </w:r>
          </w:p>
        </w:tc>
        <w:tc>
          <w:tcPr>
            <w:tcW w:type="dxa" w:w="1440"/>
            <w:shd w:fill="C6EFCE" w:val="clear"/>
          </w:tcPr>
          <w:p>
            <w:r>
              <w:rPr>
                <w:b/>
                <w:color w:val="008000"/>
                <w:sz w:val="17"/>
              </w:rPr>
              <w:t>+2.6%</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1,611</w:t>
            </w:r>
          </w:p>
        </w:tc>
        <w:tc>
          <w:tcPr>
            <w:tcW w:type="dxa" w:w="1440"/>
            <w:shd w:fill="C6EFCE" w:val="clear"/>
          </w:tcPr>
          <w:p>
            <w:r>
              <w:rPr>
                <w:b/>
                <w:sz w:val="17"/>
              </w:rPr>
              <w:t>2,057</w:t>
            </w:r>
          </w:p>
        </w:tc>
        <w:tc>
          <w:tcPr>
            <w:tcW w:type="dxa" w:w="1440"/>
            <w:shd w:fill="C6EFCE" w:val="clear"/>
          </w:tcPr>
          <w:p>
            <w:r>
              <w:rPr>
                <w:sz w:val="17"/>
              </w:rPr>
              <w:t>2,504</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ACTION STAC (SETAO)**</w:t>
        <w:br/>
        <w:t>**Bourse Régionale des Valeurs Mobilières (BRVM) — Secteur : BTP / Études &amp; Travaux**</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s'établit à 26,88 milliards FCFA, un niveau modeste à l'échelle de la BRVM qui la place parmi les petites capitalisations du compartiment industriel. Le BPA ressort à -7 FCFA/action, traduisant une société en perte nette, ce qui rend le PER non significatif (-278,4x) : les investisseurs ne paient donc pas pour des bénéfices inexistants, mais pour un potentiel de redressement. Le ratio P/B de 75,35x constitue un signal d'alerte majeur : le marché valorise l'action à plus de 75 fois la valeur comptable des fonds propres (356,75 M FCFA), une prime extrême qui n'est justifiable que par des perspectives de retournement très ambitieuses. En l'absence d'EBITDA positif (EBE de -650,13 M FCFA en 2025), le ratio EV/EBITDA n'est pas calculable, ce qui prive l'investisseur d'un repère de valorisation opérationnelle. En synthèse, la valorisation actuelle repose intégralement sur des anticipations de reprise et non sur des fondamentaux tangibles.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STAC a enregistré une variation totale de -29,58%, avec une chute de -4,08% sur la seule dernière séance, confirmant une tendance baissière structurelle. Le cours actuel de 2 000 FCFA correspond exactement au plus bas de la période, tandis que le plus haut a atteint 3 640 FCFA, soit un range de trading de 1 640 FCFA (82% d'amplitude) qui témoigne d'une forte érosion de la valeur. La moyenne (2 816 FCFA) est légèrement supérieure à la médiane (2 800 FCFA), un écart minime qui indique une distribution quasi-symétrique, cohérente avec le skewness de 0,106 (distribution symétrique). L'écart-type de 457 FCFA avec un coefficient de variation de 16,2% révèle une dispersion modérée autour de la moyenne, mais la volatilité annualisée de 60,2% classe le titre dans la catégorie des valeurs très volatiles (&gt;30%), ce qui implique un risque de perte en capital élevé. Le kurtosis de -0,918 (mésokurtique) suggère une distribution proche de la normale, sans risque excessif de pics extrêmes, mais le contexte baissier rend cette caractéristique peu rassurante. Le volume moyen de 6 304 titres/jour reste faible, exposant le titre à un risque de liquidité et à des mouvements erratiques.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(2 182,25 FCFA) et la MM50 (2 446,80 FCFA) se situent toutes deux au-dessus du cours actuel (2 000 FCFA), avec la MM20 sous la MM50, configurant un croisement baissier classique. Le cours évoluant sous ses deux moyennes, la pression vendeuse est confirmée et la décision technique de vente est pleinement justifiée.</w:t>
      </w:r>
    </w:p>
    <w:p>
      <w:pPr>
        <w:spacing w:after="120" w:line="276" w:lineRule="auto"/>
      </w:pPr>
      <w:r>
        <w:t>**Bandes de Bollinger** : Le cours (2 000 FCFA) se situe dans la partie basse de la bande, entre la borne inférieure (1 917,43 FCFA) et la borne supérieure (2 447,07 FCFA), sans franchissement de seuil. Cette position proche de la borne basse traduit une faiblesse persistante, mais l'absence de cassure donne une décision neutre, suggérant une possible zone de support.</w:t>
      </w:r>
    </w:p>
    <w:p>
      <w:pPr>
        <w:spacing w:after="120" w:line="276" w:lineRule="auto"/>
      </w:pPr>
      <w:r>
        <w:t>**MACD** : La ligne MACD (-124,115) est inférieure à sa ligne de signal (-121,664), avec un histogramme négatif. Cette configuration baissière indique que le momentum reste négatif, bien que l'écart réduit entre les deux lignes suggère un essoufflement de la dynamique baissière. La décision de vente reste néanmoins justifiée.</w:t>
      </w:r>
    </w:p>
    <w:p>
      <w:pPr>
        <w:spacing w:after="120" w:line="276" w:lineRule="auto"/>
      </w:pPr>
      <w:r>
        <w:t>**RSI** : À 46,689, le RSI se situe en zone neutre (entre 30 et 70), sans signal de surachat ni de survente. Cette valeur médiane reflète l'absence de pression acheteuse significative et confirme la décision neutre, le titre n'étant ni attractif ni en zone de rebond technique.</w:t>
      </w:r>
    </w:p>
    <w:p>
      <w:pPr>
        <w:spacing w:after="120" w:line="276" w:lineRule="auto"/>
      </w:pPr>
      <w:r>
        <w:t>**Stochastique** : Le %K à 0,0 et le %D à 7,111 sont en zone de survente extrême, avec un %K au plancher absolu. Cette configuration signale un épuisement potentiel de la pression vendeuse et génère une décision d'achat contrariante, à surveiller pour un éventuel rebond technique à court terme.</w:t>
      </w:r>
    </w:p>
    <w:p>
      <w:pPr>
        <w:spacing w:after="120" w:line="276" w:lineRule="auto"/>
      </w:pPr>
      <w:r>
        <w:t>**Conclusion technique** : Les indicateurs sont majoritairement baissiers (MM, MACD) ou neutres (Bollinger, RSI), avec une seule divergence haussière (Stochastique en survente extrême). Cette configuration suggère que la tendance baissière reste dominante, mais qu'un rebond technique pourrait survenir à court terme si le support de 2 000 FCFA tient. La prudence reste de mise, car aucun signal de retournement durable n'est confirmé.</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STAC (exercice clos au 31 décembre 2025) révèlent une situation financière profondément dégradée. Le chiffre d'affaires s'établit à 3,878 milliards FCFA, en croissance spectaculaire de +116,26% par rapport à 2024 (1,793 Md FCFA), portée par la reprise des travaux de l'aéroport d'Abidjan. Cependant, cette dynamique commerciale ne se traduit pas en rentabilité : le résultat net reste négatif à -96,56 M FCFA, l'EBE est déficitaire à -650,13 M FCFA et le résultat d'exploitation atteint -771,95 M FCFA. La marge nette de -2,49% et la marge opérationnelle de -19,90% témoignent d'une structure de coûts inadaptée au niveau d'activité. Le ROE de -27,07% et le ROA de -1,77% confirment la destruction de valeur pour les actionnaires. La structure financière est préoccupante : l'autonomie financière de 6,55% est très inférieure au seuil sain de 30%, le ratio d'endettement de 93,45% est élevé, et la capacité de remboursement de 77,53 années (dettes financières/CAF) est rédhibitoire. Le BFR est négatif à -930,47 M FCFA, ce qui est favorable en soi, mais le flux opérationnel de -2,212 Mds FCFA révèle une consommation de trésorerie massive. Les rapports trimestriels de 2025 (S1 et T3, datés respectivement du 30 juin et 30 septembre 2025) confirment cette tendance : le CA cumulé à fin septembre atteignait 3,456 Mds FCFA (+176%), mais la perte nette restait de -477 M FCFA, avec une amélioration de 22% sur un an. La direction maintient une prévision de CA annuel de 4 Mds FCFA, impliquant un T4 quasi-nul, ce qui soulève des doutes sur la pérennité de l'activité au-delà du chantier aéroportuaire. En synthèse, STAC présente une amélioration opérationnelle réelle (réduction des pertes, croissance du CA) mais reste très fragile : la rentabilité n'est pas atteinte, la structure financière est déséquilibrée et la dépendance à un projet unique constitue un risque majeur. La recommandation fondamentale est de rester à l'écart tant qu'aucune preuve de rentabilité durable et de diversification du carnet de commandes n'est apportée.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une recommandation de **VENTE**, avec un niveau de confiance **Moyen** et un risque global **Élevé**. La valorisation (Partie 0) est extrêmement tendue : le P/B de 75,35x et l'absence de PER significatif traduisent une surévaluation manifeste, le marché anticipant un retournement qui tarde à se matérialiser. Le comportement du cours (Partie 1) est baissier (-29,58% sur 100 jours), avec une volatilité très élevée (60,2%) et un cours au plus bas, ce qui est défavorable malgré une distribution symétrique sans pics extrêmes. Les signaux techniques (Partie 2) sont majoritairement baissiers (MM, MACD), avec une seule divergence haussière (Stochastique en survente) qui ne suffit pas à inverser la tendance. Les fondamentaux (Partie 3) restent préoccupants : malgré une croissance du CA de +116% en 2025, la société est toujours déficitaire, avec un ROE de -27,07% et une autonomie financière de 6,55%, très en deçà des standards. Les prédictions IA (J+1 à J+10) tablent sur une légère reprise (2 014 FCFA à 2 028 FCFA), ce qui contredit partiellement les signaux baissiers mais reste marginal et ne remet pas en cause la tendance de fond. La convergence des indicateurs (valorisation excessive, technique baissière, fondamentaux fragiles) justifie une recommandation de vente, avec un horizon d'investissement court terme (&lt;3 mois) pour les investisseurs déjà exposés, et une abstention pour les nouveaux entrants. Seuls les investisseurs spéculatifs prêts à prendre un risque élevé sur un rebond technique pourraient envisager une position, mais avec un stop-loss strict.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379.57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4,184 titres</w:t>
            </w:r>
          </w:p>
        </w:tc>
        <w:tc>
          <w:tcPr>
            <w:tcW w:type="dxa" w:w="2268"/>
            <w:shd w:fill="FFF2CC" w:val="clear"/>
          </w:tcPr>
          <w:p>
            <w:r>
              <w:rPr>
                <w:b/>
                <w:color w:val="503200"/>
                <w:sz w:val="16"/>
              </w:rPr>
              <w:t xml:space="preserve">Cours actuel : </w:t>
            </w:r>
            <w:r>
              <w:rPr>
                <w:color w:val="000000"/>
                <w:sz w:val="17"/>
              </w:rPr>
              <w:t>21,140 FCFA</w:t>
            </w:r>
          </w:p>
          <w:p>
            <w:r>
              <w:rPr>
                <w:b/>
                <w:color w:val="503200"/>
                <w:sz w:val="16"/>
              </w:rPr>
              <w:t xml:space="preserve">Var. 100 jours : </w:t>
            </w:r>
            <w:r>
              <w:rPr>
                <w:b/>
                <w:color w:val="B40000"/>
                <w:sz w:val="17"/>
              </w:rPr>
              <w:t>-0.52%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μ=22,573 FCFA, σ=1,104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β=0.4500 (Défensif) — Cov=0.000034, Var(idx)=0.000075, ρ=0.166,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2026-10-15</w:t>
            </w:r>
          </w:p>
        </w:tc>
        <w:tc>
          <w:tcPr>
            <w:tcW w:type="dxa" w:w="1440"/>
            <w:shd w:fill="C6EFCE" w:val="clear"/>
          </w:tcPr>
          <w:p>
            <w:r>
              <w:rPr>
                <w:sz w:val="17"/>
              </w:rPr>
              <w:t>21,360</w:t>
            </w:r>
          </w:p>
        </w:tc>
        <w:tc>
          <w:tcPr>
            <w:tcW w:type="dxa" w:w="1440"/>
            <w:shd w:fill="C6EFCE" w:val="clear"/>
          </w:tcPr>
          <w:p>
            <w:r>
              <w:rPr>
                <w:b/>
                <w:sz w:val="17"/>
              </w:rPr>
              <w:t>21,959</w:t>
            </w:r>
          </w:p>
        </w:tc>
        <w:tc>
          <w:tcPr>
            <w:tcW w:type="dxa" w:w="1440"/>
            <w:shd w:fill="C6EFCE" w:val="clear"/>
          </w:tcPr>
          <w:p>
            <w:r>
              <w:rPr>
                <w:sz w:val="17"/>
              </w:rPr>
              <w:t>22,558</w:t>
            </w:r>
          </w:p>
        </w:tc>
        <w:tc>
          <w:tcPr>
            <w:tcW w:type="dxa" w:w="1440"/>
            <w:shd w:fill="C6EFCE" w:val="clear"/>
          </w:tcPr>
          <w:p>
            <w:r>
              <w:rPr>
                <w:b/>
                <w:color w:val="008000"/>
                <w:sz w:val="17"/>
              </w:rPr>
              <w:t>+3.9%</w:t>
            </w:r>
          </w:p>
        </w:tc>
      </w:tr>
      <w:tr>
        <w:tc>
          <w:tcPr>
            <w:tcW w:type="dxa" w:w="1440"/>
            <w:shd w:fill="C6EFCE" w:val="clear"/>
          </w:tcPr>
          <w:p>
            <w:r>
              <w:rPr>
                <w:sz w:val="17"/>
              </w:rPr>
              <w:t>J+2  Moyenne</w:t>
            </w:r>
          </w:p>
        </w:tc>
        <w:tc>
          <w:tcPr>
            <w:tcW w:type="dxa" w:w="1440"/>
            <w:shd w:fill="C6EFCE" w:val="clear"/>
          </w:tcPr>
          <w:p>
            <w:r>
              <w:rPr>
                <w:sz w:val="17"/>
              </w:rPr>
              <w:t>2026-10-16</w:t>
            </w:r>
          </w:p>
        </w:tc>
        <w:tc>
          <w:tcPr>
            <w:tcW w:type="dxa" w:w="1440"/>
            <w:shd w:fill="C6EFCE" w:val="clear"/>
          </w:tcPr>
          <w:p>
            <w:r>
              <w:rPr>
                <w:sz w:val="17"/>
              </w:rPr>
              <w:t>21,425</w:t>
            </w:r>
          </w:p>
        </w:tc>
        <w:tc>
          <w:tcPr>
            <w:tcW w:type="dxa" w:w="1440"/>
            <w:shd w:fill="C6EFCE" w:val="clear"/>
          </w:tcPr>
          <w:p>
            <w:r>
              <w:rPr>
                <w:b/>
                <w:sz w:val="17"/>
              </w:rPr>
              <w:t>22,284</w:t>
            </w:r>
          </w:p>
        </w:tc>
        <w:tc>
          <w:tcPr>
            <w:tcW w:type="dxa" w:w="1440"/>
            <w:shd w:fill="C6EFCE" w:val="clear"/>
          </w:tcPr>
          <w:p>
            <w:r>
              <w:rPr>
                <w:sz w:val="17"/>
              </w:rPr>
              <w:t>23,144</w:t>
            </w:r>
          </w:p>
        </w:tc>
        <w:tc>
          <w:tcPr>
            <w:tcW w:type="dxa" w:w="1440"/>
            <w:shd w:fill="C6EFCE" w:val="clear"/>
          </w:tcPr>
          <w:p>
            <w:r>
              <w:rPr>
                <w:b/>
                <w:color w:val="008000"/>
                <w:sz w:val="17"/>
              </w:rPr>
              <w:t>+5.4%</w:t>
            </w:r>
          </w:p>
        </w:tc>
      </w:tr>
      <w:tr>
        <w:tc>
          <w:tcPr>
            <w:tcW w:type="dxa" w:w="1440"/>
            <w:shd w:fill="C6EFCE" w:val="clear"/>
          </w:tcPr>
          <w:p>
            <w:r>
              <w:rPr>
                <w:sz w:val="17"/>
              </w:rPr>
              <w:t>J+3  ⭐</w:t>
            </w:r>
          </w:p>
        </w:tc>
        <w:tc>
          <w:tcPr>
            <w:tcW w:type="dxa" w:w="1440"/>
            <w:shd w:fill="C6EFCE" w:val="clear"/>
          </w:tcPr>
          <w:p>
            <w:r>
              <w:rPr>
                <w:sz w:val="17"/>
              </w:rPr>
              <w:t>2026-10-19</w:t>
            </w:r>
          </w:p>
        </w:tc>
        <w:tc>
          <w:tcPr>
            <w:tcW w:type="dxa" w:w="1440"/>
            <w:shd w:fill="C6EFCE" w:val="clear"/>
          </w:tcPr>
          <w:p>
            <w:r>
              <w:rPr>
                <w:sz w:val="17"/>
              </w:rPr>
              <w:t>21,530</w:t>
            </w:r>
          </w:p>
        </w:tc>
        <w:tc>
          <w:tcPr>
            <w:tcW w:type="dxa" w:w="1440"/>
            <w:shd w:fill="C6EFCE" w:val="clear"/>
          </w:tcPr>
          <w:p>
            <w:r>
              <w:rPr>
                <w:b/>
                <w:sz w:val="17"/>
              </w:rPr>
              <w:t>22,598</w:t>
            </w:r>
          </w:p>
        </w:tc>
        <w:tc>
          <w:tcPr>
            <w:tcW w:type="dxa" w:w="1440"/>
            <w:shd w:fill="C6EFCE" w:val="clear"/>
          </w:tcPr>
          <w:p>
            <w:r>
              <w:rPr>
                <w:sz w:val="17"/>
              </w:rPr>
              <w:t>23,665</w:t>
            </w:r>
          </w:p>
        </w:tc>
        <w:tc>
          <w:tcPr>
            <w:tcW w:type="dxa" w:w="1440"/>
            <w:shd w:fill="C6EFCE" w:val="clear"/>
          </w:tcPr>
          <w:p>
            <w:r>
              <w:rPr>
                <w:b/>
                <w:color w:val="008000"/>
                <w:sz w:val="17"/>
              </w:rPr>
              <w:t>+6.9%</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21,629</w:t>
            </w:r>
          </w:p>
        </w:tc>
        <w:tc>
          <w:tcPr>
            <w:tcW w:type="dxa" w:w="1440"/>
            <w:shd w:fill="C6EFCE" w:val="clear"/>
          </w:tcPr>
          <w:p>
            <w:r>
              <w:rPr>
                <w:b/>
                <w:sz w:val="17"/>
              </w:rPr>
              <w:t>22,877</w:t>
            </w:r>
          </w:p>
        </w:tc>
        <w:tc>
          <w:tcPr>
            <w:tcW w:type="dxa" w:w="1440"/>
            <w:shd w:fill="C6EFCE" w:val="clear"/>
          </w:tcPr>
          <w:p>
            <w:r>
              <w:rPr>
                <w:sz w:val="17"/>
              </w:rPr>
              <w:t>24,125</w:t>
            </w:r>
          </w:p>
        </w:tc>
        <w:tc>
          <w:tcPr>
            <w:tcW w:type="dxa" w:w="1440"/>
            <w:shd w:fill="C6EFCE" w:val="clear"/>
          </w:tcPr>
          <w:p>
            <w:r>
              <w:rPr>
                <w:b/>
                <w:color w:val="008000"/>
                <w:sz w:val="17"/>
              </w:rPr>
              <w:t>+8.2%</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21,711</w:t>
            </w:r>
          </w:p>
        </w:tc>
        <w:tc>
          <w:tcPr>
            <w:tcW w:type="dxa" w:w="1440"/>
            <w:shd w:fill="C6EFCE" w:val="clear"/>
          </w:tcPr>
          <w:p>
            <w:r>
              <w:rPr>
                <w:b/>
                <w:sz w:val="17"/>
              </w:rPr>
              <w:t>23,121</w:t>
            </w:r>
          </w:p>
        </w:tc>
        <w:tc>
          <w:tcPr>
            <w:tcW w:type="dxa" w:w="1440"/>
            <w:shd w:fill="C6EFCE" w:val="clear"/>
          </w:tcPr>
          <w:p>
            <w:r>
              <w:rPr>
                <w:sz w:val="17"/>
              </w:rPr>
              <w:t>24,531</w:t>
            </w:r>
          </w:p>
        </w:tc>
        <w:tc>
          <w:tcPr>
            <w:tcW w:type="dxa" w:w="1440"/>
            <w:shd w:fill="C6EFCE" w:val="clear"/>
          </w:tcPr>
          <w:p>
            <w:r>
              <w:rPr>
                <w:b/>
                <w:color w:val="008000"/>
                <w:sz w:val="17"/>
              </w:rPr>
              <w:t>+9.4%</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21,786</w:t>
            </w:r>
          </w:p>
        </w:tc>
        <w:tc>
          <w:tcPr>
            <w:tcW w:type="dxa" w:w="1440"/>
            <w:shd w:fill="C6EFCE" w:val="clear"/>
          </w:tcPr>
          <w:p>
            <w:r>
              <w:rPr>
                <w:b/>
                <w:sz w:val="17"/>
              </w:rPr>
              <w:t>23,346</w:t>
            </w:r>
          </w:p>
        </w:tc>
        <w:tc>
          <w:tcPr>
            <w:tcW w:type="dxa" w:w="1440"/>
            <w:shd w:fill="C6EFCE" w:val="clear"/>
          </w:tcPr>
          <w:p>
            <w:r>
              <w:rPr>
                <w:sz w:val="17"/>
              </w:rPr>
              <w:t>24,905</w:t>
            </w:r>
          </w:p>
        </w:tc>
        <w:tc>
          <w:tcPr>
            <w:tcW w:type="dxa" w:w="1440"/>
            <w:shd w:fill="C6EFCE" w:val="clear"/>
          </w:tcPr>
          <w:p>
            <w:r>
              <w:rPr>
                <w:b/>
                <w:color w:val="008000"/>
                <w:sz w:val="17"/>
              </w:rPr>
              <w:t>+10.4%</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21,846</w:t>
            </w:r>
          </w:p>
        </w:tc>
        <w:tc>
          <w:tcPr>
            <w:tcW w:type="dxa" w:w="1440"/>
            <w:shd w:fill="C6EFCE" w:val="clear"/>
          </w:tcPr>
          <w:p>
            <w:r>
              <w:rPr>
                <w:b/>
                <w:sz w:val="17"/>
              </w:rPr>
              <w:t>23,545</w:t>
            </w:r>
          </w:p>
        </w:tc>
        <w:tc>
          <w:tcPr>
            <w:tcW w:type="dxa" w:w="1440"/>
            <w:shd w:fill="C6EFCE" w:val="clear"/>
          </w:tcPr>
          <w:p>
            <w:r>
              <w:rPr>
                <w:sz w:val="17"/>
              </w:rPr>
              <w:t>25,244</w:t>
            </w:r>
          </w:p>
        </w:tc>
        <w:tc>
          <w:tcPr>
            <w:tcW w:type="dxa" w:w="1440"/>
            <w:shd w:fill="C6EFCE" w:val="clear"/>
          </w:tcPr>
          <w:p>
            <w:r>
              <w:rPr>
                <w:b/>
                <w:color w:val="008000"/>
                <w:sz w:val="17"/>
              </w:rPr>
              <w:t>+11.4%</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21,920</w:t>
            </w:r>
          </w:p>
        </w:tc>
        <w:tc>
          <w:tcPr>
            <w:tcW w:type="dxa" w:w="1440"/>
            <w:shd w:fill="C6EFCE" w:val="clear"/>
          </w:tcPr>
          <w:p>
            <w:r>
              <w:rPr>
                <w:b/>
                <w:sz w:val="17"/>
              </w:rPr>
              <w:t>23,752</w:t>
            </w:r>
          </w:p>
        </w:tc>
        <w:tc>
          <w:tcPr>
            <w:tcW w:type="dxa" w:w="1440"/>
            <w:shd w:fill="C6EFCE" w:val="clear"/>
          </w:tcPr>
          <w:p>
            <w:r>
              <w:rPr>
                <w:sz w:val="17"/>
              </w:rPr>
              <w:t>25,584</w:t>
            </w:r>
          </w:p>
        </w:tc>
        <w:tc>
          <w:tcPr>
            <w:tcW w:type="dxa" w:w="1440"/>
            <w:shd w:fill="C6EFCE" w:val="clear"/>
          </w:tcPr>
          <w:p>
            <w:r>
              <w:rPr>
                <w:b/>
                <w:color w:val="008000"/>
                <w:sz w:val="17"/>
              </w:rPr>
              <w:t>+12.4%</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22,011</w:t>
            </w:r>
          </w:p>
        </w:tc>
        <w:tc>
          <w:tcPr>
            <w:tcW w:type="dxa" w:w="1440"/>
            <w:shd w:fill="C6EFCE" w:val="clear"/>
          </w:tcPr>
          <w:p>
            <w:r>
              <w:rPr>
                <w:b/>
                <w:sz w:val="17"/>
              </w:rPr>
              <w:t>23,972</w:t>
            </w:r>
          </w:p>
        </w:tc>
        <w:tc>
          <w:tcPr>
            <w:tcW w:type="dxa" w:w="1440"/>
            <w:shd w:fill="C6EFCE" w:val="clear"/>
          </w:tcPr>
          <w:p>
            <w:r>
              <w:rPr>
                <w:sz w:val="17"/>
              </w:rPr>
              <w:t>25,933</w:t>
            </w:r>
          </w:p>
        </w:tc>
        <w:tc>
          <w:tcPr>
            <w:tcW w:type="dxa" w:w="1440"/>
            <w:shd w:fill="C6EFCE" w:val="clear"/>
          </w:tcPr>
          <w:p>
            <w:r>
              <w:rPr>
                <w:b/>
                <w:color w:val="008000"/>
                <w:sz w:val="17"/>
              </w:rPr>
              <w:t>+13.4%</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22,116</w:t>
            </w:r>
          </w:p>
        </w:tc>
        <w:tc>
          <w:tcPr>
            <w:tcW w:type="dxa" w:w="1440"/>
            <w:shd w:fill="C6EFCE" w:val="clear"/>
          </w:tcPr>
          <w:p>
            <w:r>
              <w:rPr>
                <w:b/>
                <w:sz w:val="17"/>
              </w:rPr>
              <w:t>24,203</w:t>
            </w:r>
          </w:p>
        </w:tc>
        <w:tc>
          <w:tcPr>
            <w:tcW w:type="dxa" w:w="1440"/>
            <w:shd w:fill="C6EFCE" w:val="clear"/>
          </w:tcPr>
          <w:p>
            <w:r>
              <w:rPr>
                <w:sz w:val="17"/>
              </w:rPr>
              <w:t>26,291</w:t>
            </w:r>
          </w:p>
        </w:tc>
        <w:tc>
          <w:tcPr>
            <w:tcW w:type="dxa" w:w="1440"/>
            <w:shd w:fill="C6EFCE" w:val="clear"/>
          </w:tcPr>
          <w:p>
            <w:r>
              <w:rPr>
                <w:b/>
                <w:color w:val="008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379,57 milliards FCFA, STBC s'impose comme l'une des valeurs phares de la cote BRVM, figurant parmi les plus grandes capitalisations du compartiment industriel et commercial. Le BPA de 2 014 FCFA/action signifie que chaque titre génère près de 2 014 FCFA de bénéfice net, ce qui, rapporté au cours actuel de 21 140 FCFA, donne un PER de 10,5x — un niveau modéré et parfaitement dans la fourchette de référence du marché BRVM (8-12x), traduisant une valorisation raisonnable qui n'intègre ni excès d'optimisme ni décote excessive. En revanche, le P/B de 8,37x, très supérieur au seuil de 4x, révèle que le marché valorise l'entreprise à plus de huit fois sa valeur comptable, une prime considérable qui s'explique par la rentabilité exceptionnelle des fonds propres (ROE de 79,75%) mais qui expose le titre à un risque de correction si cette rentabilité venait à s'éroder. Enfin, l'EV/EBITDA de 7,5x, dans la fourchette raisonnable de 5-10x, indique que la valeur totale de l'entreprise (incluant la dette, quasi nulle) reste cohérente avec sa capacité opérationnelle à générer des liquidités, ce qui conforte l'idée d'une valorisation globalement équilibrée malgré la prime sur les fonds propres.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quasi nulle de -0,52%, avec une dernière séance en repli de -0,75%, traduisant une phase de consolidation latérale après une période de pression baissière. Le range de trading est relativement resserré, avec un plus haut à 25 000 FCFA et un plus bas à 20 895 FCFA, soit une amplitude d'environ 20% — le cours actuel de 21 140 FCFA se situant dans le bas de cette fourchette, à seulement 1,2% du plancher, ce qui suggère une pression vendeuse persistante mais un potentiel de rebond technique à proximité du support. La tendance générale est donc baissière à court terme, le titre ayant cédé du terrain depuis son sommet sans toutefois s'effondrer, évoluant dans un canal descendant modéré. Les statistiques descriptives révèlent une moyenne de 22 573 FCFA supérieure à la médiane de 22 218 FCFA, avec un mode à 22 000 FCFA, indiquant une asymétrie positive (skewness de 0,594) où davantage de journées se sont négociées sous la moyenne, confirmant la pression baissière récente. L'écart-type de 1 109 FCFA et le coefficient de variation de 4,9% témoignent d'une dispersion modérée du cours autour de sa moyenne, tandis que le kurtosis de -0,699 (mésokurtique) suggère une distribution proche de la normale, sans risque majeur de pics extrêmes. La volatilité annualisée de 36,6% positionne STBC dans la catégorie des titres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21 549 FCFA et la MM50 à 22 311,5 FCFA, toutes deux supérieures au cours actuel de 21 140 FCFA, ce qui place le titre en position baissière sous ses moyennes mobiles. La MM20 étant elle-même inférieure à la MM50, la configuration est clairement baissière (croisement mort déjà effectué), justifiant la décision de **Vente** émise par cet indicateur.</w:t>
      </w:r>
    </w:p>
    <w:p>
      <w:pPr>
        <w:spacing w:after="120" w:line="276" w:lineRule="auto"/>
      </w:pPr>
      <w:r>
        <w:t>**Bandes de Bollinger :** Le cours actuel (21 140 FCFA) se situe dans la moitié inférieure de la bande, entre la borne inférieure à 20 848 FCFA et la borne supérieure à 22 250 FCFA, sans franchissement des bornes. Cette position neutre, combinée à un resserrement des bandes (amplitude de 1 402 FCFA), indique une volatilité modérée et l'absence de signal directionnel fort, justifiant la décision **Neutre**.</w:t>
      </w:r>
    </w:p>
    <w:p>
      <w:pPr>
        <w:spacing w:after="120" w:line="276" w:lineRule="auto"/>
      </w:pPr>
      <w:r>
        <w:t>**MACD :** La valeur du MACD (-234,978) est inférieure à son signal (-228,726), avec un histogramme négatif, confirmant un momentum baissier en cours. La divergence négative entre les deux lignes indique que la pression vendeuse persiste, justifiant la décision de **Vente**.</w:t>
      </w:r>
    </w:p>
    <w:p>
      <w:pPr>
        <w:spacing w:after="120" w:line="276" w:lineRule="auto"/>
      </w:pPr>
      <w:r>
        <w:t>**RSI :** À 55,765, le RSI se situe dans la zone neutre (30-70), sans signal de surachat (&gt;70) ni de survente (&lt;30). Cette position médiane indique un équilibre relatif entre acheteurs et vendeurs, sans force directionnelle claire, justifiant la décision **Neutre**.</w:t>
      </w:r>
    </w:p>
    <w:p>
      <w:pPr>
        <w:spacing w:after="120" w:line="276" w:lineRule="auto"/>
      </w:pPr>
      <w:r>
        <w:t>**Stochastique :** Le %K à 0,0 et le %D à 24,846 montrent que le %K a atteint son plancher absolu, en dessous du %D, ce qui constitue un signal de survente extrême. Cette configuration, bien que baissière à court terme, suggère un potentiel de rebond technique imminent, justifiant la décision d'**Achat** — en contradiction avec les autres indicateurs.</w:t>
      </w:r>
    </w:p>
    <w:p>
      <w:pPr>
        <w:spacing w:after="120" w:line="276" w:lineRule="auto"/>
      </w:pPr>
      <w:r>
        <w:t>**Conclusion technique :** Les indicateurs techniques présentent une divergence notable : les moyennes mobiles et le MACD confirment une tendance baissière, tandis que le stochastique signale une survente extrême propice à un rebond, et que le RSI et les bandes de Bollinger restent neutres. Cette configuration mixte suggère que le titre se trouve dans une phase de consolidation baissière proche d'un support, avec un potentiel de rebond à court terme mais sans confirmation d'inversion de tendance. La prudence reste de mise tant que le cours n'aura pas repassé la MM20 (21 549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SITAB a réalisé un chiffre d'affaires de 268,537 milliards FCFA, en croissance de 25,3% par rapport à 2024, portée par une hausse des volumes de 5,6% et un effet prix favorable. Le résultat net s'établit à 36,158 milliards FCFA, en baisse de 17,5% par rapport aux 44,174 milliards de 2024, sous l'effet de la hausse des droits d'accises (passés de 49% à 70% en janvier 2025) et d'un contrôle fiscal. La marge nette se contracte à 13,46% (contre 20,7% en 2024), tandis que la marge opérationnelle recule à 17,12%. Malgré cette dégradation, les ratios de rentabilité restent exceptionnels : le ROE atteint 79,75% (résultat net/capitaux propres de 45,337 milliards FCFA) et le ROA 48,09%, témoignant d'une efficacité remarquable dans l'utilisation des actifs. La structure financière est très saine : l'autonomie financière de 60,3% (capitaux propres/total bilan), une trésorerie nette de 30,763 milliards FCFA, et une dette financière quasi nulle (1,4 million FCFA). Le BFR de 5,639 milliards FCFA reste maîtrisé, avec un délai client de 42,57 jours (risque de trésorerie modéré) et une durée de stockage très faible de 5,73 jours, typique d'une activité de distribution.</w:t>
      </w:r>
    </w:p>
    <w:p>
      <w:pPr>
        <w:spacing w:after="120" w:line="276" w:lineRule="auto"/>
      </w:pPr>
      <w:r>
        <w:t>**Estimations basées sur les rapports trimestriels :** Les rapports T1 2026 (daté du 31 mars 2026) et T2 2026 (daté du 30 juin 2026) confirment un redressement de la dynamique commerciale. Au T1 2026, le chiffre d'affaires progresse de 12% à 68,8 milliards FCFA avec des volumes en hausse de 10%, mais le résultat net recule légèrement de 1% à 9,3 milliards FCFA. Au T2 2026, le chiffre d'affaires atteint 70,05 milliards FCFA (+1%) et le résultat net se stabilise à 8,64 milliards FCFA (-0,2%), avec une marge nette de 12,3%. Sur la base de ces performances, on peut estimer que l'exercice 2026 devrait afficher un chiffre d'affaires annuel d'environ 280-285 milliards FCFA (+4-6% vs 2025) et un résultat net de l'ordre de 36-38 milliards FCFA, soit une stabilisation de la rentabilité après la correction de 2025. La politique de dividende reste généreuse avec un DPA proposé de 1 940 FCFA (rendement d'environ 9,2% au cours actuel), bien que le taux de distribution de 84,9% limite les capacités de réinvestissement. **Recommandation fondamentale : CONSERVER** — la solidité financière (zéro dette, trésorerie abondante, ROE exceptionnel) et la résilience de la rentabilité compensent la dégradation des marges, mais l'environnement fiscal contraignant et la pression sur les coûts incitent à la prudence avant tout renforcement.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 PER de 10,5x indique une valorisation raisonnable, mais le P/B de 8,37x traduit une prime excessive sur les fonds propres, créant un risque de correction si la rentabilité se normalise. **Le comportement du cours (Partie 1)** est préoccupant à court terme : tendance baissière, cours proche du plus bas de la fourchette, skewness positive (pression vendeuse) et volatilité élevée (36,6%), bien que le kurtosis mésokurtique limite le risque de pics extrêmes. **Les signaux techniques (Partie 2)** sont divergents : baissiers pour les MM et le MACD, neutres pour le RSI et les Bollinger, mais haussier pour le stochastique en survente extrême — cette divergence suggère un potentiel de rebond technique sans inversion de tendance confirmée. **Les fondamentaux (Partie 3)** restent solides : croissance du CA, ROE exceptionnel, zéro dette, trésorerie abondante, mais marges en compression et politique de dividende non soutenable à long terme. **Les prédictions IA (J+1 à J+10)** anticipent une trajectoire haussière de 21 959 FCFA (J+1) à 23 121 FCFA (J+10), soit un potentiel de +9,4% sur 10 jours, ce qui contredit la tendance baissière récente et confirme le signal de rebond du stochastique.</w:t>
      </w:r>
    </w:p>
    <w:p>
      <w:pPr>
        <w:spacing w:after="120" w:line="276" w:lineRule="auto"/>
      </w:pPr>
      <w:r>
        <w:t>**Recommandation finale : CONSERVER** — La convergence entre la valorisation raisonnable (PER), la solidité fondamentale (ROE, trésorerie, zéro dette) et le potentiel de rebond technique (stochastique, prédictions IA) soutient le maintien de la position. Cependant, la divergence entre les signaux baissiers (MM, MACD) et haussiers (stochastique, prédictions) ainsi que la prime excessive sur les fonds propres (P/B) incitent à la prudence et excluent un achat agressif. **Niveau de confiance : Moyen** — les fondamentaux sont solides mais les incertitudes réglementaires et la pression sur les marges limitent la visibilité. **Niveau de risque global : Moyen à Élevé** — volatilité élevée (36,6%), dépendance au secteur du tabac, et risque fiscal. **Horizon d'investissement optimal : Moyen terme (3-12 mois)** — le temps de vérifier la stabilisation des marges et la confirmation du redressement des volumes avant d'envisager un renforcement. Un achat spéculatif à court terme sur le seul signal du stochastique serait prématuré sans confirmation par les moyennes mobiles.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6,830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+7.64%</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6.28% (Moyenne) — μ=3,029 FCFA, σ=190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β=0.1749 (Défensif) — Cov=0.000013, Var(idx)=0.000075, ρ=0.058,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2,962</w:t>
            </w:r>
          </w:p>
        </w:tc>
        <w:tc>
          <w:tcPr>
            <w:tcW w:type="dxa" w:w="1440"/>
            <w:shd w:fill="FAFAFA" w:val="clear"/>
          </w:tcPr>
          <w:p>
            <w:r>
              <w:rPr>
                <w:b/>
                <w:sz w:val="17"/>
              </w:rPr>
              <w:t>3,096</w:t>
            </w:r>
          </w:p>
        </w:tc>
        <w:tc>
          <w:tcPr>
            <w:tcW w:type="dxa" w:w="1440"/>
            <w:shd w:fill="FAFAFA" w:val="clear"/>
          </w:tcPr>
          <w:p>
            <w:r>
              <w:rPr>
                <w:sz w:val="17"/>
              </w:rPr>
              <w:t>3,230</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2,889</w:t>
            </w:r>
          </w:p>
        </w:tc>
        <w:tc>
          <w:tcPr>
            <w:tcW w:type="dxa" w:w="1440"/>
            <w:shd w:fill="FAFAFA" w:val="clear"/>
          </w:tcPr>
          <w:p>
            <w:r>
              <w:rPr>
                <w:b/>
                <w:sz w:val="17"/>
              </w:rPr>
              <w:t>3,077</w:t>
            </w:r>
          </w:p>
        </w:tc>
        <w:tc>
          <w:tcPr>
            <w:tcW w:type="dxa" w:w="1440"/>
            <w:shd w:fill="FAFAFA" w:val="clear"/>
          </w:tcPr>
          <w:p>
            <w:r>
              <w:rPr>
                <w:sz w:val="17"/>
              </w:rPr>
              <w:t>3,265</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2026-10-19</w:t>
            </w:r>
          </w:p>
        </w:tc>
        <w:tc>
          <w:tcPr>
            <w:tcW w:type="dxa" w:w="1440"/>
            <w:shd w:fill="FAFAFA" w:val="clear"/>
          </w:tcPr>
          <w:p>
            <w:r>
              <w:rPr>
                <w:sz w:val="17"/>
              </w:rPr>
              <w:t>2,838</w:t>
            </w:r>
          </w:p>
        </w:tc>
        <w:tc>
          <w:tcPr>
            <w:tcW w:type="dxa" w:w="1440"/>
            <w:shd w:fill="FAFAFA" w:val="clear"/>
          </w:tcPr>
          <w:p>
            <w:r>
              <w:rPr>
                <w:b/>
                <w:sz w:val="17"/>
              </w:rPr>
              <w:t>3,068</w:t>
            </w:r>
          </w:p>
        </w:tc>
        <w:tc>
          <w:tcPr>
            <w:tcW w:type="dxa" w:w="1440"/>
            <w:shd w:fill="FAFAFA" w:val="clear"/>
          </w:tcPr>
          <w:p>
            <w:r>
              <w:rPr>
                <w:sz w:val="17"/>
              </w:rPr>
              <w:t>3,297</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2,796</w:t>
            </w:r>
          </w:p>
        </w:tc>
        <w:tc>
          <w:tcPr>
            <w:tcW w:type="dxa" w:w="1440"/>
            <w:shd w:fill="FAFAFA" w:val="clear"/>
          </w:tcPr>
          <w:p>
            <w:r>
              <w:rPr>
                <w:b/>
                <w:sz w:val="17"/>
              </w:rPr>
              <w:t>3,060</w:t>
            </w:r>
          </w:p>
        </w:tc>
        <w:tc>
          <w:tcPr>
            <w:tcW w:type="dxa" w:w="1440"/>
            <w:shd w:fill="FAFAFA" w:val="clear"/>
          </w:tcPr>
          <w:p>
            <w:r>
              <w:rPr>
                <w:sz w:val="17"/>
              </w:rPr>
              <w:t>3,325</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2026-10-21</w:t>
            </w:r>
          </w:p>
        </w:tc>
        <w:tc>
          <w:tcPr>
            <w:tcW w:type="dxa" w:w="1440"/>
            <w:shd w:fill="FAFAFA" w:val="clear"/>
          </w:tcPr>
          <w:p>
            <w:r>
              <w:rPr>
                <w:sz w:val="17"/>
              </w:rPr>
              <w:t>2,758</w:t>
            </w:r>
          </w:p>
        </w:tc>
        <w:tc>
          <w:tcPr>
            <w:tcW w:type="dxa" w:w="1440"/>
            <w:shd w:fill="FAFAFA" w:val="clear"/>
          </w:tcPr>
          <w:p>
            <w:r>
              <w:rPr>
                <w:b/>
                <w:sz w:val="17"/>
              </w:rPr>
              <w:t>3,053</w:t>
            </w:r>
          </w:p>
        </w:tc>
        <w:tc>
          <w:tcPr>
            <w:tcW w:type="dxa" w:w="1440"/>
            <w:shd w:fill="FAFAFA" w:val="clear"/>
          </w:tcPr>
          <w:p>
            <w:r>
              <w:rPr>
                <w:sz w:val="17"/>
              </w:rPr>
              <w:t>3,348</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2026-10-22</w:t>
            </w:r>
          </w:p>
        </w:tc>
        <w:tc>
          <w:tcPr>
            <w:tcW w:type="dxa" w:w="1440"/>
            <w:shd w:fill="FAFAFA" w:val="clear"/>
          </w:tcPr>
          <w:p>
            <w:r>
              <w:rPr>
                <w:sz w:val="17"/>
              </w:rPr>
              <w:t>2,724</w:t>
            </w:r>
          </w:p>
        </w:tc>
        <w:tc>
          <w:tcPr>
            <w:tcW w:type="dxa" w:w="1440"/>
            <w:shd w:fill="FAFAFA" w:val="clear"/>
          </w:tcPr>
          <w:p>
            <w:r>
              <w:rPr>
                <w:b/>
                <w:sz w:val="17"/>
              </w:rPr>
              <w:t>3,046</w:t>
            </w:r>
          </w:p>
        </w:tc>
        <w:tc>
          <w:tcPr>
            <w:tcW w:type="dxa" w:w="1440"/>
            <w:shd w:fill="FAFAFA" w:val="clear"/>
          </w:tcPr>
          <w:p>
            <w:r>
              <w:rPr>
                <w:sz w:val="17"/>
              </w:rPr>
              <w:t>3,369</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2026-10-23</w:t>
            </w:r>
          </w:p>
        </w:tc>
        <w:tc>
          <w:tcPr>
            <w:tcW w:type="dxa" w:w="1440"/>
            <w:shd w:fill="FAFAFA" w:val="clear"/>
          </w:tcPr>
          <w:p>
            <w:r>
              <w:rPr>
                <w:sz w:val="17"/>
              </w:rPr>
              <w:t>2,692</w:t>
            </w:r>
          </w:p>
        </w:tc>
        <w:tc>
          <w:tcPr>
            <w:tcW w:type="dxa" w:w="1440"/>
            <w:shd w:fill="FAFAFA" w:val="clear"/>
          </w:tcPr>
          <w:p>
            <w:r>
              <w:rPr>
                <w:b/>
                <w:sz w:val="17"/>
              </w:rPr>
              <w:t>3,040</w:t>
            </w:r>
          </w:p>
        </w:tc>
        <w:tc>
          <w:tcPr>
            <w:tcW w:type="dxa" w:w="1440"/>
            <w:shd w:fill="FAFAFA" w:val="clear"/>
          </w:tcPr>
          <w:p>
            <w:r>
              <w:rPr>
                <w:sz w:val="17"/>
              </w:rPr>
              <w:t>3,387</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2,662</w:t>
            </w:r>
          </w:p>
        </w:tc>
        <w:tc>
          <w:tcPr>
            <w:tcW w:type="dxa" w:w="1440"/>
            <w:shd w:fill="FFDCE0" w:val="clear"/>
          </w:tcPr>
          <w:p>
            <w:r>
              <w:rPr>
                <w:b/>
                <w:sz w:val="17"/>
              </w:rPr>
              <w:t>3,033</w:t>
            </w:r>
          </w:p>
        </w:tc>
        <w:tc>
          <w:tcPr>
            <w:tcW w:type="dxa" w:w="1440"/>
            <w:shd w:fill="FFDCE0" w:val="clear"/>
          </w:tcPr>
          <w:p>
            <w:r>
              <w:rPr>
                <w:sz w:val="17"/>
              </w:rPr>
              <w:t>3,404</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2,635</w:t>
            </w:r>
          </w:p>
        </w:tc>
        <w:tc>
          <w:tcPr>
            <w:tcW w:type="dxa" w:w="1440"/>
            <w:shd w:fill="FFDCE0" w:val="clear"/>
          </w:tcPr>
          <w:p>
            <w:r>
              <w:rPr>
                <w:b/>
                <w:sz w:val="17"/>
              </w:rPr>
              <w:t>3,027</w:t>
            </w:r>
          </w:p>
        </w:tc>
        <w:tc>
          <w:tcPr>
            <w:tcW w:type="dxa" w:w="1440"/>
            <w:shd w:fill="FFDCE0" w:val="clear"/>
          </w:tcPr>
          <w:p>
            <w:r>
              <w:rPr>
                <w:sz w:val="17"/>
              </w:rPr>
              <w:t>3,419</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2,608</w:t>
            </w:r>
          </w:p>
        </w:tc>
        <w:tc>
          <w:tcPr>
            <w:tcW w:type="dxa" w:w="1440"/>
            <w:shd w:fill="FFDCE0" w:val="clear"/>
          </w:tcPr>
          <w:p>
            <w:r>
              <w:rPr>
                <w:b/>
                <w:sz w:val="17"/>
              </w:rPr>
              <w:t>3,021</w:t>
            </w:r>
          </w:p>
        </w:tc>
        <w:tc>
          <w:tcPr>
            <w:tcW w:type="dxa" w:w="1440"/>
            <w:shd w:fill="FFDCE0" w:val="clear"/>
          </w:tcPr>
          <w:p>
            <w:r>
              <w:rPr>
                <w:sz w:val="17"/>
              </w:rPr>
              <w:t>3,434</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195,18 milliards FCFA, TTLC figure parmi les valeurs les plus importantes de la cote BRVM, ce qui témoigne de sa stature de leader dans la distribution pétrolière ivoirienne. Le BPA s'établit à 144 FCFA par action, mais le PER de 21,5x traduit une valorisation nettement supérieure à la moyenne du marché BRVM (généralement comprise entre 8 et 12x), signalant que les investisseurs anticipent une croissance future ou paient une prime de qualité pour ce titre défensif. Le ratio P/B de 5,39x, largement au-dessus du seuil de 4x, confirme cette valorisation exigeante : le marché valorise l'entreprise à plus de cinq fois sa valeur comptable, ce qui suppose une forte rentabilité des fonds propres (ROE de 25,1% en 2025) et une confiance dans la pérennité des cash-flows. Enfin, l'EV/EBITDA de 11,2x, dans la fourchette haute (10-15x), indique que la valeur d'entreprise intègre une prime opérationnelle significative, cohérente avec la position dominante du groupe mais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TTLC affiche une variation positive de +7,64%, portant le cours à 3 100 FCFA, malgré un repli de -3,28% lors de la dernière séance (J-1), signe d'une prise de bénéfices récente. Le titre a évolué dans un range de 825 FCFA, entre un plus bas de 2 770 FCFA et un plus haut de 3 595 FCFA, ce qui traduit une tendance globalement haussière mais ponctuée de corrections. Les statistiques descriptives révèlent une moyenne de 3 029 FCFA légèrement supérieure à la médiane de 2 982 FCFA, confirmant une asymétrie positive (skewness de 0,823) : le cours a passé plus de journées sous sa moyenne, mais les pics haussiers ont tiré la moyenne vers le haut. L'écart-type de 191 FCFA, avec un coefficient de variation de 6,3%, indique une dispersion modérée autour de la moyenne, tandis que le kurtosis de -0,375 (mésokurtique) suggère une distribution proche de la normale, sans risque excessif de pics extrêmes. La volatilité annualisée de 43,3% classe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(3 087 FCFA) et la MM50 (3 169,2 FCFA) encadrent le cours actuel de 3 100 FCFA, ce dernier se situant au-dessus de la MM20 mais en-dessous de la MM50. Cette configuration traduit une pression baissière de moyen terme, justifiant la décision technique de **Vente** : le croisement baissier (MM20 &lt; MM50) et la position du cours sous la MM50 suggèrent que la dynamique haussière s'essouffle.</w:t>
      </w:r>
    </w:p>
    <w:p>
      <w:pPr>
        <w:spacing w:after="120" w:line="276" w:lineRule="auto"/>
      </w:pPr>
      <w:r>
        <w:t>**Bandes de Bollinger** : Le cours (3 100 FCFA) évolue dans la partie médiane de la bande, entre la borne inférieure (2 869 FCFA) et la borne supérieure (3 304,9 FCFA), sans atteindre les extrêmes. Cette position centrale, couplée à une largeur de bande modérée, indique une absence de signal directionnel fort, d'où la décision **Neutre** : le marché est en phase de consolidation, sans pression acheteuse ou vendeuse dominante.</w:t>
      </w:r>
    </w:p>
    <w:p>
      <w:pPr>
        <w:spacing w:after="120" w:line="276" w:lineRule="auto"/>
      </w:pPr>
      <w:r>
        <w:t>**MACD** : La valeur du MACD (-40,097) est supérieure à son signal (-45,527), générant un croisement haussier récent qui justifie la décision **Achat**. Ce différentiel positif indique un ralentissement de la dynamique baissière et un possible retournement du momentum à court terme, bien que les deux lignes restent en territoire négatif, ce qui tempère la portée du signal.</w:t>
      </w:r>
    </w:p>
    <w:p>
      <w:pPr>
        <w:spacing w:after="120" w:line="276" w:lineRule="auto"/>
      </w:pPr>
      <w:r>
        <w:t>**RSI** : À 55,665, le RSI se situe dans la zone neutre (30-70), sans signal de surachat (&gt;70) ni de survente (&lt;30). Cette valeur médiane, légèrement supérieure à 50, traduit un équilibre entre acheteurs et vendeurs, justifiant la décision **Neutre** : aucun excès n'appelle à une action immédiate.</w:t>
      </w:r>
    </w:p>
    <w:p>
      <w:pPr>
        <w:spacing w:after="120" w:line="276" w:lineRule="auto"/>
      </w:pPr>
      <w:r>
        <w:t>**Stochastique** : Le %K (68,657) et le %D (69,35) évoluent en zone haute mais sans franchir le seuil de surachat (80), et le %K reste légèrement sous le %D, sans croisement baissier confirmé. La décision **Neutre** s'impose : le momentum est positif mais proche d'un essoufflement, sans signal clair de retournement.</w:t>
      </w:r>
    </w:p>
    <w:p>
      <w:pPr>
        <w:spacing w:after="120" w:line="276" w:lineRule="auto"/>
      </w:pPr>
      <w:r>
        <w:t>**Conclusion technique** : Les indicateurs techniques présentent un tableau mitigé, avec une majorité de signaux neutres (Bollinger, RSI, Stochastique) et une divergence entre la pression baissière des moyennes mobiles (Vente) et le croisement haussier du MACD (Achat). Cette configuration suggère une phase de consolidation incertaine, où le titre pourrait osciller entre 2 870 et 3 300 FCFA avant de choisir une direction. La prudence est de mise, aucun signal fort ne se dégageant pour un engagement directionnel.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a réalisé un chiffre d'affaires de 588,709 milliards FCFA, en repli de 5,2% par rapport à 2024 (621,042 milliards FCFA), reflétant un effet de base défavorable lié à l'absence de ventes exceptionnelles. Le résultat net s'établit à 9,087 milliards FCFA (-3% sur un an), avec une marge nette stable à 1,54%, tandis que le ROE atteint 25,1% (excellent, &gt;15%) et le ROA 4,82%, confirmant la forte rentabilité des fonds propres malgré la faiblesse des marges, typique d'un distributeur en volume. La structure financière révèle toutefois des signaux d'alerte : l'autonomie financière n'est que de 19,2% (seuil sain &gt;30%), le ratio d'endettement atteint 90,2%, et la trésorerie nette est négative à -21,926 milliards FCFA, avec un BFR négatif (-9,662 milliards FCFA) qui, bien que favorable, ne compense pas la dépendance aux crédits court terme. Les délais fournisseurs (49,72 jours) et la durée de stockage (13,8 jours) sont bien maîtrisés, mais la liquidité générale (78,8%) reste inférieure au seuil de 100%, et la capacité de remboursement (1,71 an de CAF) demeure correcte. Les rapports trimestriels confirment cette dynamique contrastée : au T1 2026 (rapport publié en 2026), le chiffre d'affaires progresse de 4,3% à 154,392 milliards FCFA et le résultat net de 5,5% à 2,329 milliards FCFA, porté par la hausse des volumes sur tous les canaux et un réseau de 182 stations. Sur la base de ce T1 2026, on peut estimer que l'exercice 2026 devrait renouer avec la croissance, avec un chiffre d'affaires annualisé proche de 620 milliards FCFA et un résultat net autour de 9,5-10 milliards FCFA, à condition que la pression sur les activités ordinaires (-0,6%) ne s'aggrave pas. La politique de dividende reste généreuse (10 milliards FCFA distribués en 2025, soit un payout &gt;100%), mais cette générosité, couplée à une trésorerie nette négative, constitue un risque pour la soutenabilité de la distribution. En synthèse, TTLC affiche une solidité opérationnelle (EBE +12%, résultat d'exploitation +18%) et une rentabilité des fonds propres élevée, mais sa structure financière déséquilibrée et sa trésorerie négative appellent à la vigilance, justifiant une recommandation fondamentale de **Conserver**.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(PER 21,5x, P/B 5,39x, EV/EBITDA 11,2x), nettement au-dessus des moyennes du marché BRVM, ce qui intègre une prime de qualité mais limite le potentiel de revalorisation à court terme. Le comportement du cours sur 100 jours est globalement haussier (+7,64%) mais marqué par une volatilité élevée (43,3%) et une asymétrie positive (skewness 0,823), avec une distribution proche de la normale (kurtosis -0,375), ce qui n'écarte pas le risque de corrections brutales comme celle observée en J-1 (-3,28%). Les signaux techniques sont divergents : les moyennes mobiles sont baissières (Vente), le MACD haussier (Achat), et les autres indicateurs neutres, dessinant une phase de consolidation incertaine entre 2 870 et 3 300 FCFA. Les fondamentaux, bien que solides sur le plan opérationnel (ROE 25,1%, EBE +12% en 2025), sont fragilisés par une structure financière déséquilibrée (autonomie financière 19,2%, trésorerie nette -21,9 milliards FCFA) et un payout &gt;100%, même si le T1 2026 (+4,3% de CA, +5,5% de résultat net) laisse entrevoir une amélioration. Les prédictions IA pour les 10 prochains jours (3 096 FCFA le 15/10, puis 3 053 FCFA le 21/10) anticipent une légère érosion du cours (-1,5% sur la période), ce qui contredit le signal haussier du MACD mais confirme la pression baissière des moyennes mobiles et la prudence des investisseurs. Sur la base de cette synthèse, la recommandation finale est **CONSERVER** : la convergence entre une valorisation tendue, des signaux techniques mitigés, des fondamentaux opérationnels solides mais financièrement fragiles, et des prédictions baissières à court terme ne justifie ni un achat agressif ni une vente précipitée. Le niveau de confiance est **Moyen**, en raison de la divergence des indicateurs, et le risque global est **Élevé**, compte tenu de la volatilité du titre et de la structure financière déséquilibrée. L'horizon d'investissement optimal est le **moyen terme (3-12 mois)**, le temps que la société confirme la reprise de sa croissance et améliore sa trésorerie, tout en surveillant la soutenabilité de son dividende.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121.03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3,416 titres</w:t>
            </w:r>
          </w:p>
        </w:tc>
        <w:tc>
          <w:tcPr>
            <w:tcW w:type="dxa" w:w="2268"/>
            <w:shd w:fill="FFF2CC" w:val="clear"/>
          </w:tcPr>
          <w:p>
            <w:r>
              <w:rPr>
                <w:b/>
                <w:color w:val="503200"/>
                <w:sz w:val="16"/>
              </w:rPr>
              <w:t xml:space="preserve">Cours actuel : </w:t>
            </w:r>
            <w:r>
              <w:rPr>
                <w:color w:val="000000"/>
                <w:sz w:val="17"/>
              </w:rPr>
              <w:t>3,715 FCFA</w:t>
            </w:r>
          </w:p>
          <w:p>
            <w:r>
              <w:rPr>
                <w:b/>
                <w:color w:val="503200"/>
                <w:sz w:val="16"/>
              </w:rPr>
              <w:t xml:space="preserve">Var. 100 jours : </w:t>
            </w:r>
            <w:r>
              <w:rPr>
                <w:b/>
                <w:color w:val="007800"/>
                <w:sz w:val="17"/>
              </w:rPr>
              <w:t>+14.66%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3,195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7.01% (Moyenne) — μ=3,715 FCFA, σ=260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β=0.4489 (Défensif) — Cov=0.000033, Var(idx)=0.000075, ρ=0.144,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2026-10-15</w:t>
            </w:r>
          </w:p>
        </w:tc>
        <w:tc>
          <w:tcPr>
            <w:tcW w:type="dxa" w:w="1440"/>
            <w:shd w:fill="FAFAFA" w:val="clear"/>
          </w:tcPr>
          <w:p>
            <w:r>
              <w:rPr>
                <w:sz w:val="17"/>
              </w:rPr>
              <w:t>3,526</w:t>
            </w:r>
          </w:p>
        </w:tc>
        <w:tc>
          <w:tcPr>
            <w:tcW w:type="dxa" w:w="1440"/>
            <w:shd w:fill="FAFAFA" w:val="clear"/>
          </w:tcPr>
          <w:p>
            <w:r>
              <w:rPr>
                <w:b/>
                <w:sz w:val="17"/>
              </w:rPr>
              <w:t>3,654</w:t>
            </w:r>
          </w:p>
        </w:tc>
        <w:tc>
          <w:tcPr>
            <w:tcW w:type="dxa" w:w="1440"/>
            <w:shd w:fill="FAFAFA" w:val="clear"/>
          </w:tcPr>
          <w:p>
            <w:r>
              <w:rPr>
                <w:sz w:val="17"/>
              </w:rPr>
              <w:t>3,782</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2026-10-16</w:t>
            </w:r>
          </w:p>
        </w:tc>
        <w:tc>
          <w:tcPr>
            <w:tcW w:type="dxa" w:w="1440"/>
            <w:shd w:fill="FAFAFA" w:val="clear"/>
          </w:tcPr>
          <w:p>
            <w:r>
              <w:rPr>
                <w:sz w:val="17"/>
              </w:rPr>
              <w:t>3,464</w:t>
            </w:r>
          </w:p>
        </w:tc>
        <w:tc>
          <w:tcPr>
            <w:tcW w:type="dxa" w:w="1440"/>
            <w:shd w:fill="FAFAFA" w:val="clear"/>
          </w:tcPr>
          <w:p>
            <w:r>
              <w:rPr>
                <w:b/>
                <w:sz w:val="17"/>
              </w:rPr>
              <w:t>3,645</w:t>
            </w:r>
          </w:p>
        </w:tc>
        <w:tc>
          <w:tcPr>
            <w:tcW w:type="dxa" w:w="1440"/>
            <w:shd w:fill="FAFAFA" w:val="clear"/>
          </w:tcPr>
          <w:p>
            <w:r>
              <w:rPr>
                <w:sz w:val="17"/>
              </w:rPr>
              <w:t>3,825</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2026-10-19</w:t>
            </w:r>
          </w:p>
        </w:tc>
        <w:tc>
          <w:tcPr>
            <w:tcW w:type="dxa" w:w="1440"/>
            <w:shd w:fill="FFDCE0" w:val="clear"/>
          </w:tcPr>
          <w:p>
            <w:r>
              <w:rPr>
                <w:sz w:val="17"/>
              </w:rPr>
              <w:t>3,414</w:t>
            </w:r>
          </w:p>
        </w:tc>
        <w:tc>
          <w:tcPr>
            <w:tcW w:type="dxa" w:w="1440"/>
            <w:shd w:fill="FFDCE0" w:val="clear"/>
          </w:tcPr>
          <w:p>
            <w:r>
              <w:rPr>
                <w:b/>
                <w:sz w:val="17"/>
              </w:rPr>
              <w:t>3,634</w:t>
            </w:r>
          </w:p>
        </w:tc>
        <w:tc>
          <w:tcPr>
            <w:tcW w:type="dxa" w:w="1440"/>
            <w:shd w:fill="FFDCE0" w:val="clear"/>
          </w:tcPr>
          <w:p>
            <w:r>
              <w:rPr>
                <w:sz w:val="17"/>
              </w:rPr>
              <w:t>3,855</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2026-10-20</w:t>
            </w:r>
          </w:p>
        </w:tc>
        <w:tc>
          <w:tcPr>
            <w:tcW w:type="dxa" w:w="1440"/>
            <w:shd w:fill="FFDCE0" w:val="clear"/>
          </w:tcPr>
          <w:p>
            <w:r>
              <w:rPr>
                <w:sz w:val="17"/>
              </w:rPr>
              <w:t>3,371</w:t>
            </w:r>
          </w:p>
        </w:tc>
        <w:tc>
          <w:tcPr>
            <w:tcW w:type="dxa" w:w="1440"/>
            <w:shd w:fill="FFDCE0" w:val="clear"/>
          </w:tcPr>
          <w:p>
            <w:r>
              <w:rPr>
                <w:b/>
                <w:sz w:val="17"/>
              </w:rPr>
              <w:t>3,625</w:t>
            </w:r>
          </w:p>
        </w:tc>
        <w:tc>
          <w:tcPr>
            <w:tcW w:type="dxa" w:w="1440"/>
            <w:shd w:fill="FFDCE0" w:val="clear"/>
          </w:tcPr>
          <w:p>
            <w:r>
              <w:rPr>
                <w:sz w:val="17"/>
              </w:rPr>
              <w:t>3,879</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3,334</w:t>
            </w:r>
          </w:p>
        </w:tc>
        <w:tc>
          <w:tcPr>
            <w:tcW w:type="dxa" w:w="1440"/>
            <w:shd w:fill="FFDCE0" w:val="clear"/>
          </w:tcPr>
          <w:p>
            <w:r>
              <w:rPr>
                <w:b/>
                <w:sz w:val="17"/>
              </w:rPr>
              <w:t>3,618</w:t>
            </w:r>
          </w:p>
        </w:tc>
        <w:tc>
          <w:tcPr>
            <w:tcW w:type="dxa" w:w="1440"/>
            <w:shd w:fill="FFDCE0" w:val="clear"/>
          </w:tcPr>
          <w:p>
            <w:r>
              <w:rPr>
                <w:sz w:val="17"/>
              </w:rPr>
              <w:t>3,901</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3,301</w:t>
            </w:r>
          </w:p>
        </w:tc>
        <w:tc>
          <w:tcPr>
            <w:tcW w:type="dxa" w:w="1440"/>
            <w:shd w:fill="FFDCE0" w:val="clear"/>
          </w:tcPr>
          <w:p>
            <w:r>
              <w:rPr>
                <w:b/>
                <w:sz w:val="17"/>
              </w:rPr>
              <w:t>3,611</w:t>
            </w:r>
          </w:p>
        </w:tc>
        <w:tc>
          <w:tcPr>
            <w:tcW w:type="dxa" w:w="1440"/>
            <w:shd w:fill="FFDCE0" w:val="clear"/>
          </w:tcPr>
          <w:p>
            <w:r>
              <w:rPr>
                <w:sz w:val="17"/>
              </w:rPr>
              <w:t>3,921</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3,270</w:t>
            </w:r>
          </w:p>
        </w:tc>
        <w:tc>
          <w:tcPr>
            <w:tcW w:type="dxa" w:w="1440"/>
            <w:shd w:fill="FFDCE0" w:val="clear"/>
          </w:tcPr>
          <w:p>
            <w:r>
              <w:rPr>
                <w:b/>
                <w:sz w:val="17"/>
              </w:rPr>
              <w:t>3,604</w:t>
            </w:r>
          </w:p>
        </w:tc>
        <w:tc>
          <w:tcPr>
            <w:tcW w:type="dxa" w:w="1440"/>
            <w:shd w:fill="FFDCE0" w:val="clear"/>
          </w:tcPr>
          <w:p>
            <w:r>
              <w:rPr>
                <w:sz w:val="17"/>
              </w:rPr>
              <w:t>3,939</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3,242</w:t>
            </w:r>
          </w:p>
        </w:tc>
        <w:tc>
          <w:tcPr>
            <w:tcW w:type="dxa" w:w="1440"/>
            <w:shd w:fill="FFDCE0" w:val="clear"/>
          </w:tcPr>
          <w:p>
            <w:r>
              <w:rPr>
                <w:b/>
                <w:sz w:val="17"/>
              </w:rPr>
              <w:t>3,598</w:t>
            </w:r>
          </w:p>
        </w:tc>
        <w:tc>
          <w:tcPr>
            <w:tcW w:type="dxa" w:w="1440"/>
            <w:shd w:fill="FFDCE0" w:val="clear"/>
          </w:tcPr>
          <w:p>
            <w:r>
              <w:rPr>
                <w:sz w:val="17"/>
              </w:rPr>
              <w:t>3,955</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3,214</w:t>
            </w:r>
          </w:p>
        </w:tc>
        <w:tc>
          <w:tcPr>
            <w:tcW w:type="dxa" w:w="1440"/>
            <w:shd w:fill="FFDCE0" w:val="clear"/>
          </w:tcPr>
          <w:p>
            <w:r>
              <w:rPr>
                <w:b/>
                <w:sz w:val="17"/>
              </w:rPr>
              <w:t>3,592</w:t>
            </w:r>
          </w:p>
        </w:tc>
        <w:tc>
          <w:tcPr>
            <w:tcW w:type="dxa" w:w="1440"/>
            <w:shd w:fill="FFDCE0" w:val="clear"/>
          </w:tcPr>
          <w:p>
            <w:r>
              <w:rPr>
                <w:sz w:val="17"/>
              </w:rPr>
              <w:t>3,970</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3,189</w:t>
            </w:r>
          </w:p>
        </w:tc>
        <w:tc>
          <w:tcPr>
            <w:tcW w:type="dxa" w:w="1440"/>
            <w:shd w:fill="FFDCE0" w:val="clear"/>
          </w:tcPr>
          <w:p>
            <w:r>
              <w:rPr>
                <w:b/>
                <w:sz w:val="17"/>
              </w:rPr>
              <w:t>3,586</w:t>
            </w:r>
          </w:p>
        </w:tc>
        <w:tc>
          <w:tcPr>
            <w:tcW w:type="dxa" w:w="1440"/>
            <w:shd w:fill="FFDCE0" w:val="clear"/>
          </w:tcPr>
          <w:p>
            <w:r>
              <w:rPr>
                <w:sz w:val="17"/>
              </w:rPr>
              <w:t>3,984</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121,03 milliards FCFA, TTLS se positionne comme une valeur de premier plan sur la cote BRVM, représentant un pilier du compartiment énergétique ouest-africain. Le BPA de 208 FCFA/action signifie que chaque titre génère près de 208 FCFA de bénéfice net, ce qui, rapporté au cours actuel de 3 715 FCFA, aboutit à un PER de 17,9x — nettement supérieur à la moyenne BRVM (8-12x), signalant que le marché consent une prime de qualité à ce leader sectoriel. Le P/B de 4,29x confirme cette valorisation exigeante : les investisseurs paient plus de quatre fois la valeur comptable des fonds propres, reflétant la confiance dans la rentabilité future (ROE de 24%) et la solidité du réseau de distribution. En revanche, l'EV/EBITDA de 7,6x, situé dans la fourchette raisonnable de 5-10x, tempère ce diagnostic en montrant que la valeur d'entreprise reste cohérente avec la capacité opérationnelle de génération de cash. La combinaison d'un PER et d'un P/B élevés avec un EV/EBITDA modéré suggère un titre de qualité, mais dont la valorisation intègre déjà une large part des bonnes perspectives.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progression totale de +14,66%, portée par une dernière séance particulièrement dynamique (+3,19% en J-1), ce qui témoigne d'un regain d'intérêt acheteur à court terme. Le titre a évolué dans un range de 3 195 FCFA (plus bas) à 4 500 FCFA (plus haut), soit une amplitude de plus de 40%, révélant une tendance globalement haussière mais ponctuée de corrections significatives. Le cours actuel de 3 715 FCFA se situe exactement sur la moyenne de la période (3 715 FCFA) et légèrement au-dessus de la médiane (3 700 FCFA), tandis que le mode à 3 800 FCFA indique que ce niveau a concentré le plus grand nombre de transactions — la faible divergence moyenne/médiane/mode traduit une distribution équilibrée. L'écart-type de 262 FCFA avec un coefficient de variation de 7,0% dénote une dispersion modérée du cours autour de sa moyenne, ce qui est rassurant pour un titre affichant une volatilité annualisée de 42,3% — cette dernière classe TTLS dans la catégorie des valeurs à volatilité élevée (&gt;30%), typique des petites capitalisations BRVM. Le kurtosis de 0,443 (mésokurtique) indique une distribution proche de la normale, donc un risque de pics extrêmes limité, tandis que le skewness positif de 0,565 signale une asymétrie à droite : les journées de baisse sont plus fréquentes mais de moindre amplitude que les journées de hausse, un profil favorable aux investisseurs de long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(3 726 FCFA) et la MM50 (3 746,9 FCFA) se situent toutes deux au-dessus du cours actuel (3 715 FCFA), avec la MM20 sous la MM50 — configuration baissière classique. Le cours évoluant sous ses deux moyennes, la pression vendeuse domine à court et moyen terme, ce qui justifie la décision technique de **Vente**.</w:t>
      </w:r>
    </w:p>
    <w:p>
      <w:pPr>
        <w:spacing w:after="120" w:line="276" w:lineRule="auto"/>
      </w:pPr>
      <w:r>
        <w:t>**Bandes de Bollinger** : Le cours (3 715 FCFA) se situe dans la moitié inférieure de la bande, entre la borne inférieure (3 492,57 FCFA) et la borne supérieure (3 959,43 FCFA), mais plus proche du centre. L'absence de contact avec les bornes traduit une volatilité contenue et l'absence de signal extrême, d'où la décision **Neutre** — le marché est en phase de consolidation sans direction claire.</w:t>
      </w:r>
    </w:p>
    <w:p>
      <w:pPr>
        <w:spacing w:after="120" w:line="276" w:lineRule="auto"/>
      </w:pPr>
      <w:r>
        <w:t>**MACD** : La ligne MACD (-47,172) est légèrement en dessous de sa ligne de signal (-45,157), avec un histogramme négatif. Cette configuration indique un momentum baissier persistant, bien que l'écart réduit entre les deux lignes suggère un essoufflement de la dynamique négative. La décision technique reste **Vente**, mais la faiblesse du signal invite à la prudence.</w:t>
      </w:r>
    </w:p>
    <w:p>
      <w:pPr>
        <w:spacing w:after="120" w:line="276" w:lineRule="auto"/>
      </w:pPr>
      <w:r>
        <w:t>**RSI** : À 45,198, le RSI se situe dans la zone neutre (30-70), sans approcher ni la zone de surachat (&gt;70) ni celle de survente (&lt;30). Cette position médiane indique un équilibre entre acheteurs et vendeurs, sans pression directionnelle forte, justifiant la décision **Neutre**.</w:t>
      </w:r>
    </w:p>
    <w:p>
      <w:pPr>
        <w:spacing w:after="120" w:line="276" w:lineRule="auto"/>
      </w:pPr>
      <w:r>
        <w:t>**Stochastique** : Le %K (57,5) est nettement supérieur au %D (19,942), avec un croisement haussier en formation depuis la zone de survente. Cette configuration est un signal d'achat précoce, mais la décision affichée reste **Neutre** car le %D n'a pas encore confirmé le mouvement en franchissant le seuil de 20.</w:t>
      </w:r>
    </w:p>
    <w:p>
      <w:pPr>
        <w:spacing w:after="120" w:line="276" w:lineRule="auto"/>
      </w:pPr>
      <w:r>
        <w:t>**Conclusion technique** : Les indicateurs présentent un tableau mitigé avec une légère prédominance baissière (MM et MACD en mode Vente), tempérée par des signaux neutres (Bollinger, RSI) et un début de retournement haussier sur le stochastique. Le titre se trouve dans une phase de consolidation sous ses moyennes mobiles, sans momentum directionnel fort. La convergence partielle des signaux suggère une prudence à court terme, mais la configuration du stochastique pourrait annoncer un rebond technique si le %D confirme le croisement.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Sénégal a réalisé un chiffre d'affaires de 455,209 milliards FCFA, en recul de 6,13% par rapport à 2024, conséquence directe de l'arrêt stratégique de la commercialisation du fuel lourd. Le résultat net s'établit à 6,779 milliards FCFA (marge nette de 1,49%), en légère baisse de 5,1% sur un an, mais le résultat d'exploitation progresse à 8,693 milliards FCFA, confirmant l'amélioration de la qualité des bénéfices. Les ratios de rentabilité demeurent solides avec un ROE de 24,01% (excellent, &gt;15%) et un ROA de 3,95%, tandis que la structure financière affiche une autonomie financière de 16,44% (inférieure au seuil de 30% recommandé) et un ratio d'endettement de 52,16%. Point remarquable : le BFR est négatif à -36,899 milliards FCFA, ce qui constitue un avantage concurrentiel majeur — l'entreprise finance son cycle d'exploitation par ses fournisseurs (délai fournisseurs de 97,76 jours contre 47,43 jours de délai clients). La trésorerie nette positive de 13,941 milliards FCFA et le Free Cash Flow de 17,483 milliards FCFA témoignent d'une génération de cash robuste, avec une capacité de remboursement de 0,94 an (dette financière/CAF) et une couverture des intérêts de 485,9%.</w:t>
      </w:r>
    </w:p>
    <w:p>
      <w:pPr>
        <w:spacing w:after="120" w:line="276" w:lineRule="auto"/>
      </w:pPr>
      <w:r>
        <w:t>**Estimations basées sur les rapports trimestriels** : Le rapport du T1 2026 (publié le 31 mars 2026) révèle une dynamique encourageante malgré un CA en baisse de 10% à 99,9 milliards FCFA (impacté par la révision réglementaire des prix à la pompe en décembre 2025). Le résultat d'exploitation progresse de 28% à 2,623 milliards FCFA et le résultat net de 5% à 1,585 milliards FCFA, grâce à l'amélioration des marges sur les lubrifiants (marge nette de 1,59% contre 1,37% un an plus tôt). Sur cette base, on peut estimer que l'exercice 2026 devrait maintenir un résultat net autour de 6,5-7,0 milliards FCFA, avec une poursuite de l'amélioration des marges opérationnelles. Le rapport annuel 2025 (publié le 31 décembre 2025) confirme la solidité du bilan avec des capitaux propres de 28,239 milliards FCFA et une trésorerie en forte hausse à 20,567 milliards FCFA. La recommandation fondamentale est **CONSERVER** : la société affiche une résilience opérationnelle remarquable (capacité à améliorer ses marges malgré la baisse du CA), une position de leader incontesté (140 stations-service, part de marché de 21%), et des perspectives de croissance liées aux projets Sangomar et GNL. Les risques principaux résident dans la dépendance aux décisions réglementaires de l'État sur les prix des carburants, la volatilité des dividendes des participations, et la faible autonomie financière.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 PER de 17,9x et le P/B de 4,29x indiquent une surévaluation relative par rapport à la moyenne BRVM, mais l'EV/EBITDA de 7,6x et le ROE de 24% justifient une prime de qualité — le titre n'est ni une opportunité décotée, ni une bulle spéculative. **Le comportement du cours (Partie 1)** est globalement favorable (+14,66% sur 100 jours, skewness positif, kurtosis normal), mais la volatilité élevée (42,3%) et la position sous les moyennes mobiles tempèrent l'enthousiasme. **Les signaux techniques (Partie 2)** sont majoritairement baissiers à court terme (MM et MACD en Vente), avec toutefois un début de retournement haussier sur le stochastique et un RSI neutre qui n'exclut pas un rebond. **Les fondamentaux (Partie 3)** demeurent solides : ROE de 24%, BFR négatif, trésorerie nette positive, et une capacité démontrée à améliorer ses marges malgré un environnement réglementaire contraignant — le rapport T1 2026 (+28% de résultat d'exploitation) confirme cette résilience. **Les prédictions IA (J+1 à J+10)** anticipent une légère dérive baissière vers 3 618 FCFA d'ici le 21 octobre 2026, ce qui contredit le rebond technique naissant mais s'aligne sur la pression des moyennes mobiles.</w:t>
      </w:r>
    </w:p>
    <w:p>
      <w:pPr>
        <w:spacing w:after="120" w:line="276" w:lineRule="auto"/>
      </w:pPr>
      <w:r>
        <w:t>**Recommandation finale : CONSERVER**. La convergence des signaux est imparfaite : la valorisation exigeante et les signaux techniques baissiers plaident pour la prudence à court terme, tandis que la solidité fondamentale et les perspectives de croissance (Sangomar, GNL, lubrifiants) soutiennent la valeur à moyen et long terme. Une vente ne se justifie pas compte tenu de la qualité des fondamentaux et de la position dominante de TTLS, mais un achat serait prématuré sans confirmation du retournement technique et sans visibilité sur la politique de dividende (non communiquée dans les rapports récents). **Niveau de confiance : Moyen** — les données fondamentales sont fiables, mais l'absence d'information sur le dividende et la volatilité réglementaire créent de l'incertitude. **Niveau de risque global : Moyen** — le risque de concentration géographique (Sénégal uniquement) et la dépendance aux décisions de l'État sont compensés par la solidité du bilan et la génération de cash. **Horizon d'investissement optimal : Moyen terme (3-12 mois)** — le temps que les relais de croissance (GPL, export, lubrifiants) compensent durablement la perte du fuel lourd et que la politique de dividende soit clarifiée.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407.83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44,410 FCFA</w:t>
            </w:r>
          </w:p>
          <w:p>
            <w:r>
              <w:rPr>
                <w:b/>
                <w:color w:val="503200"/>
                <w:sz w:val="16"/>
              </w:rPr>
              <w:t xml:space="preserve">Var. 100 jours : </w:t>
            </w:r>
            <w:r>
              <w:rPr>
                <w:b/>
                <w:color w:val="B40000"/>
                <w:sz w:val="17"/>
              </w:rPr>
              <w:t>-20.70%</w:t>
            </w:r>
          </w:p>
          <w:p>
            <w:r>
              <w:rPr>
                <w:b/>
                <w:color w:val="503200"/>
                <w:sz w:val="16"/>
              </w:rPr>
              <w:t xml:space="preserve">Plus haut 100j : </w:t>
            </w:r>
            <w:r>
              <w:rPr>
                <w:color w:val="000000"/>
                <w:sz w:val="17"/>
              </w:rPr>
              <w:t>59,900 FCFA</w:t>
            </w:r>
          </w:p>
          <w:p>
            <w:r>
              <w:rPr>
                <w:b/>
                <w:color w:val="503200"/>
                <w:sz w:val="16"/>
              </w:rPr>
              <w:t xml:space="preserve">Plus bas 100j : </w:t>
            </w:r>
            <w:r>
              <w:rPr>
                <w:color w:val="000000"/>
                <w:sz w:val="17"/>
              </w:rPr>
              <w:t>44,410 FCFA</w:t>
            </w:r>
          </w:p>
          <w:p>
            <w:r>
              <w:rPr>
                <w:b/>
                <w:color w:val="503200"/>
                <w:sz w:val="16"/>
              </w:rPr>
              <w:t xml:space="preserve">Volatilité ann. : </w:t>
            </w:r>
            <w:r>
              <w:rPr>
                <w:color w:val="000000"/>
                <w:sz w:val="17"/>
              </w:rPr>
              <w:t>56.4%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26.6/100 → Moyen</w:t>
      </w:r>
    </w:p>
    <w:p>
      <w:pPr>
        <w:spacing w:before="40" w:after="80"/>
      </w:pPr>
      <w:r>
        <w:rPr>
          <w:rFonts w:ascii="Courier New" w:hAnsi="Courier New"/>
          <w:color w:val="825A00"/>
          <w:sz w:val="18"/>
        </w:rPr>
        <w:t>█████░░░░░░░░░░░░░░░  26.6/100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6.12% (Moyenne) — μ=53,768 FCFA, σ=3,293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β=0.6114 (Défensif) — Cov=0.000045, Var(idx)=0.000074, ρ=0.149,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σ_j=3.55%/j (Modérée) — Vol. annualisée≈56.4%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2026-10-15</w:t>
            </w:r>
          </w:p>
        </w:tc>
        <w:tc>
          <w:tcPr>
            <w:tcW w:type="dxa" w:w="1440"/>
            <w:shd w:fill="C6EFCE" w:val="clear"/>
          </w:tcPr>
          <w:p>
            <w:r>
              <w:rPr>
                <w:sz w:val="17"/>
              </w:rPr>
              <w:t>43,694</w:t>
            </w:r>
          </w:p>
        </w:tc>
        <w:tc>
          <w:tcPr>
            <w:tcW w:type="dxa" w:w="1440"/>
            <w:shd w:fill="C6EFCE" w:val="clear"/>
          </w:tcPr>
          <w:p>
            <w:r>
              <w:rPr>
                <w:b/>
                <w:sz w:val="17"/>
              </w:rPr>
              <w:t>46,580</w:t>
            </w:r>
          </w:p>
        </w:tc>
        <w:tc>
          <w:tcPr>
            <w:tcW w:type="dxa" w:w="1440"/>
            <w:shd w:fill="C6EFCE" w:val="clear"/>
          </w:tcPr>
          <w:p>
            <w:r>
              <w:rPr>
                <w:sz w:val="17"/>
              </w:rPr>
              <w:t>49,465</w:t>
            </w:r>
          </w:p>
        </w:tc>
        <w:tc>
          <w:tcPr>
            <w:tcW w:type="dxa" w:w="1440"/>
            <w:shd w:fill="C6EFCE" w:val="clear"/>
          </w:tcPr>
          <w:p>
            <w:r>
              <w:rPr>
                <w:b/>
                <w:color w:val="008000"/>
                <w:sz w:val="17"/>
              </w:rPr>
              <w:t>+4.9%</w:t>
            </w:r>
          </w:p>
        </w:tc>
      </w:tr>
      <w:tr>
        <w:tc>
          <w:tcPr>
            <w:tcW w:type="dxa" w:w="1440"/>
            <w:shd w:fill="C6EFCE" w:val="clear"/>
          </w:tcPr>
          <w:p>
            <w:r>
              <w:rPr>
                <w:sz w:val="17"/>
              </w:rPr>
              <w:t>J+2  ⭐</w:t>
            </w:r>
          </w:p>
        </w:tc>
        <w:tc>
          <w:tcPr>
            <w:tcW w:type="dxa" w:w="1440"/>
            <w:shd w:fill="C6EFCE" w:val="clear"/>
          </w:tcPr>
          <w:p>
            <w:r>
              <w:rPr>
                <w:sz w:val="17"/>
              </w:rPr>
              <w:t>2026-10-16</w:t>
            </w:r>
          </w:p>
        </w:tc>
        <w:tc>
          <w:tcPr>
            <w:tcW w:type="dxa" w:w="1440"/>
            <w:shd w:fill="C6EFCE" w:val="clear"/>
          </w:tcPr>
          <w:p>
            <w:r>
              <w:rPr>
                <w:sz w:val="17"/>
              </w:rPr>
              <w:t>42,225</w:t>
            </w:r>
          </w:p>
        </w:tc>
        <w:tc>
          <w:tcPr>
            <w:tcW w:type="dxa" w:w="1440"/>
            <w:shd w:fill="C6EFCE" w:val="clear"/>
          </w:tcPr>
          <w:p>
            <w:r>
              <w:rPr>
                <w:b/>
                <w:sz w:val="17"/>
              </w:rPr>
              <w:t>46,280</w:t>
            </w:r>
          </w:p>
        </w:tc>
        <w:tc>
          <w:tcPr>
            <w:tcW w:type="dxa" w:w="1440"/>
            <w:shd w:fill="C6EFCE" w:val="clear"/>
          </w:tcPr>
          <w:p>
            <w:r>
              <w:rPr>
                <w:sz w:val="17"/>
              </w:rPr>
              <w:t>50,334</w:t>
            </w:r>
          </w:p>
        </w:tc>
        <w:tc>
          <w:tcPr>
            <w:tcW w:type="dxa" w:w="1440"/>
            <w:shd w:fill="C6EFCE" w:val="clear"/>
          </w:tcPr>
          <w:p>
            <w:r>
              <w:rPr>
                <w:b/>
                <w:color w:val="008000"/>
                <w:sz w:val="17"/>
              </w:rPr>
              <w:t>+4.2%</w:t>
            </w:r>
          </w:p>
        </w:tc>
      </w:tr>
      <w:tr>
        <w:tc>
          <w:tcPr>
            <w:tcW w:type="dxa" w:w="1440"/>
            <w:shd w:fill="C6EFCE" w:val="clear"/>
          </w:tcPr>
          <w:p>
            <w:r>
              <w:rPr>
                <w:sz w:val="17"/>
              </w:rPr>
              <w:t>J+3  ⭐</w:t>
            </w:r>
          </w:p>
        </w:tc>
        <w:tc>
          <w:tcPr>
            <w:tcW w:type="dxa" w:w="1440"/>
            <w:shd w:fill="C6EFCE" w:val="clear"/>
          </w:tcPr>
          <w:p>
            <w:r>
              <w:rPr>
                <w:sz w:val="17"/>
              </w:rPr>
              <w:t>2026-10-19</w:t>
            </w:r>
          </w:p>
        </w:tc>
        <w:tc>
          <w:tcPr>
            <w:tcW w:type="dxa" w:w="1440"/>
            <w:shd w:fill="C6EFCE" w:val="clear"/>
          </w:tcPr>
          <w:p>
            <w:r>
              <w:rPr>
                <w:sz w:val="17"/>
              </w:rPr>
              <w:t>41,250</w:t>
            </w:r>
          </w:p>
        </w:tc>
        <w:tc>
          <w:tcPr>
            <w:tcW w:type="dxa" w:w="1440"/>
            <w:shd w:fill="C6EFCE" w:val="clear"/>
          </w:tcPr>
          <w:p>
            <w:r>
              <w:rPr>
                <w:b/>
                <w:sz w:val="17"/>
              </w:rPr>
              <w:t>46,208</w:t>
            </w:r>
          </w:p>
        </w:tc>
        <w:tc>
          <w:tcPr>
            <w:tcW w:type="dxa" w:w="1440"/>
            <w:shd w:fill="C6EFCE" w:val="clear"/>
          </w:tcPr>
          <w:p>
            <w:r>
              <w:rPr>
                <w:sz w:val="17"/>
              </w:rPr>
              <w:t>51,166</w:t>
            </w:r>
          </w:p>
        </w:tc>
        <w:tc>
          <w:tcPr>
            <w:tcW w:type="dxa" w:w="1440"/>
            <w:shd w:fill="C6EFCE" w:val="clear"/>
          </w:tcPr>
          <w:p>
            <w:r>
              <w:rPr>
                <w:b/>
                <w:color w:val="008000"/>
                <w:sz w:val="17"/>
              </w:rPr>
              <w:t>+4.0%</w:t>
            </w:r>
          </w:p>
        </w:tc>
      </w:tr>
      <w:tr>
        <w:tc>
          <w:tcPr>
            <w:tcW w:type="dxa" w:w="1440"/>
            <w:shd w:fill="C6EFCE" w:val="clear"/>
          </w:tcPr>
          <w:p>
            <w:r>
              <w:rPr>
                <w:sz w:val="17"/>
              </w:rPr>
              <w:t>J+4  ⭐</w:t>
            </w:r>
          </w:p>
        </w:tc>
        <w:tc>
          <w:tcPr>
            <w:tcW w:type="dxa" w:w="1440"/>
            <w:shd w:fill="C6EFCE" w:val="clear"/>
          </w:tcPr>
          <w:p>
            <w:r>
              <w:rPr>
                <w:sz w:val="17"/>
              </w:rPr>
              <w:t>2026-10-20</w:t>
            </w:r>
          </w:p>
        </w:tc>
        <w:tc>
          <w:tcPr>
            <w:tcW w:type="dxa" w:w="1440"/>
            <w:shd w:fill="C6EFCE" w:val="clear"/>
          </w:tcPr>
          <w:p>
            <w:r>
              <w:rPr>
                <w:sz w:val="17"/>
              </w:rPr>
              <w:t>40,472</w:t>
            </w:r>
          </w:p>
        </w:tc>
        <w:tc>
          <w:tcPr>
            <w:tcW w:type="dxa" w:w="1440"/>
            <w:shd w:fill="C6EFCE" w:val="clear"/>
          </w:tcPr>
          <w:p>
            <w:r>
              <w:rPr>
                <w:b/>
                <w:sz w:val="17"/>
              </w:rPr>
              <w:t>46,196</w:t>
            </w:r>
          </w:p>
        </w:tc>
        <w:tc>
          <w:tcPr>
            <w:tcW w:type="dxa" w:w="1440"/>
            <w:shd w:fill="C6EFCE" w:val="clear"/>
          </w:tcPr>
          <w:p>
            <w:r>
              <w:rPr>
                <w:sz w:val="17"/>
              </w:rPr>
              <w:t>51,920</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2026-10-21</w:t>
            </w:r>
          </w:p>
        </w:tc>
        <w:tc>
          <w:tcPr>
            <w:tcW w:type="dxa" w:w="1440"/>
            <w:shd w:fill="C6EFCE" w:val="clear"/>
          </w:tcPr>
          <w:p>
            <w:r>
              <w:rPr>
                <w:sz w:val="17"/>
              </w:rPr>
              <w:t>39,804</w:t>
            </w:r>
          </w:p>
        </w:tc>
        <w:tc>
          <w:tcPr>
            <w:tcW w:type="dxa" w:w="1440"/>
            <w:shd w:fill="C6EFCE" w:val="clear"/>
          </w:tcPr>
          <w:p>
            <w:r>
              <w:rPr>
                <w:b/>
                <w:sz w:val="17"/>
              </w:rPr>
              <w:t>46,205</w:t>
            </w:r>
          </w:p>
        </w:tc>
        <w:tc>
          <w:tcPr>
            <w:tcW w:type="dxa" w:w="1440"/>
            <w:shd w:fill="C6EFCE" w:val="clear"/>
          </w:tcPr>
          <w:p>
            <w:r>
              <w:rPr>
                <w:sz w:val="17"/>
              </w:rPr>
              <w:t>52,605</w:t>
            </w:r>
          </w:p>
        </w:tc>
        <w:tc>
          <w:tcPr>
            <w:tcW w:type="dxa" w:w="1440"/>
            <w:shd w:fill="C6EFCE" w:val="clear"/>
          </w:tcPr>
          <w:p>
            <w:r>
              <w:rPr>
                <w:b/>
                <w:color w:val="008000"/>
                <w:sz w:val="17"/>
              </w:rPr>
              <w:t>+4.0%</w:t>
            </w:r>
          </w:p>
        </w:tc>
      </w:tr>
      <w:tr>
        <w:tc>
          <w:tcPr>
            <w:tcW w:type="dxa" w:w="1440"/>
            <w:shd w:fill="C6EFCE" w:val="clear"/>
          </w:tcPr>
          <w:p>
            <w:r>
              <w:rPr>
                <w:sz w:val="17"/>
              </w:rPr>
              <w:t>J+6  ⭐</w:t>
            </w:r>
          </w:p>
        </w:tc>
        <w:tc>
          <w:tcPr>
            <w:tcW w:type="dxa" w:w="1440"/>
            <w:shd w:fill="C6EFCE" w:val="clear"/>
          </w:tcPr>
          <w:p>
            <w:r>
              <w:rPr>
                <w:sz w:val="17"/>
              </w:rPr>
              <w:t>2026-10-22</w:t>
            </w:r>
          </w:p>
        </w:tc>
        <w:tc>
          <w:tcPr>
            <w:tcW w:type="dxa" w:w="1440"/>
            <w:shd w:fill="C6EFCE" w:val="clear"/>
          </w:tcPr>
          <w:p>
            <w:r>
              <w:rPr>
                <w:sz w:val="17"/>
              </w:rPr>
              <w:t>39,210</w:t>
            </w:r>
          </w:p>
        </w:tc>
        <w:tc>
          <w:tcPr>
            <w:tcW w:type="dxa" w:w="1440"/>
            <w:shd w:fill="C6EFCE" w:val="clear"/>
          </w:tcPr>
          <w:p>
            <w:r>
              <w:rPr>
                <w:b/>
                <w:sz w:val="17"/>
              </w:rPr>
              <w:t>46,224</w:t>
            </w:r>
          </w:p>
        </w:tc>
        <w:tc>
          <w:tcPr>
            <w:tcW w:type="dxa" w:w="1440"/>
            <w:shd w:fill="C6EFCE" w:val="clear"/>
          </w:tcPr>
          <w:p>
            <w:r>
              <w:rPr>
                <w:sz w:val="17"/>
              </w:rPr>
              <w:t>53,238</w:t>
            </w:r>
          </w:p>
        </w:tc>
        <w:tc>
          <w:tcPr>
            <w:tcW w:type="dxa" w:w="1440"/>
            <w:shd w:fill="C6EFCE" w:val="clear"/>
          </w:tcPr>
          <w:p>
            <w:r>
              <w:rPr>
                <w:b/>
                <w:color w:val="008000"/>
                <w:sz w:val="17"/>
              </w:rPr>
              <w:t>+4.1%</w:t>
            </w:r>
          </w:p>
        </w:tc>
      </w:tr>
      <w:tr>
        <w:tc>
          <w:tcPr>
            <w:tcW w:type="dxa" w:w="1440"/>
            <w:shd w:fill="C6EFCE" w:val="clear"/>
          </w:tcPr>
          <w:p>
            <w:r>
              <w:rPr>
                <w:sz w:val="17"/>
              </w:rPr>
              <w:t>J+7  ⭐</w:t>
            </w:r>
          </w:p>
        </w:tc>
        <w:tc>
          <w:tcPr>
            <w:tcW w:type="dxa" w:w="1440"/>
            <w:shd w:fill="C6EFCE" w:val="clear"/>
          </w:tcPr>
          <w:p>
            <w:r>
              <w:rPr>
                <w:sz w:val="17"/>
              </w:rPr>
              <w:t>2026-10-23</w:t>
            </w:r>
          </w:p>
        </w:tc>
        <w:tc>
          <w:tcPr>
            <w:tcW w:type="dxa" w:w="1440"/>
            <w:shd w:fill="C6EFCE" w:val="clear"/>
          </w:tcPr>
          <w:p>
            <w:r>
              <w:rPr>
                <w:sz w:val="17"/>
              </w:rPr>
              <w:t>38,668</w:t>
            </w:r>
          </w:p>
        </w:tc>
        <w:tc>
          <w:tcPr>
            <w:tcW w:type="dxa" w:w="1440"/>
            <w:shd w:fill="C6EFCE" w:val="clear"/>
          </w:tcPr>
          <w:p>
            <w:r>
              <w:rPr>
                <w:b/>
                <w:sz w:val="17"/>
              </w:rPr>
              <w:t>46,249</w:t>
            </w:r>
          </w:p>
        </w:tc>
        <w:tc>
          <w:tcPr>
            <w:tcW w:type="dxa" w:w="1440"/>
            <w:shd w:fill="C6EFCE" w:val="clear"/>
          </w:tcPr>
          <w:p>
            <w:r>
              <w:rPr>
                <w:sz w:val="17"/>
              </w:rPr>
              <w:t>53,829</w:t>
            </w:r>
          </w:p>
        </w:tc>
        <w:tc>
          <w:tcPr>
            <w:tcW w:type="dxa" w:w="1440"/>
            <w:shd w:fill="C6EFCE" w:val="clear"/>
          </w:tcPr>
          <w:p>
            <w:r>
              <w:rPr>
                <w:b/>
                <w:color w:val="008000"/>
                <w:sz w:val="17"/>
              </w:rPr>
              <w:t>+4.1%</w:t>
            </w:r>
          </w:p>
        </w:tc>
      </w:tr>
      <w:tr>
        <w:tc>
          <w:tcPr>
            <w:tcW w:type="dxa" w:w="1440"/>
            <w:shd w:fill="C6EFCE" w:val="clear"/>
          </w:tcPr>
          <w:p>
            <w:r>
              <w:rPr>
                <w:sz w:val="17"/>
              </w:rPr>
              <w:t>J+8  ⭐</w:t>
            </w:r>
          </w:p>
        </w:tc>
        <w:tc>
          <w:tcPr>
            <w:tcW w:type="dxa" w:w="1440"/>
            <w:shd w:fill="C6EFCE" w:val="clear"/>
          </w:tcPr>
          <w:p>
            <w:r>
              <w:rPr>
                <w:sz w:val="17"/>
              </w:rPr>
              <w:t>2026-10-26</w:t>
            </w:r>
          </w:p>
        </w:tc>
        <w:tc>
          <w:tcPr>
            <w:tcW w:type="dxa" w:w="1440"/>
            <w:shd w:fill="C6EFCE" w:val="clear"/>
          </w:tcPr>
          <w:p>
            <w:r>
              <w:rPr>
                <w:sz w:val="17"/>
              </w:rPr>
              <w:t>38,168</w:t>
            </w:r>
          </w:p>
        </w:tc>
        <w:tc>
          <w:tcPr>
            <w:tcW w:type="dxa" w:w="1440"/>
            <w:shd w:fill="C6EFCE" w:val="clear"/>
          </w:tcPr>
          <w:p>
            <w:r>
              <w:rPr>
                <w:b/>
                <w:sz w:val="17"/>
              </w:rPr>
              <w:t>46,276</w:t>
            </w:r>
          </w:p>
        </w:tc>
        <w:tc>
          <w:tcPr>
            <w:tcW w:type="dxa" w:w="1440"/>
            <w:shd w:fill="C6EFCE" w:val="clear"/>
          </w:tcPr>
          <w:p>
            <w:r>
              <w:rPr>
                <w:sz w:val="17"/>
              </w:rPr>
              <w:t>54,385</w:t>
            </w:r>
          </w:p>
        </w:tc>
        <w:tc>
          <w:tcPr>
            <w:tcW w:type="dxa" w:w="1440"/>
            <w:shd w:fill="C6EFCE" w:val="clear"/>
          </w:tcPr>
          <w:p>
            <w:r>
              <w:rPr>
                <w:b/>
                <w:color w:val="008000"/>
                <w:sz w:val="17"/>
              </w:rPr>
              <w:t>+4.2%</w:t>
            </w:r>
          </w:p>
        </w:tc>
      </w:tr>
      <w:tr>
        <w:tc>
          <w:tcPr>
            <w:tcW w:type="dxa" w:w="1440"/>
            <w:shd w:fill="C6EFCE" w:val="clear"/>
          </w:tcPr>
          <w:p>
            <w:r>
              <w:rPr>
                <w:sz w:val="17"/>
              </w:rPr>
              <w:t>J+9  ⭐</w:t>
            </w:r>
          </w:p>
        </w:tc>
        <w:tc>
          <w:tcPr>
            <w:tcW w:type="dxa" w:w="1440"/>
            <w:shd w:fill="C6EFCE" w:val="clear"/>
          </w:tcPr>
          <w:p>
            <w:r>
              <w:rPr>
                <w:sz w:val="17"/>
              </w:rPr>
              <w:t>2026-10-27</w:t>
            </w:r>
          </w:p>
        </w:tc>
        <w:tc>
          <w:tcPr>
            <w:tcW w:type="dxa" w:w="1440"/>
            <w:shd w:fill="C6EFCE" w:val="clear"/>
          </w:tcPr>
          <w:p>
            <w:r>
              <w:rPr>
                <w:sz w:val="17"/>
              </w:rPr>
              <w:t>37,700</w:t>
            </w:r>
          </w:p>
        </w:tc>
        <w:tc>
          <w:tcPr>
            <w:tcW w:type="dxa" w:w="1440"/>
            <w:shd w:fill="C6EFCE" w:val="clear"/>
          </w:tcPr>
          <w:p>
            <w:r>
              <w:rPr>
                <w:b/>
                <w:sz w:val="17"/>
              </w:rPr>
              <w:t>46,306</w:t>
            </w:r>
          </w:p>
        </w:tc>
        <w:tc>
          <w:tcPr>
            <w:tcW w:type="dxa" w:w="1440"/>
            <w:shd w:fill="C6EFCE" w:val="clear"/>
          </w:tcPr>
          <w:p>
            <w:r>
              <w:rPr>
                <w:sz w:val="17"/>
              </w:rPr>
              <w:t>54,912</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2026-10-28</w:t>
            </w:r>
          </w:p>
        </w:tc>
        <w:tc>
          <w:tcPr>
            <w:tcW w:type="dxa" w:w="1440"/>
            <w:shd w:fill="C6EFCE" w:val="clear"/>
          </w:tcPr>
          <w:p>
            <w:r>
              <w:rPr>
                <w:sz w:val="17"/>
              </w:rPr>
              <w:t>37,259</w:t>
            </w:r>
          </w:p>
        </w:tc>
        <w:tc>
          <w:tcPr>
            <w:tcW w:type="dxa" w:w="1440"/>
            <w:shd w:fill="C6EFCE" w:val="clear"/>
          </w:tcPr>
          <w:p>
            <w:r>
              <w:rPr>
                <w:b/>
                <w:sz w:val="17"/>
              </w:rPr>
              <w:t>46,336</w:t>
            </w:r>
          </w:p>
        </w:tc>
        <w:tc>
          <w:tcPr>
            <w:tcW w:type="dxa" w:w="1440"/>
            <w:shd w:fill="C6EFCE" w:val="clear"/>
          </w:tcPr>
          <w:p>
            <w:r>
              <w:rPr>
                <w:sz w:val="17"/>
              </w:rPr>
              <w:t>55,414</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 BRVM | Analyse complète au regard des données disponibles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**407,83 milliards FCFA**, un niveau significatif à l'échelle de la BRVM qui place la valeur parmi les capitalisations de premier plan du compartiment industriel/consommation. Les ratios de valorisation classiques (BPA, PER, P/B, EV/EBITDA) ne sont pas calculables en l'absence de données financières structurées exploitables dans la base — situation cohérente avec le caractère ancien des derniers états financiers publiés (exercice 2023). On peut toutefois estimer, à titre indicatif, qu'avec un résultat net 2023 de 640,3 millions FCFA pour environ 9,18 millions d'actions (déduites d'une capitalisation de 407,83 Mds à 44 410 FCFA/action), le BPA ressortirait autour de **70 FCFA**, impliquant un PER théorique très élevé (&gt;600x), signe d'une valorisation boursière totalement déconnectée des bénéfices actuels. Le marché valorise donc UNLC davantage sur son potentiel de redressement et la solidité de la marque Unilever que sur ses fondamentaux présents.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UNLC affiche une **variation totale de -20,70%**, avec une chute brutale de **-7,48% sur la seule séance J-1**, matérialisant une accélération baissière préoccupante. Le titre évolue dans un range très large entre un plus haut de **59 900 FCFA** et un plus bas de **44 410 FCFA** — niveau qui correspond précisément au cours actuel, ce qui signifie que l'action clôture sur son plancher de période, sans aucun support visible à court terme. La tendance générale est donc clairement **baissière**, avec une pression vendeuse qui s'est intensifiée en fin de période. Les statistiques descriptives révèlent une **moyenne de 53 768 FCFA** légèrement inférieure à la **médiane de 54 000 FCFA**, écart faible confirmant une distribution quasi symétrique, cohérente avec le **skewness de -0,358** (légère asymétrie négative, quelques séances de forte baisse tirent la moyenne vers le bas). L'**écart-type de 3 310 FCFA** et le **CV de 6,2%** indiquent une dispersion modérée du cours autour de sa moyenne, tandis que le **kurtosis de -0,362 (mésokurtique)** suggère une distribution proche de la normale, sans risque extrême de pics violents — pourtant la chute de -7,48% en une séance contredit partiellement cette lecture. Enfin, la **volatilité annualisée de 56,4%** classe UNLC dans la catégorie des titres à **volatilité élevée** (&gt;30%), ce qui implique un risque important pour tout 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(49 283,5 FCFA) et la MM50 (52 106,6 FCFA) se situent toutes deux **au-dessus du cours actuel** (44 410 FCFA), avec une MM20 inférieure à la MM50 — configuration baissière typique (croisement mort déjà effectué). Le cours évoluant sous ses deux moyennes, la pression vendeuse est structurelle et la **décision "Vente"** est pleinement justifiée.</w:t>
      </w:r>
    </w:p>
    <w:p>
      <w:pPr>
        <w:spacing w:after="120" w:line="276" w:lineRule="auto"/>
      </w:pPr>
      <w:r>
        <w:t>**Bandes de Bollinger** : Le cours (44 410 FCFA) se situe **sous la borne inférieure** (44 877,66 FCFA), signal fort de survente extrême et de rupture baissière. La largeur des bandes (supérieure à 53 689 FCFA, inférieure à 44 878 FCFA) traduit une volatilité élevée. La **décision "Achat"** générée par cet indicateur relève d'une logique de rebond technique (mean reversion), mais elle est fragile car un cours qui casse la borne basse peut prolonger sa chute.</w:t>
      </w:r>
    </w:p>
    <w:p>
      <w:pPr>
        <w:spacing w:after="120" w:line="276" w:lineRule="auto"/>
      </w:pPr>
      <w:r>
        <w:t>**MACD** : La valeur du MACD (-1 583,92) est **inférieure à son signal** (-1 324,07), avec un histogramme négatif — configuration baissière confirmée. Le momentum reste clairement négatif et aucune divergence haussière n'est visible. La **décision "Vente"** est cohérente avec la dynamique actuelle.</w:t>
      </w:r>
    </w:p>
    <w:p>
      <w:pPr>
        <w:spacing w:after="120" w:line="276" w:lineRule="auto"/>
      </w:pPr>
      <w:r>
        <w:t>**RSI** : À **36,31**, le RSI se situe dans la zone neutre basse (30-70), proche du seuil de survente (30) sans l'atteindre. La **décision "Neutre"** traduit une absence de signal fort : le titre n'est ni suffisamment survendu pour un rebond franc, ni en zone d'achat.</w:t>
      </w:r>
    </w:p>
    <w:p>
      <w:pPr>
        <w:spacing w:after="120" w:line="276" w:lineRule="auto"/>
      </w:pPr>
      <w:r>
        <w:t>**Stochastique** : Le %K à **0,0** et le %D à **12,39** indiquent une position en **survente extrême**, avec %K sous %D (croisement baissier). La **décision "Achat"** repose sur l'anticipation d'un rebond technique depuis ces niveaux planchers, mais elle reste spéculative.</w:t>
      </w:r>
    </w:p>
    <w:p>
      <w:pPr>
        <w:spacing w:after="120" w:line="276" w:lineRule="auto"/>
      </w:pPr>
      <w:r>
        <w:t>**Conclusion technique** : Les indicateurs sont **majoritairement baissiers** (MM, MACD) avec deux signaux d'achat contrariants (Bollinger, Stochastique) qui traduisent une survente extrême. Le RSI neutre confirme l'absence de retournement confirmé. La convergence des signaux baissiers structurels (tendance, momentum) domine les signaux de rebond technique, ce qui plaide pour une **prudence tant qu'aucun retour au-dessus de la MM20 (49 283 FCFA) n'est observé**.</w:t>
      </w:r>
    </w:p>
    <w:p>
      <w:pPr>
        <w:spacing w:after="120" w:line="276" w:lineRule="auto"/>
      </w:pPr>
      <w:r>
        <w:t>---</w:t>
      </w:r>
    </w:p>
    <w:p>
      <w:pPr>
        <w:spacing w:after="120" w:line="276" w:lineRule="auto"/>
      </w:pPr>
      <w:r>
        <w:t>## PARTIE 3 : ANALYSE FONDAMENTALE</w:t>
      </w:r>
    </w:p>
    <w:p>
      <w:pPr>
        <w:spacing w:after="120" w:line="276" w:lineRule="auto"/>
      </w:pPr>
      <w:r>
        <w:t>Les données financières structurées ne sont pas disponibles dans la base, mais les rapports officiels analysés (exercices 2021, 2022 et 2023, datés respectivement du 31/12/2021, 31/12/2022 et 31/12/2023) fournissent des éléments exploitables. **En 2023** (rapport du 31/12/2023), UNLC a réalisé un **chiffre d'affaires de 24 336 010 000 FCFA**, strictement identique à 2022, traduisant une **stagnation totale de l'activité**. Le **résultat net 2023 s'établit à 640 334 855 FCFA**, en nette amélioration après la **perte massive de -6 908 362 002 FCFA en 2022** (rapport du 31/12/2022), mais la **marge nette reste faible à 2,63%**, très en dessous de la moyenne sectorielle FMCG (5-10%). Le **résultat d'exploitation** est repassé positif à **+3 340 M FCFA** en 2023 (contre -6 258 M FCFA en 2022), grâce à la réduction des charges et à la hausse des produits accessoires. Cependant, la structure financière demeure **très fragile** : les **capitaux propres sont négatifs à -10 658 M FCFA**, le **report à nouveau négatif atteint -35 635 M FCFA**, et les **dettes financières s'élèvent à 4 379 M FCFA** (en hausse vs 3 827 M FCFA en 2022). Aucun dividende n'a été versé en 2023 ni en 2022, la priorité étant la reconstitution des fonds propres. À titre de comparaison, **en 2021** (rapport du 31/12/2021), la société avait dégagé un bénéfice net de **6 090 755 732 FCFA** avec une marge nette de 25%, avant l'effondrement de 2022 lié à la cession de l'activité "Thé" (Lipton) et aux perturbations régionales (embargo malien, restrictions BCEAO). La trajectoire 2021→2023 révèle donc une **dégradation structurelle** : chute du CA (36,2 Mds en 2022 selon un rapport provisoire vs 24,3 Mds en 2023), effondrement de la rentabilité, capitaux propres négatifs. La recommandation fondamentale reste **prudente** : UNLC présente des signes de stabilisation opérationnelle mais sa solidité financière est compromise, et aucun retour aux dividendes n'est envisageable à court terme.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totalement déconnectée des fondamentaux : avec un PER théorique très élevé et des capitaux propres négatifs, le marché valorise UNLC sur des perspectives de redressement non encore matérialisées. Le **comportement du cours** (Partie 1) est franchement baissier (-20,70% sur 100 jours, -7,48% en J-1), avec une volatilité élevée (56,4%) et un cours collé à son plus bas — les statistiques (skewness négatif, kurtosis mésokurtique) confirment une pression vendeuse sans excès de pics, mais la tendance reste défavorable. Les **signaux techniques** (Partie 2) sont majoritairement baissiers (MM, MACD) malgré deux signaux d'achat contrariants (Bollinger, Stochastique) qui traduisent une survente extrême pouvant générer un rebond technique ponctuel. Les **fondamentaux** (Partie 3) révèlent une situation précaire : CA stagnant à 24,3 Mds FCFA en 2023, marge nette de 2,63%, capitaux propres négatifs (-10 658 M FCFA), absence de dividende — malgré une amélioration du résultat d'exploitation (+3 340 M FCFA). Les **prédictions IA** (J+1 à J+10) anticipent une légère reprise vers 46 580 FCFA puis une stabilisation autour de 46 200 FCFA, ce qui **contredit partiellement** la tendance baissière immédiate mais reste cohérent avec un rebond technique depuis la survente. **Synthèse** : la convergence entre technique baissier, fondamentaux fragiles et valorisation déconnectée l'emporte sur le rebond technique anticipé. **Recommandation finale : VENTE** (ou CONSERVER uniquement pour les investisseurs long terme croyant au redressement de la marque Unilever). **Niveau de confiance : Moyen** (les signaux baissiers sont clairs mais la survente extrême introduit une incertitude sur le timing). **Niveau de risque global : Élevé** (volatilité 56,4%, capitaux propres négatifs, absence de dividende). **Horizon optimal : court terme pour la vente, long terme (&gt;1 an) uniquement pour les investisseurs spéculatifs misant sur une restructuration réussie.**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44.61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13,408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007800"/>
                <w:sz w:val="17"/>
              </w:rPr>
              <w:t>+22.16%</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14.97% (Moyenne) — μ=2,035 FCFA, σ=305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β=0.6283 (Défensif) — Cov=0.000047, Var(idx)=0.000075, ρ=0.171,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13,408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2026-10-15</w:t>
            </w:r>
          </w:p>
        </w:tc>
        <w:tc>
          <w:tcPr>
            <w:tcW w:type="dxa" w:w="1440"/>
            <w:shd w:fill="FAFAFA" w:val="clear"/>
          </w:tcPr>
          <w:p>
            <w:r>
              <w:rPr>
                <w:sz w:val="17"/>
              </w:rPr>
              <w:t>2,084</w:t>
            </w:r>
          </w:p>
        </w:tc>
        <w:tc>
          <w:tcPr>
            <w:tcW w:type="dxa" w:w="1440"/>
            <w:shd w:fill="FAFAFA" w:val="clear"/>
          </w:tcPr>
          <w:p>
            <w:r>
              <w:rPr>
                <w:b/>
                <w:sz w:val="17"/>
              </w:rPr>
              <w:t>2,158</w:t>
            </w:r>
          </w:p>
        </w:tc>
        <w:tc>
          <w:tcPr>
            <w:tcW w:type="dxa" w:w="1440"/>
            <w:shd w:fill="FAFAFA" w:val="clear"/>
          </w:tcPr>
          <w:p>
            <w:r>
              <w:rPr>
                <w:sz w:val="17"/>
              </w:rPr>
              <w:t>2,233</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2026-10-16</w:t>
            </w:r>
          </w:p>
        </w:tc>
        <w:tc>
          <w:tcPr>
            <w:tcW w:type="dxa" w:w="1440"/>
            <w:shd w:fill="FAFAFA" w:val="clear"/>
          </w:tcPr>
          <w:p>
            <w:r>
              <w:rPr>
                <w:sz w:val="17"/>
              </w:rPr>
              <w:t>2,037</w:t>
            </w:r>
          </w:p>
        </w:tc>
        <w:tc>
          <w:tcPr>
            <w:tcW w:type="dxa" w:w="1440"/>
            <w:shd w:fill="FAFAFA" w:val="clear"/>
          </w:tcPr>
          <w:p>
            <w:r>
              <w:rPr>
                <w:b/>
                <w:sz w:val="17"/>
              </w:rPr>
              <w:t>2,142</w:t>
            </w:r>
          </w:p>
        </w:tc>
        <w:tc>
          <w:tcPr>
            <w:tcW w:type="dxa" w:w="1440"/>
            <w:shd w:fill="FAFAFA" w:val="clear"/>
          </w:tcPr>
          <w:p>
            <w:r>
              <w:rPr>
                <w:sz w:val="17"/>
              </w:rPr>
              <w:t>2,246</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2026-10-19</w:t>
            </w:r>
          </w:p>
        </w:tc>
        <w:tc>
          <w:tcPr>
            <w:tcW w:type="dxa" w:w="1440"/>
            <w:shd w:fill="FAFAFA" w:val="clear"/>
          </w:tcPr>
          <w:p>
            <w:r>
              <w:rPr>
                <w:sz w:val="17"/>
              </w:rPr>
              <w:t>2,002</w:t>
            </w:r>
          </w:p>
        </w:tc>
        <w:tc>
          <w:tcPr>
            <w:tcW w:type="dxa" w:w="1440"/>
            <w:shd w:fill="FAFAFA" w:val="clear"/>
          </w:tcPr>
          <w:p>
            <w:r>
              <w:rPr>
                <w:b/>
                <w:sz w:val="17"/>
              </w:rPr>
              <w:t>2,129</w:t>
            </w:r>
          </w:p>
        </w:tc>
        <w:tc>
          <w:tcPr>
            <w:tcW w:type="dxa" w:w="1440"/>
            <w:shd w:fill="FAFAFA" w:val="clear"/>
          </w:tcPr>
          <w:p>
            <w:r>
              <w:rPr>
                <w:sz w:val="17"/>
              </w:rPr>
              <w:t>2,257</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2026-10-20</w:t>
            </w:r>
          </w:p>
        </w:tc>
        <w:tc>
          <w:tcPr>
            <w:tcW w:type="dxa" w:w="1440"/>
            <w:shd w:fill="FAFAFA" w:val="clear"/>
          </w:tcPr>
          <w:p>
            <w:r>
              <w:rPr>
                <w:sz w:val="17"/>
              </w:rPr>
              <w:t>1,971</w:t>
            </w:r>
          </w:p>
        </w:tc>
        <w:tc>
          <w:tcPr>
            <w:tcW w:type="dxa" w:w="1440"/>
            <w:shd w:fill="FAFAFA" w:val="clear"/>
          </w:tcPr>
          <w:p>
            <w:r>
              <w:rPr>
                <w:b/>
                <w:sz w:val="17"/>
              </w:rPr>
              <w:t>2,117</w:t>
            </w:r>
          </w:p>
        </w:tc>
        <w:tc>
          <w:tcPr>
            <w:tcW w:type="dxa" w:w="1440"/>
            <w:shd w:fill="FAFAFA" w:val="clear"/>
          </w:tcPr>
          <w:p>
            <w:r>
              <w:rPr>
                <w:sz w:val="17"/>
              </w:rPr>
              <w:t>2,264</w:t>
            </w:r>
          </w:p>
        </w:tc>
        <w:tc>
          <w:tcPr>
            <w:tcW w:type="dxa" w:w="1440"/>
            <w:shd w:fill="FAFAFA" w:val="clear"/>
          </w:tcPr>
          <w:p>
            <w:r>
              <w:rPr>
                <w:b/>
                <w:color w:val="C00000"/>
                <w:sz w:val="17"/>
              </w:rPr>
              <w:t>-1.5%</w:t>
            </w:r>
          </w:p>
        </w:tc>
      </w:tr>
      <w:tr>
        <w:tc>
          <w:tcPr>
            <w:tcW w:type="dxa" w:w="1440"/>
            <w:shd w:fill="FFDCE0" w:val="clear"/>
          </w:tcPr>
          <w:p>
            <w:r>
              <w:rPr>
                <w:sz w:val="17"/>
              </w:rPr>
              <w:t>J+5  ⭐</w:t>
            </w:r>
          </w:p>
        </w:tc>
        <w:tc>
          <w:tcPr>
            <w:tcW w:type="dxa" w:w="1440"/>
            <w:shd w:fill="FFDCE0" w:val="clear"/>
          </w:tcPr>
          <w:p>
            <w:r>
              <w:rPr>
                <w:sz w:val="17"/>
              </w:rPr>
              <w:t>2026-10-21</w:t>
            </w:r>
          </w:p>
        </w:tc>
        <w:tc>
          <w:tcPr>
            <w:tcW w:type="dxa" w:w="1440"/>
            <w:shd w:fill="FFDCE0" w:val="clear"/>
          </w:tcPr>
          <w:p>
            <w:r>
              <w:rPr>
                <w:sz w:val="17"/>
              </w:rPr>
              <w:t>1,943</w:t>
            </w:r>
          </w:p>
        </w:tc>
        <w:tc>
          <w:tcPr>
            <w:tcW w:type="dxa" w:w="1440"/>
            <w:shd w:fill="FFDCE0" w:val="clear"/>
          </w:tcPr>
          <w:p>
            <w:r>
              <w:rPr>
                <w:b/>
                <w:sz w:val="17"/>
              </w:rPr>
              <w:t>2,106</w:t>
            </w:r>
          </w:p>
        </w:tc>
        <w:tc>
          <w:tcPr>
            <w:tcW w:type="dxa" w:w="1440"/>
            <w:shd w:fill="FFDCE0" w:val="clear"/>
          </w:tcPr>
          <w:p>
            <w:r>
              <w:rPr>
                <w:sz w:val="17"/>
              </w:rPr>
              <w:t>2,269</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2026-10-22</w:t>
            </w:r>
          </w:p>
        </w:tc>
        <w:tc>
          <w:tcPr>
            <w:tcW w:type="dxa" w:w="1440"/>
            <w:shd w:fill="FFDCE0" w:val="clear"/>
          </w:tcPr>
          <w:p>
            <w:r>
              <w:rPr>
                <w:sz w:val="17"/>
              </w:rPr>
              <w:t>1,917</w:t>
            </w:r>
          </w:p>
        </w:tc>
        <w:tc>
          <w:tcPr>
            <w:tcW w:type="dxa" w:w="1440"/>
            <w:shd w:fill="FFDCE0" w:val="clear"/>
          </w:tcPr>
          <w:p>
            <w:r>
              <w:rPr>
                <w:b/>
                <w:sz w:val="17"/>
              </w:rPr>
              <w:t>2,094</w:t>
            </w:r>
          </w:p>
        </w:tc>
        <w:tc>
          <w:tcPr>
            <w:tcW w:type="dxa" w:w="1440"/>
            <w:shd w:fill="FFDCE0" w:val="clear"/>
          </w:tcPr>
          <w:p>
            <w:r>
              <w:rPr>
                <w:sz w:val="17"/>
              </w:rPr>
              <w:t>2,272</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2026-10-23</w:t>
            </w:r>
          </w:p>
        </w:tc>
        <w:tc>
          <w:tcPr>
            <w:tcW w:type="dxa" w:w="1440"/>
            <w:shd w:fill="FFDCE0" w:val="clear"/>
          </w:tcPr>
          <w:p>
            <w:r>
              <w:rPr>
                <w:sz w:val="17"/>
              </w:rPr>
              <w:t>1,892</w:t>
            </w:r>
          </w:p>
        </w:tc>
        <w:tc>
          <w:tcPr>
            <w:tcW w:type="dxa" w:w="1440"/>
            <w:shd w:fill="FFDCE0" w:val="clear"/>
          </w:tcPr>
          <w:p>
            <w:r>
              <w:rPr>
                <w:b/>
                <w:sz w:val="17"/>
              </w:rPr>
              <w:t>2,083</w:t>
            </w:r>
          </w:p>
        </w:tc>
        <w:tc>
          <w:tcPr>
            <w:tcW w:type="dxa" w:w="1440"/>
            <w:shd w:fill="FFDCE0" w:val="clear"/>
          </w:tcPr>
          <w:p>
            <w:r>
              <w:rPr>
                <w:sz w:val="17"/>
              </w:rPr>
              <w:t>2,274</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2026-10-26</w:t>
            </w:r>
          </w:p>
        </w:tc>
        <w:tc>
          <w:tcPr>
            <w:tcW w:type="dxa" w:w="1440"/>
            <w:shd w:fill="FFDCE0" w:val="clear"/>
          </w:tcPr>
          <w:p>
            <w:r>
              <w:rPr>
                <w:sz w:val="17"/>
              </w:rPr>
              <w:t>1,870</w:t>
            </w:r>
          </w:p>
        </w:tc>
        <w:tc>
          <w:tcPr>
            <w:tcW w:type="dxa" w:w="1440"/>
            <w:shd w:fill="FFDCE0" w:val="clear"/>
          </w:tcPr>
          <w:p>
            <w:r>
              <w:rPr>
                <w:b/>
                <w:sz w:val="17"/>
              </w:rPr>
              <w:t>2,072</w:t>
            </w:r>
          </w:p>
        </w:tc>
        <w:tc>
          <w:tcPr>
            <w:tcW w:type="dxa" w:w="1440"/>
            <w:shd w:fill="FFDCE0" w:val="clear"/>
          </w:tcPr>
          <w:p>
            <w:r>
              <w:rPr>
                <w:sz w:val="17"/>
              </w:rPr>
              <w:t>2,275</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2026-10-27</w:t>
            </w:r>
          </w:p>
        </w:tc>
        <w:tc>
          <w:tcPr>
            <w:tcW w:type="dxa" w:w="1440"/>
            <w:shd w:fill="FFDCE0" w:val="clear"/>
          </w:tcPr>
          <w:p>
            <w:r>
              <w:rPr>
                <w:sz w:val="17"/>
              </w:rPr>
              <w:t>1,848</w:t>
            </w:r>
          </w:p>
        </w:tc>
        <w:tc>
          <w:tcPr>
            <w:tcW w:type="dxa" w:w="1440"/>
            <w:shd w:fill="FFDCE0" w:val="clear"/>
          </w:tcPr>
          <w:p>
            <w:r>
              <w:rPr>
                <w:b/>
                <w:sz w:val="17"/>
              </w:rPr>
              <w:t>2,062</w:t>
            </w:r>
          </w:p>
        </w:tc>
        <w:tc>
          <w:tcPr>
            <w:tcW w:type="dxa" w:w="1440"/>
            <w:shd w:fill="FFDCE0" w:val="clear"/>
          </w:tcPr>
          <w:p>
            <w:r>
              <w:rPr>
                <w:sz w:val="17"/>
              </w:rPr>
              <w:t>2,276</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2026-10-28</w:t>
            </w:r>
          </w:p>
        </w:tc>
        <w:tc>
          <w:tcPr>
            <w:tcW w:type="dxa" w:w="1440"/>
            <w:shd w:fill="FFDCE0" w:val="clear"/>
          </w:tcPr>
          <w:p>
            <w:r>
              <w:rPr>
                <w:sz w:val="17"/>
              </w:rPr>
              <w:t>1,827</w:t>
            </w:r>
          </w:p>
        </w:tc>
        <w:tc>
          <w:tcPr>
            <w:tcW w:type="dxa" w:w="1440"/>
            <w:shd w:fill="FFDCE0" w:val="clear"/>
          </w:tcPr>
          <w:p>
            <w:r>
              <w:rPr>
                <w:b/>
                <w:sz w:val="17"/>
              </w:rPr>
              <w:t>2,052</w:t>
            </w:r>
          </w:p>
        </w:tc>
        <w:tc>
          <w:tcPr>
            <w:tcW w:type="dxa" w:w="1440"/>
            <w:shd w:fill="FFDCE0" w:val="clear"/>
          </w:tcPr>
          <w:p>
            <w:r>
              <w:rPr>
                <w:sz w:val="17"/>
              </w:rPr>
              <w:t>2,276</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44,61 milliards FCFA, UNIWAX se positionne comme une valeur de taille intermédiaire sur la BRVM, cohérente avec son statut de leader historique du textile ivoirien. Le BPA ressort à -30 FCFA/action en 2025, ce qui rend le PER inexploitable (-71,5x) puisque la société reste déficitaire — un ratio négatif signifie simplement que les investisseurs ne peuvent pas valoriser le titre sur les bénéfices actuels. Le P/B de 1,81x indique que le marché valorise l'action à près du double de sa valeur comptable, ce qui reste raisonnable (fourchette 1-2x) et traduit une certaine confiance dans le potentiel de redressement. En revanche, l'EV/EBITDA de 36,5x est très exigeant (&gt;15x), signifiant que la valeur d'entreprise intègre déjà une forte anticipation de retournement opérationnel — un multiple qui ne se justifie que si la rentabilité se confirme durablement.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progression remarquable de +22,16%, malgré un repli de -1,83% lors de la dernière séance (J-1), signalant une légère prise de bénéfices après un rallye soutenu. Le cours actuel de 2 150 FCFA se situe dans la partie haute du range de trading, le plus haut ayant atteint 2 495 FCFA et le plus bas 1 250 FCFA — soit un écart de près de 100%, illustrant une forte amplitude. La tendance générale est donc nettement haussière, portée par le retour à une rentabilité opérationnelle positive annoncée au S1 2026. Les statistiques descriptives révèlent une moyenne (2 035 FCFA) légèrement supérieure à la médiane (1 968 FCFA), avec un mode à 1 970 FCFA : l'écart modéré entre moyenne et médiane suggère une distribution quasi-symétrique, confirmée par un skewness de -0,349 (léger étalement vers la gauche, sans excès). L'écart-type de 306 FCFA (CV=15,0%) traduit une dispersion modérée autour de la moyenne, tandis que le kurtosis de -0,481 (mésokurtique) indique une distribution proche de la normale, sans risque marqué de pics extrêmes. La volatilité annualisée de 50,1% classe le titre dans la catégorie **élevée** (&gt;30%), ce qui est cohérent avec une valeur de redressement en phase de re-rating.</w:t>
      </w:r>
    </w:p>
    <w:p>
      <w:pPr>
        <w:spacing w:after="120" w:line="276" w:lineRule="auto"/>
      </w:pPr>
      <w:r>
        <w:t>---</w:t>
      </w:r>
    </w:p>
    <w:p>
      <w:pPr>
        <w:spacing w:after="120" w:line="276" w:lineRule="auto"/>
      </w:pPr>
      <w:r>
        <w:t>## PARTIE 2 : ANALYSE TECHNIQUE DÉTAILLÉE</w:t>
      </w:r>
    </w:p>
    <w:p>
      <w:pPr>
        <w:spacing w:after="120" w:line="276" w:lineRule="auto"/>
      </w:pPr>
      <w:r>
        <w:t>**Moyennes Mobiles** : La MM20 (2 303 FCFA) et la MM50 (2 272,3 FCFA) se situent toutes deux au-dessus du cours actuel (2 150 FCFA), ce qui place le titre en position de faiblesse relative à court terme. Toutefois, la MM20 reste supérieure à la MM50, configuration haussière de fond, ce qui justifie la décision **Achat** — le croisement des moyennes n'est pas encore inversé.</w:t>
      </w:r>
    </w:p>
    <w:p>
      <w:pPr>
        <w:spacing w:after="120" w:line="276" w:lineRule="auto"/>
      </w:pPr>
      <w:r>
        <w:t>**Bandes de Bollinger** : Le cours (2 150 FCFA) évolue juste au-dessus de la borne inférieure (2 146,95 FCFA) et loin de la borne supérieure (2 459,05 FCFA), signe que le titre teste un support dynamique après son repli. La décision **Neutre** reflète cette position charnière : ni signal de survente extrême, ni élan haussier confirmé.</w:t>
      </w:r>
    </w:p>
    <w:p>
      <w:pPr>
        <w:spacing w:after="120" w:line="276" w:lineRule="auto"/>
      </w:pPr>
      <w:r>
        <w:t>**MACD** : La valeur du MACD (-16,612) est nettement inférieure à son signal (10,32), générant un croisement baissier et un momentum négatif. La décision **Vente** à court terme contredit la tendance de fond et appelle à la prudence avant tout renforcement.</w:t>
      </w:r>
    </w:p>
    <w:p>
      <w:pPr>
        <w:spacing w:after="120" w:line="276" w:lineRule="auto"/>
      </w:pPr>
      <w:r>
        <w:t>**RSI** : À 45,902, l'indicateur se situe en zone neutre (30-70), sans surchauffe ni survente. La décision **Neutre** confirme l'absence de signal directionnel fort, le titre consolidant après sa hausse.</w:t>
      </w:r>
    </w:p>
    <w:p>
      <w:pPr>
        <w:spacing w:after="120" w:line="276" w:lineRule="auto"/>
      </w:pPr>
      <w:r>
        <w:t>**Stochastique** : Avec un %K à 0,0 et un %D à 5,442, l'indicateur est en zone de survente extrême, ce qui plaide pour un rebond technique imminent. La décision **Achat** contraste avec le MACD et suggère une possible inflexion à court terme.</w:t>
      </w:r>
    </w:p>
    <w:p>
      <w:pPr>
        <w:spacing w:after="120" w:line="276" w:lineRule="auto"/>
      </w:pPr>
      <w:r>
        <w:t>**Conclusion technique** : Les indicateurs sont **divergents** — les moyennes mobiles et le stochastique plaident pour un achat (support dynamique, survente), tandis que le MACD et la position du cours sous les MM20/MM50 appellent à la prudence. Le RSI neutre et les Bollinger en bas de bande confirment une phase de consolidation. La convergence penche légèrement vers un **rebond technique à court terme**, mais la confirmation d'un retour au-dessus de la MM20 (2 303 FCFA) serait nécessaire pour valider une reprise durable.</w:t>
      </w:r>
    </w:p>
    <w:p>
      <w:pPr>
        <w:spacing w:after="120" w:line="276" w:lineRule="auto"/>
      </w:pPr>
      <w:r>
        <w:t>---</w:t>
      </w:r>
    </w:p>
    <w:p>
      <w:pPr>
        <w:spacing w:after="120" w:line="276" w:lineRule="auto"/>
      </w:pPr>
      <w:r>
        <w:t>## PARTIE 3 : ANALYSE FONDAMENTALE</w:t>
      </w:r>
    </w:p>
    <w:p>
      <w:pPr>
        <w:spacing w:after="120" w:line="276" w:lineRule="auto"/>
      </w:pPr>
      <w:r>
        <w:t>En 2025, UNIWAX a enregistré un chiffre d'affaires de 29,032 milliards FCFA (+6,2% selon le rapport annuel 2025), avec un EBE redevenu positif à 1,127 milliard FCFA (contre -0,35 Md en 2024). Le résultat net reste toutefois négatif à -624,11 millions FCFA, mais la perte est réduite de 71% sur un an. Les ratios de rentabilité demeurent négatifs : ROE de -2,54% et ROA de -1,97%, tandis que la marge nette s'établit à -2,15%. La structure financière est solide (autonomie financière de 77,6%, endettement quasi nul à 368,66 M FCFA), mais l'exploitation génère un flux opérationnel négatif de -8,124 Mds FCFA, compensé par des cessions d'actifs (+9,399 Mds FCFA). Les délais d'exploitation sont préoccupants : délai client de 45,8 jours (risque trésorerie modéré), durée de stockage de 325 jours (immobilisation de capital très élevée) et BFR de 11,187 Mds FCFA. Le rapport S1 2026 (publié en 2026) marque une **inflexion majeure** : le résultat d'exploitation redevient positif à 771 millions FCFA (contre -314 M au S1 2025), avec un CA de 15,752 Mds FCFA (+0,3%) et un résultat net de 771 millions FCFA — hors plus-value exceptionnelle de 10 Mds FCFA du S1 2025. Le rapport T3 2025 (daté du 30/09/2025) confirmait déjà cette tendance : absence de perte opérationnelle au T3, résultat des activités ordinaires à -371 M FCFA sur 9 mois (amélioration de 80%). On estime donc que l'exercice 2026 devrait afficher un **retour à une rentabilité opérationnelle positive sur l'ensemble de l'année**, avec un résultat net potentiellement compris entre 1,5 et 2,5 Mds FCFA, hors éléments exceptionnels. La recommandation fondamentale est **CONSERVER avec biais acheteur** : la solidité du bilan, la trajectoire de redressement confirmée et les perspectives d'export (Nigeria, Guinée) sont des atouts, mais la valorisation exigeante (EV/EBITDA 36,5x) et la dépendance aux marchés d'exportation appellent à la vigilance.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le P/B de 1,81x reste raisonnable, mais le PER négatif et l'EV/EBITDA de 36,5x traduisent une anticipation déjà élevée de retournement — le marché paie cher une reprise non encore confirmée sur l'année complète. Le comportement du cours (Partie 1) est haussier (+22,16% sur 100 jours) avec une volatilité élevée (50,1%) et une distribution quasi-normale (kurtosis -0,481, skewness -0,349), ce qui est favorable pour un investisseur acceptant le risque. Les signaux techniques (Partie 2) sont **divergents** : le stochastique en survente extrême (%K=0) et les MM haussières de fond plaident pour un rebond, mais le MACD baissier et le cours sous les MM20/MM50 appellent à la patience. Les fondamentaux (Partie 3) sont **en nette amélioration** : retour à un résultat d'exploitation positif au S1 2026 (771 M FCFA), EBE positif en 2025, structure financière assainie — mais la rentabilité annuelle reste fragile et dépendante des marchés d'exportation. Les prédictions IA (J+1 à J+10) anticipent une **légère correction** de 2 158 à 2 106 FCFA (-2,4%), ce qui contredit le signal de rebond technique mais confirme la phase de consolidation en cours. **Synthèse globale** : la convergence entre fondamentaux en amélioration et technique en consolidation, couplée à une valorisation exigeante, plaide pour une recommandation **CONSERVER** avec un biais acheteur à moyen terme. Le niveau de confiance est **Moyen** (les fondamentaux sont encourageants mais la confirmation annuelle reste à venir), le risque global est **Élevé** (volatilité 50,1%, dépendance aux exportations, valorisation tendue), et l'horizon optimal est **moyen terme (3-12 mois)**, le temps que la rentabilité opérationnelle se confirme sur l'ensemble de l'exercice 2026 et que le titre valide son retour au-dessus de la MM20 (2 303 FCFA). Un investisseur averse au risque attendra la publication des résultats annuels 2026 avant de se positionner.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